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CB790A" w14:textId="77777777" w:rsidR="00E13872" w:rsidRDefault="00D71E7C" w:rsidP="00D71E7C">
      <w:pPr>
        <w:spacing w:line="360" w:lineRule="auto"/>
        <w:jc w:val="both"/>
        <w:rPr>
          <w:rFonts w:ascii="Arial" w:hAnsi="Arial" w:cs="Arial"/>
          <w:lang w:val="en-GB"/>
        </w:rPr>
      </w:pPr>
      <w:r>
        <w:rPr>
          <w:rFonts w:ascii="Arial" w:hAnsi="Arial" w:cs="Arial"/>
          <w:lang w:val="en-GB"/>
        </w:rPr>
        <w:t>This essay will be analysing two models of reflection and go o</w:t>
      </w:r>
      <w:bookmarkStart w:id="0" w:name="_GoBack"/>
      <w:bookmarkEnd w:id="0"/>
      <w:r>
        <w:rPr>
          <w:rFonts w:ascii="Arial" w:hAnsi="Arial" w:cs="Arial"/>
          <w:lang w:val="en-GB"/>
        </w:rPr>
        <w:t xml:space="preserve">n to consider how critical reflective practice can </w:t>
      </w:r>
      <w:r w:rsidR="005D7E78">
        <w:rPr>
          <w:rFonts w:ascii="Arial" w:hAnsi="Arial" w:cs="Arial"/>
          <w:lang w:val="en-GB"/>
        </w:rPr>
        <w:t xml:space="preserve">critically </w:t>
      </w:r>
      <w:r>
        <w:rPr>
          <w:rFonts w:ascii="Arial" w:hAnsi="Arial" w:cs="Arial"/>
          <w:lang w:val="en-GB"/>
        </w:rPr>
        <w:t>promote and enhance the services provided to children and their families.  Reflection is defi</w:t>
      </w:r>
      <w:r w:rsidR="00FE4AF4">
        <w:rPr>
          <w:rFonts w:ascii="Arial" w:hAnsi="Arial" w:cs="Arial"/>
          <w:lang w:val="en-GB"/>
        </w:rPr>
        <w:t>ned by Paige- smith and Craft (</w:t>
      </w:r>
      <w:r>
        <w:rPr>
          <w:rFonts w:ascii="Arial" w:hAnsi="Arial" w:cs="Arial"/>
          <w:lang w:val="en-GB"/>
        </w:rPr>
        <w:t>2010) as a way of looking back on experiences and evaluating them. However, Lindon and Trodd (2016) believe this is not always enough and state reflection is something deeper and go on to define reflection as a process of serious thought and constructive critical</w:t>
      </w:r>
      <w:r w:rsidR="00FE4AF4">
        <w:rPr>
          <w:rFonts w:ascii="Arial" w:hAnsi="Arial" w:cs="Arial"/>
          <w:lang w:val="en-GB"/>
        </w:rPr>
        <w:t xml:space="preserve"> analysis o</w:t>
      </w:r>
      <w:r>
        <w:rPr>
          <w:rFonts w:ascii="Arial" w:hAnsi="Arial" w:cs="Arial"/>
          <w:lang w:val="en-GB"/>
        </w:rPr>
        <w:t xml:space="preserve">f practice leading to an informed judgement about strengths, weaknesses and considered plans for change that will bring about improvements. Mcfarland et al (2009) add that reflection is a process in which practitioners look back on experiences and practice in order to critically analyse themselves, this can allow practitioners to identify personal strengths and weaknesses in practice and either amend or maintain aspects in order for future practice to become enhanced and more effective. </w:t>
      </w:r>
      <w:r w:rsidRPr="00D71E7C">
        <w:rPr>
          <w:rFonts w:ascii="Arial" w:hAnsi="Arial" w:cs="Arial"/>
          <w:lang w:val="en-GB"/>
        </w:rPr>
        <w:t>Reflection is therefor able to enhance your personal and professional development in several ways.</w:t>
      </w:r>
      <w:r>
        <w:rPr>
          <w:rFonts w:ascii="Arial" w:hAnsi="Arial" w:cs="Arial"/>
          <w:lang w:val="en-GB"/>
        </w:rPr>
        <w:t xml:space="preserve"> </w:t>
      </w:r>
      <w:r w:rsidRPr="00D71E7C">
        <w:rPr>
          <w:rFonts w:ascii="Arial" w:hAnsi="Arial" w:cs="Arial"/>
          <w:lang w:val="en-GB"/>
        </w:rPr>
        <w:t xml:space="preserve"> </w:t>
      </w:r>
    </w:p>
    <w:p w14:paraId="5EC926D9" w14:textId="009206E4" w:rsidR="004E195E" w:rsidRDefault="00E13872" w:rsidP="00E13872">
      <w:pPr>
        <w:spacing w:line="360" w:lineRule="auto"/>
        <w:jc w:val="both"/>
        <w:rPr>
          <w:rFonts w:ascii="Arial" w:hAnsi="Arial" w:cs="Arial"/>
          <w:lang w:val="en-GB"/>
        </w:rPr>
      </w:pPr>
      <w:r>
        <w:rPr>
          <w:rFonts w:ascii="Arial" w:hAnsi="Arial" w:cs="Arial"/>
          <w:lang w:val="en-GB"/>
        </w:rPr>
        <w:t>There have been a number of reflective models created to assist professionals in effectively undertaking the reflective process. These models range from the more in depth models such as Kolb’s 1984 model of experimental learning and Gibbs’ 1988 reflective model to more simple models like Rolfe’s 2001 model</w:t>
      </w:r>
      <w:r w:rsidR="004E195E">
        <w:rPr>
          <w:rFonts w:ascii="Arial" w:hAnsi="Arial" w:cs="Arial"/>
          <w:lang w:val="en-GB"/>
        </w:rPr>
        <w:t>, these reflective models have formed from the idea of Dewey (1933) and Schon (1983). Dewey identified that reflective thinking is a process used to help people move forward towards taking action and learning by doing.</w:t>
      </w:r>
      <w:r w:rsidR="00AA67F0">
        <w:rPr>
          <w:rFonts w:ascii="Arial" w:hAnsi="Arial" w:cs="Arial"/>
          <w:lang w:val="en-GB"/>
        </w:rPr>
        <w:t xml:space="preserve"> </w:t>
      </w:r>
      <w:r w:rsidR="004E195E">
        <w:rPr>
          <w:rFonts w:ascii="Arial" w:hAnsi="Arial" w:cs="Arial"/>
          <w:lang w:val="en-GB"/>
        </w:rPr>
        <w:t>(Finlay, 2008) Schon built on the work by Dewey and developed the reflective practitioner. He thought about how practitioners think in action and how practitioners can become aware of their knowledge and understanding and in turn learn from the experiences.</w:t>
      </w:r>
      <w:r w:rsidR="00AA67F0">
        <w:rPr>
          <w:rFonts w:ascii="Arial" w:hAnsi="Arial" w:cs="Arial"/>
          <w:lang w:val="en-GB"/>
        </w:rPr>
        <w:t xml:space="preserve"> (Paige-Smith and Craft,2010)</w:t>
      </w:r>
      <w:r w:rsidR="004E195E">
        <w:rPr>
          <w:rFonts w:ascii="Arial" w:hAnsi="Arial" w:cs="Arial"/>
          <w:lang w:val="en-GB"/>
        </w:rPr>
        <w:t xml:space="preserve"> </w:t>
      </w:r>
      <w:r w:rsidR="00AA67F0">
        <w:rPr>
          <w:rFonts w:ascii="Arial" w:hAnsi="Arial" w:cs="Arial"/>
          <w:lang w:val="en-GB"/>
        </w:rPr>
        <w:t xml:space="preserve">Schon also went on to identify two types of reflection, reflection on action, meaning thinking after an event and reflection in action, meaning thinking whilst completing the event. (Lindon and Trodd, 2016). Finlay (2008) states that practitioners practice can become more effective as they develop the skills necessary for reflective practice, these skills are identified as looking back, assessing and adapting and developing practice to improve. From this and the work of Dewey and Schon more in depth models have been created such as Jay and Johnson’s (2002) model with three linked dimensions being descriptive, comparative and using critical reflections. These types of models have proved useful in helping practitioners to apply different levels of practice to different levels of learners. (Ziecher and Liston cited in Finlay, 2008) </w:t>
      </w:r>
    </w:p>
    <w:p w14:paraId="7CAE0BDB" w14:textId="3C4951BA" w:rsidR="00E13872" w:rsidRDefault="00E13872" w:rsidP="00E13872">
      <w:pPr>
        <w:spacing w:line="360" w:lineRule="auto"/>
        <w:jc w:val="both"/>
        <w:rPr>
          <w:rFonts w:ascii="Arial" w:hAnsi="Arial" w:cs="Arial"/>
          <w:lang w:val="en-GB"/>
        </w:rPr>
      </w:pPr>
      <w:r>
        <w:rPr>
          <w:rFonts w:ascii="Arial" w:hAnsi="Arial" w:cs="Arial"/>
          <w:lang w:val="en-GB"/>
        </w:rPr>
        <w:lastRenderedPageBreak/>
        <w:t xml:space="preserve">This essay will look into two specific models, Gibbs reflective cycle and Kolb’s experimental learning model. </w:t>
      </w:r>
      <w:r w:rsidR="00B36D97">
        <w:rPr>
          <w:rFonts w:ascii="Arial" w:hAnsi="Arial" w:cs="Arial"/>
          <w:lang w:val="en-GB"/>
        </w:rPr>
        <w:t>Kolb’s experimental learning model consists of four clear stages to follow, the stages include; concrete experience, reflective observation, abstract conceptualization and the active experimentation. Kolb’s model is a cyclical process that focuses on learning from experiences and emphasises that reflection should be an integrated part of learning from experiences. (Leeds Beckett University, 2015).</w:t>
      </w:r>
      <w:r w:rsidR="00A0076D">
        <w:rPr>
          <w:rFonts w:ascii="Arial" w:hAnsi="Arial" w:cs="Arial"/>
          <w:lang w:val="en-GB"/>
        </w:rPr>
        <w:t xml:space="preserve"> The model can be started at any of the stages, however, the stages of the model must be followed consecutively in order to achieve e</w:t>
      </w:r>
      <w:r w:rsidR="00F31E46">
        <w:rPr>
          <w:rFonts w:ascii="Arial" w:hAnsi="Arial" w:cs="Arial"/>
          <w:lang w:val="en-GB"/>
        </w:rPr>
        <w:t>nough information to evaluate and then</w:t>
      </w:r>
      <w:r w:rsidR="00A0076D">
        <w:rPr>
          <w:rFonts w:ascii="Arial" w:hAnsi="Arial" w:cs="Arial"/>
          <w:lang w:val="en-GB"/>
        </w:rPr>
        <w:t xml:space="preserve"> use to develop new actions</w:t>
      </w:r>
      <w:r w:rsidR="00F31E46">
        <w:rPr>
          <w:rFonts w:ascii="Arial" w:hAnsi="Arial" w:cs="Arial"/>
          <w:lang w:val="en-GB"/>
        </w:rPr>
        <w:t xml:space="preserve"> as the questions asked in each stage link to the next stage. (Sharlanova, 2004). </w:t>
      </w:r>
      <w:r w:rsidR="004734D5">
        <w:rPr>
          <w:rFonts w:ascii="Arial" w:hAnsi="Arial" w:cs="Arial"/>
          <w:lang w:val="en-GB"/>
        </w:rPr>
        <w:t>Surrey Library (no date</w:t>
      </w:r>
      <w:r w:rsidR="00B36D97">
        <w:rPr>
          <w:rFonts w:ascii="Arial" w:hAnsi="Arial" w:cs="Arial"/>
          <w:lang w:val="en-GB"/>
        </w:rPr>
        <w:t xml:space="preserve">) identifies that the main aim of Kolb’s cycle was that by the time an individual had completed the cycle they would be able to transform their experiences into knowledge. </w:t>
      </w:r>
      <w:r w:rsidR="00B769A5">
        <w:rPr>
          <w:rFonts w:ascii="Arial" w:hAnsi="Arial" w:cs="Arial"/>
          <w:lang w:val="en-GB"/>
        </w:rPr>
        <w:t>The individual has to complete each stage to gain a fully integrated understanding of their experience, each stage has a distinctive function that is essential in being able to achieve an effective outcome following the use of the</w:t>
      </w:r>
      <w:r w:rsidR="004734D5">
        <w:rPr>
          <w:rFonts w:ascii="Arial" w:hAnsi="Arial" w:cs="Arial"/>
          <w:lang w:val="en-GB"/>
        </w:rPr>
        <w:t xml:space="preserve"> model. (Surrey Library, no date</w:t>
      </w:r>
      <w:r w:rsidR="00B769A5">
        <w:rPr>
          <w:rFonts w:ascii="Arial" w:hAnsi="Arial" w:cs="Arial"/>
          <w:lang w:val="en-GB"/>
        </w:rPr>
        <w:t xml:space="preserve">). Greenaway (2006) identifies that although the models stages are set out clearly, this is not always easy to use in all situations, some situations do not follow a logical order like the model does, a number of aspects could occur at one time and some of the stages can become mixed up or missed out completely. </w:t>
      </w:r>
      <w:r w:rsidR="00223768">
        <w:rPr>
          <w:rFonts w:ascii="Arial" w:hAnsi="Arial" w:cs="Arial"/>
          <w:lang w:val="en-GB"/>
        </w:rPr>
        <w:t>Forrest</w:t>
      </w:r>
      <w:r w:rsidR="00A17790">
        <w:rPr>
          <w:rFonts w:ascii="Arial" w:hAnsi="Arial" w:cs="Arial"/>
          <w:lang w:val="en-GB"/>
        </w:rPr>
        <w:t xml:space="preserve"> (2008) states that Kolb’s model allows professionals to draw conclusions from the experiences they have had which is seen to lead professionals to </w:t>
      </w:r>
      <w:r w:rsidR="00A0076D">
        <w:rPr>
          <w:rFonts w:ascii="Arial" w:hAnsi="Arial" w:cs="Arial"/>
          <w:lang w:val="en-GB"/>
        </w:rPr>
        <w:t xml:space="preserve">experiment with their practice in order to enhance it. </w:t>
      </w:r>
      <w:r w:rsidR="00A17790">
        <w:rPr>
          <w:rFonts w:ascii="Arial" w:hAnsi="Arial" w:cs="Arial"/>
          <w:lang w:val="en-GB"/>
        </w:rPr>
        <w:t>Sharlanova (2004)</w:t>
      </w:r>
      <w:r w:rsidR="00A0076D">
        <w:rPr>
          <w:rFonts w:ascii="Arial" w:hAnsi="Arial" w:cs="Arial"/>
          <w:lang w:val="en-GB"/>
        </w:rPr>
        <w:t xml:space="preserve"> agrees and</w:t>
      </w:r>
      <w:r w:rsidR="00A17790">
        <w:rPr>
          <w:rFonts w:ascii="Arial" w:hAnsi="Arial" w:cs="Arial"/>
          <w:lang w:val="en-GB"/>
        </w:rPr>
        <w:t xml:space="preserve"> identifies that Kolb’s model provides a theoretical argument of independent learning by doing that allows the model to be applied to a vast range of situations. </w:t>
      </w:r>
      <w:r w:rsidR="00A0076D">
        <w:rPr>
          <w:rFonts w:ascii="Arial" w:hAnsi="Arial" w:cs="Arial"/>
          <w:lang w:val="en-GB"/>
        </w:rPr>
        <w:t>However, Greenaway (2006) argues that does not take into consideration other ways of learning other than experimental which leaves the model looking narrow and underdeveloped which can impact how effective the model is in helping professionals to explain and understand their experiences and in turn de</w:t>
      </w:r>
      <w:r w:rsidR="00BB4636">
        <w:rPr>
          <w:rFonts w:ascii="Arial" w:hAnsi="Arial" w:cs="Arial"/>
          <w:lang w:val="en-GB"/>
        </w:rPr>
        <w:t>velop from them. Greenway (2004</w:t>
      </w:r>
      <w:r w:rsidR="00A0076D">
        <w:rPr>
          <w:rFonts w:ascii="Arial" w:hAnsi="Arial" w:cs="Arial"/>
          <w:lang w:val="en-GB"/>
        </w:rPr>
        <w:t xml:space="preserve"> cited in the handbook if teaching a</w:t>
      </w:r>
      <w:r w:rsidR="00BB4636">
        <w:rPr>
          <w:rFonts w:ascii="Arial" w:hAnsi="Arial" w:cs="Arial"/>
          <w:lang w:val="en-GB"/>
        </w:rPr>
        <w:t xml:space="preserve">nd learning in medicine </w:t>
      </w:r>
      <w:r w:rsidR="004734D5">
        <w:rPr>
          <w:rFonts w:ascii="Arial" w:hAnsi="Arial" w:cs="Arial"/>
          <w:lang w:val="en-GB"/>
        </w:rPr>
        <w:t>no date</w:t>
      </w:r>
      <w:r w:rsidR="00A0076D">
        <w:rPr>
          <w:rFonts w:ascii="Arial" w:hAnsi="Arial" w:cs="Arial"/>
          <w:lang w:val="en-GB"/>
        </w:rPr>
        <w:t xml:space="preserve">) agrees with Greenaway (2006) and add that the model only provides a limited number of factors that influence learning. It does not explain social and institutional aspects of learning and therefore the model does not always apply to every situation </w:t>
      </w:r>
      <w:r w:rsidR="00F31E46">
        <w:rPr>
          <w:rFonts w:ascii="Arial" w:hAnsi="Arial" w:cs="Arial"/>
          <w:lang w:val="en-GB"/>
        </w:rPr>
        <w:t>a professional</w:t>
      </w:r>
      <w:r w:rsidR="00A0076D">
        <w:rPr>
          <w:rFonts w:ascii="Arial" w:hAnsi="Arial" w:cs="Arial"/>
          <w:lang w:val="en-GB"/>
        </w:rPr>
        <w:t xml:space="preserve"> could be reflecting on. </w:t>
      </w:r>
      <w:r w:rsidR="00F31E46">
        <w:rPr>
          <w:rFonts w:ascii="Arial" w:hAnsi="Arial" w:cs="Arial"/>
          <w:lang w:val="en-GB"/>
        </w:rPr>
        <w:t>Sharlanova (2004) identifies that Kolb’s model can be seen as an effective tool for groups of people to use when reflecting upon an experience, she highlights that the model allows professionals to develop a common understanding of the experience by moving through the steps and sharing their experiences and discussing and bringing together their different experiences to help inform one another further. Kolb’s model can be seen to lead professionals to lack depth to their reflective experiences, this is due to the reflection not considering all aspects of the experience they are reflecting on. Laurent (2010) identifies that the model does not consider an emotional side to your reflection, there are no feelings about the experience taken into consideration unlike other models such as Gibbs reflective model. The lack of consideration for feelings cab be seen to make the reflection less in depth as professionals w</w:t>
      </w:r>
      <w:r w:rsidR="00BA6CA4">
        <w:rPr>
          <w:rFonts w:ascii="Arial" w:hAnsi="Arial" w:cs="Arial"/>
          <w:lang w:val="en-GB"/>
        </w:rPr>
        <w:t xml:space="preserve">ould not be achieving a full, accurate and in depth understanding of all aspects of the experience as well as professionals not gaining an in depth understanding of their practice. Without the professional taking into consideration how they felt during the experience they would not be able to take into consideration if those feelings had impacted upon the way in which they acted. (Laurent, 2010) </w:t>
      </w:r>
    </w:p>
    <w:p w14:paraId="6EAA38FA" w14:textId="4165DE8B" w:rsidR="00BA6CA4" w:rsidRDefault="002045C4" w:rsidP="00E13872">
      <w:pPr>
        <w:spacing w:line="360" w:lineRule="auto"/>
        <w:jc w:val="both"/>
        <w:rPr>
          <w:rFonts w:ascii="Arial" w:hAnsi="Arial" w:cs="Arial"/>
          <w:lang w:val="en-GB"/>
        </w:rPr>
      </w:pPr>
      <w:r>
        <w:rPr>
          <w:rFonts w:ascii="Arial" w:hAnsi="Arial" w:cs="Arial"/>
          <w:lang w:val="en-GB"/>
        </w:rPr>
        <w:t>Gibbs reflective model consists of six clear stages that are as follows; description, feelings, evaluation, analysis, conclusion and the action plan. (University of</w:t>
      </w:r>
      <w:r w:rsidR="00223768">
        <w:rPr>
          <w:rFonts w:ascii="Arial" w:hAnsi="Arial" w:cs="Arial"/>
          <w:lang w:val="en-GB"/>
        </w:rPr>
        <w:t xml:space="preserve"> Cumbria, 2016). Forrest </w:t>
      </w:r>
      <w:r>
        <w:rPr>
          <w:rFonts w:ascii="Arial" w:hAnsi="Arial" w:cs="Arial"/>
          <w:lang w:val="en-GB"/>
        </w:rPr>
        <w:t xml:space="preserve">(2008) identifies that the model provides professionals with a good structure that allows you to move on to each stage easily as each of the questions professionals could ask themselves within the stages helps lead onto the next stage. Oxford Brookes University (2017) agrees by stating that Gibbs’ model helps in providing professionals with a good structure to base your reflection around and </w:t>
      </w:r>
      <w:r w:rsidR="00CA3049">
        <w:rPr>
          <w:rFonts w:ascii="Arial" w:hAnsi="Arial" w:cs="Arial"/>
          <w:lang w:val="en-GB"/>
        </w:rPr>
        <w:t xml:space="preserve">the University of Kent (2012) </w:t>
      </w:r>
      <w:r>
        <w:rPr>
          <w:rFonts w:ascii="Arial" w:hAnsi="Arial" w:cs="Arial"/>
          <w:lang w:val="en-GB"/>
        </w:rPr>
        <w:t xml:space="preserve">further adds that the model encourages professionals to think systematically about the different stages of an experience which assists in critically evaluating professionals learning. </w:t>
      </w:r>
      <w:r w:rsidR="00A9640A">
        <w:rPr>
          <w:rFonts w:ascii="Arial" w:hAnsi="Arial" w:cs="Arial"/>
          <w:lang w:val="en-GB"/>
        </w:rPr>
        <w:t>Researchomatic (2013) agrees by stating that Gibbs’ model enables the professional to think in a systematic way about their experiences and view the event they are reflecting upon objectively. The Open University (2011) argue that although the model is split into six clear stages that are easy to follow, it can be argued that the model does not look at critical thinking or analysis enough, they identify that the model does not allow people to look objectively at different situations and perspectives therefor making the reflection superficial.</w:t>
      </w:r>
      <w:r w:rsidR="00D3402B">
        <w:rPr>
          <w:rFonts w:ascii="Arial" w:hAnsi="Arial" w:cs="Arial"/>
          <w:lang w:val="en-GB"/>
        </w:rPr>
        <w:t xml:space="preserve"> Finaly (2008) suggests that the model only offers basic useful questions to assist professionals in their reflection, there is therefore the need for a broader and more critically reflective approach.</w:t>
      </w:r>
      <w:r w:rsidR="00A9640A">
        <w:rPr>
          <w:rFonts w:ascii="Arial" w:hAnsi="Arial" w:cs="Arial"/>
          <w:lang w:val="en-GB"/>
        </w:rPr>
        <w:t xml:space="preserve"> </w:t>
      </w:r>
      <w:r w:rsidR="00223768">
        <w:rPr>
          <w:rFonts w:ascii="Arial" w:hAnsi="Arial" w:cs="Arial"/>
          <w:lang w:val="en-GB"/>
        </w:rPr>
        <w:t xml:space="preserve">Forrest </w:t>
      </w:r>
      <w:r w:rsidR="00A9640A">
        <w:rPr>
          <w:rFonts w:ascii="Arial" w:hAnsi="Arial" w:cs="Arial"/>
          <w:lang w:val="en-GB"/>
        </w:rPr>
        <w:t xml:space="preserve">(2008) also identifies a draw back to the model, they identify that the model can be seen as not moving forward, the model is a more retrospective process. They also identify that there is a need to move forward by looking forward as well as back, the model is therefor seen to just simply assist in the process not help develop. </w:t>
      </w:r>
      <w:r w:rsidR="00D3402B">
        <w:rPr>
          <w:rFonts w:ascii="Arial" w:hAnsi="Arial" w:cs="Arial"/>
          <w:lang w:val="en-GB"/>
        </w:rPr>
        <w:t>Finaly (2008) identifies that in order to move forward there is the need to challenge the core beliefs and assumptions the individuals hold.</w:t>
      </w:r>
      <w:r w:rsidR="004E195E">
        <w:rPr>
          <w:rFonts w:ascii="Arial" w:hAnsi="Arial" w:cs="Arial"/>
          <w:lang w:val="en-GB"/>
        </w:rPr>
        <w:t xml:space="preserve"> Zeicher and Liston (1996) cited in Finlay (2008) can be seen to agree by stating that reflective practitioners should move beyond questions about whether or not their practice is working to critically examining values and how practice can lead to change, commitment to quality and respect for difference. </w:t>
      </w:r>
      <w:r w:rsidR="00AA67F0">
        <w:rPr>
          <w:rFonts w:ascii="Arial" w:hAnsi="Arial" w:cs="Arial"/>
          <w:lang w:val="en-GB"/>
        </w:rPr>
        <w:t>Both models allow practitioners to personalise their learning and reflection</w:t>
      </w:r>
      <w:r w:rsidR="00C41924">
        <w:rPr>
          <w:rFonts w:ascii="Arial" w:hAnsi="Arial" w:cs="Arial"/>
          <w:lang w:val="en-GB"/>
        </w:rPr>
        <w:t xml:space="preserve"> as they allow them to draw on personal strengths and weaknesses and identify these have impacted the experiences they have. This personalised way of reflection also allows practitioners to have a say in their own learning and development as well as of those in your care as you alter or maintain aspects of your practice to enhance the practice practitioners provide. (Laurent, 2011).</w:t>
      </w:r>
    </w:p>
    <w:p w14:paraId="500220B8" w14:textId="4BA79C23" w:rsidR="00E13872" w:rsidRDefault="007F4331" w:rsidP="00D71E7C">
      <w:pPr>
        <w:spacing w:line="360" w:lineRule="auto"/>
        <w:jc w:val="both"/>
        <w:rPr>
          <w:rFonts w:ascii="Arial" w:hAnsi="Arial" w:cs="Arial"/>
          <w:lang w:val="en-GB"/>
        </w:rPr>
      </w:pPr>
      <w:r>
        <w:rPr>
          <w:rFonts w:ascii="Arial" w:hAnsi="Arial" w:cs="Arial"/>
          <w:lang w:val="en-GB"/>
        </w:rPr>
        <w:t>The professional association for childcare and early years</w:t>
      </w:r>
      <w:r w:rsidR="00E13872">
        <w:rPr>
          <w:rFonts w:ascii="Arial" w:hAnsi="Arial" w:cs="Arial"/>
          <w:lang w:val="en-GB"/>
        </w:rPr>
        <w:t xml:space="preserve"> (2016) identifies how reflection</w:t>
      </w:r>
      <w:r w:rsidR="00427C86">
        <w:rPr>
          <w:rFonts w:ascii="Arial" w:hAnsi="Arial" w:cs="Arial"/>
          <w:lang w:val="en-GB"/>
        </w:rPr>
        <w:t xml:space="preserve"> should be </w:t>
      </w:r>
      <w:r w:rsidR="00E13872">
        <w:rPr>
          <w:rFonts w:ascii="Arial" w:hAnsi="Arial" w:cs="Arial"/>
          <w:lang w:val="en-GB"/>
        </w:rPr>
        <w:t xml:space="preserve">seen as </w:t>
      </w:r>
      <w:r w:rsidR="00427C86">
        <w:rPr>
          <w:rFonts w:ascii="Arial" w:hAnsi="Arial" w:cs="Arial"/>
          <w:lang w:val="en-GB"/>
        </w:rPr>
        <w:t xml:space="preserve">an important part to everyday practice in order to benefit the services practitioners provide to the children and families at a setting. Pacey also adds that reflective practice will help to support practitioners and assist in continual development of practice, it is this continual improvement that allows practitioners to enhance the service they provide and in turn better children’s outcomes. </w:t>
      </w:r>
    </w:p>
    <w:p w14:paraId="49526ED5" w14:textId="707B1497" w:rsidR="00D71E7C" w:rsidRPr="00D71E7C" w:rsidRDefault="00D71E7C" w:rsidP="00D71E7C">
      <w:pPr>
        <w:spacing w:line="360" w:lineRule="auto"/>
        <w:jc w:val="both"/>
        <w:rPr>
          <w:rFonts w:ascii="Arial" w:hAnsi="Arial" w:cs="Arial"/>
          <w:lang w:val="en-GB"/>
        </w:rPr>
      </w:pPr>
      <w:r w:rsidRPr="00D71E7C">
        <w:rPr>
          <w:rFonts w:ascii="Arial" w:hAnsi="Arial" w:cs="Arial"/>
          <w:lang w:val="en-GB"/>
        </w:rPr>
        <w:t>According to mcfarland (2009) marbina et al (2010) and the pre- school alliance (20</w:t>
      </w:r>
      <w:r w:rsidR="00E13872">
        <w:rPr>
          <w:rFonts w:ascii="Arial" w:hAnsi="Arial" w:cs="Arial"/>
          <w:lang w:val="en-GB"/>
        </w:rPr>
        <w:t xml:space="preserve">12) in order for practitioners practice to work effectively for the children </w:t>
      </w:r>
      <w:r w:rsidRPr="00D71E7C">
        <w:rPr>
          <w:rFonts w:ascii="Arial" w:hAnsi="Arial" w:cs="Arial"/>
          <w:lang w:val="en-GB"/>
        </w:rPr>
        <w:t>and families</w:t>
      </w:r>
      <w:r w:rsidR="00E13872">
        <w:rPr>
          <w:rFonts w:ascii="Arial" w:hAnsi="Arial" w:cs="Arial"/>
          <w:lang w:val="en-GB"/>
        </w:rPr>
        <w:t xml:space="preserve"> in their care,</w:t>
      </w:r>
      <w:r w:rsidRPr="00D71E7C">
        <w:rPr>
          <w:rFonts w:ascii="Arial" w:hAnsi="Arial" w:cs="Arial"/>
          <w:lang w:val="en-GB"/>
        </w:rPr>
        <w:t xml:space="preserve"> as a practitioner there is a need to continuously look back on yourself and your p</w:t>
      </w:r>
      <w:r w:rsidR="00E13872">
        <w:rPr>
          <w:rFonts w:ascii="Arial" w:hAnsi="Arial" w:cs="Arial"/>
          <w:lang w:val="en-GB"/>
        </w:rPr>
        <w:t>ractice, this can then allow the practitioner</w:t>
      </w:r>
      <w:r w:rsidRPr="00D71E7C">
        <w:rPr>
          <w:rFonts w:ascii="Arial" w:hAnsi="Arial" w:cs="Arial"/>
          <w:lang w:val="en-GB"/>
        </w:rPr>
        <w:t xml:space="preserve"> </w:t>
      </w:r>
      <w:r w:rsidR="00E13872">
        <w:rPr>
          <w:rFonts w:ascii="Arial" w:hAnsi="Arial" w:cs="Arial"/>
          <w:lang w:val="en-GB"/>
        </w:rPr>
        <w:t xml:space="preserve">to become more critical in their </w:t>
      </w:r>
      <w:r w:rsidRPr="00D71E7C">
        <w:rPr>
          <w:rFonts w:ascii="Arial" w:hAnsi="Arial" w:cs="Arial"/>
          <w:lang w:val="en-GB"/>
        </w:rPr>
        <w:t xml:space="preserve">thinking </w:t>
      </w:r>
      <w:r w:rsidR="00B769A5">
        <w:rPr>
          <w:rFonts w:ascii="Arial" w:hAnsi="Arial" w:cs="Arial"/>
          <w:lang w:val="en-GB"/>
        </w:rPr>
        <w:t>relating to thei</w:t>
      </w:r>
      <w:r w:rsidR="00822C5E">
        <w:rPr>
          <w:rFonts w:ascii="Arial" w:hAnsi="Arial" w:cs="Arial"/>
          <w:lang w:val="en-GB"/>
        </w:rPr>
        <w:t>r</w:t>
      </w:r>
      <w:r w:rsidRPr="00D71E7C">
        <w:rPr>
          <w:rFonts w:ascii="Arial" w:hAnsi="Arial" w:cs="Arial"/>
          <w:lang w:val="en-GB"/>
        </w:rPr>
        <w:t xml:space="preserve"> practice as well as adapting to new practices. This ability is seen as particularly important for practitioners to effectively meet the individual needs </w:t>
      </w:r>
      <w:r w:rsidR="00FE4AF4">
        <w:rPr>
          <w:rFonts w:ascii="Arial" w:hAnsi="Arial" w:cs="Arial"/>
          <w:lang w:val="en-GB"/>
        </w:rPr>
        <w:t>of the children and families they</w:t>
      </w:r>
      <w:r w:rsidRPr="00D71E7C">
        <w:rPr>
          <w:rFonts w:ascii="Arial" w:hAnsi="Arial" w:cs="Arial"/>
          <w:lang w:val="en-GB"/>
        </w:rPr>
        <w:t xml:space="preserve"> work with. </w:t>
      </w:r>
      <w:r w:rsidR="00E738F2">
        <w:rPr>
          <w:rFonts w:ascii="Arial" w:hAnsi="Arial" w:cs="Arial"/>
          <w:lang w:val="en-GB"/>
        </w:rPr>
        <w:t xml:space="preserve">Rouse (2012) also agrees and states that practitioners who continuously reflect on their practice, think critically and build on their knowledge and understanding are seen to provide children and families with better services and in turn outcomes, this is achieved through continual challenging of ideas relating to practice and what impact practitioners work has on the children and families they work with. </w:t>
      </w:r>
    </w:p>
    <w:p w14:paraId="37A3DC18" w14:textId="6DA1F646" w:rsidR="00427C86" w:rsidRDefault="00D71E7C" w:rsidP="00D71E7C">
      <w:pPr>
        <w:spacing w:line="360" w:lineRule="auto"/>
        <w:jc w:val="both"/>
        <w:rPr>
          <w:rFonts w:ascii="Arial" w:hAnsi="Arial" w:cs="Arial"/>
          <w:lang w:val="en-GB"/>
        </w:rPr>
      </w:pPr>
      <w:r w:rsidRPr="00D71E7C">
        <w:rPr>
          <w:rFonts w:ascii="Arial" w:hAnsi="Arial" w:cs="Arial"/>
          <w:lang w:val="en-GB"/>
        </w:rPr>
        <w:t xml:space="preserve">Reflection can be seen to help develop and enhance both your personal and professional development in a variety of ways. Brock (2015) and Lindon                          (2012 ) highlight that one of the key aims of reflection when working in the early years is to help professionals identify positive and negative aspects of their practice with the aim of improving the quality of provision  children experience.  </w:t>
      </w:r>
      <w:r>
        <w:rPr>
          <w:rFonts w:ascii="Arial" w:hAnsi="Arial" w:cs="Arial"/>
        </w:rPr>
        <w:t xml:space="preserve"> </w:t>
      </w:r>
      <w:r w:rsidRPr="00D71E7C">
        <w:rPr>
          <w:rFonts w:ascii="Arial" w:hAnsi="Arial" w:cs="Arial"/>
          <w:lang w:val="en-GB"/>
        </w:rPr>
        <w:t>Blandford and Knowles (2016) agree by identifying that the reflective process can assist practitioners in identifying specific aspects of their practice that are either negative or positive and then go on to improve them and that this process sho</w:t>
      </w:r>
      <w:r w:rsidR="001D34BC">
        <w:rPr>
          <w:rFonts w:ascii="Arial" w:hAnsi="Arial" w:cs="Arial"/>
          <w:lang w:val="en-GB"/>
        </w:rPr>
        <w:t>uld be something repeated often. T</w:t>
      </w:r>
      <w:r w:rsidRPr="00D71E7C">
        <w:rPr>
          <w:rFonts w:ascii="Arial" w:hAnsi="Arial" w:cs="Arial"/>
          <w:lang w:val="en-GB"/>
        </w:rPr>
        <w:t>his continual self reflection allows practitio</w:t>
      </w:r>
      <w:r w:rsidR="00E13872">
        <w:rPr>
          <w:rFonts w:ascii="Arial" w:hAnsi="Arial" w:cs="Arial"/>
          <w:lang w:val="en-GB"/>
        </w:rPr>
        <w:t>ners to continually enhance thei</w:t>
      </w:r>
      <w:r w:rsidR="008E08B9">
        <w:rPr>
          <w:rFonts w:ascii="Arial" w:hAnsi="Arial" w:cs="Arial"/>
          <w:lang w:val="en-GB"/>
        </w:rPr>
        <w:t>r</w:t>
      </w:r>
      <w:r w:rsidRPr="00D71E7C">
        <w:rPr>
          <w:rFonts w:ascii="Arial" w:hAnsi="Arial" w:cs="Arial"/>
          <w:lang w:val="en-GB"/>
        </w:rPr>
        <w:t xml:space="preserve"> personal and professional development.</w:t>
      </w:r>
      <w:r w:rsidR="00427C86">
        <w:rPr>
          <w:rFonts w:ascii="Arial" w:hAnsi="Arial" w:cs="Arial"/>
          <w:lang w:val="en-GB"/>
        </w:rPr>
        <w:t xml:space="preserve"> </w:t>
      </w:r>
      <w:r w:rsidR="00135ADE">
        <w:rPr>
          <w:rFonts w:ascii="Arial" w:hAnsi="Arial" w:cs="Arial"/>
          <w:lang w:val="en-GB"/>
        </w:rPr>
        <w:t xml:space="preserve">Hudson (2010) can be seen to agree, he believed that a practitioner who regularly reviews strengths and weaknesses to their practice is able to ensure that children are receiving the highest quality level of care and education that they can provide. </w:t>
      </w:r>
    </w:p>
    <w:p w14:paraId="631130A0" w14:textId="235A1C11" w:rsidR="00A03120" w:rsidRDefault="00D71E7C" w:rsidP="00D71E7C">
      <w:pPr>
        <w:spacing w:line="360" w:lineRule="auto"/>
        <w:jc w:val="both"/>
        <w:rPr>
          <w:rFonts w:ascii="Arial" w:hAnsi="Arial" w:cs="Arial"/>
          <w:lang w:val="en-GB"/>
        </w:rPr>
      </w:pPr>
      <w:r w:rsidRPr="00D71E7C">
        <w:rPr>
          <w:rFonts w:ascii="Arial" w:hAnsi="Arial" w:cs="Arial"/>
          <w:lang w:val="en-GB"/>
        </w:rPr>
        <w:t xml:space="preserve"> N</w:t>
      </w:r>
      <w:r w:rsidR="00135ADE">
        <w:rPr>
          <w:rFonts w:ascii="Arial" w:hAnsi="Arial" w:cs="Arial"/>
          <w:lang w:val="en-GB"/>
        </w:rPr>
        <w:t>utbrown (2012) agrees and adds</w:t>
      </w:r>
      <w:r w:rsidRPr="00D71E7C">
        <w:rPr>
          <w:rFonts w:ascii="Arial" w:hAnsi="Arial" w:cs="Arial"/>
          <w:lang w:val="en-GB"/>
        </w:rPr>
        <w:t xml:space="preserve"> that high quality provision matters and that a poorer level of provision will not be beneficial to children’s development. </w:t>
      </w:r>
      <w:r w:rsidR="00135ADE">
        <w:rPr>
          <w:rFonts w:ascii="Arial" w:hAnsi="Arial" w:cs="Arial"/>
        </w:rPr>
        <w:t xml:space="preserve"> </w:t>
      </w:r>
      <w:r w:rsidRPr="00D71E7C">
        <w:rPr>
          <w:rFonts w:ascii="Arial" w:hAnsi="Arial" w:cs="Arial"/>
          <w:lang w:val="en-GB"/>
        </w:rPr>
        <w:t>Sylva et al (2014) and Blanden (2017) state that a higher quality provision will allow practitioners to improve</w:t>
      </w:r>
      <w:r w:rsidR="00E738F2">
        <w:rPr>
          <w:rFonts w:ascii="Arial" w:hAnsi="Arial" w:cs="Arial"/>
          <w:lang w:val="en-GB"/>
        </w:rPr>
        <w:t xml:space="preserve"> a child’s experiences with them </w:t>
      </w:r>
      <w:r w:rsidRPr="00D71E7C">
        <w:rPr>
          <w:rFonts w:ascii="Arial" w:hAnsi="Arial" w:cs="Arial"/>
          <w:lang w:val="en-GB"/>
        </w:rPr>
        <w:t>and as a whole as they will be receiving a higher quality of care and education which according to Taggart et al (2013) can have a lasting impact on children’s educational outcomes. This can help to highlight the importance of developing reflective practice as this high quality has been seen to have an evident impact on chi</w:t>
      </w:r>
      <w:r w:rsidR="001D34BC">
        <w:rPr>
          <w:rFonts w:ascii="Arial" w:hAnsi="Arial" w:cs="Arial"/>
          <w:lang w:val="en-GB"/>
        </w:rPr>
        <w:t xml:space="preserve">ldren’s educational outcomes, </w:t>
      </w:r>
      <w:r w:rsidRPr="00D71E7C">
        <w:rPr>
          <w:rFonts w:ascii="Arial" w:hAnsi="Arial" w:cs="Arial"/>
          <w:lang w:val="en-GB"/>
        </w:rPr>
        <w:t xml:space="preserve">without the reflection practitioners may not be able to recognise the positive and negative aspects of their practice that has lead to the high quality of provision. </w:t>
      </w:r>
      <w:r w:rsidR="00A03120">
        <w:rPr>
          <w:rFonts w:ascii="Arial" w:hAnsi="Arial" w:cs="Arial"/>
        </w:rPr>
        <w:t xml:space="preserve"> </w:t>
      </w:r>
      <w:r w:rsidRPr="00D71E7C">
        <w:rPr>
          <w:rFonts w:ascii="Arial" w:hAnsi="Arial" w:cs="Arial"/>
          <w:lang w:val="en-GB"/>
        </w:rPr>
        <w:t xml:space="preserve">Sylva at al (2004) effective provision of pre-school education project also known as they EPPE project for short is seen to agree, the project found that children who received high quality pre-school provision were found to have a higher level of attainment throughout education particularly at GCSE level, children were also seen to have better behaviour and emotional stability. </w:t>
      </w:r>
      <w:r w:rsidR="00135ADE">
        <w:rPr>
          <w:rFonts w:ascii="Arial" w:hAnsi="Arial" w:cs="Arial"/>
          <w:lang w:val="en-GB"/>
        </w:rPr>
        <w:t>The higher quality can be provided to children in a number of ways for example by a practitioner who is up to date with all current policy and practice, is willing to try new approaches to their practice or someone who is willing to listen to new ideas from others and allowing them to assist. (Hudson, 2010).</w:t>
      </w:r>
      <w:r w:rsidR="007F4331">
        <w:rPr>
          <w:rFonts w:ascii="Arial" w:hAnsi="Arial" w:cs="Arial"/>
          <w:lang w:val="en-GB"/>
        </w:rPr>
        <w:t xml:space="preserve"> </w:t>
      </w:r>
    </w:p>
    <w:p w14:paraId="0F2E741A" w14:textId="0542BA79" w:rsidR="0095796E" w:rsidRDefault="007F4331" w:rsidP="00621492">
      <w:pPr>
        <w:spacing w:line="360" w:lineRule="auto"/>
        <w:jc w:val="both"/>
        <w:rPr>
          <w:rFonts w:ascii="Arial" w:hAnsi="Arial" w:cs="Arial"/>
        </w:rPr>
      </w:pPr>
      <w:r>
        <w:rPr>
          <w:rFonts w:ascii="Arial" w:hAnsi="Arial" w:cs="Arial"/>
          <w:lang w:val="en-GB"/>
        </w:rPr>
        <w:t xml:space="preserve">The professional association for childcare and early years (2016) identify that when professionals talk together it can be powerful tool for reflection, practitioners can share ideas and discuss these to support each other. This sharing of information and reflecting together can support new ideas and enhance your practice provided to children in your care. </w:t>
      </w:r>
      <w:r w:rsidR="008F1E64">
        <w:rPr>
          <w:rFonts w:ascii="Arial" w:hAnsi="Arial" w:cs="Arial"/>
          <w:lang w:val="en-GB"/>
        </w:rPr>
        <w:t xml:space="preserve">Lorraine (2017) agrees and states that practitioners that discuss experiences together is a key component of reflective practice to help enhance practice. Professionals working together to improve practice and services for children and their families is known as multi-agency working. </w:t>
      </w:r>
      <w:r w:rsidR="00803688">
        <w:rPr>
          <w:rFonts w:ascii="Arial" w:hAnsi="Arial" w:cs="Arial"/>
          <w:lang w:val="en-GB"/>
        </w:rPr>
        <w:t xml:space="preserve">Gillen (2012) </w:t>
      </w:r>
      <w:r w:rsidR="00B502A1">
        <w:rPr>
          <w:rFonts w:ascii="Arial" w:hAnsi="Arial" w:cs="Arial"/>
          <w:lang w:val="en-GB"/>
        </w:rPr>
        <w:t>state</w:t>
      </w:r>
      <w:r w:rsidR="00803688">
        <w:rPr>
          <w:rFonts w:ascii="Arial" w:hAnsi="Arial" w:cs="Arial"/>
          <w:lang w:val="en-GB"/>
        </w:rPr>
        <w:t>s</w:t>
      </w:r>
      <w:r w:rsidR="00B502A1">
        <w:rPr>
          <w:rFonts w:ascii="Arial" w:hAnsi="Arial" w:cs="Arial"/>
          <w:lang w:val="en-GB"/>
        </w:rPr>
        <w:t xml:space="preserve"> that multi-agency working </w:t>
      </w:r>
      <w:r w:rsidR="00803688">
        <w:rPr>
          <w:rFonts w:ascii="Arial" w:hAnsi="Arial" w:cs="Arial"/>
          <w:lang w:val="en-GB"/>
        </w:rPr>
        <w:t xml:space="preserve">brings together professionals from different sectors with the aim of supporting children and families by providing a more integrated way of working. The </w:t>
      </w:r>
      <w:r w:rsidR="004A260A">
        <w:rPr>
          <w:rFonts w:ascii="Arial" w:hAnsi="Arial" w:cs="Arial"/>
          <w:lang w:val="en-GB"/>
        </w:rPr>
        <w:t xml:space="preserve">department for education (2012) </w:t>
      </w:r>
      <w:r w:rsidR="00803688">
        <w:rPr>
          <w:rFonts w:ascii="Arial" w:hAnsi="Arial" w:cs="Arial"/>
          <w:lang w:val="en-GB"/>
        </w:rPr>
        <w:t xml:space="preserve">add that this integrated way of working can help to provide children and families in need of added support with the correct assistance from the appropriate professional, this extra support can then be seen to improve children’s engagement and achievements in education. </w:t>
      </w:r>
      <w:r w:rsidR="004A260A">
        <w:rPr>
          <w:rFonts w:ascii="Arial" w:hAnsi="Arial" w:cs="Arial"/>
          <w:lang w:val="en-GB"/>
        </w:rPr>
        <w:t>T</w:t>
      </w:r>
      <w:r w:rsidR="00621492">
        <w:rPr>
          <w:rFonts w:ascii="Arial" w:hAnsi="Arial" w:cs="Arial"/>
          <w:lang w:val="en-GB"/>
        </w:rPr>
        <w:t>his type of practice can be seen as an element that needs to be maintained in practice to enhance services as T</w:t>
      </w:r>
      <w:r w:rsidR="004A260A">
        <w:rPr>
          <w:rFonts w:ascii="Arial" w:hAnsi="Arial" w:cs="Arial"/>
          <w:lang w:val="en-GB"/>
        </w:rPr>
        <w:t xml:space="preserve">he Welsh Government (2017) identify through the </w:t>
      </w:r>
      <w:r w:rsidR="00621492" w:rsidRPr="00621492">
        <w:rPr>
          <w:rFonts w:ascii="Arial" w:hAnsi="Arial" w:cs="Arial"/>
        </w:rPr>
        <w:t>education in wales our national mission action plan 2017-21</w:t>
      </w:r>
      <w:r w:rsidR="00621492">
        <w:rPr>
          <w:rFonts w:ascii="Arial" w:hAnsi="Arial" w:cs="Arial"/>
        </w:rPr>
        <w:t xml:space="preserve"> that they seek to ensure that the different </w:t>
      </w:r>
      <w:r w:rsidR="00621492" w:rsidRPr="00621492">
        <w:rPr>
          <w:rFonts w:ascii="Arial" w:hAnsi="Arial" w:cs="Arial"/>
        </w:rPr>
        <w:t>sectors</w:t>
      </w:r>
      <w:r w:rsidR="00621492">
        <w:rPr>
          <w:rFonts w:ascii="Arial" w:hAnsi="Arial" w:cs="Arial"/>
        </w:rPr>
        <w:t xml:space="preserve"> related to working with children</w:t>
      </w:r>
      <w:r w:rsidR="00621492" w:rsidRPr="00621492">
        <w:rPr>
          <w:rFonts w:ascii="Arial" w:hAnsi="Arial" w:cs="Arial"/>
        </w:rPr>
        <w:t xml:space="preserve"> enga</w:t>
      </w:r>
      <w:r w:rsidR="00621492">
        <w:rPr>
          <w:rFonts w:ascii="Arial" w:hAnsi="Arial" w:cs="Arial"/>
        </w:rPr>
        <w:t xml:space="preserve">ge in effective partnerships that help to </w:t>
      </w:r>
      <w:r w:rsidR="00621492" w:rsidRPr="00621492">
        <w:rPr>
          <w:rFonts w:ascii="Arial" w:hAnsi="Arial" w:cs="Arial"/>
        </w:rPr>
        <w:t>b</w:t>
      </w:r>
      <w:r w:rsidR="00621492">
        <w:rPr>
          <w:rFonts w:ascii="Arial" w:hAnsi="Arial" w:cs="Arial"/>
        </w:rPr>
        <w:t>uild a high-quality workforce with the aim of</w:t>
      </w:r>
      <w:r w:rsidR="00621492" w:rsidRPr="00621492">
        <w:rPr>
          <w:rFonts w:ascii="Arial" w:hAnsi="Arial" w:cs="Arial"/>
        </w:rPr>
        <w:t xml:space="preserve"> meet</w:t>
      </w:r>
      <w:r w:rsidR="00621492">
        <w:rPr>
          <w:rFonts w:ascii="Arial" w:hAnsi="Arial" w:cs="Arial"/>
        </w:rPr>
        <w:t xml:space="preserve">ing the needs of learners. The children’s workforce development council (2010) common core skills </w:t>
      </w:r>
      <w:r w:rsidR="001D34BC">
        <w:rPr>
          <w:rFonts w:ascii="Arial" w:hAnsi="Arial" w:cs="Arial"/>
        </w:rPr>
        <w:t>document identifies</w:t>
      </w:r>
      <w:r w:rsidR="00621492">
        <w:rPr>
          <w:rFonts w:ascii="Arial" w:hAnsi="Arial" w:cs="Arial"/>
        </w:rPr>
        <w:t xml:space="preserve"> that </w:t>
      </w:r>
      <w:r w:rsidR="0095796E">
        <w:rPr>
          <w:rFonts w:ascii="Arial" w:hAnsi="Arial" w:cs="Arial"/>
        </w:rPr>
        <w:t>all professionals and should remember to ensure that they maintain the value that the children and families should be at the center of the process when making decisions that could help to improve services.</w:t>
      </w:r>
      <w:r w:rsidR="001D34BC">
        <w:rPr>
          <w:rFonts w:ascii="Arial" w:hAnsi="Arial" w:cs="Arial"/>
        </w:rPr>
        <w:t xml:space="preserve"> </w:t>
      </w:r>
    </w:p>
    <w:p w14:paraId="419059F1" w14:textId="77777777" w:rsidR="00BE6FEA" w:rsidRDefault="00BE6FEA" w:rsidP="00621492">
      <w:pPr>
        <w:spacing w:line="360" w:lineRule="auto"/>
        <w:jc w:val="both"/>
        <w:rPr>
          <w:rFonts w:ascii="Arial" w:hAnsi="Arial" w:cs="Arial"/>
        </w:rPr>
      </w:pPr>
      <w:r>
        <w:rPr>
          <w:rFonts w:ascii="Arial" w:hAnsi="Arial" w:cs="Arial"/>
        </w:rPr>
        <w:t>The reflective process can also help practitioners to identify that the service they provide can be enhanced by consulting the families of the children they are working with with the aim of ensuring that their service is responsive to all the children and families they work with. (Australian Children’s Education and Care Quality Authority, 2016). Lorraine (2017) agrees by stating that in order for practitioners to provide quality services for children and families there must be continual reflection and learning that enhances development and reflective practice in an environment that is respectful and responsive to the needs of all children and families and draws on the ideas of families.</w:t>
      </w:r>
    </w:p>
    <w:p w14:paraId="535C3C70" w14:textId="76B8B976" w:rsidR="00BE6FEA" w:rsidRDefault="00BE6FEA" w:rsidP="00621492">
      <w:pPr>
        <w:spacing w:line="360" w:lineRule="auto"/>
        <w:jc w:val="both"/>
        <w:rPr>
          <w:rFonts w:ascii="Arial" w:hAnsi="Arial" w:cs="Arial"/>
        </w:rPr>
      </w:pPr>
      <w:r>
        <w:rPr>
          <w:rFonts w:ascii="Arial" w:hAnsi="Arial" w:cs="Arial"/>
        </w:rPr>
        <w:t xml:space="preserve">Queensland Government (2006) add that gathering of this information about the child from the family will allow practitioners to co-construct learning so that it becomes responsive to the children’s family and community, which in turn is seen to help to benefit the educational outcomes of children as the education feels more inclusive. </w:t>
      </w:r>
    </w:p>
    <w:p w14:paraId="44F19BA8" w14:textId="77777777" w:rsidR="007C28BF" w:rsidRDefault="00BE6FEA" w:rsidP="00621492">
      <w:pPr>
        <w:spacing w:line="360" w:lineRule="auto"/>
        <w:jc w:val="both"/>
        <w:rPr>
          <w:rFonts w:ascii="Arial" w:hAnsi="Arial" w:cs="Arial"/>
        </w:rPr>
      </w:pPr>
      <w:r>
        <w:rPr>
          <w:rFonts w:ascii="Arial" w:hAnsi="Arial" w:cs="Arial"/>
        </w:rPr>
        <w:t xml:space="preserve">Hudson (2010) states that reflective practice can be seen to help benefit the individual needs of children as their needs are more likely to be met </w:t>
      </w:r>
      <w:r w:rsidR="007C28BF">
        <w:rPr>
          <w:rFonts w:ascii="Arial" w:hAnsi="Arial" w:cs="Arial"/>
        </w:rPr>
        <w:t>by a reflective practitioner who has gained information from a child’s family, this is due to the practitioner having gained a better understanding of the child from family and then being able to assess the best way in which to support their needs and in turn their development. Hudson adds that this can then provide the child with a better sense of well-being within their setting which has been seen to have an impact on a child’s learning and development.</w:t>
      </w:r>
    </w:p>
    <w:p w14:paraId="7D1F0ED9" w14:textId="46AD353B" w:rsidR="00AA67F0" w:rsidRDefault="007C28BF" w:rsidP="00621492">
      <w:pPr>
        <w:spacing w:line="360" w:lineRule="auto"/>
        <w:jc w:val="both"/>
        <w:rPr>
          <w:rFonts w:ascii="Arial" w:hAnsi="Arial" w:cs="Arial"/>
        </w:rPr>
      </w:pPr>
      <w:r>
        <w:rPr>
          <w:rFonts w:ascii="Arial" w:hAnsi="Arial" w:cs="Arial"/>
        </w:rPr>
        <w:t xml:space="preserve">The Virginia Department of Educations Thinking and Technical Assistance Centre (2013) can be seen to agree with Hudson by identifying that since it is known that not all children develop at the same pace, our reflective practice will allow for practitioners to address and meet the individual needs of children by becoming flexible in their practice. This can be achieved through adaptions to daily </w:t>
      </w:r>
      <w:r w:rsidR="004E45AF">
        <w:rPr>
          <w:rFonts w:ascii="Arial" w:hAnsi="Arial" w:cs="Arial"/>
        </w:rPr>
        <w:t>schedules</w:t>
      </w:r>
      <w:r>
        <w:rPr>
          <w:rFonts w:ascii="Arial" w:hAnsi="Arial" w:cs="Arial"/>
        </w:rPr>
        <w:t>,</w:t>
      </w:r>
      <w:r w:rsidR="004E45AF">
        <w:rPr>
          <w:rFonts w:ascii="Arial" w:hAnsi="Arial" w:cs="Arial"/>
        </w:rPr>
        <w:t xml:space="preserve"> the classroom environment or changing lesson plans so that they are built around the strengths and interests of the child. Lorraine (2017) adds that as a practitioner part of reflective practice should be to undertake continual assessments of what children do and say as these can assist in helping to plan more developmentally appropriate learning experiences for the child with the aim of helping their development and in turn improving the practitioners practice. Furthermore, these critical reflections can provide chances for children to express how they feel about their learning as well as the opportunity to have a say in how they learn. (Lorraine, 2017). The Australian Government (2005) state that actively involving the child in decisions relating to their learning can help them to feel more included and provide them with more self confidence. This can also be seen to link to the United Nations Convention on the Rights of the Child. Accordin</w:t>
      </w:r>
      <w:r w:rsidR="00D554CC">
        <w:rPr>
          <w:rFonts w:ascii="Arial" w:hAnsi="Arial" w:cs="Arial"/>
        </w:rPr>
        <w:t>g to Unicef (2004</w:t>
      </w:r>
      <w:r w:rsidR="004E45AF">
        <w:rPr>
          <w:rFonts w:ascii="Arial" w:hAnsi="Arial" w:cs="Arial"/>
        </w:rPr>
        <w:t>) the convention states under article twelve that children and young people have the right to say what t</w:t>
      </w:r>
      <w:r w:rsidR="00624BE3">
        <w:rPr>
          <w:rFonts w:ascii="Arial" w:hAnsi="Arial" w:cs="Arial"/>
        </w:rPr>
        <w:t>hey think should happen when adults are making decisions that affect them</w:t>
      </w:r>
      <w:r w:rsidR="00D554CC">
        <w:rPr>
          <w:rFonts w:ascii="Arial" w:hAnsi="Arial" w:cs="Arial"/>
        </w:rPr>
        <w:t xml:space="preserve"> and for the opinion to be taken into consideration.</w:t>
      </w:r>
      <w:r w:rsidR="00624BE3">
        <w:rPr>
          <w:rFonts w:ascii="Arial" w:hAnsi="Arial" w:cs="Arial"/>
        </w:rPr>
        <w:t xml:space="preserve"> </w:t>
      </w:r>
    </w:p>
    <w:p w14:paraId="0648DD18" w14:textId="35BD9DD0" w:rsidR="00C41924" w:rsidRDefault="00C41924" w:rsidP="00621492">
      <w:pPr>
        <w:spacing w:line="360" w:lineRule="auto"/>
        <w:jc w:val="both"/>
        <w:rPr>
          <w:rFonts w:ascii="Arial" w:hAnsi="Arial" w:cs="Arial"/>
        </w:rPr>
      </w:pPr>
      <w:r>
        <w:rPr>
          <w:rFonts w:ascii="Arial" w:hAnsi="Arial" w:cs="Arial"/>
        </w:rPr>
        <w:t xml:space="preserve">To conclude, </w:t>
      </w:r>
      <w:r w:rsidR="00536F21">
        <w:rPr>
          <w:rFonts w:ascii="Arial" w:hAnsi="Arial" w:cs="Arial"/>
        </w:rPr>
        <w:t xml:space="preserve">reflection and reflective practice can be seen by several to be a key element of practice in the early years that would be beneficial for use by practitioners as a continual element of practice used in order to improve both practitioners personal and professional development. This can be achieved through identification of strengths and weaknesses to practitioners practice, which practitioners can address in order to enhance and further their practice in the early years all whilst improving the services they provide to the children and families in their care through the continual reflective process being imbedded in everyday practice. </w:t>
      </w:r>
    </w:p>
    <w:p w14:paraId="555B2E68" w14:textId="77777777" w:rsidR="00C41924" w:rsidRDefault="00C41924" w:rsidP="00621492">
      <w:pPr>
        <w:spacing w:line="360" w:lineRule="auto"/>
        <w:jc w:val="both"/>
        <w:rPr>
          <w:rFonts w:ascii="Arial" w:hAnsi="Arial" w:cs="Arial"/>
        </w:rPr>
      </w:pPr>
    </w:p>
    <w:p w14:paraId="35B65DA2" w14:textId="263A4706" w:rsidR="00C41924" w:rsidRDefault="00C41924" w:rsidP="00621492">
      <w:pPr>
        <w:spacing w:line="360" w:lineRule="auto"/>
        <w:jc w:val="both"/>
        <w:rPr>
          <w:rFonts w:ascii="Arial" w:hAnsi="Arial" w:cs="Arial"/>
          <w:u w:val="single"/>
        </w:rPr>
      </w:pPr>
      <w:r w:rsidRPr="00C41924">
        <w:rPr>
          <w:rFonts w:ascii="Arial" w:hAnsi="Arial" w:cs="Arial"/>
          <w:u w:val="single"/>
        </w:rPr>
        <w:t xml:space="preserve">Reference List </w:t>
      </w:r>
    </w:p>
    <w:p w14:paraId="2188D294" w14:textId="77777777" w:rsidR="00C03323" w:rsidRPr="00A86D00" w:rsidRDefault="00C03323" w:rsidP="00C03323">
      <w:pPr>
        <w:rPr>
          <w:rFonts w:ascii="Arial" w:hAnsi="Arial" w:cs="Arial"/>
          <w:lang w:val="en-GB"/>
        </w:rPr>
      </w:pPr>
      <w:r w:rsidRPr="00A86D00">
        <w:rPr>
          <w:rFonts w:ascii="Arial" w:hAnsi="Arial" w:cs="Arial"/>
          <w:lang w:val="en-GB"/>
        </w:rPr>
        <w:t xml:space="preserve">Australian Children’s Education and Care Quality Authority. (2016) ‘DEVELOPING A CULTURE OF LEARNING THROUGH REFLECTIVE PRACTICE.’ </w:t>
      </w:r>
      <w:hyperlink r:id="rId7" w:history="1">
        <w:r w:rsidRPr="00A86D00">
          <w:rPr>
            <w:rStyle w:val="Hyperlink"/>
            <w:rFonts w:ascii="Arial" w:hAnsi="Arial" w:cs="Arial"/>
            <w:lang w:val="en-GB"/>
          </w:rPr>
          <w:t>http://files.acecqa.gov.au/files/QualityInformationSheets/QualityArea1/DevelopingaCultureofLearningThroughReflectivePractice.pdf</w:t>
        </w:r>
      </w:hyperlink>
      <w:r w:rsidRPr="00A86D00">
        <w:rPr>
          <w:rFonts w:ascii="Arial" w:hAnsi="Arial" w:cs="Arial"/>
          <w:lang w:val="en-GB"/>
        </w:rPr>
        <w:t xml:space="preserve"> [Accessed: 21st October 2017].</w:t>
      </w:r>
    </w:p>
    <w:p w14:paraId="190335BC"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Australian Government. (2005) ‘Involving Children in Decision Making.’ </w:t>
      </w:r>
      <w:hyperlink r:id="rId8" w:history="1">
        <w:r w:rsidRPr="00A86D00">
          <w:rPr>
            <w:rStyle w:val="Hyperlink"/>
            <w:rFonts w:ascii="Arial" w:hAnsi="Arial" w:cs="Arial"/>
          </w:rPr>
          <w:t>http://ncac.acecqa.gov.au/educator-resources/factsheets/factsheet2.pdf</w:t>
        </w:r>
      </w:hyperlink>
      <w:r w:rsidRPr="00A86D00">
        <w:rPr>
          <w:rStyle w:val="Hyperlink"/>
          <w:rFonts w:ascii="Arial" w:hAnsi="Arial" w:cs="Arial"/>
          <w:color w:val="000000" w:themeColor="text1"/>
        </w:rPr>
        <w:t xml:space="preserve"> [Accessed: 18th October 2017].</w:t>
      </w:r>
    </w:p>
    <w:p w14:paraId="2B312917" w14:textId="77777777" w:rsidR="00C03323" w:rsidRPr="00A86D00" w:rsidRDefault="00C03323" w:rsidP="00C03323">
      <w:pPr>
        <w:pStyle w:val="NormalWeb"/>
        <w:rPr>
          <w:rFonts w:ascii="Arial" w:hAnsi="Arial" w:cs="Arial"/>
          <w:bCs/>
        </w:rPr>
      </w:pPr>
      <w:r w:rsidRPr="00A86D00">
        <w:rPr>
          <w:rFonts w:ascii="Arial" w:hAnsi="Arial" w:cs="Arial"/>
        </w:rPr>
        <w:t>Blanden, J., Hansen, K. and McNally, S. (2017) ‘</w:t>
      </w:r>
      <w:r w:rsidRPr="00A86D00">
        <w:rPr>
          <w:rFonts w:ascii="Arial" w:hAnsi="Arial" w:cs="Arial"/>
          <w:bCs/>
        </w:rPr>
        <w:t xml:space="preserve">Quality in Early Years Settings and Children’s School Achievement.’ </w:t>
      </w:r>
      <w:hyperlink r:id="rId9" w:history="1">
        <w:r w:rsidRPr="00A86D00">
          <w:rPr>
            <w:rStyle w:val="Hyperlink"/>
            <w:rFonts w:ascii="Arial" w:hAnsi="Arial" w:cs="Arial"/>
            <w:bCs/>
          </w:rPr>
          <w:t>https://www.nuffieldfoundation.org/sites/default/files/files/dp1468.pdf</w:t>
        </w:r>
      </w:hyperlink>
      <w:r w:rsidRPr="00A86D00">
        <w:rPr>
          <w:rFonts w:ascii="Arial" w:hAnsi="Arial" w:cs="Arial"/>
          <w:bCs/>
        </w:rPr>
        <w:t xml:space="preserve"> [Accessed: 17th October 2017].</w:t>
      </w:r>
    </w:p>
    <w:p w14:paraId="18022F40" w14:textId="77777777" w:rsidR="00C03323" w:rsidRPr="00A86D00" w:rsidRDefault="00C03323" w:rsidP="00C03323">
      <w:pPr>
        <w:pStyle w:val="NormalWeb"/>
        <w:rPr>
          <w:rFonts w:ascii="Arial" w:hAnsi="Arial" w:cs="Arial"/>
        </w:rPr>
      </w:pPr>
      <w:r w:rsidRPr="00A86D00">
        <w:rPr>
          <w:rFonts w:ascii="Arial" w:hAnsi="Arial" w:cs="Arial"/>
        </w:rPr>
        <w:t xml:space="preserve">Blandford, S. and Knowles, C. (2016) </w:t>
      </w:r>
      <w:r w:rsidRPr="00A86D00">
        <w:rPr>
          <w:rFonts w:ascii="Arial" w:hAnsi="Arial" w:cs="Arial"/>
          <w:i/>
        </w:rPr>
        <w:t xml:space="preserve">Developing Professional Practice 0-7. </w:t>
      </w:r>
      <w:r w:rsidRPr="00A86D00">
        <w:rPr>
          <w:rFonts w:ascii="Arial" w:hAnsi="Arial" w:cs="Arial"/>
        </w:rPr>
        <w:t xml:space="preserve">Oxon: Routledge. </w:t>
      </w:r>
    </w:p>
    <w:p w14:paraId="26DB6033"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Brock, A. (2015) </w:t>
      </w:r>
      <w:r w:rsidRPr="00A86D00">
        <w:rPr>
          <w:rStyle w:val="Hyperlink"/>
          <w:rFonts w:ascii="Arial" w:hAnsi="Arial" w:cs="Arial"/>
          <w:i/>
          <w:color w:val="000000" w:themeColor="text1"/>
        </w:rPr>
        <w:t xml:space="preserve">The Early Years Reflective Practice Handbook. </w:t>
      </w:r>
      <w:r w:rsidRPr="00A86D00">
        <w:rPr>
          <w:rStyle w:val="Hyperlink"/>
          <w:rFonts w:ascii="Arial" w:hAnsi="Arial" w:cs="Arial"/>
          <w:color w:val="000000" w:themeColor="text1"/>
        </w:rPr>
        <w:t>London: Routledge.</w:t>
      </w:r>
    </w:p>
    <w:p w14:paraId="490655F9" w14:textId="77777777" w:rsidR="00C03323" w:rsidRPr="00A86D00" w:rsidRDefault="00C03323" w:rsidP="00C03323">
      <w:pPr>
        <w:pStyle w:val="NormalWeb"/>
        <w:rPr>
          <w:rFonts w:ascii="Arial" w:hAnsi="Arial" w:cs="Arial"/>
        </w:rPr>
      </w:pPr>
      <w:r w:rsidRPr="00A86D00">
        <w:rPr>
          <w:rFonts w:ascii="Arial" w:hAnsi="Arial" w:cs="Arial"/>
        </w:rPr>
        <w:t xml:space="preserve">Children’s Workforce Development Council. (2010) ‘The Common Core of Skills and Knowledge. At the heart of what you.’ </w:t>
      </w:r>
      <w:hyperlink r:id="rId10" w:history="1">
        <w:r w:rsidRPr="00A86D00">
          <w:rPr>
            <w:rStyle w:val="Hyperlink"/>
            <w:rFonts w:ascii="Arial" w:hAnsi="Arial" w:cs="Arial"/>
          </w:rPr>
          <w:t>http://www.yor-ok.org.uk/YorOK-Workforce/Common%20core%20of%20skills%20and%20knowledge%20for%20the%20childrens%20workforce.pdf</w:t>
        </w:r>
      </w:hyperlink>
      <w:r w:rsidRPr="00A86D00">
        <w:rPr>
          <w:rFonts w:ascii="Arial" w:hAnsi="Arial" w:cs="Arial"/>
        </w:rPr>
        <w:t xml:space="preserve"> [Accessed: 17</w:t>
      </w:r>
      <w:r w:rsidRPr="00A86D00">
        <w:rPr>
          <w:rFonts w:ascii="Arial" w:hAnsi="Arial" w:cs="Arial"/>
          <w:vertAlign w:val="superscript"/>
        </w:rPr>
        <w:t>th</w:t>
      </w:r>
      <w:r w:rsidRPr="00A86D00">
        <w:rPr>
          <w:rFonts w:ascii="Arial" w:hAnsi="Arial" w:cs="Arial"/>
        </w:rPr>
        <w:t xml:space="preserve"> October 2017].</w:t>
      </w:r>
    </w:p>
    <w:p w14:paraId="131D1C4F" w14:textId="77777777" w:rsidR="00C03323" w:rsidRPr="00A86D00" w:rsidRDefault="00C03323" w:rsidP="00C03323">
      <w:pPr>
        <w:pStyle w:val="NormalWeb"/>
        <w:rPr>
          <w:rFonts w:ascii="Arial" w:hAnsi="Arial" w:cs="Arial"/>
        </w:rPr>
      </w:pPr>
      <w:r w:rsidRPr="00A86D00">
        <w:rPr>
          <w:rFonts w:ascii="Arial" w:hAnsi="Arial" w:cs="Arial"/>
        </w:rPr>
        <w:t xml:space="preserve">Department for Education. (2012) ‘Multi-agency Working.’ </w:t>
      </w:r>
      <w:hyperlink r:id="rId11" w:history="1">
        <w:r w:rsidRPr="00A86D00">
          <w:rPr>
            <w:rStyle w:val="Hyperlink"/>
            <w:rFonts w:ascii="Arial" w:hAnsi="Arial" w:cs="Arial"/>
          </w:rPr>
          <w:t>http://webarchive.nationalarchives.gov.uk/20130104164035/https://www.education.gov.uk/childrenandyoungpeople/strategy/integratedworking/a0069013/multi-agency-working</w:t>
        </w:r>
      </w:hyperlink>
      <w:r w:rsidRPr="00A86D00">
        <w:rPr>
          <w:rFonts w:ascii="Arial" w:hAnsi="Arial" w:cs="Arial"/>
        </w:rPr>
        <w:t xml:space="preserve">  [Accessed: 20</w:t>
      </w:r>
      <w:r w:rsidRPr="00A86D00">
        <w:rPr>
          <w:rFonts w:ascii="Arial" w:hAnsi="Arial" w:cs="Arial"/>
          <w:vertAlign w:val="superscript"/>
        </w:rPr>
        <w:t>th</w:t>
      </w:r>
      <w:r w:rsidRPr="00A86D00">
        <w:rPr>
          <w:rFonts w:ascii="Arial" w:hAnsi="Arial" w:cs="Arial"/>
        </w:rPr>
        <w:t xml:space="preserve"> October 2017].</w:t>
      </w:r>
    </w:p>
    <w:p w14:paraId="5ED3B6EC"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Finlay, L. (2008) ‘Reflection on Reflective Practice.’ </w:t>
      </w:r>
      <w:hyperlink r:id="rId12" w:history="1">
        <w:r w:rsidRPr="00A86D00">
          <w:rPr>
            <w:rStyle w:val="Hyperlink"/>
            <w:rFonts w:ascii="Arial" w:hAnsi="Arial" w:cs="Arial"/>
          </w:rPr>
          <w:t>https://pdfs.semanticscholar.org/c128/691f2615de873dfe544fcb5dc902fe812675.pdf</w:t>
        </w:r>
      </w:hyperlink>
      <w:r w:rsidRPr="00A86D00">
        <w:rPr>
          <w:rStyle w:val="Hyperlink"/>
          <w:rFonts w:ascii="Arial" w:hAnsi="Arial" w:cs="Arial"/>
          <w:color w:val="000000" w:themeColor="text1"/>
        </w:rPr>
        <w:t xml:space="preserve"> [Accessed: 20th October 2017].</w:t>
      </w:r>
    </w:p>
    <w:p w14:paraId="7B1D6CB9" w14:textId="77777777" w:rsidR="00C03323" w:rsidRDefault="00C03323" w:rsidP="00C03323">
      <w:pPr>
        <w:rPr>
          <w:rStyle w:val="Hyperlink"/>
          <w:rFonts w:ascii="Arial" w:hAnsi="Arial" w:cs="Arial"/>
          <w:color w:val="000000" w:themeColor="text1"/>
        </w:rPr>
      </w:pPr>
    </w:p>
    <w:p w14:paraId="32E0F21D"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Forrest, M. (2008) ‘Learning and teaching in action.’ </w:t>
      </w:r>
      <w:hyperlink r:id="rId13" w:history="1">
        <w:r w:rsidRPr="00A86D00">
          <w:rPr>
            <w:rStyle w:val="Hyperlink"/>
            <w:rFonts w:ascii="Arial" w:hAnsi="Arial" w:cs="Arial"/>
          </w:rPr>
          <w:t>http://onlinelibrary.wiley.com/store/10.1111/j.1471-1842.2008.00787.x/asset/j.1471-1842.2008.00787.x.pdf;jsessionid=584DE7E62CFE5C15CD07E9BBDEF141AA.f04t01?v=1&amp;t=j9e2dlxt&amp;s=3aeedf1c76422faf85ed575cf2d323fd32810d0d</w:t>
        </w:r>
      </w:hyperlink>
      <w:r w:rsidRPr="00A86D00">
        <w:rPr>
          <w:rStyle w:val="Hyperlink"/>
          <w:rFonts w:ascii="Arial" w:hAnsi="Arial" w:cs="Arial"/>
          <w:color w:val="000000" w:themeColor="text1"/>
        </w:rPr>
        <w:t xml:space="preserve"> [Accessed: 23</w:t>
      </w:r>
      <w:r w:rsidRPr="00A86D00">
        <w:rPr>
          <w:rStyle w:val="Hyperlink"/>
          <w:rFonts w:ascii="Arial" w:hAnsi="Arial" w:cs="Arial"/>
          <w:color w:val="000000" w:themeColor="text1"/>
          <w:vertAlign w:val="superscript"/>
        </w:rPr>
        <w:t>rd</w:t>
      </w:r>
      <w:r w:rsidRPr="00A86D00">
        <w:rPr>
          <w:rStyle w:val="Hyperlink"/>
          <w:rFonts w:ascii="Arial" w:hAnsi="Arial" w:cs="Arial"/>
          <w:color w:val="000000" w:themeColor="text1"/>
        </w:rPr>
        <w:t xml:space="preserve"> October 2017].</w:t>
      </w:r>
    </w:p>
    <w:p w14:paraId="7AB51494" w14:textId="77777777" w:rsidR="00C03323" w:rsidRPr="00A86D00" w:rsidRDefault="00C03323" w:rsidP="00C03323">
      <w:pPr>
        <w:pStyle w:val="NormalWeb"/>
        <w:rPr>
          <w:rFonts w:ascii="Arial" w:hAnsi="Arial" w:cs="Arial"/>
        </w:rPr>
      </w:pPr>
      <w:r w:rsidRPr="00A86D00">
        <w:rPr>
          <w:rStyle w:val="Hyperlink"/>
          <w:rFonts w:ascii="Arial" w:hAnsi="Arial" w:cs="Arial"/>
          <w:color w:val="000000" w:themeColor="text1"/>
        </w:rPr>
        <w:t>Gillen, A. (2012) ‘multi-a</w:t>
      </w:r>
      <w:r w:rsidRPr="00A86D00">
        <w:rPr>
          <w:rFonts w:ascii="Arial" w:hAnsi="Arial" w:cs="Arial"/>
        </w:rPr>
        <w:t xml:space="preserve">gency working with children and families: a focus on facilitators and using activity theory principles to explore this topic area.’ </w:t>
      </w:r>
      <w:hyperlink r:id="rId14" w:history="1">
        <w:r w:rsidRPr="00A86D00">
          <w:rPr>
            <w:rStyle w:val="Hyperlink"/>
            <w:rFonts w:ascii="Arial" w:hAnsi="Arial" w:cs="Arial"/>
          </w:rPr>
          <w:t>https://theses.ncl.ac.uk/dspace/bitstream/10443/1271/1/Gillen,%20A%2011.pdf</w:t>
        </w:r>
      </w:hyperlink>
      <w:r w:rsidRPr="00A86D00">
        <w:rPr>
          <w:rFonts w:ascii="Arial" w:hAnsi="Arial" w:cs="Arial"/>
        </w:rPr>
        <w:t xml:space="preserve"> [Accessed: 19</w:t>
      </w:r>
      <w:r w:rsidRPr="00A86D00">
        <w:rPr>
          <w:rFonts w:ascii="Arial" w:hAnsi="Arial" w:cs="Arial"/>
          <w:vertAlign w:val="superscript"/>
        </w:rPr>
        <w:t>th</w:t>
      </w:r>
      <w:r w:rsidRPr="00A86D00">
        <w:rPr>
          <w:rFonts w:ascii="Arial" w:hAnsi="Arial" w:cs="Arial"/>
        </w:rPr>
        <w:t xml:space="preserve"> October 2017].</w:t>
      </w:r>
    </w:p>
    <w:p w14:paraId="0FE36E00"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Greenaway, R. (2006) ‘Experiential learning articles and critiques of David Kolb’s theory.’</w:t>
      </w:r>
      <w:r w:rsidRPr="00A86D00">
        <w:rPr>
          <w:rStyle w:val="Hyperlink"/>
          <w:rFonts w:ascii="Arial" w:hAnsi="Arial" w:cs="Arial"/>
          <w:color w:val="000000" w:themeColor="text1"/>
          <w:u w:val="none"/>
        </w:rPr>
        <w:t>http://www.reviewing.co.uk/research/experiential.learning.htm#axzz4xHBRB4w2</w:t>
      </w:r>
      <w:r w:rsidRPr="00A86D00">
        <w:rPr>
          <w:rStyle w:val="Hyperlink"/>
          <w:rFonts w:ascii="Arial" w:hAnsi="Arial" w:cs="Arial"/>
          <w:color w:val="000000" w:themeColor="text1"/>
        </w:rPr>
        <w:t xml:space="preserve"> [Accessed: 18</w:t>
      </w:r>
      <w:r w:rsidRPr="00A86D00">
        <w:rPr>
          <w:rStyle w:val="Hyperlink"/>
          <w:rFonts w:ascii="Arial" w:hAnsi="Arial" w:cs="Arial"/>
          <w:color w:val="000000" w:themeColor="text1"/>
          <w:vertAlign w:val="superscript"/>
        </w:rPr>
        <w:t>th</w:t>
      </w:r>
      <w:r w:rsidRPr="00A86D00">
        <w:rPr>
          <w:rStyle w:val="Hyperlink"/>
          <w:rFonts w:ascii="Arial" w:hAnsi="Arial" w:cs="Arial"/>
          <w:color w:val="000000" w:themeColor="text1"/>
        </w:rPr>
        <w:t xml:space="preserve"> October 2017].</w:t>
      </w:r>
    </w:p>
    <w:p w14:paraId="22FFAFC6" w14:textId="77777777" w:rsidR="00C03323" w:rsidRDefault="00C03323" w:rsidP="00C03323">
      <w:pPr>
        <w:rPr>
          <w:rStyle w:val="Hyperlink"/>
          <w:rFonts w:ascii="Arial" w:hAnsi="Arial" w:cs="Arial"/>
          <w:color w:val="000000" w:themeColor="text1"/>
        </w:rPr>
      </w:pPr>
    </w:p>
    <w:p w14:paraId="4606F421"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Handbook of Teaching and Learning in Medicine. (Unknown) ‘Strengths and weaknesses of the Kolb model.’ </w:t>
      </w:r>
      <w:hyperlink r:id="rId15" w:history="1">
        <w:r w:rsidRPr="00A86D00">
          <w:rPr>
            <w:rStyle w:val="Hyperlink"/>
            <w:rFonts w:ascii="Arial" w:hAnsi="Arial" w:cs="Arial"/>
          </w:rPr>
          <w:t>http://www.bhmed-emanual.org/chapter_2_learning_styles_–_examples_for_use/strengths_and_weaknesses_of_the_kolb_model</w:t>
        </w:r>
      </w:hyperlink>
      <w:r w:rsidRPr="00A86D00">
        <w:rPr>
          <w:rStyle w:val="Hyperlink"/>
          <w:rFonts w:ascii="Arial" w:hAnsi="Arial" w:cs="Arial"/>
          <w:color w:val="000000" w:themeColor="text1"/>
        </w:rPr>
        <w:t xml:space="preserve"> [Accessed: 24th October 2017].</w:t>
      </w:r>
    </w:p>
    <w:p w14:paraId="13D06E7B" w14:textId="77777777" w:rsidR="00C03323" w:rsidRDefault="00C03323" w:rsidP="00C03323">
      <w:pPr>
        <w:rPr>
          <w:rStyle w:val="Hyperlink"/>
          <w:rFonts w:ascii="Arial" w:hAnsi="Arial" w:cs="Arial"/>
          <w:color w:val="000000" w:themeColor="text1"/>
        </w:rPr>
      </w:pPr>
    </w:p>
    <w:p w14:paraId="3E2B2C04"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Hudson, M. (2010) Ofsted Inspections.’ </w:t>
      </w:r>
      <w:hyperlink r:id="rId16" w:history="1">
        <w:r w:rsidRPr="00A86D00">
          <w:rPr>
            <w:rStyle w:val="Hyperlink"/>
            <w:rFonts w:ascii="Arial" w:hAnsi="Arial" w:cs="Arial"/>
          </w:rPr>
          <w:t>http://www.eriding.net/easysiteweb/getresource.axd?assetid=356840&amp;type=0&amp;servicetype=1</w:t>
        </w:r>
      </w:hyperlink>
      <w:r w:rsidRPr="00A86D00">
        <w:rPr>
          <w:rStyle w:val="Hyperlink"/>
          <w:rFonts w:ascii="Arial" w:hAnsi="Arial" w:cs="Arial"/>
          <w:color w:val="000000" w:themeColor="text1"/>
        </w:rPr>
        <w:t xml:space="preserve"> [Accessed: 24</w:t>
      </w:r>
      <w:r w:rsidRPr="00A86D00">
        <w:rPr>
          <w:rStyle w:val="Hyperlink"/>
          <w:rFonts w:ascii="Arial" w:hAnsi="Arial" w:cs="Arial"/>
          <w:color w:val="000000" w:themeColor="text1"/>
          <w:vertAlign w:val="superscript"/>
        </w:rPr>
        <w:t>th</w:t>
      </w:r>
      <w:r w:rsidRPr="00A86D00">
        <w:rPr>
          <w:rStyle w:val="Hyperlink"/>
          <w:rFonts w:ascii="Arial" w:hAnsi="Arial" w:cs="Arial"/>
          <w:color w:val="000000" w:themeColor="text1"/>
        </w:rPr>
        <w:t xml:space="preserve"> October 2017].</w:t>
      </w:r>
    </w:p>
    <w:p w14:paraId="19446C4C" w14:textId="77777777" w:rsidR="00C03323" w:rsidRDefault="00C03323" w:rsidP="00C03323">
      <w:pPr>
        <w:rPr>
          <w:rStyle w:val="Hyperlink"/>
          <w:rFonts w:ascii="Arial" w:hAnsi="Arial" w:cs="Arial"/>
          <w:color w:val="000000" w:themeColor="text1"/>
        </w:rPr>
      </w:pPr>
    </w:p>
    <w:p w14:paraId="70FB6717" w14:textId="77777777" w:rsidR="00C03323" w:rsidRDefault="00C03323" w:rsidP="00C03323">
      <w:pPr>
        <w:rPr>
          <w:rStyle w:val="Hyperlink"/>
          <w:rFonts w:ascii="Arial" w:hAnsi="Arial" w:cs="Arial"/>
          <w:color w:val="000000" w:themeColor="text1"/>
        </w:rPr>
      </w:pPr>
    </w:p>
    <w:p w14:paraId="57BB911D"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Laurent, K. (2010) ‘Experiential Learning Theory.’ </w:t>
      </w:r>
      <w:hyperlink r:id="rId17" w:history="1">
        <w:r w:rsidRPr="00A86D00">
          <w:rPr>
            <w:rStyle w:val="Hyperlink"/>
            <w:rFonts w:ascii="Arial" w:hAnsi="Arial" w:cs="Arial"/>
          </w:rPr>
          <w:t>https://stlaurentlibrarian.files.wordpress.com/2012/05/experientiallearningtheorypaper.pdf</w:t>
        </w:r>
      </w:hyperlink>
      <w:r w:rsidRPr="00A86D00">
        <w:rPr>
          <w:rStyle w:val="Hyperlink"/>
          <w:rFonts w:ascii="Arial" w:hAnsi="Arial" w:cs="Arial"/>
          <w:color w:val="000000" w:themeColor="text1"/>
        </w:rPr>
        <w:t xml:space="preserve"> [Accessed: 21st October 2017].</w:t>
      </w:r>
    </w:p>
    <w:p w14:paraId="51BAE6F1" w14:textId="77777777" w:rsidR="00C03323" w:rsidRDefault="00C03323" w:rsidP="00C03323">
      <w:pPr>
        <w:rPr>
          <w:rStyle w:val="Hyperlink"/>
          <w:rFonts w:ascii="Arial" w:hAnsi="Arial" w:cs="Arial"/>
          <w:color w:val="000000" w:themeColor="text1"/>
        </w:rPr>
      </w:pPr>
    </w:p>
    <w:p w14:paraId="0A3A8A7D"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Leeds Beckett University. (2015) ‘Models for Structuring Reflection.’ </w:t>
      </w:r>
      <w:hyperlink r:id="rId18" w:history="1">
        <w:r w:rsidRPr="00A86D00">
          <w:rPr>
            <w:rStyle w:val="Hyperlink"/>
            <w:rFonts w:ascii="Arial" w:hAnsi="Arial" w:cs="Arial"/>
          </w:rPr>
          <w:t>http://skillsforlearning.leedsbeckett.ac.uk/preview/content/models/02.shtml</w:t>
        </w:r>
      </w:hyperlink>
      <w:r w:rsidRPr="00A86D00">
        <w:rPr>
          <w:rStyle w:val="Hyperlink"/>
          <w:rFonts w:ascii="Arial" w:hAnsi="Arial" w:cs="Arial"/>
          <w:color w:val="000000" w:themeColor="text1"/>
        </w:rPr>
        <w:t xml:space="preserve"> [Accessed: 20th October 2017].</w:t>
      </w:r>
    </w:p>
    <w:p w14:paraId="02DF9636" w14:textId="77777777" w:rsidR="00C03323" w:rsidRDefault="00C03323" w:rsidP="00C03323">
      <w:pPr>
        <w:rPr>
          <w:rStyle w:val="Hyperlink"/>
          <w:rFonts w:ascii="Arial" w:hAnsi="Arial" w:cs="Arial"/>
          <w:color w:val="000000" w:themeColor="text1"/>
        </w:rPr>
      </w:pPr>
    </w:p>
    <w:p w14:paraId="56923CF4"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Lindon, J. (2012) </w:t>
      </w:r>
      <w:r w:rsidRPr="00A86D00">
        <w:rPr>
          <w:rStyle w:val="Hyperlink"/>
          <w:rFonts w:ascii="Arial" w:hAnsi="Arial" w:cs="Arial"/>
          <w:i/>
          <w:color w:val="000000" w:themeColor="text1"/>
        </w:rPr>
        <w:t xml:space="preserve">Reflective Practice and Early Years Professionalism, Linking Theory and Practice. </w:t>
      </w:r>
      <w:r w:rsidRPr="00A86D00">
        <w:rPr>
          <w:rStyle w:val="Hyperlink"/>
          <w:rFonts w:ascii="Arial" w:hAnsi="Arial" w:cs="Arial"/>
          <w:color w:val="000000" w:themeColor="text1"/>
        </w:rPr>
        <w:t>London: Hodder Education.</w:t>
      </w:r>
    </w:p>
    <w:p w14:paraId="43394458" w14:textId="77777777" w:rsidR="00C03323" w:rsidRDefault="00C03323" w:rsidP="00C03323">
      <w:pPr>
        <w:rPr>
          <w:rStyle w:val="Hyperlink"/>
          <w:rFonts w:ascii="Arial" w:hAnsi="Arial" w:cs="Arial"/>
          <w:color w:val="000000" w:themeColor="text1"/>
        </w:rPr>
      </w:pPr>
    </w:p>
    <w:p w14:paraId="06FFBD70"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Lindon, J. and Trodd, L. (2016) </w:t>
      </w:r>
      <w:r w:rsidRPr="00A86D00">
        <w:rPr>
          <w:rStyle w:val="Hyperlink"/>
          <w:rFonts w:ascii="Arial" w:hAnsi="Arial" w:cs="Arial"/>
          <w:i/>
          <w:color w:val="000000" w:themeColor="text1"/>
        </w:rPr>
        <w:t xml:space="preserve">Reflective Practice and Early Years Professionalism. </w:t>
      </w:r>
      <w:r w:rsidRPr="00A86D00">
        <w:rPr>
          <w:rStyle w:val="Hyperlink"/>
          <w:rFonts w:ascii="Arial" w:hAnsi="Arial" w:cs="Arial"/>
          <w:color w:val="000000" w:themeColor="text1"/>
        </w:rPr>
        <w:t xml:space="preserve">London: Hodder Education. </w:t>
      </w:r>
    </w:p>
    <w:p w14:paraId="1C132085" w14:textId="77777777" w:rsidR="00C03323" w:rsidRDefault="00C03323" w:rsidP="00C03323">
      <w:pPr>
        <w:rPr>
          <w:rStyle w:val="Hyperlink"/>
          <w:rFonts w:ascii="Arial" w:hAnsi="Arial" w:cs="Arial"/>
          <w:color w:val="000000" w:themeColor="text1"/>
        </w:rPr>
      </w:pPr>
    </w:p>
    <w:p w14:paraId="24D355F3"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Lorraine. (2017) ‘Reflective Practice in the Early Years.’ </w:t>
      </w:r>
      <w:hyperlink r:id="rId19" w:history="1">
        <w:r w:rsidRPr="00A86D00">
          <w:rPr>
            <w:rStyle w:val="Hyperlink"/>
            <w:rFonts w:ascii="Arial" w:hAnsi="Arial" w:cs="Arial"/>
          </w:rPr>
          <w:t>http://longfordchildcare.ie/reflective-practice-early-years/</w:t>
        </w:r>
      </w:hyperlink>
      <w:r w:rsidRPr="00A86D00">
        <w:rPr>
          <w:rStyle w:val="Hyperlink"/>
          <w:rFonts w:ascii="Arial" w:hAnsi="Arial" w:cs="Arial"/>
          <w:color w:val="000000" w:themeColor="text1"/>
        </w:rPr>
        <w:t xml:space="preserve"> [Accessed: 18</w:t>
      </w:r>
      <w:r w:rsidRPr="00A86D00">
        <w:rPr>
          <w:rStyle w:val="Hyperlink"/>
          <w:rFonts w:ascii="Arial" w:hAnsi="Arial" w:cs="Arial"/>
          <w:color w:val="000000" w:themeColor="text1"/>
          <w:vertAlign w:val="superscript"/>
        </w:rPr>
        <w:t>th</w:t>
      </w:r>
      <w:r w:rsidRPr="00A86D00">
        <w:rPr>
          <w:rStyle w:val="Hyperlink"/>
          <w:rFonts w:ascii="Arial" w:hAnsi="Arial" w:cs="Arial"/>
          <w:color w:val="000000" w:themeColor="text1"/>
        </w:rPr>
        <w:t xml:space="preserve"> October 2017].</w:t>
      </w:r>
    </w:p>
    <w:p w14:paraId="5A9517A1" w14:textId="77777777" w:rsidR="00C03323" w:rsidRPr="00A86D00" w:rsidRDefault="00C03323" w:rsidP="00C03323">
      <w:pPr>
        <w:pStyle w:val="NormalWeb"/>
        <w:rPr>
          <w:rFonts w:ascii="Arial" w:hAnsi="Arial" w:cs="Arial"/>
        </w:rPr>
      </w:pPr>
      <w:r w:rsidRPr="00A86D00">
        <w:rPr>
          <w:rFonts w:ascii="Arial" w:hAnsi="Arial" w:cs="Arial"/>
        </w:rPr>
        <w:t xml:space="preserve">Marbina, L., Church, A. and Tayler, C. (2010) ‘Victorian Early Years Learning and Development Framework. Evidence Paper. Practice Principle 8: Reflective Practice.’ </w:t>
      </w:r>
      <w:hyperlink r:id="rId20" w:history="1">
        <w:r w:rsidRPr="00A86D00">
          <w:rPr>
            <w:rStyle w:val="Hyperlink"/>
            <w:rFonts w:ascii="Arial" w:hAnsi="Arial" w:cs="Arial"/>
          </w:rPr>
          <w:t>http://www.education.vic.gov.au/Documents/childhood/providers/edcare/evirefprac.pdf</w:t>
        </w:r>
      </w:hyperlink>
      <w:r w:rsidRPr="00A86D00">
        <w:rPr>
          <w:rFonts w:ascii="Arial" w:hAnsi="Arial" w:cs="Arial"/>
        </w:rPr>
        <w:t xml:space="preserve"> [Accessed: 17th October 2017].</w:t>
      </w:r>
    </w:p>
    <w:p w14:paraId="24B858DA" w14:textId="77777777" w:rsidR="00C03323" w:rsidRPr="00A86D00" w:rsidRDefault="00C03323" w:rsidP="00C03323">
      <w:pPr>
        <w:pStyle w:val="NormalWeb"/>
        <w:rPr>
          <w:rFonts w:ascii="Arial" w:hAnsi="Arial" w:cs="Arial"/>
        </w:rPr>
      </w:pPr>
      <w:r w:rsidRPr="00A86D00">
        <w:rPr>
          <w:rFonts w:ascii="Arial" w:hAnsi="Arial" w:cs="Arial"/>
        </w:rPr>
        <w:t>McFarland, L., Saunders, R. and Allen, S. (2009) ‘Reflective Practice and Self-Evaluation in Learning Positive Guidance: Experiences of Early Childhood Practicum Students.’, Early Childhood Education Journal, April, pp. 505-506.</w:t>
      </w:r>
    </w:p>
    <w:p w14:paraId="4F35631C" w14:textId="77777777" w:rsidR="00C03323" w:rsidRPr="00A86D00" w:rsidRDefault="00C03323" w:rsidP="00C03323">
      <w:pPr>
        <w:pStyle w:val="NormalWeb"/>
        <w:rPr>
          <w:rFonts w:ascii="Arial" w:hAnsi="Arial" w:cs="Arial"/>
        </w:rPr>
      </w:pPr>
      <w:r w:rsidRPr="00A86D00">
        <w:rPr>
          <w:rFonts w:ascii="Arial" w:hAnsi="Arial" w:cs="Arial"/>
        </w:rPr>
        <w:t xml:space="preserve">Nutbrown, C. (2012) ‘Foundations for Quality. The independent review of education and childcare qualifications.’ </w:t>
      </w:r>
      <w:hyperlink r:id="rId21" w:history="1">
        <w:r w:rsidRPr="00A86D00">
          <w:rPr>
            <w:rStyle w:val="Hyperlink"/>
            <w:rFonts w:ascii="Arial" w:hAnsi="Arial" w:cs="Arial"/>
          </w:rPr>
          <w:t>https://www.gov.uk/government/uploads/system/uploads/attachment_data/file/175463/Nutbrown-Review.pdf</w:t>
        </w:r>
      </w:hyperlink>
      <w:r w:rsidRPr="00A86D00">
        <w:rPr>
          <w:rFonts w:ascii="Arial" w:hAnsi="Arial" w:cs="Arial"/>
        </w:rPr>
        <w:t xml:space="preserve"> [Accessed: 15th October 2017].</w:t>
      </w:r>
    </w:p>
    <w:p w14:paraId="4E2800B0" w14:textId="77777777" w:rsidR="00C03323" w:rsidRPr="00A86D00" w:rsidRDefault="00C03323" w:rsidP="00C03323">
      <w:pPr>
        <w:rPr>
          <w:rFonts w:ascii="Arial" w:hAnsi="Arial" w:cs="Arial"/>
          <w:lang w:val="en-GB"/>
        </w:rPr>
      </w:pPr>
      <w:r w:rsidRPr="00A86D00">
        <w:rPr>
          <w:rFonts w:ascii="Arial" w:hAnsi="Arial" w:cs="Arial"/>
          <w:lang w:val="en-GB"/>
        </w:rPr>
        <w:t xml:space="preserve">Oxford Brooks University. (2017) ‘Reflective writing: About Gibbs’s Reflective Cycle.’ </w:t>
      </w:r>
      <w:hyperlink r:id="rId22" w:history="1">
        <w:r w:rsidRPr="00A86D00">
          <w:rPr>
            <w:rStyle w:val="Hyperlink"/>
            <w:rFonts w:ascii="Arial" w:hAnsi="Arial" w:cs="Arial"/>
            <w:lang w:val="en-GB"/>
          </w:rPr>
          <w:t>https://www.brookes.ac.uk/students/upgrade/study-skills/reflective-writing-gibbs/</w:t>
        </w:r>
      </w:hyperlink>
      <w:r w:rsidRPr="00A86D00">
        <w:rPr>
          <w:rFonts w:ascii="Arial" w:hAnsi="Arial" w:cs="Arial"/>
          <w:lang w:val="en-GB"/>
        </w:rPr>
        <w:t xml:space="preserve"> [Accessed: 21</w:t>
      </w:r>
      <w:r w:rsidRPr="00A86D00">
        <w:rPr>
          <w:rFonts w:ascii="Arial" w:hAnsi="Arial" w:cs="Arial"/>
          <w:vertAlign w:val="superscript"/>
          <w:lang w:val="en-GB"/>
        </w:rPr>
        <w:t>st</w:t>
      </w:r>
      <w:r w:rsidRPr="00A86D00">
        <w:rPr>
          <w:rFonts w:ascii="Arial" w:hAnsi="Arial" w:cs="Arial"/>
          <w:lang w:val="en-GB"/>
        </w:rPr>
        <w:t xml:space="preserve"> October 2017].</w:t>
      </w:r>
    </w:p>
    <w:p w14:paraId="6FAF3FC5" w14:textId="77777777" w:rsidR="00C03323" w:rsidRDefault="00C03323" w:rsidP="00C03323">
      <w:pPr>
        <w:rPr>
          <w:rStyle w:val="Hyperlink"/>
          <w:rFonts w:ascii="Arial" w:hAnsi="Arial" w:cs="Arial"/>
          <w:color w:val="000000" w:themeColor="text1"/>
        </w:rPr>
      </w:pPr>
    </w:p>
    <w:p w14:paraId="312E4E9F"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Paige-Smith, A. and Craft, A. (2010) </w:t>
      </w:r>
      <w:r w:rsidRPr="00A86D00">
        <w:rPr>
          <w:rStyle w:val="Hyperlink"/>
          <w:rFonts w:ascii="Arial" w:hAnsi="Arial" w:cs="Arial"/>
          <w:i/>
          <w:color w:val="000000" w:themeColor="text1"/>
        </w:rPr>
        <w:t xml:space="preserve">Developing Reflective Practice in the Early Years. </w:t>
      </w:r>
      <w:r w:rsidRPr="00A86D00">
        <w:rPr>
          <w:rStyle w:val="Hyperlink"/>
          <w:rFonts w:ascii="Arial" w:hAnsi="Arial" w:cs="Arial"/>
          <w:color w:val="000000" w:themeColor="text1"/>
        </w:rPr>
        <w:t xml:space="preserve">New York: Open University Press. </w:t>
      </w:r>
    </w:p>
    <w:p w14:paraId="588AEC86" w14:textId="77777777" w:rsidR="00C03323" w:rsidRDefault="00C03323" w:rsidP="00C03323">
      <w:pPr>
        <w:rPr>
          <w:rFonts w:ascii="Arial" w:hAnsi="Arial" w:cs="Arial"/>
          <w:color w:val="000000" w:themeColor="text1"/>
        </w:rPr>
      </w:pPr>
    </w:p>
    <w:p w14:paraId="64A0A473" w14:textId="77777777" w:rsidR="00C03323" w:rsidRPr="00A86D00" w:rsidRDefault="00C03323" w:rsidP="00C03323">
      <w:pPr>
        <w:rPr>
          <w:rFonts w:ascii="Arial" w:hAnsi="Arial" w:cs="Arial"/>
          <w:color w:val="0563C1" w:themeColor="hyperlink"/>
        </w:rPr>
      </w:pPr>
      <w:r w:rsidRPr="00A86D00">
        <w:rPr>
          <w:rFonts w:ascii="Arial" w:hAnsi="Arial" w:cs="Arial"/>
          <w:color w:val="000000" w:themeColor="text1"/>
        </w:rPr>
        <w:t xml:space="preserve">Pre-school Learning Alliance. (2012) ‘Developing Reflective Practice.’ </w:t>
      </w:r>
      <w:hyperlink r:id="rId23" w:history="1">
        <w:r w:rsidRPr="00A86D00">
          <w:rPr>
            <w:rStyle w:val="Hyperlink"/>
            <w:rFonts w:ascii="Arial" w:hAnsi="Arial" w:cs="Arial"/>
          </w:rPr>
          <w:t>https://shop.pre-school.org.uk/A138/developing-reflective-practice</w:t>
        </w:r>
      </w:hyperlink>
      <w:r w:rsidRPr="00A86D00">
        <w:rPr>
          <w:rFonts w:ascii="Arial" w:hAnsi="Arial" w:cs="Arial"/>
          <w:color w:val="0563C1" w:themeColor="hyperlink"/>
        </w:rPr>
        <w:t xml:space="preserve"> </w:t>
      </w:r>
      <w:r w:rsidRPr="00A86D00">
        <w:rPr>
          <w:rFonts w:ascii="Arial" w:hAnsi="Arial" w:cs="Arial"/>
          <w:color w:val="000000" w:themeColor="text1"/>
        </w:rPr>
        <w:t>[Accessed: 16th October 2017].</w:t>
      </w:r>
    </w:p>
    <w:p w14:paraId="01D1AC78" w14:textId="77777777" w:rsidR="00C03323" w:rsidRDefault="00C03323" w:rsidP="00C03323">
      <w:pPr>
        <w:rPr>
          <w:rStyle w:val="Hyperlink"/>
          <w:rFonts w:ascii="Arial" w:hAnsi="Arial" w:cs="Arial"/>
          <w:color w:val="000000" w:themeColor="text1"/>
        </w:rPr>
      </w:pPr>
    </w:p>
    <w:p w14:paraId="63D21F27"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Professional Association for Childcare and Early Years. (2016) ‘Supporting members to provide the highest standards of care and learning for children.’  </w:t>
      </w:r>
      <w:hyperlink r:id="rId24" w:history="1">
        <w:r w:rsidRPr="00A86D00">
          <w:rPr>
            <w:rStyle w:val="Hyperlink"/>
            <w:rFonts w:ascii="Arial" w:hAnsi="Arial" w:cs="Arial"/>
          </w:rPr>
          <w:t>https://www.pacey.org.uk/Pacey/media/Website-files/PACEY%20member%20practice%20guides%20(PDFs)/PG04-self-reflective-practice.pdf</w:t>
        </w:r>
      </w:hyperlink>
      <w:r w:rsidRPr="00A86D00">
        <w:rPr>
          <w:rStyle w:val="Hyperlink"/>
          <w:rFonts w:ascii="Arial" w:hAnsi="Arial" w:cs="Arial"/>
          <w:color w:val="000000" w:themeColor="text1"/>
        </w:rPr>
        <w:t xml:space="preserve"> [Accessed: 21st October 2017].</w:t>
      </w:r>
    </w:p>
    <w:p w14:paraId="0F0217C8" w14:textId="77777777" w:rsidR="00C03323" w:rsidRDefault="00C03323" w:rsidP="00C03323">
      <w:pPr>
        <w:rPr>
          <w:rStyle w:val="Hyperlink"/>
          <w:rFonts w:ascii="Arial" w:hAnsi="Arial" w:cs="Arial"/>
          <w:color w:val="000000" w:themeColor="text1"/>
        </w:rPr>
      </w:pPr>
    </w:p>
    <w:p w14:paraId="5E56FA65"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Queensland Government. (2006) ‘Reflecting on my teaching practices.’ </w:t>
      </w:r>
      <w:hyperlink r:id="rId25" w:history="1">
        <w:r w:rsidRPr="00A86D00">
          <w:rPr>
            <w:rStyle w:val="Hyperlink"/>
            <w:rFonts w:ascii="Arial" w:hAnsi="Arial" w:cs="Arial"/>
          </w:rPr>
          <w:t>https://www.qcaa.qld.edu.au/downloads/p_10/ey_lt_reflect_teaching_prac.pdf</w:t>
        </w:r>
      </w:hyperlink>
      <w:r w:rsidRPr="00A86D00">
        <w:rPr>
          <w:rStyle w:val="Hyperlink"/>
          <w:rFonts w:ascii="Arial" w:hAnsi="Arial" w:cs="Arial"/>
          <w:color w:val="000000" w:themeColor="text1"/>
        </w:rPr>
        <w:t xml:space="preserve"> [Accessed: 20th October 2017].</w:t>
      </w:r>
    </w:p>
    <w:p w14:paraId="49D0CB02" w14:textId="77777777" w:rsidR="00C03323" w:rsidRDefault="00C03323" w:rsidP="00C03323">
      <w:pPr>
        <w:rPr>
          <w:rStyle w:val="Hyperlink"/>
          <w:rFonts w:ascii="Arial" w:hAnsi="Arial" w:cs="Arial"/>
          <w:color w:val="000000" w:themeColor="text1"/>
        </w:rPr>
      </w:pPr>
    </w:p>
    <w:p w14:paraId="6A08EF27"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Researchomatic. (2013) ‘Gibb’s Reflective Cycle and Nursing.’ </w:t>
      </w:r>
      <w:hyperlink r:id="rId26" w:history="1">
        <w:r w:rsidRPr="00A86D00">
          <w:rPr>
            <w:rStyle w:val="Hyperlink"/>
            <w:rFonts w:ascii="Arial" w:hAnsi="Arial" w:cs="Arial"/>
          </w:rPr>
          <w:t>http://www.researchomatic.com/Reflective-Essay-151310.html</w:t>
        </w:r>
      </w:hyperlink>
      <w:r w:rsidRPr="00A86D00">
        <w:rPr>
          <w:rStyle w:val="Hyperlink"/>
          <w:rFonts w:ascii="Arial" w:hAnsi="Arial" w:cs="Arial"/>
          <w:color w:val="000000" w:themeColor="text1"/>
        </w:rPr>
        <w:t xml:space="preserve"> [Accessed: 19th October 2017].</w:t>
      </w:r>
    </w:p>
    <w:p w14:paraId="73CBACCB" w14:textId="77777777" w:rsidR="00C03323" w:rsidRPr="00A86D00" w:rsidRDefault="00C03323" w:rsidP="00C03323">
      <w:pPr>
        <w:pStyle w:val="NormalWeb"/>
        <w:rPr>
          <w:rFonts w:ascii="Arial" w:hAnsi="Arial" w:cs="Arial"/>
        </w:rPr>
      </w:pPr>
      <w:r w:rsidRPr="00A86D00">
        <w:rPr>
          <w:rFonts w:ascii="Arial" w:hAnsi="Arial" w:cs="Arial"/>
        </w:rPr>
        <w:t xml:space="preserve">Rouse, L. (2012) ‘Reflective Practice. A HANDBOOK FOR EARLY CHILDHOOD EDUCATORS.’ </w:t>
      </w:r>
      <w:hyperlink r:id="rId27" w:history="1">
        <w:r w:rsidRPr="00A86D00">
          <w:rPr>
            <w:rStyle w:val="Hyperlink"/>
            <w:rFonts w:ascii="Arial" w:hAnsi="Arial" w:cs="Arial"/>
          </w:rPr>
          <w:t>https://www.teachingsolutions.com.au/sample_pages/sp_Reflective_Practice.pdf</w:t>
        </w:r>
      </w:hyperlink>
      <w:r w:rsidRPr="00A86D00">
        <w:rPr>
          <w:rFonts w:ascii="Arial" w:hAnsi="Arial" w:cs="Arial"/>
        </w:rPr>
        <w:t xml:space="preserve"> [Accessed: 19th October 2017].</w:t>
      </w:r>
    </w:p>
    <w:p w14:paraId="67B0CAB9"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Sharlanova, V. (2004) ‘Experiential Learning.’ </w:t>
      </w:r>
      <w:hyperlink r:id="rId28" w:history="1">
        <w:r w:rsidRPr="00A86D00">
          <w:rPr>
            <w:rStyle w:val="Hyperlink"/>
            <w:rFonts w:ascii="Arial" w:hAnsi="Arial" w:cs="Arial"/>
          </w:rPr>
          <w:t>http://tru.uni-sz.bg/tsj/Volume2_4/EXPERIENTIAL%20LEARNING.pdf</w:t>
        </w:r>
      </w:hyperlink>
      <w:r w:rsidRPr="00A86D00">
        <w:rPr>
          <w:rStyle w:val="Hyperlink"/>
          <w:rFonts w:ascii="Arial" w:hAnsi="Arial" w:cs="Arial"/>
          <w:color w:val="000000" w:themeColor="text1"/>
        </w:rPr>
        <w:t xml:space="preserve"> [Accessed: 22</w:t>
      </w:r>
      <w:r w:rsidRPr="00A86D00">
        <w:rPr>
          <w:rStyle w:val="Hyperlink"/>
          <w:rFonts w:ascii="Arial" w:hAnsi="Arial" w:cs="Arial"/>
          <w:color w:val="000000" w:themeColor="text1"/>
          <w:vertAlign w:val="superscript"/>
        </w:rPr>
        <w:t>nd</w:t>
      </w:r>
      <w:r w:rsidRPr="00A86D00">
        <w:rPr>
          <w:rStyle w:val="Hyperlink"/>
          <w:rFonts w:ascii="Arial" w:hAnsi="Arial" w:cs="Arial"/>
          <w:color w:val="000000" w:themeColor="text1"/>
        </w:rPr>
        <w:t xml:space="preserve"> October 2017].</w:t>
      </w:r>
    </w:p>
    <w:p w14:paraId="045E1977" w14:textId="77777777" w:rsidR="00C03323" w:rsidRDefault="00C03323" w:rsidP="00C03323">
      <w:pPr>
        <w:rPr>
          <w:rStyle w:val="Hyperlink"/>
          <w:rFonts w:ascii="Arial" w:hAnsi="Arial" w:cs="Arial"/>
          <w:color w:val="000000" w:themeColor="text1"/>
        </w:rPr>
      </w:pPr>
    </w:p>
    <w:p w14:paraId="2903A02E"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Surrey Library. (Unknown) ‘Reading 3 Models of the Learning Process.’ </w:t>
      </w:r>
      <w:hyperlink r:id="rId29" w:history="1">
        <w:r w:rsidRPr="00A86D00">
          <w:rPr>
            <w:rStyle w:val="Hyperlink"/>
            <w:rFonts w:ascii="Arial" w:hAnsi="Arial" w:cs="Arial"/>
          </w:rPr>
          <w:t>http://libweb.surrey.ac.uk/library/skills/Learning,%20Thinking,%20Doing%20OU/T205_1_section16.html</w:t>
        </w:r>
      </w:hyperlink>
      <w:r w:rsidRPr="00A86D00">
        <w:rPr>
          <w:rStyle w:val="Hyperlink"/>
          <w:rFonts w:ascii="Arial" w:hAnsi="Arial" w:cs="Arial"/>
          <w:color w:val="000000" w:themeColor="text1"/>
        </w:rPr>
        <w:t xml:space="preserve"> [Accessed: 19th October 2017].</w:t>
      </w:r>
    </w:p>
    <w:p w14:paraId="0B24D629" w14:textId="77777777" w:rsidR="00C03323" w:rsidRPr="00A86D00" w:rsidRDefault="00C03323" w:rsidP="00C03323">
      <w:pPr>
        <w:pStyle w:val="NormalWeb"/>
        <w:rPr>
          <w:rFonts w:ascii="Arial" w:hAnsi="Arial" w:cs="Arial"/>
        </w:rPr>
      </w:pPr>
      <w:r w:rsidRPr="00A86D00">
        <w:rPr>
          <w:rFonts w:ascii="Arial" w:hAnsi="Arial" w:cs="Arial"/>
          <w:color w:val="000000" w:themeColor="text1"/>
        </w:rPr>
        <w:t>Sylva, K., Siraj-Blatchford, I., Taggart, B., Melhuish, E. and Sammons, P. (2004) ‘</w:t>
      </w:r>
      <w:r w:rsidRPr="00A86D00">
        <w:rPr>
          <w:rFonts w:ascii="Arial" w:hAnsi="Arial" w:cs="Arial"/>
        </w:rPr>
        <w:t xml:space="preserve">The Effective Provision of Pre-school Education (EPPE) Project: Findings from pre-school to end of key stage 1’ </w:t>
      </w:r>
      <w:hyperlink r:id="rId30" w:history="1">
        <w:r w:rsidRPr="00A86D00">
          <w:rPr>
            <w:rStyle w:val="Hyperlink"/>
            <w:rFonts w:ascii="Arial" w:hAnsi="Arial" w:cs="Arial"/>
          </w:rPr>
          <w:t>http://ro.uow.edu.au/cgi/viewcontent.cgi?article=3155&amp;context=sspapers</w:t>
        </w:r>
      </w:hyperlink>
      <w:r w:rsidRPr="00A86D00">
        <w:rPr>
          <w:rFonts w:ascii="Arial" w:hAnsi="Arial" w:cs="Arial"/>
        </w:rPr>
        <w:t xml:space="preserve"> [Accessed: 17</w:t>
      </w:r>
      <w:r w:rsidRPr="00A86D00">
        <w:rPr>
          <w:rFonts w:ascii="Arial" w:hAnsi="Arial" w:cs="Arial"/>
          <w:vertAlign w:val="superscript"/>
        </w:rPr>
        <w:t>th</w:t>
      </w:r>
      <w:r w:rsidRPr="00A86D00">
        <w:rPr>
          <w:rFonts w:ascii="Arial" w:hAnsi="Arial" w:cs="Arial"/>
        </w:rPr>
        <w:t xml:space="preserve"> October 2017].</w:t>
      </w:r>
    </w:p>
    <w:p w14:paraId="1F38A762" w14:textId="77777777" w:rsidR="00C03323" w:rsidRPr="00A86D00" w:rsidRDefault="00C03323" w:rsidP="00C03323">
      <w:pPr>
        <w:rPr>
          <w:rFonts w:ascii="Arial" w:eastAsia="Times New Roman" w:hAnsi="Arial" w:cs="Arial"/>
          <w:color w:val="333333"/>
          <w:shd w:val="clear" w:color="auto" w:fill="FFFFFF"/>
        </w:rPr>
      </w:pPr>
      <w:r w:rsidRPr="00A86D00">
        <w:rPr>
          <w:rFonts w:ascii="Arial" w:hAnsi="Arial" w:cs="Arial"/>
          <w:color w:val="000000" w:themeColor="text1"/>
        </w:rPr>
        <w:t xml:space="preserve">Sylva, K., Siraj-Blatchford, I., Taggart, B., Melhuish, E., Sammons, P. (2014) </w:t>
      </w:r>
      <w:r w:rsidRPr="00A86D00">
        <w:rPr>
          <w:rFonts w:ascii="Arial" w:hAnsi="Arial" w:cs="Arial"/>
          <w:color w:val="0563C1" w:themeColor="hyperlink"/>
        </w:rPr>
        <w:t>‘</w:t>
      </w:r>
      <w:r w:rsidRPr="00A86D00">
        <w:rPr>
          <w:rFonts w:ascii="Arial" w:eastAsia="Times New Roman" w:hAnsi="Arial" w:cs="Arial"/>
          <w:color w:val="333333"/>
          <w:shd w:val="clear" w:color="auto" w:fill="FFFFFF"/>
        </w:rPr>
        <w:t xml:space="preserve">EPPE/EPPSE PROJECT on early education - Why investment pays off’ </w:t>
      </w:r>
      <w:hyperlink r:id="rId31" w:history="1">
        <w:r w:rsidRPr="00A86D00">
          <w:rPr>
            <w:rStyle w:val="Hyperlink"/>
            <w:rFonts w:ascii="Arial" w:eastAsia="Times New Roman" w:hAnsi="Arial" w:cs="Arial"/>
            <w:shd w:val="clear" w:color="auto" w:fill="FFFFFF"/>
          </w:rPr>
          <w:t>https://www.nurseryworld.co.uk/nursery-world/news/1146874/eppe-eppse-project-education-investment-pays</w:t>
        </w:r>
      </w:hyperlink>
      <w:r w:rsidRPr="00A86D00">
        <w:rPr>
          <w:rFonts w:ascii="Arial" w:eastAsia="Times New Roman" w:hAnsi="Arial" w:cs="Arial"/>
          <w:color w:val="333333"/>
          <w:shd w:val="clear" w:color="auto" w:fill="FFFFFF"/>
        </w:rPr>
        <w:t xml:space="preserve"> [Accessed: 17th October 2017].</w:t>
      </w:r>
    </w:p>
    <w:p w14:paraId="5B7A0ED3" w14:textId="77777777" w:rsidR="00C03323" w:rsidRDefault="00C03323" w:rsidP="00C03323">
      <w:pPr>
        <w:rPr>
          <w:rFonts w:ascii="Arial" w:hAnsi="Arial" w:cs="Arial"/>
          <w:color w:val="000000" w:themeColor="text1"/>
        </w:rPr>
      </w:pPr>
    </w:p>
    <w:p w14:paraId="7497A5A4" w14:textId="77777777" w:rsidR="00C03323" w:rsidRPr="00A86D00" w:rsidRDefault="00C03323" w:rsidP="00C03323">
      <w:pPr>
        <w:rPr>
          <w:rFonts w:ascii="Arial" w:hAnsi="Arial" w:cs="Arial"/>
          <w:color w:val="0563C1" w:themeColor="hyperlink"/>
        </w:rPr>
      </w:pPr>
      <w:r w:rsidRPr="00A86D00">
        <w:rPr>
          <w:rFonts w:ascii="Arial" w:hAnsi="Arial" w:cs="Arial"/>
          <w:color w:val="000000" w:themeColor="text1"/>
        </w:rPr>
        <w:t xml:space="preserve">Taggart, B., Siraj-Blatchford, I., Sylva, K., Melhuish, E., Sammons, P., Elliot, K. and Walker-Hall, J. (2013) ‘The Effective Provision of Pre-School Education [EPPE] Project.’ </w:t>
      </w:r>
      <w:hyperlink r:id="rId32" w:history="1">
        <w:r w:rsidRPr="00A86D00">
          <w:rPr>
            <w:rStyle w:val="Hyperlink"/>
            <w:rFonts w:ascii="Arial" w:hAnsi="Arial" w:cs="Arial"/>
          </w:rPr>
          <w:t>https://www.ucl.ac.uk/ioe/research/pdf/Ratios_in_Pre-School_Settings_DfEE.pdf</w:t>
        </w:r>
      </w:hyperlink>
      <w:r w:rsidRPr="00A86D00">
        <w:rPr>
          <w:rFonts w:ascii="Arial" w:hAnsi="Arial" w:cs="Arial"/>
          <w:color w:val="0563C1" w:themeColor="hyperlink"/>
        </w:rPr>
        <w:t xml:space="preserve"> </w:t>
      </w:r>
      <w:r w:rsidRPr="00A86D00">
        <w:rPr>
          <w:rFonts w:ascii="Arial" w:hAnsi="Arial" w:cs="Arial"/>
          <w:color w:val="000000" w:themeColor="text1"/>
        </w:rPr>
        <w:t>[Accessed: 16th October 2017].</w:t>
      </w:r>
    </w:p>
    <w:p w14:paraId="78BA817B" w14:textId="77777777" w:rsidR="00C03323" w:rsidRDefault="00C03323" w:rsidP="00C03323">
      <w:pPr>
        <w:rPr>
          <w:rStyle w:val="Hyperlink"/>
          <w:rFonts w:ascii="Arial" w:hAnsi="Arial" w:cs="Arial"/>
          <w:color w:val="000000" w:themeColor="text1"/>
        </w:rPr>
      </w:pPr>
    </w:p>
    <w:p w14:paraId="26064418"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The Open University. (2011) ‘Gibb’s Reflective Cycle.’ </w:t>
      </w:r>
      <w:hyperlink r:id="rId33" w:history="1">
        <w:r w:rsidRPr="00A86D00">
          <w:rPr>
            <w:rStyle w:val="Hyperlink"/>
            <w:rFonts w:ascii="Arial" w:hAnsi="Arial" w:cs="Arial"/>
          </w:rPr>
          <w:t>http://www.open.edu/openlearn/education/learning-teach-becoming-reflective-practitioner/content-section-6.2</w:t>
        </w:r>
      </w:hyperlink>
      <w:r w:rsidRPr="00A86D00">
        <w:rPr>
          <w:rStyle w:val="Hyperlink"/>
          <w:rFonts w:ascii="Arial" w:hAnsi="Arial" w:cs="Arial"/>
          <w:color w:val="000000" w:themeColor="text1"/>
        </w:rPr>
        <w:t xml:space="preserve"> [Accessed: 21st October 2017].</w:t>
      </w:r>
    </w:p>
    <w:p w14:paraId="596F22A9" w14:textId="77777777" w:rsidR="00C03323" w:rsidRDefault="00C03323" w:rsidP="00C03323">
      <w:pPr>
        <w:rPr>
          <w:rStyle w:val="Hyperlink"/>
          <w:rFonts w:ascii="Arial" w:hAnsi="Arial" w:cs="Arial"/>
          <w:color w:val="000000" w:themeColor="text1"/>
        </w:rPr>
      </w:pPr>
    </w:p>
    <w:p w14:paraId="17919459" w14:textId="77777777" w:rsidR="00C03323" w:rsidRPr="00A86D00"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 xml:space="preserve">Unicef. (2004) ‘A Summary of the UN Convention on the Rights of the Child.’ </w:t>
      </w:r>
      <w:hyperlink r:id="rId34" w:history="1">
        <w:r w:rsidRPr="00A86D00">
          <w:rPr>
            <w:rStyle w:val="Hyperlink"/>
            <w:rFonts w:ascii="Arial" w:hAnsi="Arial" w:cs="Arial"/>
          </w:rPr>
          <w:t>https://downloads.unicef.org.uk/wp-content/uploads/2010/05/UNCRC_summary-1.pdf?_ga=2.152870203.323317889.1509619938-260990702.1476714319</w:t>
        </w:r>
      </w:hyperlink>
      <w:r w:rsidRPr="00A86D00">
        <w:rPr>
          <w:rStyle w:val="Hyperlink"/>
          <w:rFonts w:ascii="Arial" w:hAnsi="Arial" w:cs="Arial"/>
          <w:color w:val="000000" w:themeColor="text1"/>
        </w:rPr>
        <w:t xml:space="preserve"> [Accessed: 17</w:t>
      </w:r>
      <w:r w:rsidRPr="00A86D00">
        <w:rPr>
          <w:rStyle w:val="Hyperlink"/>
          <w:rFonts w:ascii="Arial" w:hAnsi="Arial" w:cs="Arial"/>
          <w:color w:val="000000" w:themeColor="text1"/>
          <w:vertAlign w:val="superscript"/>
        </w:rPr>
        <w:t>th</w:t>
      </w:r>
      <w:r w:rsidRPr="00A86D00">
        <w:rPr>
          <w:rStyle w:val="Hyperlink"/>
          <w:rFonts w:ascii="Arial" w:hAnsi="Arial" w:cs="Arial"/>
          <w:color w:val="000000" w:themeColor="text1"/>
        </w:rPr>
        <w:t xml:space="preserve"> October 2017].</w:t>
      </w:r>
    </w:p>
    <w:p w14:paraId="46F4E3D6" w14:textId="77777777" w:rsidR="00C03323" w:rsidRDefault="00C03323" w:rsidP="00C03323">
      <w:pPr>
        <w:rPr>
          <w:rStyle w:val="Hyperlink"/>
          <w:rFonts w:ascii="Arial" w:hAnsi="Arial" w:cs="Arial"/>
          <w:color w:val="000000" w:themeColor="text1"/>
        </w:rPr>
      </w:pPr>
    </w:p>
    <w:p w14:paraId="3BD569DA" w14:textId="77777777" w:rsidR="00C03323" w:rsidRPr="00A86D00" w:rsidRDefault="00C03323" w:rsidP="00C03323">
      <w:pPr>
        <w:rPr>
          <w:rStyle w:val="Hyperlink"/>
          <w:rFonts w:ascii="Arial" w:hAnsi="Arial" w:cs="Arial"/>
        </w:rPr>
      </w:pPr>
      <w:r w:rsidRPr="00A86D00">
        <w:rPr>
          <w:rStyle w:val="Hyperlink"/>
          <w:rFonts w:ascii="Arial" w:hAnsi="Arial" w:cs="Arial"/>
          <w:color w:val="000000" w:themeColor="text1"/>
        </w:rPr>
        <w:t xml:space="preserve">University of Cumbria (2016) ‘Gibbs’ Reflective Cycle.’ </w:t>
      </w:r>
      <w:hyperlink r:id="rId35" w:history="1">
        <w:r w:rsidRPr="00A86D00">
          <w:rPr>
            <w:rStyle w:val="Hyperlink"/>
            <w:rFonts w:ascii="Arial" w:hAnsi="Arial" w:cs="Arial"/>
          </w:rPr>
          <w:t>https://my.cumbria.ac.uk/media/MyCumbria/Documents/ReflectiveCycleGibbs.pdf</w:t>
        </w:r>
      </w:hyperlink>
      <w:r w:rsidRPr="00A86D00">
        <w:rPr>
          <w:rStyle w:val="Hyperlink"/>
          <w:rFonts w:ascii="Arial" w:hAnsi="Arial" w:cs="Arial"/>
        </w:rPr>
        <w:t xml:space="preserve"> </w:t>
      </w:r>
      <w:r w:rsidRPr="00A86D00">
        <w:rPr>
          <w:rStyle w:val="Hyperlink"/>
          <w:rFonts w:ascii="Arial" w:hAnsi="Arial" w:cs="Arial"/>
          <w:color w:val="000000" w:themeColor="text1"/>
        </w:rPr>
        <w:t>[Accessed: 12th October 2017].</w:t>
      </w:r>
    </w:p>
    <w:p w14:paraId="054A9343" w14:textId="77777777" w:rsidR="00C03323" w:rsidRDefault="00C03323" w:rsidP="00C03323">
      <w:pPr>
        <w:rPr>
          <w:rFonts w:ascii="Arial" w:hAnsi="Arial" w:cs="Arial"/>
          <w:lang w:val="en-GB"/>
        </w:rPr>
      </w:pPr>
    </w:p>
    <w:p w14:paraId="19001442" w14:textId="77777777" w:rsidR="00C03323" w:rsidRPr="00A86D00" w:rsidRDefault="00C03323" w:rsidP="00C03323">
      <w:pPr>
        <w:rPr>
          <w:rFonts w:ascii="Arial" w:hAnsi="Arial" w:cs="Arial"/>
          <w:lang w:val="en-GB"/>
        </w:rPr>
      </w:pPr>
      <w:r w:rsidRPr="00A86D00">
        <w:rPr>
          <w:rFonts w:ascii="Arial" w:hAnsi="Arial" w:cs="Arial"/>
          <w:lang w:val="en-GB"/>
        </w:rPr>
        <w:t xml:space="preserve">University of Kent. (2012) ‘Reflective Learning.’ </w:t>
      </w:r>
      <w:hyperlink r:id="rId36" w:history="1">
        <w:r w:rsidRPr="00A86D00">
          <w:rPr>
            <w:rStyle w:val="Hyperlink"/>
            <w:rFonts w:ascii="Arial" w:hAnsi="Arial" w:cs="Arial"/>
            <w:lang w:val="en-GB"/>
          </w:rPr>
          <w:t>https://www.kent.ac.uk/learning/PDP-and-employability/pdp/reflective.html</w:t>
        </w:r>
      </w:hyperlink>
      <w:r w:rsidRPr="00A86D00">
        <w:rPr>
          <w:rFonts w:ascii="Arial" w:hAnsi="Arial" w:cs="Arial"/>
          <w:lang w:val="en-GB"/>
        </w:rPr>
        <w:t xml:space="preserve"> [Accessed: 21st October 2017].</w:t>
      </w:r>
    </w:p>
    <w:p w14:paraId="3315F42E" w14:textId="77777777" w:rsidR="00C03323" w:rsidRDefault="00C03323" w:rsidP="00C03323">
      <w:pPr>
        <w:rPr>
          <w:rStyle w:val="Hyperlink"/>
          <w:rFonts w:ascii="Arial" w:hAnsi="Arial" w:cs="Arial"/>
          <w:color w:val="000000" w:themeColor="text1"/>
        </w:rPr>
      </w:pPr>
    </w:p>
    <w:p w14:paraId="6C455822" w14:textId="77777777" w:rsidR="00C03323" w:rsidRDefault="00C03323" w:rsidP="00C03323">
      <w:pPr>
        <w:rPr>
          <w:rStyle w:val="Hyperlink"/>
          <w:rFonts w:ascii="Arial" w:hAnsi="Arial" w:cs="Arial"/>
          <w:color w:val="000000" w:themeColor="text1"/>
        </w:rPr>
      </w:pPr>
      <w:r w:rsidRPr="00A86D00">
        <w:rPr>
          <w:rStyle w:val="Hyperlink"/>
          <w:rFonts w:ascii="Arial" w:hAnsi="Arial" w:cs="Arial"/>
          <w:color w:val="000000" w:themeColor="text1"/>
        </w:rPr>
        <w:t>Virginia Department of Education’s Training &amp; Technical Assistance Centre. (2013).</w:t>
      </w:r>
    </w:p>
    <w:p w14:paraId="3B52FEDF" w14:textId="77777777" w:rsidR="00C03323" w:rsidRDefault="00C03323" w:rsidP="00C03323">
      <w:pPr>
        <w:rPr>
          <w:rFonts w:ascii="Arial" w:eastAsia="Times New Roman" w:hAnsi="Arial" w:cs="Arial"/>
          <w:color w:val="000000" w:themeColor="text1"/>
        </w:rPr>
      </w:pPr>
      <w:r>
        <w:rPr>
          <w:rStyle w:val="Hyperlink"/>
          <w:rFonts w:ascii="Arial" w:hAnsi="Arial" w:cs="Arial"/>
          <w:color w:val="000000" w:themeColor="text1"/>
        </w:rPr>
        <w:t>‘</w:t>
      </w:r>
      <w:hyperlink r:id="rId37" w:history="1">
        <w:r w:rsidRPr="00A86D00">
          <w:rPr>
            <w:rStyle w:val="Hyperlink"/>
            <w:rFonts w:ascii="Arial" w:eastAsia="Times New Roman" w:hAnsi="Arial" w:cs="Arial"/>
            <w:color w:val="000000" w:themeColor="text1"/>
            <w:u w:val="none"/>
          </w:rPr>
          <w:t>Can reflective practice guide me in making better decisions for my early childhood classroom?</w:t>
        </w:r>
      </w:hyperlink>
      <w:r w:rsidRPr="00A86D00">
        <w:rPr>
          <w:rFonts w:ascii="Arial" w:eastAsia="Times New Roman" w:hAnsi="Arial" w:cs="Arial"/>
          <w:color w:val="000000" w:themeColor="text1"/>
        </w:rPr>
        <w:t>’</w:t>
      </w:r>
      <w:r w:rsidRPr="00A86D00">
        <w:rPr>
          <w:rFonts w:ascii="Arial" w:eastAsia="Times New Roman" w:hAnsi="Arial" w:cs="Arial"/>
          <w:b/>
          <w:color w:val="000000" w:themeColor="text1"/>
        </w:rPr>
        <w:t xml:space="preserve"> </w:t>
      </w:r>
      <w:hyperlink r:id="rId38" w:history="1">
        <w:r w:rsidRPr="00A86D00">
          <w:rPr>
            <w:rStyle w:val="Hyperlink"/>
            <w:rFonts w:ascii="Arial" w:eastAsia="Times New Roman" w:hAnsi="Arial" w:cs="Arial"/>
          </w:rPr>
          <w:t>http://www.ttacnews.vcu.edu/2013/02/reflectivepractice/</w:t>
        </w:r>
      </w:hyperlink>
      <w:r>
        <w:rPr>
          <w:rFonts w:ascii="Arial" w:eastAsia="Times New Roman" w:hAnsi="Arial" w:cs="Arial"/>
          <w:b/>
          <w:color w:val="000000" w:themeColor="text1"/>
        </w:rPr>
        <w:t xml:space="preserve"> </w:t>
      </w:r>
      <w:r>
        <w:rPr>
          <w:rFonts w:ascii="Arial" w:eastAsia="Times New Roman" w:hAnsi="Arial" w:cs="Arial"/>
          <w:color w:val="000000" w:themeColor="text1"/>
        </w:rPr>
        <w:t>[Accessed: 21</w:t>
      </w:r>
      <w:r w:rsidRPr="00A86D00">
        <w:rPr>
          <w:rFonts w:ascii="Arial" w:eastAsia="Times New Roman" w:hAnsi="Arial" w:cs="Arial"/>
          <w:color w:val="000000" w:themeColor="text1"/>
          <w:vertAlign w:val="superscript"/>
        </w:rPr>
        <w:t>st</w:t>
      </w:r>
      <w:r>
        <w:rPr>
          <w:rFonts w:ascii="Arial" w:eastAsia="Times New Roman" w:hAnsi="Arial" w:cs="Arial"/>
          <w:color w:val="000000" w:themeColor="text1"/>
        </w:rPr>
        <w:t xml:space="preserve"> October 2017].</w:t>
      </w:r>
    </w:p>
    <w:p w14:paraId="7A0887DA" w14:textId="77777777" w:rsidR="00C03323" w:rsidRPr="00A86D00" w:rsidRDefault="00C03323" w:rsidP="00C03323">
      <w:pPr>
        <w:pStyle w:val="NormalWeb"/>
        <w:rPr>
          <w:rFonts w:ascii="Arial" w:hAnsi="Arial" w:cs="Arial"/>
        </w:rPr>
      </w:pPr>
      <w:r w:rsidRPr="00A86D00">
        <w:rPr>
          <w:rFonts w:ascii="Arial" w:hAnsi="Arial" w:cs="Arial"/>
        </w:rPr>
        <w:t xml:space="preserve">Welsh Government. (2017) ‘Education in Wales: Our National Mission. Action Plan 2017-21.’ </w:t>
      </w:r>
      <w:hyperlink r:id="rId39" w:history="1">
        <w:r w:rsidRPr="00A86D00">
          <w:rPr>
            <w:rStyle w:val="Hyperlink"/>
            <w:rFonts w:ascii="Arial" w:hAnsi="Arial" w:cs="Arial"/>
          </w:rPr>
          <w:t>http://gov.wales/docs/dcells/publications/170926-education-in-wales-en.pdf</w:t>
        </w:r>
      </w:hyperlink>
      <w:r w:rsidRPr="00A86D00">
        <w:rPr>
          <w:rFonts w:ascii="Arial" w:hAnsi="Arial" w:cs="Arial"/>
        </w:rPr>
        <w:t xml:space="preserve"> [Accessed: 24th October 2017].</w:t>
      </w:r>
    </w:p>
    <w:p w14:paraId="664AAA06" w14:textId="7F66B05D" w:rsidR="007F4331" w:rsidRDefault="007F4331" w:rsidP="00D71E7C">
      <w:pPr>
        <w:spacing w:line="360" w:lineRule="auto"/>
        <w:jc w:val="both"/>
        <w:rPr>
          <w:rFonts w:ascii="Arial" w:hAnsi="Arial" w:cs="Arial"/>
          <w:lang w:val="en-GB"/>
        </w:rPr>
      </w:pPr>
    </w:p>
    <w:p w14:paraId="20863666" w14:textId="77777777" w:rsidR="00135ADE" w:rsidRPr="00A03120" w:rsidRDefault="00135ADE" w:rsidP="00D71E7C">
      <w:pPr>
        <w:spacing w:line="360" w:lineRule="auto"/>
        <w:jc w:val="both"/>
        <w:rPr>
          <w:rFonts w:ascii="Arial" w:hAnsi="Arial" w:cs="Arial"/>
        </w:rPr>
      </w:pPr>
    </w:p>
    <w:p w14:paraId="39CA35C5" w14:textId="77777777" w:rsidR="00D71E7C" w:rsidRDefault="00D71E7C" w:rsidP="00D71E7C">
      <w:pPr>
        <w:spacing w:line="360" w:lineRule="auto"/>
        <w:jc w:val="both"/>
        <w:rPr>
          <w:rFonts w:ascii="Arial" w:hAnsi="Arial" w:cs="Arial"/>
          <w:lang w:val="en-GB"/>
        </w:rPr>
      </w:pPr>
    </w:p>
    <w:p w14:paraId="1D7DA7AD" w14:textId="77777777" w:rsidR="00D71E7C" w:rsidRPr="00D71E7C" w:rsidRDefault="00D71E7C" w:rsidP="00D71E7C">
      <w:pPr>
        <w:spacing w:line="360" w:lineRule="auto"/>
        <w:jc w:val="both"/>
        <w:rPr>
          <w:rFonts w:ascii="Arial" w:hAnsi="Arial" w:cs="Arial"/>
          <w:lang w:val="en-GB"/>
        </w:rPr>
      </w:pPr>
    </w:p>
    <w:sectPr w:rsidR="00D71E7C" w:rsidRPr="00D71E7C" w:rsidSect="001824DD">
      <w:headerReference w:type="default" r:id="rId40"/>
      <w:footerReference w:type="even" r:id="rId41"/>
      <w:footerReference w:type="default" r:id="rId4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395A61" w14:textId="77777777" w:rsidR="00051BFA" w:rsidRDefault="00051BFA" w:rsidP="00D71E7C">
      <w:r>
        <w:separator/>
      </w:r>
    </w:p>
  </w:endnote>
  <w:endnote w:type="continuationSeparator" w:id="0">
    <w:p w14:paraId="0DC97F99" w14:textId="77777777" w:rsidR="00051BFA" w:rsidRDefault="00051BFA" w:rsidP="00D71E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BDEC5F" w14:textId="77777777" w:rsidR="00D71E7C" w:rsidRDefault="00D71E7C" w:rsidP="00FB7EF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C21A611" w14:textId="77777777" w:rsidR="00D71E7C" w:rsidRDefault="00D71E7C" w:rsidP="00D71E7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46B23B" w14:textId="77777777" w:rsidR="00D71E7C" w:rsidRDefault="00D71E7C" w:rsidP="00FB7EF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51BFA">
      <w:rPr>
        <w:rStyle w:val="PageNumber"/>
        <w:noProof/>
      </w:rPr>
      <w:t>1</w:t>
    </w:r>
    <w:r>
      <w:rPr>
        <w:rStyle w:val="PageNumber"/>
      </w:rPr>
      <w:fldChar w:fldCharType="end"/>
    </w:r>
  </w:p>
  <w:p w14:paraId="5A305F64" w14:textId="77777777" w:rsidR="00D71E7C" w:rsidRDefault="00D71E7C" w:rsidP="00D71E7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0F7962" w14:textId="77777777" w:rsidR="00051BFA" w:rsidRDefault="00051BFA" w:rsidP="00D71E7C">
      <w:r>
        <w:separator/>
      </w:r>
    </w:p>
  </w:footnote>
  <w:footnote w:type="continuationSeparator" w:id="0">
    <w:p w14:paraId="4E14B99B" w14:textId="77777777" w:rsidR="00051BFA" w:rsidRDefault="00051BFA" w:rsidP="00D71E7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FD16AB" w14:textId="77777777" w:rsidR="00D71E7C" w:rsidRDefault="00D71E7C">
    <w:pPr>
      <w:pStyle w:val="Header"/>
    </w:pPr>
    <w:r>
      <w:t>1500060</w:t>
    </w:r>
  </w:p>
  <w:p w14:paraId="385B9D5A" w14:textId="77777777" w:rsidR="00D71E7C" w:rsidRDefault="00D71E7C">
    <w:pPr>
      <w:pStyle w:val="Header"/>
    </w:pPr>
    <w:r>
      <w:t xml:space="preserve">EAEC6001 </w:t>
    </w:r>
  </w:p>
  <w:p w14:paraId="2DB049A8" w14:textId="77777777" w:rsidR="00D71E7C" w:rsidRDefault="00D71E7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C65A9C"/>
    <w:multiLevelType w:val="hybridMultilevel"/>
    <w:tmpl w:val="967A4314"/>
    <w:lvl w:ilvl="0" w:tplc="AB42B6FC">
      <w:start w:val="1"/>
      <w:numFmt w:val="bullet"/>
      <w:lvlText w:val=""/>
      <w:lvlJc w:val="left"/>
      <w:pPr>
        <w:tabs>
          <w:tab w:val="num" w:pos="720"/>
        </w:tabs>
        <w:ind w:left="720" w:hanging="360"/>
      </w:pPr>
      <w:rPr>
        <w:rFonts w:ascii="Wingdings 3" w:hAnsi="Wingdings 3" w:hint="default"/>
      </w:rPr>
    </w:lvl>
    <w:lvl w:ilvl="1" w:tplc="6024D880" w:tentative="1">
      <w:start w:val="1"/>
      <w:numFmt w:val="bullet"/>
      <w:lvlText w:val=""/>
      <w:lvlJc w:val="left"/>
      <w:pPr>
        <w:tabs>
          <w:tab w:val="num" w:pos="1440"/>
        </w:tabs>
        <w:ind w:left="1440" w:hanging="360"/>
      </w:pPr>
      <w:rPr>
        <w:rFonts w:ascii="Wingdings 3" w:hAnsi="Wingdings 3" w:hint="default"/>
      </w:rPr>
    </w:lvl>
    <w:lvl w:ilvl="2" w:tplc="4FE6B758" w:tentative="1">
      <w:start w:val="1"/>
      <w:numFmt w:val="bullet"/>
      <w:lvlText w:val=""/>
      <w:lvlJc w:val="left"/>
      <w:pPr>
        <w:tabs>
          <w:tab w:val="num" w:pos="2160"/>
        </w:tabs>
        <w:ind w:left="2160" w:hanging="360"/>
      </w:pPr>
      <w:rPr>
        <w:rFonts w:ascii="Wingdings 3" w:hAnsi="Wingdings 3" w:hint="default"/>
      </w:rPr>
    </w:lvl>
    <w:lvl w:ilvl="3" w:tplc="6180E140" w:tentative="1">
      <w:start w:val="1"/>
      <w:numFmt w:val="bullet"/>
      <w:lvlText w:val=""/>
      <w:lvlJc w:val="left"/>
      <w:pPr>
        <w:tabs>
          <w:tab w:val="num" w:pos="2880"/>
        </w:tabs>
        <w:ind w:left="2880" w:hanging="360"/>
      </w:pPr>
      <w:rPr>
        <w:rFonts w:ascii="Wingdings 3" w:hAnsi="Wingdings 3" w:hint="default"/>
      </w:rPr>
    </w:lvl>
    <w:lvl w:ilvl="4" w:tplc="D0DAB1F8" w:tentative="1">
      <w:start w:val="1"/>
      <w:numFmt w:val="bullet"/>
      <w:lvlText w:val=""/>
      <w:lvlJc w:val="left"/>
      <w:pPr>
        <w:tabs>
          <w:tab w:val="num" w:pos="3600"/>
        </w:tabs>
        <w:ind w:left="3600" w:hanging="360"/>
      </w:pPr>
      <w:rPr>
        <w:rFonts w:ascii="Wingdings 3" w:hAnsi="Wingdings 3" w:hint="default"/>
      </w:rPr>
    </w:lvl>
    <w:lvl w:ilvl="5" w:tplc="F260E432" w:tentative="1">
      <w:start w:val="1"/>
      <w:numFmt w:val="bullet"/>
      <w:lvlText w:val=""/>
      <w:lvlJc w:val="left"/>
      <w:pPr>
        <w:tabs>
          <w:tab w:val="num" w:pos="4320"/>
        </w:tabs>
        <w:ind w:left="4320" w:hanging="360"/>
      </w:pPr>
      <w:rPr>
        <w:rFonts w:ascii="Wingdings 3" w:hAnsi="Wingdings 3" w:hint="default"/>
      </w:rPr>
    </w:lvl>
    <w:lvl w:ilvl="6" w:tplc="F0C449C2" w:tentative="1">
      <w:start w:val="1"/>
      <w:numFmt w:val="bullet"/>
      <w:lvlText w:val=""/>
      <w:lvlJc w:val="left"/>
      <w:pPr>
        <w:tabs>
          <w:tab w:val="num" w:pos="5040"/>
        </w:tabs>
        <w:ind w:left="5040" w:hanging="360"/>
      </w:pPr>
      <w:rPr>
        <w:rFonts w:ascii="Wingdings 3" w:hAnsi="Wingdings 3" w:hint="default"/>
      </w:rPr>
    </w:lvl>
    <w:lvl w:ilvl="7" w:tplc="1802476C" w:tentative="1">
      <w:start w:val="1"/>
      <w:numFmt w:val="bullet"/>
      <w:lvlText w:val=""/>
      <w:lvlJc w:val="left"/>
      <w:pPr>
        <w:tabs>
          <w:tab w:val="num" w:pos="5760"/>
        </w:tabs>
        <w:ind w:left="5760" w:hanging="360"/>
      </w:pPr>
      <w:rPr>
        <w:rFonts w:ascii="Wingdings 3" w:hAnsi="Wingdings 3" w:hint="default"/>
      </w:rPr>
    </w:lvl>
    <w:lvl w:ilvl="8" w:tplc="7EBEE206" w:tentative="1">
      <w:start w:val="1"/>
      <w:numFmt w:val="bullet"/>
      <w:lvlText w:val=""/>
      <w:lvlJc w:val="left"/>
      <w:pPr>
        <w:tabs>
          <w:tab w:val="num" w:pos="6480"/>
        </w:tabs>
        <w:ind w:left="6480" w:hanging="360"/>
      </w:pPr>
      <w:rPr>
        <w:rFonts w:ascii="Wingdings 3" w:hAnsi="Wingdings 3" w:hint="default"/>
      </w:rPr>
    </w:lvl>
  </w:abstractNum>
  <w:abstractNum w:abstractNumId="1">
    <w:nsid w:val="56B46D1C"/>
    <w:multiLevelType w:val="hybridMultilevel"/>
    <w:tmpl w:val="4C84BF66"/>
    <w:lvl w:ilvl="0" w:tplc="1E226E72">
      <w:start w:val="1"/>
      <w:numFmt w:val="bullet"/>
      <w:lvlText w:val=""/>
      <w:lvlJc w:val="left"/>
      <w:pPr>
        <w:tabs>
          <w:tab w:val="num" w:pos="720"/>
        </w:tabs>
        <w:ind w:left="720" w:hanging="360"/>
      </w:pPr>
      <w:rPr>
        <w:rFonts w:ascii="Wingdings 3" w:hAnsi="Wingdings 3" w:hint="default"/>
      </w:rPr>
    </w:lvl>
    <w:lvl w:ilvl="1" w:tplc="9EE40FBC" w:tentative="1">
      <w:start w:val="1"/>
      <w:numFmt w:val="bullet"/>
      <w:lvlText w:val=""/>
      <w:lvlJc w:val="left"/>
      <w:pPr>
        <w:tabs>
          <w:tab w:val="num" w:pos="1440"/>
        </w:tabs>
        <w:ind w:left="1440" w:hanging="360"/>
      </w:pPr>
      <w:rPr>
        <w:rFonts w:ascii="Wingdings 3" w:hAnsi="Wingdings 3" w:hint="default"/>
      </w:rPr>
    </w:lvl>
    <w:lvl w:ilvl="2" w:tplc="226CEBCE" w:tentative="1">
      <w:start w:val="1"/>
      <w:numFmt w:val="bullet"/>
      <w:lvlText w:val=""/>
      <w:lvlJc w:val="left"/>
      <w:pPr>
        <w:tabs>
          <w:tab w:val="num" w:pos="2160"/>
        </w:tabs>
        <w:ind w:left="2160" w:hanging="360"/>
      </w:pPr>
      <w:rPr>
        <w:rFonts w:ascii="Wingdings 3" w:hAnsi="Wingdings 3" w:hint="default"/>
      </w:rPr>
    </w:lvl>
    <w:lvl w:ilvl="3" w:tplc="05AACB36" w:tentative="1">
      <w:start w:val="1"/>
      <w:numFmt w:val="bullet"/>
      <w:lvlText w:val=""/>
      <w:lvlJc w:val="left"/>
      <w:pPr>
        <w:tabs>
          <w:tab w:val="num" w:pos="2880"/>
        </w:tabs>
        <w:ind w:left="2880" w:hanging="360"/>
      </w:pPr>
      <w:rPr>
        <w:rFonts w:ascii="Wingdings 3" w:hAnsi="Wingdings 3" w:hint="default"/>
      </w:rPr>
    </w:lvl>
    <w:lvl w:ilvl="4" w:tplc="858E22DA" w:tentative="1">
      <w:start w:val="1"/>
      <w:numFmt w:val="bullet"/>
      <w:lvlText w:val=""/>
      <w:lvlJc w:val="left"/>
      <w:pPr>
        <w:tabs>
          <w:tab w:val="num" w:pos="3600"/>
        </w:tabs>
        <w:ind w:left="3600" w:hanging="360"/>
      </w:pPr>
      <w:rPr>
        <w:rFonts w:ascii="Wingdings 3" w:hAnsi="Wingdings 3" w:hint="default"/>
      </w:rPr>
    </w:lvl>
    <w:lvl w:ilvl="5" w:tplc="8550B7F6" w:tentative="1">
      <w:start w:val="1"/>
      <w:numFmt w:val="bullet"/>
      <w:lvlText w:val=""/>
      <w:lvlJc w:val="left"/>
      <w:pPr>
        <w:tabs>
          <w:tab w:val="num" w:pos="4320"/>
        </w:tabs>
        <w:ind w:left="4320" w:hanging="360"/>
      </w:pPr>
      <w:rPr>
        <w:rFonts w:ascii="Wingdings 3" w:hAnsi="Wingdings 3" w:hint="default"/>
      </w:rPr>
    </w:lvl>
    <w:lvl w:ilvl="6" w:tplc="F768FC1E" w:tentative="1">
      <w:start w:val="1"/>
      <w:numFmt w:val="bullet"/>
      <w:lvlText w:val=""/>
      <w:lvlJc w:val="left"/>
      <w:pPr>
        <w:tabs>
          <w:tab w:val="num" w:pos="5040"/>
        </w:tabs>
        <w:ind w:left="5040" w:hanging="360"/>
      </w:pPr>
      <w:rPr>
        <w:rFonts w:ascii="Wingdings 3" w:hAnsi="Wingdings 3" w:hint="default"/>
      </w:rPr>
    </w:lvl>
    <w:lvl w:ilvl="7" w:tplc="99B89420" w:tentative="1">
      <w:start w:val="1"/>
      <w:numFmt w:val="bullet"/>
      <w:lvlText w:val=""/>
      <w:lvlJc w:val="left"/>
      <w:pPr>
        <w:tabs>
          <w:tab w:val="num" w:pos="5760"/>
        </w:tabs>
        <w:ind w:left="5760" w:hanging="360"/>
      </w:pPr>
      <w:rPr>
        <w:rFonts w:ascii="Wingdings 3" w:hAnsi="Wingdings 3" w:hint="default"/>
      </w:rPr>
    </w:lvl>
    <w:lvl w:ilvl="8" w:tplc="382653F4" w:tentative="1">
      <w:start w:val="1"/>
      <w:numFmt w:val="bullet"/>
      <w:lvlText w:val=""/>
      <w:lvlJc w:val="left"/>
      <w:pPr>
        <w:tabs>
          <w:tab w:val="num" w:pos="6480"/>
        </w:tabs>
        <w:ind w:left="6480" w:hanging="360"/>
      </w:pPr>
      <w:rPr>
        <w:rFonts w:ascii="Wingdings 3" w:hAnsi="Wingdings 3" w:hint="default"/>
      </w:rPr>
    </w:lvl>
  </w:abstractNum>
  <w:abstractNum w:abstractNumId="2">
    <w:nsid w:val="792847BC"/>
    <w:multiLevelType w:val="hybridMultilevel"/>
    <w:tmpl w:val="66E4B8AA"/>
    <w:lvl w:ilvl="0" w:tplc="0248E3B0">
      <w:start w:val="1"/>
      <w:numFmt w:val="bullet"/>
      <w:lvlText w:val=""/>
      <w:lvlJc w:val="left"/>
      <w:pPr>
        <w:tabs>
          <w:tab w:val="num" w:pos="720"/>
        </w:tabs>
        <w:ind w:left="720" w:hanging="360"/>
      </w:pPr>
      <w:rPr>
        <w:rFonts w:ascii="Wingdings 3" w:hAnsi="Wingdings 3" w:hint="default"/>
      </w:rPr>
    </w:lvl>
    <w:lvl w:ilvl="1" w:tplc="603686FC" w:tentative="1">
      <w:start w:val="1"/>
      <w:numFmt w:val="bullet"/>
      <w:lvlText w:val=""/>
      <w:lvlJc w:val="left"/>
      <w:pPr>
        <w:tabs>
          <w:tab w:val="num" w:pos="1440"/>
        </w:tabs>
        <w:ind w:left="1440" w:hanging="360"/>
      </w:pPr>
      <w:rPr>
        <w:rFonts w:ascii="Wingdings 3" w:hAnsi="Wingdings 3" w:hint="default"/>
      </w:rPr>
    </w:lvl>
    <w:lvl w:ilvl="2" w:tplc="0404485A" w:tentative="1">
      <w:start w:val="1"/>
      <w:numFmt w:val="bullet"/>
      <w:lvlText w:val=""/>
      <w:lvlJc w:val="left"/>
      <w:pPr>
        <w:tabs>
          <w:tab w:val="num" w:pos="2160"/>
        </w:tabs>
        <w:ind w:left="2160" w:hanging="360"/>
      </w:pPr>
      <w:rPr>
        <w:rFonts w:ascii="Wingdings 3" w:hAnsi="Wingdings 3" w:hint="default"/>
      </w:rPr>
    </w:lvl>
    <w:lvl w:ilvl="3" w:tplc="FC561FE0" w:tentative="1">
      <w:start w:val="1"/>
      <w:numFmt w:val="bullet"/>
      <w:lvlText w:val=""/>
      <w:lvlJc w:val="left"/>
      <w:pPr>
        <w:tabs>
          <w:tab w:val="num" w:pos="2880"/>
        </w:tabs>
        <w:ind w:left="2880" w:hanging="360"/>
      </w:pPr>
      <w:rPr>
        <w:rFonts w:ascii="Wingdings 3" w:hAnsi="Wingdings 3" w:hint="default"/>
      </w:rPr>
    </w:lvl>
    <w:lvl w:ilvl="4" w:tplc="27204642" w:tentative="1">
      <w:start w:val="1"/>
      <w:numFmt w:val="bullet"/>
      <w:lvlText w:val=""/>
      <w:lvlJc w:val="left"/>
      <w:pPr>
        <w:tabs>
          <w:tab w:val="num" w:pos="3600"/>
        </w:tabs>
        <w:ind w:left="3600" w:hanging="360"/>
      </w:pPr>
      <w:rPr>
        <w:rFonts w:ascii="Wingdings 3" w:hAnsi="Wingdings 3" w:hint="default"/>
      </w:rPr>
    </w:lvl>
    <w:lvl w:ilvl="5" w:tplc="C67E6826" w:tentative="1">
      <w:start w:val="1"/>
      <w:numFmt w:val="bullet"/>
      <w:lvlText w:val=""/>
      <w:lvlJc w:val="left"/>
      <w:pPr>
        <w:tabs>
          <w:tab w:val="num" w:pos="4320"/>
        </w:tabs>
        <w:ind w:left="4320" w:hanging="360"/>
      </w:pPr>
      <w:rPr>
        <w:rFonts w:ascii="Wingdings 3" w:hAnsi="Wingdings 3" w:hint="default"/>
      </w:rPr>
    </w:lvl>
    <w:lvl w:ilvl="6" w:tplc="0A16570A" w:tentative="1">
      <w:start w:val="1"/>
      <w:numFmt w:val="bullet"/>
      <w:lvlText w:val=""/>
      <w:lvlJc w:val="left"/>
      <w:pPr>
        <w:tabs>
          <w:tab w:val="num" w:pos="5040"/>
        </w:tabs>
        <w:ind w:left="5040" w:hanging="360"/>
      </w:pPr>
      <w:rPr>
        <w:rFonts w:ascii="Wingdings 3" w:hAnsi="Wingdings 3" w:hint="default"/>
      </w:rPr>
    </w:lvl>
    <w:lvl w:ilvl="7" w:tplc="8E526D1C" w:tentative="1">
      <w:start w:val="1"/>
      <w:numFmt w:val="bullet"/>
      <w:lvlText w:val=""/>
      <w:lvlJc w:val="left"/>
      <w:pPr>
        <w:tabs>
          <w:tab w:val="num" w:pos="5760"/>
        </w:tabs>
        <w:ind w:left="5760" w:hanging="360"/>
      </w:pPr>
      <w:rPr>
        <w:rFonts w:ascii="Wingdings 3" w:hAnsi="Wingdings 3" w:hint="default"/>
      </w:rPr>
    </w:lvl>
    <w:lvl w:ilvl="8" w:tplc="44C24612"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E7C"/>
    <w:rsid w:val="00051BFA"/>
    <w:rsid w:val="000634BE"/>
    <w:rsid w:val="00135ADE"/>
    <w:rsid w:val="001824DD"/>
    <w:rsid w:val="001D34BC"/>
    <w:rsid w:val="002045C4"/>
    <w:rsid w:val="00223768"/>
    <w:rsid w:val="002D0B98"/>
    <w:rsid w:val="003566AF"/>
    <w:rsid w:val="00427C86"/>
    <w:rsid w:val="004734D5"/>
    <w:rsid w:val="004A260A"/>
    <w:rsid w:val="004E195E"/>
    <w:rsid w:val="004E45AF"/>
    <w:rsid w:val="00536F21"/>
    <w:rsid w:val="005D7E78"/>
    <w:rsid w:val="00621492"/>
    <w:rsid w:val="00624BE3"/>
    <w:rsid w:val="00661ACE"/>
    <w:rsid w:val="006F5E72"/>
    <w:rsid w:val="007C28BF"/>
    <w:rsid w:val="007F4331"/>
    <w:rsid w:val="00803688"/>
    <w:rsid w:val="00822C5E"/>
    <w:rsid w:val="008E08B9"/>
    <w:rsid w:val="008F1E64"/>
    <w:rsid w:val="0095796E"/>
    <w:rsid w:val="00A0076D"/>
    <w:rsid w:val="00A03120"/>
    <w:rsid w:val="00A17790"/>
    <w:rsid w:val="00A71552"/>
    <w:rsid w:val="00A9640A"/>
    <w:rsid w:val="00AA67F0"/>
    <w:rsid w:val="00AE410B"/>
    <w:rsid w:val="00B36D97"/>
    <w:rsid w:val="00B502A1"/>
    <w:rsid w:val="00B769A5"/>
    <w:rsid w:val="00BA6CA4"/>
    <w:rsid w:val="00BB4636"/>
    <w:rsid w:val="00BD1781"/>
    <w:rsid w:val="00BE6FEA"/>
    <w:rsid w:val="00C03323"/>
    <w:rsid w:val="00C41924"/>
    <w:rsid w:val="00CA3049"/>
    <w:rsid w:val="00D3402B"/>
    <w:rsid w:val="00D554CC"/>
    <w:rsid w:val="00D6331A"/>
    <w:rsid w:val="00D71E7C"/>
    <w:rsid w:val="00E13872"/>
    <w:rsid w:val="00E738F2"/>
    <w:rsid w:val="00E76C7F"/>
    <w:rsid w:val="00E85985"/>
    <w:rsid w:val="00F31E46"/>
    <w:rsid w:val="00FC2BD1"/>
    <w:rsid w:val="00FD1912"/>
    <w:rsid w:val="00FE4A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3C18F1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1E7C"/>
    <w:pPr>
      <w:tabs>
        <w:tab w:val="center" w:pos="4513"/>
        <w:tab w:val="right" w:pos="9026"/>
      </w:tabs>
    </w:pPr>
  </w:style>
  <w:style w:type="character" w:customStyle="1" w:styleId="HeaderChar">
    <w:name w:val="Header Char"/>
    <w:basedOn w:val="DefaultParagraphFont"/>
    <w:link w:val="Header"/>
    <w:uiPriority w:val="99"/>
    <w:rsid w:val="00D71E7C"/>
  </w:style>
  <w:style w:type="paragraph" w:styleId="Footer">
    <w:name w:val="footer"/>
    <w:basedOn w:val="Normal"/>
    <w:link w:val="FooterChar"/>
    <w:uiPriority w:val="99"/>
    <w:unhideWhenUsed/>
    <w:rsid w:val="00D71E7C"/>
    <w:pPr>
      <w:tabs>
        <w:tab w:val="center" w:pos="4513"/>
        <w:tab w:val="right" w:pos="9026"/>
      </w:tabs>
    </w:pPr>
  </w:style>
  <w:style w:type="character" w:customStyle="1" w:styleId="FooterChar">
    <w:name w:val="Footer Char"/>
    <w:basedOn w:val="DefaultParagraphFont"/>
    <w:link w:val="Footer"/>
    <w:uiPriority w:val="99"/>
    <w:rsid w:val="00D71E7C"/>
  </w:style>
  <w:style w:type="character" w:styleId="PageNumber">
    <w:name w:val="page number"/>
    <w:basedOn w:val="DefaultParagraphFont"/>
    <w:uiPriority w:val="99"/>
    <w:semiHidden/>
    <w:unhideWhenUsed/>
    <w:rsid w:val="00D71E7C"/>
  </w:style>
  <w:style w:type="paragraph" w:styleId="NormalWeb">
    <w:name w:val="Normal (Web)"/>
    <w:basedOn w:val="Normal"/>
    <w:uiPriority w:val="99"/>
    <w:semiHidden/>
    <w:unhideWhenUsed/>
    <w:rsid w:val="00621492"/>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C0332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www.education.vic.gov.au/Documents/childhood/providers/edcare/evirefprac.pdf" TargetMode="External"/><Relationship Id="rId21" Type="http://schemas.openxmlformats.org/officeDocument/2006/relationships/hyperlink" Target="https://www.gov.uk/government/uploads/system/uploads/attachment_data/file/175463/Nutbrown-Review.pdf" TargetMode="External"/><Relationship Id="rId22" Type="http://schemas.openxmlformats.org/officeDocument/2006/relationships/hyperlink" Target="https://www.brookes.ac.uk/students/upgrade/study-skills/reflective-writing-gibbs/" TargetMode="External"/><Relationship Id="rId23" Type="http://schemas.openxmlformats.org/officeDocument/2006/relationships/hyperlink" Target="https://shop.pre-school.org.uk/A138/developing-reflective-practice" TargetMode="External"/><Relationship Id="rId24" Type="http://schemas.openxmlformats.org/officeDocument/2006/relationships/hyperlink" Target="https://www.pacey.org.uk/Pacey/media/Website-files/PACEY%20member%20practice%20guides%20(PDFs)/PG04-self-reflective-practice.pdf" TargetMode="External"/><Relationship Id="rId25" Type="http://schemas.openxmlformats.org/officeDocument/2006/relationships/hyperlink" Target="https://www.qcaa.qld.edu.au/downloads/p_10/ey_lt_reflect_teaching_prac.pdf" TargetMode="External"/><Relationship Id="rId26" Type="http://schemas.openxmlformats.org/officeDocument/2006/relationships/hyperlink" Target="http://www.researchomatic.com/Reflective-Essay-151310.html" TargetMode="External"/><Relationship Id="rId27" Type="http://schemas.openxmlformats.org/officeDocument/2006/relationships/hyperlink" Target="https://www.teachingsolutions.com.au/sample_pages/sp_Reflective_Practice.pdf" TargetMode="External"/><Relationship Id="rId28" Type="http://schemas.openxmlformats.org/officeDocument/2006/relationships/hyperlink" Target="http://tru.uni-sz.bg/tsj/Volume2_4/EXPERIENTIAL%20LEARNING.pdf" TargetMode="External"/><Relationship Id="rId29" Type="http://schemas.openxmlformats.org/officeDocument/2006/relationships/hyperlink" Target="http://libweb.surrey.ac.uk/library/skills/Learning,%20Thinking,%20Doing%20OU/T205_1_section16.html"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ro.uow.edu.au/cgi/viewcontent.cgi?article=3155&amp;context=sspapers" TargetMode="External"/><Relationship Id="rId31" Type="http://schemas.openxmlformats.org/officeDocument/2006/relationships/hyperlink" Target="https://www.nurseryworld.co.uk/nursery-world/news/1146874/eppe-eppse-project-education-investment-pays" TargetMode="External"/><Relationship Id="rId32" Type="http://schemas.openxmlformats.org/officeDocument/2006/relationships/hyperlink" Target="https://www.ucl.ac.uk/ioe/research/pdf/Ratios_in_Pre-School_Settings_DfEE.pdf" TargetMode="External"/><Relationship Id="rId9" Type="http://schemas.openxmlformats.org/officeDocument/2006/relationships/hyperlink" Target="https://www.nuffieldfoundation.org/sites/default/files/files/dp1468.pdf" TargetMode="External"/><Relationship Id="rId6" Type="http://schemas.openxmlformats.org/officeDocument/2006/relationships/endnotes" Target="endnotes.xml"/><Relationship Id="rId7" Type="http://schemas.openxmlformats.org/officeDocument/2006/relationships/hyperlink" Target="http://files.acecqa.gov.au/files/QualityInformationSheets/QualityArea1/DevelopingaCultureofLearningThroughReflectivePractice.pdf" TargetMode="External"/><Relationship Id="rId8" Type="http://schemas.openxmlformats.org/officeDocument/2006/relationships/hyperlink" Target="http://ncac.acecqa.gov.au/educator-resources/factsheets/factsheet2.pdf" TargetMode="External"/><Relationship Id="rId33" Type="http://schemas.openxmlformats.org/officeDocument/2006/relationships/hyperlink" Target="http://www.open.edu/openlearn/education/learning-teach-becoming-reflective-practitioner/content-section-6.2" TargetMode="External"/><Relationship Id="rId34" Type="http://schemas.openxmlformats.org/officeDocument/2006/relationships/hyperlink" Target="https://downloads.unicef.org.uk/wp-content/uploads/2010/05/UNCRC_summary-1.pdf?_ga=2.152870203.323317889.1509619938-260990702.1476714319" TargetMode="External"/><Relationship Id="rId35" Type="http://schemas.openxmlformats.org/officeDocument/2006/relationships/hyperlink" Target="https://my.cumbria.ac.uk/media/MyCumbria/Documents/ReflectiveCycleGibbs.pdf" TargetMode="External"/><Relationship Id="rId36" Type="http://schemas.openxmlformats.org/officeDocument/2006/relationships/hyperlink" Target="https://www.kent.ac.uk/learning/PDP-and-employability/pdp/reflective.html" TargetMode="External"/><Relationship Id="rId10" Type="http://schemas.openxmlformats.org/officeDocument/2006/relationships/hyperlink" Target="http://www.yor-ok.org.uk/YorOK-Workforce/Common%20core%20of%20skills%20and%20knowledge%20for%20the%20childrens%20workforce.pdf" TargetMode="External"/><Relationship Id="rId11" Type="http://schemas.openxmlformats.org/officeDocument/2006/relationships/hyperlink" Target="http://webarchive.nationalarchives.gov.uk/20130104164035/https://www.education.gov.uk/childrenandyoungpeople/strategy/integratedworking/a0069013/multi-agency-working" TargetMode="External"/><Relationship Id="rId12" Type="http://schemas.openxmlformats.org/officeDocument/2006/relationships/hyperlink" Target="https://pdfs.semanticscholar.org/c128/691f2615de873dfe544fcb5dc902fe812675.pdf" TargetMode="External"/><Relationship Id="rId13" Type="http://schemas.openxmlformats.org/officeDocument/2006/relationships/hyperlink" Target="http://onlinelibrary.wiley.com/store/10.1111/j.1471-1842.2008.00787.x/asset/j.1471-1842.2008.00787.x.pdf;jsessionid=584DE7E62CFE5C15CD07E9BBDEF141AA.f04t01?v=1&amp;t=j9e2dlxt&amp;s=3aeedf1c76422faf85ed575cf2d323fd32810d0d" TargetMode="External"/><Relationship Id="rId14" Type="http://schemas.openxmlformats.org/officeDocument/2006/relationships/hyperlink" Target="https://theses.ncl.ac.uk/dspace/bitstream/10443/1271/1/Gillen,%20A%2011.pdf" TargetMode="External"/><Relationship Id="rId15" Type="http://schemas.openxmlformats.org/officeDocument/2006/relationships/hyperlink" Target="http://www.bhmed-emanual.org/chapter_2_learning_styles_&#8211;_examples_for_use/strengths_and_weaknesses_of_the_kolb_model" TargetMode="External"/><Relationship Id="rId16" Type="http://schemas.openxmlformats.org/officeDocument/2006/relationships/hyperlink" Target="http://www.eriding.net/easysiteweb/getresource.axd?assetid=356840&amp;type=0&amp;servicetype=1" TargetMode="External"/><Relationship Id="rId17" Type="http://schemas.openxmlformats.org/officeDocument/2006/relationships/hyperlink" Target="https://stlaurentlibrarian.files.wordpress.com/2012/05/experientiallearningtheorypaper.pdf" TargetMode="External"/><Relationship Id="rId18" Type="http://schemas.openxmlformats.org/officeDocument/2006/relationships/hyperlink" Target="http://skillsforlearning.leedsbeckett.ac.uk/preview/content/models/02.shtml" TargetMode="External"/><Relationship Id="rId19" Type="http://schemas.openxmlformats.org/officeDocument/2006/relationships/hyperlink" Target="http://longfordchildcare.ie/reflective-practice-early-years/" TargetMode="External"/><Relationship Id="rId37" Type="http://schemas.openxmlformats.org/officeDocument/2006/relationships/hyperlink" Target="http://www.ttacnews.vcu.edu/2013/02/reflectivepractice/" TargetMode="External"/><Relationship Id="rId38" Type="http://schemas.openxmlformats.org/officeDocument/2006/relationships/hyperlink" Target="http://www.ttacnews.vcu.edu/2013/02/reflectivepractice/" TargetMode="External"/><Relationship Id="rId39" Type="http://schemas.openxmlformats.org/officeDocument/2006/relationships/hyperlink" Target="http://gov.wales/docs/dcells/publications/170926-education-in-wales-en.pdf" TargetMode="External"/><Relationship Id="rId40" Type="http://schemas.openxmlformats.org/officeDocument/2006/relationships/header" Target="header1.xml"/><Relationship Id="rId41" Type="http://schemas.openxmlformats.org/officeDocument/2006/relationships/footer" Target="footer1.xml"/><Relationship Id="rId42" Type="http://schemas.openxmlformats.org/officeDocument/2006/relationships/footer" Target="footer2.xm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TotalTime>
  <Pages>11</Pages>
  <Words>4621</Words>
  <Characters>26346</Characters>
  <Application>Microsoft Macintosh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30906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payne</dc:creator>
  <cp:keywords/>
  <dc:description/>
  <cp:lastModifiedBy>georgia payne</cp:lastModifiedBy>
  <cp:revision>13</cp:revision>
  <dcterms:created xsi:type="dcterms:W3CDTF">2017-10-30T14:29:00Z</dcterms:created>
  <dcterms:modified xsi:type="dcterms:W3CDTF">2017-11-03T09:37:00Z</dcterms:modified>
</cp:coreProperties>
</file>