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Bonjour, Hello! My name is Rosalyn Silvers and my student number is 2317028. I am a student of BA Early Years Education and Care and I am a nursery room leader. Today I am going to explore the benefits of multilingualism in early years children. How we can support English as an additional language in settings, differences in bilingual and monolingual children and promoting divergent thinking in settings. I will link this to theory, framework and programmes.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As Trautner (2019) explains, the benefits of bilingualism on the brains of children under 6 includes greater focus on tasks, discipline and flexibility within the brain. Younger children under the age of 8 have the ability to adapt between languages, unconsciously utilising a natural flexibility in ear and speech muscles which allows them to understand differences between languages.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Carbonara’s (2024) research suggests that children who attended settings which promoted bilingualism had a greater ability to use mental state words, these are words needed to understand inner processes, including physiological, emotional and cognitive understanding. This understanding was present in both languages. Compared to monolingual children, bilingual children could communicate the mental state of others as well as themselves. We began my activity with a quick check in to consider the emotions of ourselves and others. Promoting these research findings.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EMAS (2021) gives practitioners a better understanding of EAL in settings. Understanding that for EAL children, it is normal for them to take longer than monolingual children to speak, converse and show language recognition. It is vital to support the children in communication. Throughout their period of little language demonstration the child will still be actively learning. Inner processes are continuously working. Practitioners could support the child through family partnership by learning helpful words in the home language and getting to know the child's non-verbal communications. Keeping records of the children’s communication styles, behaviours and any helpful information will allow practitioners amongst the setting to have continuity of care throughout the setting. During my activity I used helpful words such as ‘ensemble’ for together and ‘tres bien’ for very good. As these are phrases which will be used daily in the setting and can build the bilingual child’s confidence and comfort within the setting. As well as building on their multilingual schemas according to Piaget’s theory of assimilation.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Using brain scans, researchers have been able to identify differences in the brains of multilingual and monolingual children. Pliatsikas et al (2020) has identified that multilingual children develop more grey matter, used to support connectivity of the brain. Which is lost at a lesser rate than monolinguals over time. Hewings - Martin (2012) outlines the greater neural plasticity multilingual children use regularly through unconsciously choosing the correct language to use in their current conversation. They use more areas of the brain compared to monolinguals which demonstrates greater brain connections. The result of this is that multilinguals adapt better to changes and can divert their attention and focus more easily on different tasks. This is a skill seen to decline during the ageing process which suggests multilinguals will be at an advantage throughout their lives if their multilingualism is nurtured whilst in early years settings. In my activity we did a recognising numbers task linking to a song which used numbers to support the process of adapting to different tasks. This allows every child to join in with the adapting process.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Guilford (1967) relates divergent thinking to greater ability in multilinguals to think with a variety of ideas, changes, elaboration and uniqueness. As described earlier, children with multilingual abilities show greater focus and attention. Which could bring attention to detail in their play. Such as noticing a toy starfish has 5 fins when playing a number game, as represented in my activity where I linked this idea to relate to the numbers activity. In contrast to positives we see across many areas of development for bilinguals, Dimacali (2017) mentions research which suggests that multilinguals may struggle with mathematical problems. Especially in a comprehensive style when not in their mother tongue. This demonstrates the importance of nurturing maths skills alongside multilingualism in the early years. As I have done in my activity. This could develop divergent thinking in bilinguals when dealing with mathematical problems.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Current legislation reflects a new attitude to EAL which has come from research I have already spoken about, as well as the diversity seen in the UK currently. The need for up to date and practical EAL guidance has pushed changes to the EYFS which encourage bilingualism. These include practitioners using the child’s home language in play and learning at the setting, providing appropriate opportunities to expand on their current and emerging language skills. The EYFS gives practitioners a clear instruction to assure language capability is assessed in both English and home language to truly understand if a child is struggling with speech and language or not. Education Scotland (2020) lays out guidance for Scottish schools, such as not holding children back in a lower year group due to language, providing ample opportunities for children to mix with English speaking children, assessing the child’s potential and a practitioners role in getting the child to reach their potential. When planning using this framework it is suggested to ask “What can the bilingual pupil bring to this task?” and “what additional support should be in place?”.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In conclusion it is evident that bilingual or multilingual children can reach their potential when given the opportunities to thrive by the professional practitioner. They may contribute to a kinder and empathetic culture in the setting through greater mental state understanding. When their ability to focus, adapt and notice details is taken into account, divergent thinking in the setting can be allowed to flourish. Creating better play opportunities. As frameworks and curriculums continue to change alongside growing diversity, so should practitioners. This is how a professional and wise practitioner will support multilingual children best. Thank you for listening to my presentation. Au Revoir.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1"/>
        <w:keepNext w:val="0"/>
        <w:keepLines w:val="0"/>
        <w:spacing w:after="360" w:before="0" w:line="360" w:lineRule="auto"/>
        <w:rPr>
          <w:rFonts w:ascii="Times New Roman" w:cs="Times New Roman" w:eastAsia="Times New Roman" w:hAnsi="Times New Roman"/>
          <w:b w:val="1"/>
          <w:sz w:val="36"/>
          <w:szCs w:val="36"/>
        </w:rPr>
      </w:pPr>
      <w:bookmarkStart w:colFirst="0" w:colLast="0" w:name="_12aafbgpky2r" w:id="0"/>
      <w:bookmarkEnd w:id="0"/>
      <w:r w:rsidDel="00000000" w:rsidR="00000000" w:rsidRPr="00000000">
        <w:rPr>
          <w:rFonts w:ascii="Times New Roman" w:cs="Times New Roman" w:eastAsia="Times New Roman" w:hAnsi="Times New Roman"/>
          <w:b w:val="1"/>
          <w:sz w:val="36"/>
          <w:szCs w:val="36"/>
          <w:rtl w:val="0"/>
        </w:rPr>
        <w:t xml:space="preserve">Reference list</w:t>
      </w:r>
    </w:p>
    <w:p w:rsidR="00000000" w:rsidDel="00000000" w:rsidP="00000000" w:rsidRDefault="00000000" w:rsidRPr="00000000" w14:paraId="0000001A">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Carbonara, V. (2024). The benefits of multilingual pedagogies for multilingual children’s narrative abilities. </w:t>
      </w:r>
      <w:r w:rsidDel="00000000" w:rsidR="00000000" w:rsidRPr="00000000">
        <w:rPr>
          <w:rFonts w:ascii="Times New Roman" w:cs="Times New Roman" w:eastAsia="Times New Roman" w:hAnsi="Times New Roman"/>
          <w:i w:val="1"/>
          <w:sz w:val="24"/>
          <w:szCs w:val="24"/>
          <w:rtl w:val="0"/>
        </w:rPr>
        <w:t xml:space="preserve">International Journal of Multilingualism</w:t>
      </w:r>
      <w:r w:rsidDel="00000000" w:rsidR="00000000" w:rsidRPr="00000000">
        <w:rPr>
          <w:rFonts w:ascii="Times New Roman" w:cs="Times New Roman" w:eastAsia="Times New Roman" w:hAnsi="Times New Roman"/>
          <w:sz w:val="24"/>
          <w:szCs w:val="24"/>
          <w:rtl w:val="0"/>
        </w:rPr>
        <w:t xml:space="preserve">, 21(2), pp.645–669. doi:https://doi.org/10.1080/14790718.2022.2148675..</w:t>
      </w:r>
    </w:p>
    <w:p w:rsidR="00000000" w:rsidDel="00000000" w:rsidP="00000000" w:rsidRDefault="00000000" w:rsidRPr="00000000" w14:paraId="0000001B">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Dimacali, T.J. (2017). </w:t>
      </w:r>
      <w:r w:rsidDel="00000000" w:rsidR="00000000" w:rsidRPr="00000000">
        <w:rPr>
          <w:rFonts w:ascii="Times New Roman" w:cs="Times New Roman" w:eastAsia="Times New Roman" w:hAnsi="Times New Roman"/>
          <w:i w:val="1"/>
          <w:sz w:val="24"/>
          <w:szCs w:val="24"/>
          <w:rtl w:val="0"/>
        </w:rPr>
        <w:t xml:space="preserve">Brains of Bilingual People Solve Math Problems Differently</w:t>
      </w:r>
      <w:r w:rsidDel="00000000" w:rsidR="00000000" w:rsidRPr="00000000">
        <w:rPr>
          <w:rFonts w:ascii="Times New Roman" w:cs="Times New Roman" w:eastAsia="Times New Roman" w:hAnsi="Times New Roman"/>
          <w:sz w:val="24"/>
          <w:szCs w:val="24"/>
          <w:rtl w:val="0"/>
        </w:rPr>
        <w:t xml:space="preserve">. [online] www.pbs.org. Available at: https://www.pbs.org/wgbh/nova/article/brains-of-bilingual-people-solve-math-problems-differently/ [Accessed 15 Apr. 2024].</w:t>
      </w:r>
    </w:p>
    <w:p w:rsidR="00000000" w:rsidDel="00000000" w:rsidP="00000000" w:rsidRDefault="00000000" w:rsidRPr="00000000" w14:paraId="0000001C">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Early years foundation stage statutory framework For group and school-based providers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D">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Education Scotland (2020). </w:t>
      </w:r>
      <w:r w:rsidDel="00000000" w:rsidR="00000000" w:rsidRPr="00000000">
        <w:rPr>
          <w:rFonts w:ascii="Times New Roman" w:cs="Times New Roman" w:eastAsia="Times New Roman" w:hAnsi="Times New Roman"/>
          <w:i w:val="1"/>
          <w:sz w:val="24"/>
          <w:szCs w:val="24"/>
          <w:rtl w:val="0"/>
        </w:rPr>
        <w:t xml:space="preserve">Learning in two languages</w:t>
      </w:r>
      <w:r w:rsidDel="00000000" w:rsidR="00000000" w:rsidRPr="00000000">
        <w:rPr>
          <w:rFonts w:ascii="Times New Roman" w:cs="Times New Roman" w:eastAsia="Times New Roman" w:hAnsi="Times New Roman"/>
          <w:sz w:val="24"/>
          <w:szCs w:val="24"/>
          <w:rtl w:val="0"/>
        </w:rPr>
        <w:t xml:space="preserve">. [online] Learning and teaching scotland. Available at: https://education.gov.scot/media/y5jfn5gg/learning_in_two_languages.pdf.</w:t>
      </w:r>
    </w:p>
    <w:p w:rsidR="00000000" w:rsidDel="00000000" w:rsidP="00000000" w:rsidRDefault="00000000" w:rsidRPr="00000000" w14:paraId="0000001E">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EMAS (2021). </w:t>
      </w:r>
      <w:r w:rsidDel="00000000" w:rsidR="00000000" w:rsidRPr="00000000">
        <w:rPr>
          <w:rFonts w:ascii="Times New Roman" w:cs="Times New Roman" w:eastAsia="Times New Roman" w:hAnsi="Times New Roman"/>
          <w:i w:val="1"/>
          <w:sz w:val="24"/>
          <w:szCs w:val="24"/>
          <w:rtl w:val="0"/>
        </w:rPr>
        <w:t xml:space="preserve">Understanding the steps of learning for children with English as an Additional Language in the Early Years</w:t>
      </w:r>
      <w:r w:rsidDel="00000000" w:rsidR="00000000" w:rsidRPr="00000000">
        <w:rPr>
          <w:rFonts w:ascii="Times New Roman" w:cs="Times New Roman" w:eastAsia="Times New Roman" w:hAnsi="Times New Roman"/>
          <w:sz w:val="24"/>
          <w:szCs w:val="24"/>
          <w:rtl w:val="0"/>
        </w:rPr>
        <w:t xml:space="preserve">. [online] London: Brighton and Hove City Council. Available at: https://birthto5matters.org.uk/wp-content/uploads/2021/03/Understanding-the-steps-of-learning-for-children-with-EAL-in-the-Early-Years-21.3.17.pdf [Accessed 15 Apr. 2024].</w:t>
      </w:r>
    </w:p>
    <w:p w:rsidR="00000000" w:rsidDel="00000000" w:rsidP="00000000" w:rsidRDefault="00000000" w:rsidRPr="00000000" w14:paraId="0000001F">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Hewings - Martin, Y. (2017). </w:t>
      </w:r>
      <w:r w:rsidDel="00000000" w:rsidR="00000000" w:rsidRPr="00000000">
        <w:rPr>
          <w:rFonts w:ascii="Times New Roman" w:cs="Times New Roman" w:eastAsia="Times New Roman" w:hAnsi="Times New Roman"/>
          <w:i w:val="1"/>
          <w:sz w:val="24"/>
          <w:szCs w:val="24"/>
          <w:rtl w:val="0"/>
        </w:rPr>
        <w:t xml:space="preserve">Bilingualism: What happens in the brain?</w:t>
      </w:r>
      <w:r w:rsidDel="00000000" w:rsidR="00000000" w:rsidRPr="00000000">
        <w:rPr>
          <w:rFonts w:ascii="Times New Roman" w:cs="Times New Roman" w:eastAsia="Times New Roman" w:hAnsi="Times New Roman"/>
          <w:sz w:val="24"/>
          <w:szCs w:val="24"/>
          <w:rtl w:val="0"/>
        </w:rPr>
        <w:t xml:space="preserve"> [online] www.medicalnewstoday.com. Available at: https://www.medicalnewstoday.com/articles/319642#Dispelling-myths [Accessed 11 Nov. 2023].</w:t>
      </w:r>
    </w:p>
    <w:p w:rsidR="00000000" w:rsidDel="00000000" w:rsidP="00000000" w:rsidRDefault="00000000" w:rsidRPr="00000000" w14:paraId="00000020">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Joy Paul Guilford (1967). </w:t>
      </w:r>
      <w:r w:rsidDel="00000000" w:rsidR="00000000" w:rsidRPr="00000000">
        <w:rPr>
          <w:rFonts w:ascii="Times New Roman" w:cs="Times New Roman" w:eastAsia="Times New Roman" w:hAnsi="Times New Roman"/>
          <w:i w:val="1"/>
          <w:sz w:val="24"/>
          <w:szCs w:val="24"/>
          <w:rtl w:val="0"/>
        </w:rPr>
        <w:t xml:space="preserve">The nature of human intelligence</w:t>
      </w:r>
      <w:r w:rsidDel="00000000" w:rsidR="00000000" w:rsidRPr="00000000">
        <w:rPr>
          <w:rFonts w:ascii="Times New Roman" w:cs="Times New Roman" w:eastAsia="Times New Roman" w:hAnsi="Times New Roman"/>
          <w:sz w:val="24"/>
          <w:szCs w:val="24"/>
          <w:rtl w:val="0"/>
        </w:rPr>
        <w:t xml:space="preserve">. London: McGraw-Hill .</w:t>
      </w:r>
    </w:p>
    <w:p w:rsidR="00000000" w:rsidDel="00000000" w:rsidP="00000000" w:rsidRDefault="00000000" w:rsidRPr="00000000" w14:paraId="00000021">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Paris, Ricardo, Raymond and Johnson (2019). </w:t>
      </w:r>
      <w:r w:rsidDel="00000000" w:rsidR="00000000" w:rsidRPr="00000000">
        <w:rPr>
          <w:rFonts w:ascii="Times New Roman" w:cs="Times New Roman" w:eastAsia="Times New Roman" w:hAnsi="Times New Roman"/>
          <w:i w:val="1"/>
          <w:sz w:val="24"/>
          <w:szCs w:val="24"/>
          <w:rtl w:val="0"/>
        </w:rPr>
        <w:t xml:space="preserve">11.10: Theories of Language Development</w:t>
      </w:r>
      <w:r w:rsidDel="00000000" w:rsidR="00000000" w:rsidRPr="00000000">
        <w:rPr>
          <w:rFonts w:ascii="Times New Roman" w:cs="Times New Roman" w:eastAsia="Times New Roman" w:hAnsi="Times New Roman"/>
          <w:sz w:val="24"/>
          <w:szCs w:val="24"/>
          <w:rtl w:val="0"/>
        </w:rPr>
        <w:t xml:space="preserve">. [online] Social Sci LibreTexts. Available at: https://socialsci.libretexts.org/Bookshelves/Early_Childhood_Education/Book%3A_Child_Growth_and_Development_(Paris_Ricardo_Rymond_and_Johnson)/11%3A_Middle_Childhood_-_Cognitive__Development/11.10%3A_Theories_of_Language_Development [Accessed 15 Apr. 2024].</w:t>
      </w:r>
    </w:p>
    <w:p w:rsidR="00000000" w:rsidDel="00000000" w:rsidP="00000000" w:rsidRDefault="00000000" w:rsidRPr="00000000" w14:paraId="00000022">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Pliatsikas, C., Meteyard, L., Veríssimo, J., DeLuca, V., Shattuck, K. and Ullman, M.T. (2020). The effect of bilingualism on brain development from early childhood to young adulthood. </w:t>
      </w:r>
      <w:r w:rsidDel="00000000" w:rsidR="00000000" w:rsidRPr="00000000">
        <w:rPr>
          <w:rFonts w:ascii="Times New Roman" w:cs="Times New Roman" w:eastAsia="Times New Roman" w:hAnsi="Times New Roman"/>
          <w:i w:val="1"/>
          <w:sz w:val="24"/>
          <w:szCs w:val="24"/>
          <w:rtl w:val="0"/>
        </w:rPr>
        <w:t xml:space="preserve">Brain Structure and Function</w:t>
      </w:r>
      <w:r w:rsidDel="00000000" w:rsidR="00000000" w:rsidRPr="00000000">
        <w:rPr>
          <w:rFonts w:ascii="Times New Roman" w:cs="Times New Roman" w:eastAsia="Times New Roman" w:hAnsi="Times New Roman"/>
          <w:sz w:val="24"/>
          <w:szCs w:val="24"/>
          <w:rtl w:val="0"/>
        </w:rPr>
        <w:t xml:space="preserve">, [online] 225(7), pp.2131–2152. doi:https://doi.org/10.1007/s00429-020-02115-5.</w:t>
      </w:r>
    </w:p>
    <w:p w:rsidR="00000000" w:rsidDel="00000000" w:rsidP="00000000" w:rsidRDefault="00000000" w:rsidRPr="00000000" w14:paraId="00000023">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Trautner, T. (2019). </w:t>
      </w:r>
      <w:r w:rsidDel="00000000" w:rsidR="00000000" w:rsidRPr="00000000">
        <w:rPr>
          <w:rFonts w:ascii="Times New Roman" w:cs="Times New Roman" w:eastAsia="Times New Roman" w:hAnsi="Times New Roman"/>
          <w:i w:val="1"/>
          <w:sz w:val="24"/>
          <w:szCs w:val="24"/>
          <w:rtl w:val="0"/>
        </w:rPr>
        <w:t xml:space="preserve">Advantages of a bilingual brain</w:t>
      </w:r>
      <w:r w:rsidDel="00000000" w:rsidR="00000000" w:rsidRPr="00000000">
        <w:rPr>
          <w:rFonts w:ascii="Times New Roman" w:cs="Times New Roman" w:eastAsia="Times New Roman" w:hAnsi="Times New Roman"/>
          <w:sz w:val="24"/>
          <w:szCs w:val="24"/>
          <w:rtl w:val="0"/>
        </w:rPr>
        <w:t xml:space="preserve">. [online] Michigan State University. Available at: https://www.canr.msu.edu/news/advantages_of_a_bilingual_brain.</w:t>
      </w:r>
    </w:p>
    <w:p w:rsidR="00000000" w:rsidDel="00000000" w:rsidP="00000000" w:rsidRDefault="00000000" w:rsidRPr="00000000" w14:paraId="0000002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