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103F4" w14:textId="1E019E6C" w:rsidR="00195F40" w:rsidRPr="008C341D" w:rsidRDefault="00195F40" w:rsidP="00195F40">
      <w:pPr>
        <w:spacing w:line="360" w:lineRule="auto"/>
        <w:rPr>
          <w:rFonts w:ascii="Arial" w:hAnsi="Arial" w:cs="Arial"/>
          <w:sz w:val="23"/>
          <w:szCs w:val="23"/>
        </w:rPr>
      </w:pPr>
      <w:r w:rsidRPr="008C341D">
        <w:rPr>
          <w:rFonts w:ascii="Arial" w:hAnsi="Arial" w:cs="Arial"/>
          <w:sz w:val="23"/>
          <w:szCs w:val="23"/>
        </w:rPr>
        <w:t>Name: Portia Amankonah</w:t>
      </w:r>
    </w:p>
    <w:p w14:paraId="7D9181ED" w14:textId="77777777" w:rsidR="00195F40" w:rsidRPr="008C341D" w:rsidRDefault="00195F40" w:rsidP="00195F40">
      <w:pPr>
        <w:spacing w:line="360" w:lineRule="auto"/>
        <w:rPr>
          <w:rFonts w:ascii="Arial" w:hAnsi="Arial" w:cs="Arial"/>
          <w:sz w:val="23"/>
          <w:szCs w:val="23"/>
        </w:rPr>
      </w:pPr>
    </w:p>
    <w:p w14:paraId="52325C94" w14:textId="77777777" w:rsidR="00195F40" w:rsidRPr="008C341D" w:rsidRDefault="00195F40" w:rsidP="00195F40">
      <w:pPr>
        <w:spacing w:line="360" w:lineRule="auto"/>
        <w:rPr>
          <w:rFonts w:ascii="Arial" w:hAnsi="Arial" w:cs="Arial"/>
          <w:sz w:val="23"/>
          <w:szCs w:val="23"/>
        </w:rPr>
      </w:pPr>
    </w:p>
    <w:p w14:paraId="711680CA" w14:textId="77777777" w:rsidR="00195F40" w:rsidRPr="008C341D" w:rsidRDefault="00195F40" w:rsidP="00195F40">
      <w:pPr>
        <w:spacing w:line="360" w:lineRule="auto"/>
        <w:rPr>
          <w:rFonts w:ascii="Arial" w:hAnsi="Arial" w:cs="Arial"/>
          <w:sz w:val="23"/>
          <w:szCs w:val="23"/>
        </w:rPr>
      </w:pPr>
    </w:p>
    <w:p w14:paraId="0757BC39" w14:textId="77777777" w:rsidR="00195F40" w:rsidRPr="008C341D" w:rsidRDefault="00195F40" w:rsidP="00195F40">
      <w:pPr>
        <w:spacing w:line="360" w:lineRule="auto"/>
        <w:rPr>
          <w:rFonts w:ascii="Arial" w:hAnsi="Arial" w:cs="Arial"/>
          <w:sz w:val="23"/>
          <w:szCs w:val="23"/>
        </w:rPr>
      </w:pPr>
    </w:p>
    <w:p w14:paraId="4BDC8D7B" w14:textId="77777777" w:rsidR="00195F40" w:rsidRPr="008C341D" w:rsidRDefault="00195F40" w:rsidP="00195F40">
      <w:pPr>
        <w:spacing w:line="360" w:lineRule="auto"/>
        <w:rPr>
          <w:rFonts w:ascii="Arial" w:hAnsi="Arial" w:cs="Arial"/>
          <w:sz w:val="23"/>
          <w:szCs w:val="23"/>
        </w:rPr>
      </w:pPr>
    </w:p>
    <w:p w14:paraId="672C790E" w14:textId="77777777" w:rsidR="00195F40" w:rsidRPr="008C341D" w:rsidRDefault="00195F40" w:rsidP="00195F40">
      <w:pPr>
        <w:spacing w:line="360" w:lineRule="auto"/>
        <w:rPr>
          <w:rFonts w:ascii="Arial" w:hAnsi="Arial" w:cs="Arial"/>
          <w:sz w:val="23"/>
          <w:szCs w:val="23"/>
        </w:rPr>
      </w:pPr>
      <w:r w:rsidRPr="008C341D">
        <w:rPr>
          <w:rFonts w:ascii="Arial" w:hAnsi="Arial" w:cs="Arial"/>
          <w:sz w:val="23"/>
          <w:szCs w:val="23"/>
        </w:rPr>
        <w:t>Student number: 2426673</w:t>
      </w:r>
    </w:p>
    <w:p w14:paraId="302CF1F7" w14:textId="77777777" w:rsidR="00195F40" w:rsidRPr="008C341D" w:rsidRDefault="00195F40" w:rsidP="00195F40">
      <w:pPr>
        <w:spacing w:line="360" w:lineRule="auto"/>
        <w:rPr>
          <w:rFonts w:ascii="Arial" w:hAnsi="Arial" w:cs="Arial"/>
          <w:sz w:val="23"/>
          <w:szCs w:val="23"/>
        </w:rPr>
      </w:pPr>
    </w:p>
    <w:p w14:paraId="474B6F71" w14:textId="77777777" w:rsidR="00195F40" w:rsidRPr="008C341D" w:rsidRDefault="00195F40" w:rsidP="00195F40">
      <w:pPr>
        <w:spacing w:line="360" w:lineRule="auto"/>
        <w:rPr>
          <w:rFonts w:ascii="Arial" w:hAnsi="Arial" w:cs="Arial"/>
          <w:sz w:val="23"/>
          <w:szCs w:val="23"/>
        </w:rPr>
      </w:pPr>
    </w:p>
    <w:p w14:paraId="33FF0C4E" w14:textId="77777777" w:rsidR="00195F40" w:rsidRPr="008C341D" w:rsidRDefault="00195F40" w:rsidP="00195F40">
      <w:pPr>
        <w:spacing w:line="360" w:lineRule="auto"/>
        <w:rPr>
          <w:rFonts w:ascii="Arial" w:hAnsi="Arial" w:cs="Arial"/>
          <w:sz w:val="23"/>
          <w:szCs w:val="23"/>
        </w:rPr>
      </w:pPr>
    </w:p>
    <w:p w14:paraId="5A87E666" w14:textId="77777777" w:rsidR="00195F40" w:rsidRPr="008C341D" w:rsidRDefault="00195F40" w:rsidP="00195F40">
      <w:pPr>
        <w:spacing w:line="360" w:lineRule="auto"/>
        <w:rPr>
          <w:rFonts w:ascii="Arial" w:hAnsi="Arial" w:cs="Arial"/>
          <w:sz w:val="23"/>
          <w:szCs w:val="23"/>
        </w:rPr>
      </w:pPr>
    </w:p>
    <w:p w14:paraId="2A9EBDA2" w14:textId="77777777" w:rsidR="00195F40" w:rsidRPr="008C341D" w:rsidRDefault="00195F40" w:rsidP="00195F40">
      <w:pPr>
        <w:spacing w:line="360" w:lineRule="auto"/>
        <w:rPr>
          <w:rFonts w:ascii="Arial" w:hAnsi="Arial" w:cs="Arial"/>
          <w:sz w:val="23"/>
          <w:szCs w:val="23"/>
        </w:rPr>
      </w:pPr>
    </w:p>
    <w:p w14:paraId="26DDBCE1" w14:textId="77777777" w:rsidR="00195F40" w:rsidRPr="008C341D" w:rsidRDefault="00195F40" w:rsidP="00195F40">
      <w:pPr>
        <w:spacing w:line="360" w:lineRule="auto"/>
        <w:rPr>
          <w:rFonts w:ascii="Arial" w:hAnsi="Arial" w:cs="Arial"/>
          <w:sz w:val="23"/>
          <w:szCs w:val="23"/>
        </w:rPr>
      </w:pPr>
    </w:p>
    <w:p w14:paraId="23A3D317" w14:textId="0703207A" w:rsidR="00195F40" w:rsidRPr="008C341D" w:rsidRDefault="00195F40" w:rsidP="00195F40">
      <w:pPr>
        <w:spacing w:before="120" w:after="120"/>
        <w:rPr>
          <w:rFonts w:ascii="Arial" w:hAnsi="Arial" w:cs="Arial"/>
          <w:b/>
          <w:sz w:val="23"/>
          <w:szCs w:val="23"/>
          <w:lang w:eastAsia="zh-CN"/>
        </w:rPr>
      </w:pPr>
      <w:r w:rsidRPr="008C341D">
        <w:rPr>
          <w:rFonts w:ascii="Arial" w:hAnsi="Arial" w:cs="Arial"/>
          <w:sz w:val="23"/>
          <w:szCs w:val="23"/>
        </w:rPr>
        <w:t xml:space="preserve">Module: Principles of Care in Health and Social Care </w:t>
      </w:r>
    </w:p>
    <w:p w14:paraId="5EE5DA8B" w14:textId="77777777" w:rsidR="00195F40" w:rsidRPr="008C341D" w:rsidRDefault="00195F40" w:rsidP="00195F40">
      <w:pPr>
        <w:spacing w:line="360" w:lineRule="auto"/>
        <w:rPr>
          <w:rFonts w:ascii="Arial" w:hAnsi="Arial" w:cs="Arial"/>
          <w:sz w:val="23"/>
          <w:szCs w:val="23"/>
        </w:rPr>
      </w:pPr>
    </w:p>
    <w:p w14:paraId="32FDE163" w14:textId="77777777" w:rsidR="00195F40" w:rsidRPr="008C341D" w:rsidRDefault="00195F40" w:rsidP="00195F40">
      <w:pPr>
        <w:spacing w:line="360" w:lineRule="auto"/>
        <w:rPr>
          <w:rFonts w:ascii="Arial" w:hAnsi="Arial" w:cs="Arial"/>
          <w:sz w:val="23"/>
          <w:szCs w:val="23"/>
        </w:rPr>
      </w:pPr>
    </w:p>
    <w:p w14:paraId="50BC531A" w14:textId="77777777" w:rsidR="00195F40" w:rsidRPr="008C341D" w:rsidRDefault="00195F40" w:rsidP="00195F40">
      <w:pPr>
        <w:spacing w:line="360" w:lineRule="auto"/>
        <w:rPr>
          <w:rFonts w:ascii="Arial" w:hAnsi="Arial" w:cs="Arial"/>
          <w:sz w:val="23"/>
          <w:szCs w:val="23"/>
        </w:rPr>
      </w:pPr>
    </w:p>
    <w:p w14:paraId="63CCF8DD" w14:textId="77777777" w:rsidR="00195F40" w:rsidRPr="008C341D" w:rsidRDefault="00195F40" w:rsidP="00195F40">
      <w:pPr>
        <w:spacing w:line="360" w:lineRule="auto"/>
        <w:rPr>
          <w:rFonts w:ascii="Arial" w:hAnsi="Arial" w:cs="Arial"/>
          <w:sz w:val="23"/>
          <w:szCs w:val="23"/>
        </w:rPr>
      </w:pPr>
    </w:p>
    <w:p w14:paraId="1C5714FF" w14:textId="77777777" w:rsidR="002B18DF" w:rsidRPr="008C341D" w:rsidRDefault="002B18DF" w:rsidP="002B18DF">
      <w:pPr>
        <w:spacing w:line="360" w:lineRule="auto"/>
        <w:rPr>
          <w:rFonts w:ascii="Arial" w:hAnsi="Arial" w:cs="Arial"/>
          <w:sz w:val="23"/>
          <w:szCs w:val="23"/>
        </w:rPr>
      </w:pPr>
    </w:p>
    <w:p w14:paraId="492F7550" w14:textId="53CD2AAA" w:rsidR="00195F40" w:rsidRPr="008C341D" w:rsidRDefault="002B18DF" w:rsidP="002B18DF">
      <w:pPr>
        <w:spacing w:line="360" w:lineRule="auto"/>
        <w:rPr>
          <w:rFonts w:ascii="Arial" w:hAnsi="Arial" w:cs="Arial"/>
          <w:sz w:val="23"/>
          <w:szCs w:val="23"/>
        </w:rPr>
      </w:pPr>
      <w:r w:rsidRPr="008C341D">
        <w:rPr>
          <w:rFonts w:ascii="Arial" w:hAnsi="Arial" w:cs="Arial"/>
          <w:sz w:val="23"/>
          <w:szCs w:val="23"/>
        </w:rPr>
        <w:t xml:space="preserve">Principles of Health and Social Care </w:t>
      </w:r>
      <w:r w:rsidR="006D74C9" w:rsidRPr="008C341D">
        <w:rPr>
          <w:rFonts w:ascii="Arial" w:hAnsi="Arial" w:cs="Arial"/>
          <w:sz w:val="23"/>
          <w:szCs w:val="23"/>
        </w:rPr>
        <w:t>Practice: A Reflective Report</w:t>
      </w:r>
    </w:p>
    <w:p w14:paraId="3CB452CF" w14:textId="77777777" w:rsidR="00195F40" w:rsidRPr="008C341D" w:rsidRDefault="00195F40" w:rsidP="00195F40">
      <w:pPr>
        <w:spacing w:line="360" w:lineRule="auto"/>
        <w:rPr>
          <w:rFonts w:ascii="Arial" w:hAnsi="Arial" w:cs="Arial"/>
          <w:sz w:val="23"/>
          <w:szCs w:val="23"/>
        </w:rPr>
      </w:pPr>
    </w:p>
    <w:p w14:paraId="6CD99362" w14:textId="77777777" w:rsidR="00195F40" w:rsidRPr="008C341D" w:rsidRDefault="00195F40" w:rsidP="00195F40">
      <w:pPr>
        <w:spacing w:line="360" w:lineRule="auto"/>
        <w:rPr>
          <w:rFonts w:ascii="Arial" w:hAnsi="Arial" w:cs="Arial"/>
          <w:sz w:val="23"/>
          <w:szCs w:val="23"/>
        </w:rPr>
      </w:pPr>
    </w:p>
    <w:p w14:paraId="356553E3" w14:textId="5A4C4694" w:rsidR="00B40EE8" w:rsidRPr="008C341D" w:rsidRDefault="00B40EE8">
      <w:pPr>
        <w:rPr>
          <w:rFonts w:ascii="Arial" w:hAnsi="Arial" w:cs="Arial"/>
          <w:sz w:val="23"/>
          <w:szCs w:val="23"/>
        </w:rPr>
      </w:pPr>
    </w:p>
    <w:p w14:paraId="16C32034" w14:textId="77777777" w:rsidR="00B40EE8" w:rsidRPr="008C341D" w:rsidRDefault="00B40EE8">
      <w:pPr>
        <w:rPr>
          <w:rFonts w:ascii="Arial" w:hAnsi="Arial" w:cs="Arial"/>
          <w:sz w:val="23"/>
          <w:szCs w:val="23"/>
        </w:rPr>
      </w:pPr>
    </w:p>
    <w:p w14:paraId="5C805B13" w14:textId="77777777" w:rsidR="000A39EA" w:rsidRPr="008C341D" w:rsidRDefault="000A39EA" w:rsidP="00B40EE8">
      <w:pPr>
        <w:rPr>
          <w:rFonts w:ascii="Arial" w:hAnsi="Arial" w:cs="Arial"/>
          <w:sz w:val="23"/>
          <w:szCs w:val="23"/>
        </w:rPr>
      </w:pPr>
    </w:p>
    <w:p w14:paraId="115B785D" w14:textId="77777777" w:rsidR="000A39EA" w:rsidRPr="008C341D" w:rsidRDefault="000A39EA" w:rsidP="00B40EE8">
      <w:pPr>
        <w:rPr>
          <w:rFonts w:ascii="Arial" w:hAnsi="Arial" w:cs="Arial"/>
          <w:sz w:val="23"/>
          <w:szCs w:val="23"/>
        </w:rPr>
      </w:pPr>
    </w:p>
    <w:p w14:paraId="4120C979" w14:textId="4332DD2A" w:rsidR="00B40EE8" w:rsidRPr="008C341D" w:rsidRDefault="0004501F" w:rsidP="00B40EE8">
      <w:pPr>
        <w:rPr>
          <w:rFonts w:ascii="Arial" w:hAnsi="Arial" w:cs="Arial"/>
          <w:b/>
          <w:bCs/>
          <w:sz w:val="23"/>
          <w:szCs w:val="23"/>
        </w:rPr>
      </w:pPr>
      <w:r w:rsidRPr="008C341D">
        <w:rPr>
          <w:rFonts w:ascii="Arial" w:hAnsi="Arial" w:cs="Arial"/>
          <w:b/>
          <w:bCs/>
          <w:sz w:val="23"/>
          <w:szCs w:val="23"/>
        </w:rPr>
        <w:lastRenderedPageBreak/>
        <w:t>INTRODUCTION:</w:t>
      </w:r>
    </w:p>
    <w:p w14:paraId="21DE0020" w14:textId="7069C0CD" w:rsidR="00B40EE8" w:rsidRPr="008C341D" w:rsidRDefault="00B40EE8" w:rsidP="00B40EE8">
      <w:pPr>
        <w:rPr>
          <w:rFonts w:ascii="Arial" w:hAnsi="Arial" w:cs="Arial"/>
          <w:sz w:val="23"/>
          <w:szCs w:val="23"/>
        </w:rPr>
      </w:pPr>
      <w:r w:rsidRPr="008C341D">
        <w:rPr>
          <w:rFonts w:ascii="Arial" w:hAnsi="Arial" w:cs="Arial"/>
          <w:sz w:val="23"/>
          <w:szCs w:val="23"/>
        </w:rPr>
        <w:t xml:space="preserve">This report examines how foundational principles shape practice within </w:t>
      </w:r>
      <w:r w:rsidR="0004501F" w:rsidRPr="008C341D">
        <w:rPr>
          <w:rFonts w:ascii="Arial" w:hAnsi="Arial" w:cs="Arial"/>
          <w:sz w:val="23"/>
          <w:szCs w:val="23"/>
        </w:rPr>
        <w:t xml:space="preserve">the </w:t>
      </w:r>
      <w:r w:rsidRPr="008C341D">
        <w:rPr>
          <w:rFonts w:ascii="Arial" w:hAnsi="Arial" w:cs="Arial"/>
          <w:sz w:val="23"/>
          <w:szCs w:val="23"/>
        </w:rPr>
        <w:t xml:space="preserve">United </w:t>
      </w:r>
      <w:r w:rsidR="006D74C9" w:rsidRPr="008C341D">
        <w:rPr>
          <w:rFonts w:ascii="Arial" w:hAnsi="Arial" w:cs="Arial"/>
          <w:sz w:val="23"/>
          <w:szCs w:val="23"/>
        </w:rPr>
        <w:t>Kingdom's</w:t>
      </w:r>
      <w:r w:rsidRPr="008C341D">
        <w:rPr>
          <w:rFonts w:ascii="Arial" w:hAnsi="Arial" w:cs="Arial"/>
          <w:sz w:val="23"/>
          <w:szCs w:val="23"/>
        </w:rPr>
        <w:t xml:space="preserve"> health and social care</w:t>
      </w:r>
      <w:r w:rsidR="006D74C9" w:rsidRPr="008C341D">
        <w:rPr>
          <w:rFonts w:ascii="Arial" w:hAnsi="Arial" w:cs="Arial"/>
          <w:sz w:val="23"/>
          <w:szCs w:val="23"/>
        </w:rPr>
        <w:t xml:space="preserve"> sector</w:t>
      </w:r>
      <w:r w:rsidRPr="008C341D">
        <w:rPr>
          <w:rFonts w:ascii="Arial" w:hAnsi="Arial" w:cs="Arial"/>
          <w:sz w:val="23"/>
          <w:szCs w:val="23"/>
        </w:rPr>
        <w:t>, focusing on person-centred care, partnership working, and ethics. These principles guide practitioners to deliver safe, compassionate, and effective care that meets the diverse needs of service users. The report critically explores how these principles influence professional judgement, collaborative practice, and decision-making in both clinical and community contexts.</w:t>
      </w:r>
    </w:p>
    <w:p w14:paraId="5CB784F2" w14:textId="77777777" w:rsidR="00B40EE8" w:rsidRPr="008C341D" w:rsidRDefault="00B40EE8" w:rsidP="00B40EE8">
      <w:pPr>
        <w:rPr>
          <w:rFonts w:ascii="Arial" w:hAnsi="Arial" w:cs="Arial"/>
          <w:sz w:val="23"/>
          <w:szCs w:val="23"/>
        </w:rPr>
      </w:pPr>
      <w:r w:rsidRPr="008C341D">
        <w:rPr>
          <w:rFonts w:ascii="Arial" w:hAnsi="Arial" w:cs="Arial"/>
          <w:sz w:val="23"/>
          <w:szCs w:val="23"/>
        </w:rPr>
        <w:t>The report is structured into three interconnected tasks. Task 1 critically reflects on the significance of person-centred care, partnership working, and ethical practice, linking them to relevant theory, professional codes, and legislation to show their practical relevance. Task 2 applies these principles to a fictional hospital-discharge case study, illustrating how a multidisciplinary team (MDT) coordinates planning, shared decision-making, and ethical reasoning to support safe transitions of care. Task 3 provides a self-reflection on how these principles inform my current social work practice and my development towards learning disability nursing, highlighting strengths, gaps, and plans for professional growth.</w:t>
      </w:r>
    </w:p>
    <w:p w14:paraId="07741009" w14:textId="185D0A2E" w:rsidR="00B40EE8" w:rsidRPr="008C341D" w:rsidRDefault="00B40EE8" w:rsidP="00B40EE8">
      <w:pPr>
        <w:rPr>
          <w:rFonts w:ascii="Arial" w:hAnsi="Arial" w:cs="Arial"/>
          <w:sz w:val="23"/>
          <w:szCs w:val="23"/>
        </w:rPr>
      </w:pPr>
    </w:p>
    <w:p w14:paraId="0A97CDC3" w14:textId="595A3F97" w:rsidR="00B40EE8" w:rsidRPr="008C341D" w:rsidRDefault="000068B6" w:rsidP="00B40EE8">
      <w:pPr>
        <w:rPr>
          <w:rFonts w:ascii="Arial" w:hAnsi="Arial" w:cs="Arial"/>
          <w:b/>
          <w:bCs/>
          <w:sz w:val="23"/>
          <w:szCs w:val="23"/>
        </w:rPr>
      </w:pPr>
      <w:r w:rsidRPr="008C341D">
        <w:rPr>
          <w:rFonts w:ascii="Arial" w:hAnsi="Arial" w:cs="Arial"/>
          <w:b/>
          <w:bCs/>
          <w:sz w:val="23"/>
          <w:szCs w:val="23"/>
        </w:rPr>
        <w:t xml:space="preserve">TASK 1 – IMPORTANCE OF PRINCIPLES: </w:t>
      </w:r>
    </w:p>
    <w:p w14:paraId="7CBD76EC"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1. Introduction to principles</w:t>
      </w:r>
    </w:p>
    <w:p w14:paraId="0B8827B6" w14:textId="77777777" w:rsidR="00B40EE8" w:rsidRPr="008C341D" w:rsidRDefault="00B40EE8" w:rsidP="00B40EE8">
      <w:pPr>
        <w:rPr>
          <w:rFonts w:ascii="Arial" w:hAnsi="Arial" w:cs="Arial"/>
          <w:sz w:val="23"/>
          <w:szCs w:val="23"/>
        </w:rPr>
      </w:pPr>
      <w:r w:rsidRPr="008C341D">
        <w:rPr>
          <w:rFonts w:ascii="Arial" w:hAnsi="Arial" w:cs="Arial"/>
          <w:sz w:val="23"/>
          <w:szCs w:val="23"/>
        </w:rPr>
        <w:t>Before exploring a practical case, it is important to understand the foundational principles that guide health and social care practice. Person-centred care, partnership working, and ethics form the backbone of high-quality practice, ensuring that professionals deliver safe, compassionate, and effective support. These principles influence not only the approach to individuals but also how teams collaborate, navigate dilemmas, and implement policy within the United Kingdom’s health and social care framework. Examining these principles in context highlights their relevance and the ways they shape both decision-making and everyday practice.</w:t>
      </w:r>
    </w:p>
    <w:p w14:paraId="01681ADB" w14:textId="3101C964" w:rsidR="00B40EE8" w:rsidRPr="008C341D" w:rsidRDefault="00B40EE8" w:rsidP="00B40EE8">
      <w:pPr>
        <w:rPr>
          <w:rFonts w:ascii="Arial" w:hAnsi="Arial" w:cs="Arial"/>
          <w:sz w:val="23"/>
          <w:szCs w:val="23"/>
        </w:rPr>
      </w:pPr>
    </w:p>
    <w:p w14:paraId="11DAFDB5"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2. Person-centred care</w:t>
      </w:r>
    </w:p>
    <w:p w14:paraId="1943BA6F" w14:textId="5797FF12" w:rsidR="00B40EE8" w:rsidRPr="008C341D" w:rsidRDefault="00B40EE8" w:rsidP="00B40EE8">
      <w:pPr>
        <w:rPr>
          <w:rFonts w:ascii="Arial" w:hAnsi="Arial" w:cs="Arial"/>
          <w:sz w:val="23"/>
          <w:szCs w:val="23"/>
        </w:rPr>
      </w:pPr>
      <w:r w:rsidRPr="008C341D">
        <w:rPr>
          <w:rFonts w:ascii="Arial" w:hAnsi="Arial" w:cs="Arial"/>
          <w:sz w:val="23"/>
          <w:szCs w:val="23"/>
        </w:rPr>
        <w:t xml:space="preserve">Person-centred care recognises </w:t>
      </w:r>
      <w:proofErr w:type="gramStart"/>
      <w:r w:rsidRPr="008C341D">
        <w:rPr>
          <w:rFonts w:ascii="Arial" w:hAnsi="Arial" w:cs="Arial"/>
          <w:sz w:val="23"/>
          <w:szCs w:val="23"/>
        </w:rPr>
        <w:t>each individual</w:t>
      </w:r>
      <w:proofErr w:type="gramEnd"/>
      <w:r w:rsidRPr="008C341D">
        <w:rPr>
          <w:rFonts w:ascii="Arial" w:hAnsi="Arial" w:cs="Arial"/>
          <w:sz w:val="23"/>
          <w:szCs w:val="23"/>
        </w:rPr>
        <w:t xml:space="preserve"> as unique, with their own values, preferences, history, and goals. Its practical significance emerges when professionals tailor support to meet these needs. For example, in discharge planning, ensuring safety, autonomy, and emotional </w:t>
      </w:r>
      <w:r w:rsidR="00E87980" w:rsidRPr="008C341D">
        <w:rPr>
          <w:rFonts w:ascii="Arial" w:hAnsi="Arial" w:cs="Arial"/>
          <w:sz w:val="23"/>
          <w:szCs w:val="23"/>
        </w:rPr>
        <w:t>well-being</w:t>
      </w:r>
      <w:r w:rsidRPr="008C341D">
        <w:rPr>
          <w:rFonts w:ascii="Arial" w:hAnsi="Arial" w:cs="Arial"/>
          <w:sz w:val="23"/>
          <w:szCs w:val="23"/>
        </w:rPr>
        <w:t xml:space="preserve"> enables service users to engage meaningfully in decisions. Maslow’s Hierarchy of Needs </w:t>
      </w:r>
      <w:r w:rsidR="00334125" w:rsidRPr="008C341D">
        <w:rPr>
          <w:rFonts w:ascii="Arial" w:hAnsi="Arial" w:cs="Arial"/>
          <w:sz w:val="23"/>
          <w:szCs w:val="23"/>
        </w:rPr>
        <w:t xml:space="preserve">(1943) </w:t>
      </w:r>
      <w:r w:rsidRPr="008C341D">
        <w:rPr>
          <w:rFonts w:ascii="Arial" w:hAnsi="Arial" w:cs="Arial"/>
          <w:sz w:val="23"/>
          <w:szCs w:val="23"/>
        </w:rPr>
        <w:t>can be applied practically: meeting basic requirements such as safety, security, and social connection allows individuals to participate effectively, supporting positive outcomes. The Care Act 2014 reinforces this by embedding well</w:t>
      </w:r>
      <w:r w:rsidR="00371D9C">
        <w:rPr>
          <w:rFonts w:ascii="Arial" w:hAnsi="Arial" w:cs="Arial"/>
          <w:sz w:val="23"/>
          <w:szCs w:val="23"/>
        </w:rPr>
        <w:t>-</w:t>
      </w:r>
      <w:r w:rsidRPr="008C341D">
        <w:rPr>
          <w:rFonts w:ascii="Arial" w:hAnsi="Arial" w:cs="Arial"/>
          <w:sz w:val="23"/>
          <w:szCs w:val="23"/>
        </w:rPr>
        <w:t>being, independence, and choice as central to practice.</w:t>
      </w:r>
      <w:r w:rsidR="0011465D" w:rsidRPr="008C341D">
        <w:rPr>
          <w:rFonts w:ascii="Arial" w:hAnsi="Arial" w:cs="Arial"/>
          <w:sz w:val="23"/>
          <w:szCs w:val="23"/>
        </w:rPr>
        <w:t xml:space="preserve"> Evidence shows that person-centred care improves engagement, satisfaction, and adherence to care plans, as studies report that it “leads to positive outcomes for patients, such as increased patient engagement, adherence and quality of treatment, and the opportunity to better manage their disease.”</w:t>
      </w:r>
      <w:r w:rsidRPr="008C341D">
        <w:rPr>
          <w:rFonts w:ascii="Arial" w:hAnsi="Arial" w:cs="Arial"/>
          <w:b/>
          <w:bCs/>
          <w:sz w:val="23"/>
          <w:szCs w:val="23"/>
        </w:rPr>
        <w:t>.</w:t>
      </w:r>
      <w:r w:rsidR="00AF04AD" w:rsidRPr="008C341D">
        <w:rPr>
          <w:rFonts w:ascii="Arial" w:hAnsi="Arial" w:cs="Arial"/>
          <w:b/>
          <w:bCs/>
          <w:sz w:val="23"/>
          <w:szCs w:val="23"/>
        </w:rPr>
        <w:t xml:space="preserve"> </w:t>
      </w:r>
      <w:r w:rsidR="00792951" w:rsidRPr="008C341D">
        <w:rPr>
          <w:rFonts w:ascii="Arial" w:hAnsi="Arial" w:cs="Arial"/>
          <w:sz w:val="23"/>
          <w:szCs w:val="23"/>
        </w:rPr>
        <w:t>(Bru-Luna, Martí-Vilar and Sala, 2022)</w:t>
      </w:r>
    </w:p>
    <w:p w14:paraId="565403B6" w14:textId="14DBED73" w:rsidR="00B40EE8" w:rsidRPr="008C341D" w:rsidRDefault="00B40EE8" w:rsidP="00B40EE8">
      <w:pPr>
        <w:rPr>
          <w:rFonts w:ascii="Arial" w:hAnsi="Arial" w:cs="Arial"/>
          <w:sz w:val="23"/>
          <w:szCs w:val="23"/>
        </w:rPr>
      </w:pPr>
    </w:p>
    <w:p w14:paraId="1D3A5E13" w14:textId="77777777" w:rsidR="00402BC7" w:rsidRPr="008C341D" w:rsidRDefault="00B40EE8" w:rsidP="00B40EE8">
      <w:pPr>
        <w:rPr>
          <w:rFonts w:ascii="Arial" w:hAnsi="Arial" w:cs="Arial"/>
          <w:b/>
          <w:bCs/>
          <w:sz w:val="23"/>
          <w:szCs w:val="23"/>
        </w:rPr>
      </w:pPr>
      <w:r w:rsidRPr="008C341D">
        <w:rPr>
          <w:rFonts w:ascii="Arial" w:hAnsi="Arial" w:cs="Arial"/>
          <w:b/>
          <w:bCs/>
          <w:sz w:val="23"/>
          <w:szCs w:val="23"/>
        </w:rPr>
        <w:lastRenderedPageBreak/>
        <w:t>3. Partnership working</w:t>
      </w:r>
    </w:p>
    <w:p w14:paraId="79D2214D" w14:textId="664B14D6" w:rsidR="003E7F11" w:rsidRPr="008C341D" w:rsidRDefault="00B40EE8" w:rsidP="00B40EE8">
      <w:pPr>
        <w:rPr>
          <w:rFonts w:ascii="Arial" w:hAnsi="Arial" w:cs="Arial"/>
          <w:b/>
          <w:bCs/>
          <w:sz w:val="23"/>
          <w:szCs w:val="23"/>
        </w:rPr>
      </w:pPr>
      <w:r w:rsidRPr="008C341D">
        <w:rPr>
          <w:rFonts w:ascii="Arial" w:hAnsi="Arial" w:cs="Arial"/>
          <w:sz w:val="23"/>
          <w:szCs w:val="23"/>
        </w:rPr>
        <w:t xml:space="preserve">Partnership working refers to collaboration between professionals, organisations, and the person receiving care. Its importance lies in coordinating expertise and resources to deliver holistic, seamless support. Bronfenbrenner’s ecological systems theory </w:t>
      </w:r>
      <w:r w:rsidR="00E00301" w:rsidRPr="008C341D">
        <w:rPr>
          <w:rFonts w:ascii="Arial" w:hAnsi="Arial" w:cs="Arial"/>
          <w:sz w:val="23"/>
          <w:szCs w:val="23"/>
        </w:rPr>
        <w:t>(1979</w:t>
      </w:r>
      <w:r w:rsidR="00A01584" w:rsidRPr="008C341D">
        <w:rPr>
          <w:rFonts w:ascii="Arial" w:hAnsi="Arial" w:cs="Arial"/>
          <w:sz w:val="23"/>
          <w:szCs w:val="23"/>
        </w:rPr>
        <w:t xml:space="preserve">) </w:t>
      </w:r>
      <w:r w:rsidRPr="008C341D">
        <w:rPr>
          <w:rFonts w:ascii="Arial" w:hAnsi="Arial" w:cs="Arial"/>
          <w:sz w:val="23"/>
          <w:szCs w:val="23"/>
        </w:rPr>
        <w:t>illustrates how different layers of support</w:t>
      </w:r>
      <w:r w:rsidR="00402BC7" w:rsidRPr="008C341D">
        <w:rPr>
          <w:rFonts w:ascii="Arial" w:hAnsi="Arial" w:cs="Arial"/>
          <w:sz w:val="23"/>
          <w:szCs w:val="23"/>
        </w:rPr>
        <w:t xml:space="preserve">, </w:t>
      </w:r>
      <w:r w:rsidRPr="008C341D">
        <w:rPr>
          <w:rFonts w:ascii="Arial" w:hAnsi="Arial" w:cs="Arial"/>
          <w:sz w:val="23"/>
          <w:szCs w:val="23"/>
        </w:rPr>
        <w:t>from family to community services</w:t>
      </w:r>
      <w:r w:rsidR="00402BC7" w:rsidRPr="008C341D">
        <w:rPr>
          <w:rFonts w:ascii="Arial" w:hAnsi="Arial" w:cs="Arial"/>
          <w:sz w:val="23"/>
          <w:szCs w:val="23"/>
        </w:rPr>
        <w:t xml:space="preserve">, </w:t>
      </w:r>
      <w:r w:rsidRPr="008C341D">
        <w:rPr>
          <w:rFonts w:ascii="Arial" w:hAnsi="Arial" w:cs="Arial"/>
          <w:sz w:val="23"/>
          <w:szCs w:val="23"/>
        </w:rPr>
        <w:t>influence wellbeing. In practice, this means MDTs sharing information, joint assessments, and integrated planning to ensure continuity and reduce duplication. Legislation such as the Health and Care Act 2022 further emphasises integration, highlighting the practical need for professionals to cooperate across sectors.</w:t>
      </w:r>
      <w:r w:rsidR="00A85589" w:rsidRPr="008C341D">
        <w:rPr>
          <w:rFonts w:ascii="Arial" w:hAnsi="Arial" w:cs="Arial"/>
          <w:sz w:val="23"/>
          <w:szCs w:val="23"/>
        </w:rPr>
        <w:t xml:space="preserve"> Current evidence “</w:t>
      </w:r>
      <w:r w:rsidR="003E7F11" w:rsidRPr="008C341D">
        <w:rPr>
          <w:rFonts w:ascii="Arial" w:hAnsi="Arial" w:cs="Arial"/>
          <w:sz w:val="23"/>
          <w:szCs w:val="23"/>
        </w:rPr>
        <w:t xml:space="preserve">consistently demonstrates that effective multidisciplinary </w:t>
      </w:r>
      <w:r w:rsidR="00A85589" w:rsidRPr="008C341D">
        <w:rPr>
          <w:rFonts w:ascii="Arial" w:hAnsi="Arial" w:cs="Arial"/>
          <w:sz w:val="23"/>
          <w:szCs w:val="23"/>
        </w:rPr>
        <w:t xml:space="preserve">collaboration... </w:t>
      </w:r>
      <w:r w:rsidR="003E7F11" w:rsidRPr="008C341D">
        <w:rPr>
          <w:rFonts w:ascii="Arial" w:hAnsi="Arial" w:cs="Arial"/>
          <w:sz w:val="23"/>
          <w:szCs w:val="23"/>
        </w:rPr>
        <w:t>is associated with improved patient outcomes, including reduced mortality, shorter length of stay, enhanced patient safety, and better adherence to evidence-based practices</w:t>
      </w:r>
      <w:r w:rsidR="004F05BE" w:rsidRPr="008C341D">
        <w:rPr>
          <w:rFonts w:ascii="Arial" w:hAnsi="Arial" w:cs="Arial"/>
          <w:sz w:val="23"/>
          <w:szCs w:val="23"/>
        </w:rPr>
        <w:t>.” (Otaibi, A., 2025)</w:t>
      </w:r>
    </w:p>
    <w:p w14:paraId="496C0E38" w14:textId="108F79AC" w:rsidR="00B40EE8" w:rsidRPr="008C341D" w:rsidRDefault="00B40EE8" w:rsidP="00B40EE8">
      <w:pPr>
        <w:rPr>
          <w:rFonts w:ascii="Arial" w:hAnsi="Arial" w:cs="Arial"/>
          <w:sz w:val="23"/>
          <w:szCs w:val="23"/>
        </w:rPr>
      </w:pPr>
    </w:p>
    <w:p w14:paraId="516A5DC6"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4. Ethics</w:t>
      </w:r>
    </w:p>
    <w:p w14:paraId="789C5030" w14:textId="2981E136" w:rsidR="00B40EE8" w:rsidRPr="008C341D" w:rsidRDefault="00B40EE8" w:rsidP="00B40EE8">
      <w:pPr>
        <w:rPr>
          <w:rFonts w:ascii="Arial" w:hAnsi="Arial" w:cs="Arial"/>
          <w:sz w:val="23"/>
          <w:szCs w:val="23"/>
        </w:rPr>
      </w:pPr>
      <w:r w:rsidRPr="008C341D">
        <w:rPr>
          <w:rFonts w:ascii="Arial" w:hAnsi="Arial" w:cs="Arial"/>
          <w:sz w:val="23"/>
          <w:szCs w:val="23"/>
        </w:rPr>
        <w:t xml:space="preserve">Ethics provides the framework for accountable, transparent, and safe practice. Professionals navigate moral principles such as autonomy, beneficence, non-maleficence, and justice daily. Codes of conduct, such as the NMC Code </w:t>
      </w:r>
      <w:r w:rsidR="00891B1E" w:rsidRPr="008C341D">
        <w:rPr>
          <w:rFonts w:ascii="Arial" w:hAnsi="Arial" w:cs="Arial"/>
          <w:sz w:val="23"/>
          <w:szCs w:val="23"/>
        </w:rPr>
        <w:t xml:space="preserve">(2015) </w:t>
      </w:r>
      <w:r w:rsidRPr="008C341D">
        <w:rPr>
          <w:rFonts w:ascii="Arial" w:hAnsi="Arial" w:cs="Arial"/>
          <w:sz w:val="23"/>
          <w:szCs w:val="23"/>
        </w:rPr>
        <w:t>and HCPC Standards</w:t>
      </w:r>
      <w:r w:rsidR="001B0ECE" w:rsidRPr="008C341D">
        <w:rPr>
          <w:rFonts w:ascii="Arial" w:hAnsi="Arial" w:cs="Arial"/>
          <w:sz w:val="23"/>
          <w:szCs w:val="23"/>
        </w:rPr>
        <w:t xml:space="preserve"> (2024)</w:t>
      </w:r>
      <w:r w:rsidRPr="008C341D">
        <w:rPr>
          <w:rFonts w:ascii="Arial" w:hAnsi="Arial" w:cs="Arial"/>
          <w:sz w:val="23"/>
          <w:szCs w:val="23"/>
        </w:rPr>
        <w:t xml:space="preserve">, guide practice in areas such as informed consent, confidentiality, and safeguarding. In practical terms, ethics helps resolve dilemmas where service users’ preferences may conflict with safety or legal obligations, ensuring that decisions are fair, justified, and aligned with legislation. </w:t>
      </w:r>
      <w:r w:rsidR="009C5D44" w:rsidRPr="008C341D">
        <w:rPr>
          <w:rFonts w:ascii="Arial" w:hAnsi="Arial" w:cs="Arial"/>
          <w:sz w:val="23"/>
          <w:szCs w:val="23"/>
        </w:rPr>
        <w:t>Ethically informed decision-making is both a professional responsibility and a moral imperative, essential for maintaining patient trust, reducing harm, ensuring quality care, and promoting ethical, equitable healthcare systems.</w:t>
      </w:r>
      <w:r w:rsidR="007138CB" w:rsidRPr="008C341D">
        <w:rPr>
          <w:rFonts w:ascii="Arial" w:hAnsi="Arial" w:cs="Arial"/>
          <w:sz w:val="23"/>
          <w:szCs w:val="23"/>
        </w:rPr>
        <w:t xml:space="preserve"> (</w:t>
      </w:r>
      <w:proofErr w:type="spellStart"/>
      <w:r w:rsidR="007138CB" w:rsidRPr="008C341D">
        <w:rPr>
          <w:rFonts w:ascii="Arial" w:hAnsi="Arial" w:cs="Arial"/>
          <w:sz w:val="23"/>
          <w:szCs w:val="23"/>
        </w:rPr>
        <w:t>Alshammary</w:t>
      </w:r>
      <w:proofErr w:type="spellEnd"/>
      <w:r w:rsidR="007138CB" w:rsidRPr="008C341D">
        <w:rPr>
          <w:rFonts w:ascii="Arial" w:hAnsi="Arial" w:cs="Arial"/>
          <w:sz w:val="23"/>
          <w:szCs w:val="23"/>
        </w:rPr>
        <w:t xml:space="preserve"> et al., 2024)</w:t>
      </w:r>
    </w:p>
    <w:p w14:paraId="1FBD4AC9" w14:textId="3D215891" w:rsidR="00B40EE8" w:rsidRPr="008C341D" w:rsidRDefault="00B40EE8" w:rsidP="00B40EE8">
      <w:pPr>
        <w:rPr>
          <w:rFonts w:ascii="Arial" w:hAnsi="Arial" w:cs="Arial"/>
          <w:sz w:val="23"/>
          <w:szCs w:val="23"/>
        </w:rPr>
      </w:pPr>
    </w:p>
    <w:p w14:paraId="3BEAB28C"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5. Evaluation of principles</w:t>
      </w:r>
    </w:p>
    <w:p w14:paraId="35D0812C" w14:textId="77777777" w:rsidR="00B40EE8" w:rsidRPr="008C341D" w:rsidRDefault="00B40EE8" w:rsidP="00B40EE8">
      <w:pPr>
        <w:rPr>
          <w:rFonts w:ascii="Arial" w:hAnsi="Arial" w:cs="Arial"/>
          <w:sz w:val="23"/>
          <w:szCs w:val="23"/>
        </w:rPr>
      </w:pPr>
      <w:r w:rsidRPr="008C341D">
        <w:rPr>
          <w:rFonts w:ascii="Arial" w:hAnsi="Arial" w:cs="Arial"/>
          <w:sz w:val="23"/>
          <w:szCs w:val="23"/>
        </w:rPr>
        <w:t>Person-centred care, partnership working, and ethics are mutually reinforcing. Effective, personalised care depends on ethical reasoning and collaborative planning, while partnership working is grounded in shared ethical values and a commitment to individual wellbeing. Understanding these principles in context allows practitioners to navigate complex scenarios with insight, ensuring safe, equitable, and high-quality care.</w:t>
      </w:r>
    </w:p>
    <w:p w14:paraId="1AF8466F" w14:textId="55082D19" w:rsidR="00B40EE8" w:rsidRPr="008C341D" w:rsidRDefault="00B40EE8" w:rsidP="00B40EE8">
      <w:pPr>
        <w:rPr>
          <w:rFonts w:ascii="Arial" w:hAnsi="Arial" w:cs="Arial"/>
          <w:sz w:val="23"/>
          <w:szCs w:val="23"/>
        </w:rPr>
      </w:pPr>
    </w:p>
    <w:p w14:paraId="41B2D4CF" w14:textId="4679B3D0" w:rsidR="00B40EE8" w:rsidRPr="008C341D" w:rsidRDefault="00E87980" w:rsidP="00B40EE8">
      <w:pPr>
        <w:rPr>
          <w:rFonts w:ascii="Arial" w:hAnsi="Arial" w:cs="Arial"/>
          <w:b/>
          <w:bCs/>
          <w:sz w:val="23"/>
          <w:szCs w:val="23"/>
        </w:rPr>
      </w:pPr>
      <w:r w:rsidRPr="008C341D">
        <w:rPr>
          <w:rFonts w:ascii="Arial" w:hAnsi="Arial" w:cs="Arial"/>
          <w:b/>
          <w:bCs/>
          <w:sz w:val="23"/>
          <w:szCs w:val="23"/>
        </w:rPr>
        <w:t xml:space="preserve">TASK 2 – CASE STUDY APPLICATION </w:t>
      </w:r>
    </w:p>
    <w:p w14:paraId="049AE3CB"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1. Overview of the fictional case</w:t>
      </w:r>
    </w:p>
    <w:p w14:paraId="45218703" w14:textId="7AACB3A2" w:rsidR="00B40EE8" w:rsidRPr="008C341D" w:rsidRDefault="00B40EE8" w:rsidP="00B40EE8">
      <w:pPr>
        <w:rPr>
          <w:rFonts w:ascii="Arial" w:hAnsi="Arial" w:cs="Arial"/>
          <w:sz w:val="23"/>
          <w:szCs w:val="23"/>
        </w:rPr>
      </w:pPr>
      <w:r w:rsidRPr="008C341D">
        <w:rPr>
          <w:rFonts w:ascii="Arial" w:hAnsi="Arial" w:cs="Arial"/>
          <w:sz w:val="23"/>
          <w:szCs w:val="23"/>
        </w:rPr>
        <w:t xml:space="preserve">To illustrate the practical application of person-centred care, partnership working, and ethical reasoning, this section examines a fictional yet realistic hospital discharge scenario. The case involves </w:t>
      </w:r>
      <w:r w:rsidR="000563FF" w:rsidRPr="008C341D">
        <w:rPr>
          <w:rFonts w:ascii="Arial" w:hAnsi="Arial" w:cs="Arial"/>
          <w:sz w:val="23"/>
          <w:szCs w:val="23"/>
        </w:rPr>
        <w:t>Mrs.</w:t>
      </w:r>
      <w:r w:rsidRPr="008C341D">
        <w:rPr>
          <w:rFonts w:ascii="Arial" w:hAnsi="Arial" w:cs="Arial"/>
          <w:sz w:val="23"/>
          <w:szCs w:val="23"/>
        </w:rPr>
        <w:t xml:space="preserve"> A, a 78-year-old woman living alone, admitted following a fall at home. She has early-stage dementia, reduced mobility, and mild frailty. After stabilisation, the MDT began planning her discharge. While </w:t>
      </w:r>
      <w:r w:rsidR="000563FF" w:rsidRPr="008C341D">
        <w:rPr>
          <w:rFonts w:ascii="Arial" w:hAnsi="Arial" w:cs="Arial"/>
          <w:sz w:val="23"/>
          <w:szCs w:val="23"/>
        </w:rPr>
        <w:t>Mrs.</w:t>
      </w:r>
      <w:r w:rsidRPr="008C341D">
        <w:rPr>
          <w:rFonts w:ascii="Arial" w:hAnsi="Arial" w:cs="Arial"/>
          <w:sz w:val="23"/>
          <w:szCs w:val="23"/>
        </w:rPr>
        <w:t xml:space="preserve"> A expressed a strong preference to return home, concerns existed about her safety, home environment, and capacity to manage daily tasks independently. The MDT included nurses, occupational therapists, physiotherapists, a social worker, a discharge coordinator, and her GP, with </w:t>
      </w:r>
      <w:r w:rsidRPr="008C341D">
        <w:rPr>
          <w:rFonts w:ascii="Arial" w:hAnsi="Arial" w:cs="Arial"/>
          <w:sz w:val="23"/>
          <w:szCs w:val="23"/>
        </w:rPr>
        <w:lastRenderedPageBreak/>
        <w:t>her daughter actively involved in discussions. This case provides a context to explore how health and social care principles are applied collaboratively to ensure safe, personalised outcomes.</w:t>
      </w:r>
    </w:p>
    <w:p w14:paraId="324554A2" w14:textId="061D659F" w:rsidR="00B40EE8" w:rsidRPr="008C341D" w:rsidRDefault="00B40EE8" w:rsidP="00B40EE8">
      <w:pPr>
        <w:rPr>
          <w:rFonts w:ascii="Arial" w:hAnsi="Arial" w:cs="Arial"/>
          <w:sz w:val="23"/>
          <w:szCs w:val="23"/>
        </w:rPr>
      </w:pPr>
    </w:p>
    <w:p w14:paraId="28CC9CD3"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2. Person-centred care in the case</w:t>
      </w:r>
    </w:p>
    <w:p w14:paraId="4CA9198D" w14:textId="5E2D0663" w:rsidR="00B40EE8" w:rsidRPr="008C341D" w:rsidRDefault="00B40EE8" w:rsidP="00B40EE8">
      <w:pPr>
        <w:rPr>
          <w:rFonts w:ascii="Arial" w:hAnsi="Arial" w:cs="Arial"/>
          <w:sz w:val="23"/>
          <w:szCs w:val="23"/>
        </w:rPr>
      </w:pPr>
      <w:r w:rsidRPr="008C341D">
        <w:rPr>
          <w:rFonts w:ascii="Arial" w:hAnsi="Arial" w:cs="Arial"/>
          <w:sz w:val="23"/>
          <w:szCs w:val="23"/>
        </w:rPr>
        <w:t xml:space="preserve">Implementing person-centred care requires balancing professional expertise with the individual’s preferences. In this case, the MDT first sought to understand Mrs A’s wishes, using clear and simplified language to ensure she could fully participate in decisions about her discharge. The occupational therapist assessed her home environment, identifying adaptations and equipment tailored to her needs. These personalised measures supported her autonomy while addressing safety risks. By integrating Maslow’s theory </w:t>
      </w:r>
      <w:r w:rsidR="00A01584" w:rsidRPr="008C341D">
        <w:rPr>
          <w:rFonts w:ascii="Arial" w:hAnsi="Arial" w:cs="Arial"/>
          <w:sz w:val="23"/>
          <w:szCs w:val="23"/>
        </w:rPr>
        <w:t>(19</w:t>
      </w:r>
      <w:r w:rsidR="008A5163" w:rsidRPr="008C341D">
        <w:rPr>
          <w:rFonts w:ascii="Arial" w:hAnsi="Arial" w:cs="Arial"/>
          <w:sz w:val="23"/>
          <w:szCs w:val="23"/>
        </w:rPr>
        <w:t xml:space="preserve">43) </w:t>
      </w:r>
      <w:r w:rsidRPr="008C341D">
        <w:rPr>
          <w:rFonts w:ascii="Arial" w:hAnsi="Arial" w:cs="Arial"/>
          <w:sz w:val="23"/>
          <w:szCs w:val="23"/>
        </w:rPr>
        <w:t xml:space="preserve">practically, ensuring her basic needs for safety and emotional security, the team enabled her meaningful engagement in planning. </w:t>
      </w:r>
      <w:r w:rsidR="00AA75AC" w:rsidRPr="008C341D">
        <w:rPr>
          <w:rFonts w:ascii="Arial" w:hAnsi="Arial" w:cs="Arial"/>
          <w:sz w:val="23"/>
          <w:szCs w:val="23"/>
        </w:rPr>
        <w:t>Personalised care can improve safety, promote independence, and reduce admissions; as a study notes, “a personalized integrated follow-up and monitoring program reduces the number of future admissions and emergency department visits</w:t>
      </w:r>
      <w:r w:rsidR="00F410EA" w:rsidRPr="008C341D">
        <w:rPr>
          <w:rFonts w:ascii="Arial" w:hAnsi="Arial" w:cs="Arial"/>
          <w:sz w:val="23"/>
          <w:szCs w:val="23"/>
        </w:rPr>
        <w:t>.” (</w:t>
      </w:r>
      <w:r w:rsidR="00187950" w:rsidRPr="008C341D">
        <w:rPr>
          <w:rFonts w:ascii="Arial" w:hAnsi="Arial" w:cs="Arial"/>
          <w:sz w:val="23"/>
          <w:szCs w:val="23"/>
        </w:rPr>
        <w:t xml:space="preserve">Piñeiro-Fernández et al., 2022). </w:t>
      </w:r>
      <w:r w:rsidRPr="008C341D">
        <w:rPr>
          <w:rFonts w:ascii="Arial" w:hAnsi="Arial" w:cs="Arial"/>
          <w:sz w:val="23"/>
          <w:szCs w:val="23"/>
        </w:rPr>
        <w:t xml:space="preserve">The MDT respected </w:t>
      </w:r>
      <w:r w:rsidR="00FF6365" w:rsidRPr="008C341D">
        <w:rPr>
          <w:rFonts w:ascii="Arial" w:hAnsi="Arial" w:cs="Arial"/>
          <w:sz w:val="23"/>
          <w:szCs w:val="23"/>
        </w:rPr>
        <w:t>Mrs.</w:t>
      </w:r>
      <w:r w:rsidRPr="008C341D">
        <w:rPr>
          <w:rFonts w:ascii="Arial" w:hAnsi="Arial" w:cs="Arial"/>
          <w:sz w:val="23"/>
          <w:szCs w:val="23"/>
        </w:rPr>
        <w:t xml:space="preserve"> A’s choices while providing guidance and support consistent with best practice.</w:t>
      </w:r>
    </w:p>
    <w:p w14:paraId="0E461A55" w14:textId="4AF7D7B1" w:rsidR="00B40EE8" w:rsidRPr="008C341D" w:rsidRDefault="00B40EE8" w:rsidP="00B40EE8">
      <w:pPr>
        <w:rPr>
          <w:rFonts w:ascii="Arial" w:hAnsi="Arial" w:cs="Arial"/>
          <w:sz w:val="23"/>
          <w:szCs w:val="23"/>
        </w:rPr>
      </w:pPr>
    </w:p>
    <w:p w14:paraId="326CD5C5" w14:textId="77777777" w:rsidR="00B40EE8" w:rsidRPr="008C341D" w:rsidRDefault="00B40EE8" w:rsidP="00B40EE8">
      <w:pPr>
        <w:rPr>
          <w:rFonts w:ascii="Arial" w:hAnsi="Arial" w:cs="Arial"/>
          <w:b/>
          <w:bCs/>
          <w:sz w:val="23"/>
          <w:szCs w:val="23"/>
        </w:rPr>
      </w:pPr>
      <w:r w:rsidRPr="008C341D">
        <w:rPr>
          <w:rFonts w:ascii="Arial" w:hAnsi="Arial" w:cs="Arial"/>
          <w:b/>
          <w:bCs/>
          <w:sz w:val="23"/>
          <w:szCs w:val="23"/>
        </w:rPr>
        <w:t>3. Partnership working in the case</w:t>
      </w:r>
    </w:p>
    <w:p w14:paraId="1451A476" w14:textId="4A5EE0F7" w:rsidR="00B40EE8" w:rsidRPr="008C341D" w:rsidRDefault="00B40EE8" w:rsidP="00B40EE8">
      <w:pPr>
        <w:rPr>
          <w:rFonts w:ascii="Arial" w:hAnsi="Arial" w:cs="Arial"/>
          <w:sz w:val="23"/>
          <w:szCs w:val="23"/>
        </w:rPr>
      </w:pPr>
      <w:r w:rsidRPr="008C341D">
        <w:rPr>
          <w:rFonts w:ascii="Arial" w:hAnsi="Arial" w:cs="Arial"/>
          <w:sz w:val="23"/>
          <w:szCs w:val="23"/>
        </w:rPr>
        <w:t xml:space="preserve">Effective partnership working is crucial to coordinate the diverse expertise required for complex cases. In </w:t>
      </w:r>
      <w:r w:rsidR="00FF6365" w:rsidRPr="008C341D">
        <w:rPr>
          <w:rFonts w:ascii="Arial" w:hAnsi="Arial" w:cs="Arial"/>
          <w:sz w:val="23"/>
          <w:szCs w:val="23"/>
        </w:rPr>
        <w:t>Mrs.</w:t>
      </w:r>
      <w:r w:rsidRPr="008C341D">
        <w:rPr>
          <w:rFonts w:ascii="Arial" w:hAnsi="Arial" w:cs="Arial"/>
          <w:sz w:val="23"/>
          <w:szCs w:val="23"/>
        </w:rPr>
        <w:t xml:space="preserve"> A’s scenario, daily board rounds facilitated shared understanding and reduced duplication of assessments. Physiotherapy and occupational therapy evaluations informed the social worker’s care package recommendations, while the GP provided medical history to ensure continuity of care. Housing services advised on minor adaptations such as grab rails, and the discharge coordinator oversaw communication and implementation. This collaborative process ensured that all aspects of </w:t>
      </w:r>
      <w:r w:rsidR="00FF6365" w:rsidRPr="008C341D">
        <w:rPr>
          <w:rFonts w:ascii="Arial" w:hAnsi="Arial" w:cs="Arial"/>
          <w:sz w:val="23"/>
          <w:szCs w:val="23"/>
        </w:rPr>
        <w:t>Mrs.</w:t>
      </w:r>
      <w:r w:rsidRPr="008C341D">
        <w:rPr>
          <w:rFonts w:ascii="Arial" w:hAnsi="Arial" w:cs="Arial"/>
          <w:sz w:val="23"/>
          <w:szCs w:val="23"/>
        </w:rPr>
        <w:t xml:space="preserve"> A’s health, safety, and social needs were addressed holistically. Linking theory to practice, Bronfenbrenner’s </w:t>
      </w:r>
      <w:r w:rsidR="00FF6365" w:rsidRPr="008C341D">
        <w:rPr>
          <w:rFonts w:ascii="Arial" w:hAnsi="Arial" w:cs="Arial"/>
          <w:sz w:val="23"/>
          <w:szCs w:val="23"/>
        </w:rPr>
        <w:t>(1979) ecological systems</w:t>
      </w:r>
      <w:r w:rsidR="008A5163" w:rsidRPr="008C341D">
        <w:rPr>
          <w:rFonts w:ascii="Arial" w:hAnsi="Arial" w:cs="Arial"/>
          <w:sz w:val="23"/>
          <w:szCs w:val="23"/>
        </w:rPr>
        <w:t xml:space="preserve"> </w:t>
      </w:r>
      <w:r w:rsidRPr="008C341D">
        <w:rPr>
          <w:rFonts w:ascii="Arial" w:hAnsi="Arial" w:cs="Arial"/>
          <w:sz w:val="23"/>
          <w:szCs w:val="23"/>
        </w:rPr>
        <w:t>framework highlights how the interaction between family, health services, and community resources shapes outcomes for individuals.</w:t>
      </w:r>
    </w:p>
    <w:p w14:paraId="2443CA1F" w14:textId="77777777" w:rsidR="000563FF" w:rsidRPr="008C341D" w:rsidRDefault="000563FF" w:rsidP="000563FF">
      <w:pPr>
        <w:rPr>
          <w:rFonts w:ascii="Arial" w:hAnsi="Arial" w:cs="Arial"/>
          <w:b/>
          <w:bCs/>
          <w:sz w:val="23"/>
          <w:szCs w:val="23"/>
        </w:rPr>
      </w:pPr>
      <w:r w:rsidRPr="008C341D">
        <w:rPr>
          <w:rFonts w:ascii="Arial" w:hAnsi="Arial" w:cs="Arial"/>
          <w:b/>
          <w:bCs/>
          <w:sz w:val="23"/>
          <w:szCs w:val="23"/>
        </w:rPr>
        <w:t>4. Ethical considerations</w:t>
      </w:r>
    </w:p>
    <w:p w14:paraId="57ADD0C4" w14:textId="688855C8" w:rsidR="000563FF" w:rsidRPr="008C341D" w:rsidRDefault="000563FF" w:rsidP="000563FF">
      <w:pPr>
        <w:rPr>
          <w:rFonts w:ascii="Arial" w:hAnsi="Arial" w:cs="Arial"/>
          <w:sz w:val="23"/>
          <w:szCs w:val="23"/>
        </w:rPr>
      </w:pPr>
      <w:r w:rsidRPr="008C341D">
        <w:rPr>
          <w:rFonts w:ascii="Arial" w:hAnsi="Arial" w:cs="Arial"/>
          <w:sz w:val="23"/>
          <w:szCs w:val="23"/>
        </w:rPr>
        <w:t xml:space="preserve">Ethical reasoning underpinned the decision-making process. The MDT faced the challenge of respecting </w:t>
      </w:r>
      <w:r w:rsidR="00FF6365" w:rsidRPr="008C341D">
        <w:rPr>
          <w:rFonts w:ascii="Arial" w:hAnsi="Arial" w:cs="Arial"/>
          <w:sz w:val="23"/>
          <w:szCs w:val="23"/>
        </w:rPr>
        <w:t>Mrs.</w:t>
      </w:r>
      <w:r w:rsidRPr="008C341D">
        <w:rPr>
          <w:rFonts w:ascii="Arial" w:hAnsi="Arial" w:cs="Arial"/>
          <w:sz w:val="23"/>
          <w:szCs w:val="23"/>
        </w:rPr>
        <w:t xml:space="preserve"> A’s autonomy while managing safety risks. A capacity assessment confirmed that she could make informed decisions regarding her return home. The team balanced principles of beneficence, non-maleficence, autonomy, and justice, ensuring that choices reflected her preferences without compromising wellbeing. Ethical frameworks guided proportional risk management, demonstrating that safeguarding and autonomy can coexist through careful planning.</w:t>
      </w:r>
      <w:r w:rsidR="009378C8" w:rsidRPr="008C341D">
        <w:rPr>
          <w:rFonts w:ascii="Arial" w:hAnsi="Arial" w:cs="Arial"/>
          <w:sz w:val="23"/>
          <w:szCs w:val="23"/>
        </w:rPr>
        <w:t xml:space="preserve"> Using structured ethical frameworks helps clinicians make decisions that can be ethically justified and clearly communicated, thereby enhancing consistency, transparency and accountability in complex cases and reducing the risk of harm while supporting </w:t>
      </w:r>
      <w:r w:rsidR="00246E26">
        <w:rPr>
          <w:rFonts w:ascii="Arial" w:hAnsi="Arial" w:cs="Arial"/>
          <w:sz w:val="23"/>
          <w:szCs w:val="23"/>
        </w:rPr>
        <w:t>person-centred</w:t>
      </w:r>
      <w:r w:rsidR="009378C8" w:rsidRPr="008C341D">
        <w:rPr>
          <w:rFonts w:ascii="Arial" w:hAnsi="Arial" w:cs="Arial"/>
          <w:sz w:val="23"/>
          <w:szCs w:val="23"/>
        </w:rPr>
        <w:t xml:space="preserve"> decision</w:t>
      </w:r>
      <w:r w:rsidR="009378C8" w:rsidRPr="008C341D">
        <w:rPr>
          <w:rFonts w:ascii="Arial" w:hAnsi="Arial" w:cs="Arial"/>
          <w:sz w:val="23"/>
          <w:szCs w:val="23"/>
        </w:rPr>
        <w:noBreakHyphen/>
        <w:t>making (UK Clinical Ethics Network, 2022).</w:t>
      </w:r>
    </w:p>
    <w:p w14:paraId="422ED04F" w14:textId="7C0483FE" w:rsidR="000563FF" w:rsidRPr="008C341D" w:rsidRDefault="000563FF" w:rsidP="000563FF">
      <w:pPr>
        <w:rPr>
          <w:rFonts w:ascii="Arial" w:hAnsi="Arial" w:cs="Arial"/>
          <w:sz w:val="23"/>
          <w:szCs w:val="23"/>
        </w:rPr>
      </w:pPr>
    </w:p>
    <w:p w14:paraId="18FA5020" w14:textId="77777777" w:rsidR="000563FF" w:rsidRPr="008C341D" w:rsidRDefault="000563FF" w:rsidP="000563FF">
      <w:pPr>
        <w:rPr>
          <w:rFonts w:ascii="Arial" w:hAnsi="Arial" w:cs="Arial"/>
          <w:b/>
          <w:bCs/>
          <w:sz w:val="23"/>
          <w:szCs w:val="23"/>
        </w:rPr>
      </w:pPr>
      <w:r w:rsidRPr="008C341D">
        <w:rPr>
          <w:rFonts w:ascii="Arial" w:hAnsi="Arial" w:cs="Arial"/>
          <w:b/>
          <w:bCs/>
          <w:sz w:val="23"/>
          <w:szCs w:val="23"/>
        </w:rPr>
        <w:t>5. Outcome and evaluation</w:t>
      </w:r>
    </w:p>
    <w:p w14:paraId="55E0A4E7" w14:textId="6C64B4EF" w:rsidR="000563FF" w:rsidRPr="008C341D" w:rsidRDefault="000563FF" w:rsidP="000563FF">
      <w:pPr>
        <w:rPr>
          <w:rFonts w:ascii="Arial" w:hAnsi="Arial" w:cs="Arial"/>
          <w:sz w:val="23"/>
          <w:szCs w:val="23"/>
        </w:rPr>
      </w:pPr>
      <w:r w:rsidRPr="008C341D">
        <w:rPr>
          <w:rFonts w:ascii="Arial" w:hAnsi="Arial" w:cs="Arial"/>
          <w:sz w:val="23"/>
          <w:szCs w:val="23"/>
        </w:rPr>
        <w:t xml:space="preserve">The application of person-centred care, partnership working, and ethical reasoning resulted in a coordinated and safe discharge. </w:t>
      </w:r>
      <w:r w:rsidR="00FF6365" w:rsidRPr="008C341D">
        <w:rPr>
          <w:rFonts w:ascii="Arial" w:hAnsi="Arial" w:cs="Arial"/>
          <w:sz w:val="23"/>
          <w:szCs w:val="23"/>
        </w:rPr>
        <w:t>Mrs.</w:t>
      </w:r>
      <w:r w:rsidRPr="008C341D">
        <w:rPr>
          <w:rFonts w:ascii="Arial" w:hAnsi="Arial" w:cs="Arial"/>
          <w:sz w:val="23"/>
          <w:szCs w:val="23"/>
        </w:rPr>
        <w:t xml:space="preserve"> A returned home with a tailored care package, appropriate equipment, and follow-up support. The process improved her confidence, reduced anxiety, and demonstrated the effectiveness of integrating principles consistently. Research shows </w:t>
      </w:r>
      <w:r w:rsidR="00E35B12" w:rsidRPr="008C341D">
        <w:rPr>
          <w:rFonts w:ascii="Arial" w:hAnsi="Arial" w:cs="Arial"/>
          <w:sz w:val="23"/>
          <w:szCs w:val="23"/>
        </w:rPr>
        <w:t>discharge is a critical transition, yet often fragmented and overlooked. A dedicated discharge coordinator provides the structure and oversight needed to enhance safety, reduce readmissions, and support a smoother, more patient-centred recovery</w:t>
      </w:r>
      <w:r w:rsidR="007A4C4D" w:rsidRPr="008C341D">
        <w:rPr>
          <w:rFonts w:ascii="Arial" w:hAnsi="Arial" w:cs="Arial"/>
          <w:sz w:val="23"/>
          <w:szCs w:val="23"/>
        </w:rPr>
        <w:t xml:space="preserve"> </w:t>
      </w:r>
      <w:r w:rsidR="00154EFD" w:rsidRPr="008C341D">
        <w:rPr>
          <w:rFonts w:ascii="Arial" w:hAnsi="Arial" w:cs="Arial"/>
          <w:sz w:val="23"/>
          <w:szCs w:val="23"/>
        </w:rPr>
        <w:t>(Bechir and Angelina, 2025)</w:t>
      </w:r>
      <w:r w:rsidR="007A4C4D" w:rsidRPr="008C341D">
        <w:rPr>
          <w:rFonts w:ascii="Arial" w:hAnsi="Arial" w:cs="Arial"/>
          <w:sz w:val="23"/>
          <w:szCs w:val="23"/>
        </w:rPr>
        <w:t>.</w:t>
      </w:r>
      <w:r w:rsidR="00436608" w:rsidRPr="008C341D">
        <w:rPr>
          <w:rFonts w:ascii="Arial" w:hAnsi="Arial" w:cs="Arial"/>
          <w:sz w:val="23"/>
          <w:szCs w:val="23"/>
        </w:rPr>
        <w:t xml:space="preserve"> </w:t>
      </w:r>
      <w:r w:rsidRPr="008C341D">
        <w:rPr>
          <w:rFonts w:ascii="Arial" w:hAnsi="Arial" w:cs="Arial"/>
          <w:sz w:val="23"/>
          <w:szCs w:val="23"/>
        </w:rPr>
        <w:t>This case exemplifies how principles of health and social care, when applied collaboratively and thoughtfully, directly improve outcomes for service users.</w:t>
      </w:r>
    </w:p>
    <w:p w14:paraId="2623247C" w14:textId="4140A27A" w:rsidR="000563FF" w:rsidRPr="008C341D" w:rsidRDefault="000563FF" w:rsidP="000563FF">
      <w:pPr>
        <w:rPr>
          <w:rFonts w:ascii="Arial" w:hAnsi="Arial" w:cs="Arial"/>
          <w:sz w:val="23"/>
          <w:szCs w:val="23"/>
        </w:rPr>
      </w:pPr>
    </w:p>
    <w:p w14:paraId="2D3B7879" w14:textId="57FB898F" w:rsidR="000563FF" w:rsidRPr="008C341D" w:rsidRDefault="000563FF" w:rsidP="000563FF">
      <w:pPr>
        <w:rPr>
          <w:rFonts w:ascii="Arial" w:hAnsi="Arial" w:cs="Arial"/>
          <w:b/>
          <w:bCs/>
          <w:sz w:val="23"/>
          <w:szCs w:val="23"/>
        </w:rPr>
      </w:pPr>
      <w:r w:rsidRPr="008C341D">
        <w:rPr>
          <w:rFonts w:ascii="Arial" w:hAnsi="Arial" w:cs="Arial"/>
          <w:b/>
          <w:bCs/>
          <w:sz w:val="23"/>
          <w:szCs w:val="23"/>
        </w:rPr>
        <w:t xml:space="preserve">TASK 3 – Self-Reflection </w:t>
      </w:r>
    </w:p>
    <w:p w14:paraId="5D89821D" w14:textId="77777777" w:rsidR="000563FF" w:rsidRPr="008C341D" w:rsidRDefault="000563FF" w:rsidP="000563FF">
      <w:pPr>
        <w:rPr>
          <w:rFonts w:ascii="Arial" w:hAnsi="Arial" w:cs="Arial"/>
          <w:b/>
          <w:bCs/>
          <w:sz w:val="23"/>
          <w:szCs w:val="23"/>
        </w:rPr>
      </w:pPr>
      <w:r w:rsidRPr="008C341D">
        <w:rPr>
          <w:rFonts w:ascii="Arial" w:hAnsi="Arial" w:cs="Arial"/>
          <w:b/>
          <w:bCs/>
          <w:sz w:val="23"/>
          <w:szCs w:val="23"/>
        </w:rPr>
        <w:t>1. Introduction to reflection</w:t>
      </w:r>
    </w:p>
    <w:p w14:paraId="7F51694C" w14:textId="77777777" w:rsidR="000563FF" w:rsidRPr="008C341D" w:rsidRDefault="000563FF" w:rsidP="000563FF">
      <w:pPr>
        <w:rPr>
          <w:rFonts w:ascii="Arial" w:hAnsi="Arial" w:cs="Arial"/>
          <w:sz w:val="23"/>
          <w:szCs w:val="23"/>
        </w:rPr>
      </w:pPr>
      <w:r w:rsidRPr="008C341D">
        <w:rPr>
          <w:rFonts w:ascii="Arial" w:hAnsi="Arial" w:cs="Arial"/>
          <w:sz w:val="23"/>
          <w:szCs w:val="23"/>
        </w:rPr>
        <w:t>Reflecting on personal practice allows for the integration of principles into everyday work and professional development. As a social worker preparing for a career in learning disability nursing, examining how person-centred care, partnership working, and ethics influence my decisions provides insight into strengths, gaps, and areas for growth. Reflection ensures that theory is applied practically, supporting professional competence, confidence, and improved outcomes for individuals with complex needs.</w:t>
      </w:r>
    </w:p>
    <w:p w14:paraId="714195D9" w14:textId="4568E528" w:rsidR="000563FF" w:rsidRPr="008C341D" w:rsidRDefault="000563FF" w:rsidP="000563FF">
      <w:pPr>
        <w:rPr>
          <w:rFonts w:ascii="Arial" w:hAnsi="Arial" w:cs="Arial"/>
          <w:sz w:val="23"/>
          <w:szCs w:val="23"/>
        </w:rPr>
      </w:pPr>
    </w:p>
    <w:p w14:paraId="7C1E8ECE" w14:textId="77777777" w:rsidR="000563FF" w:rsidRPr="008C341D" w:rsidRDefault="000563FF" w:rsidP="000563FF">
      <w:pPr>
        <w:rPr>
          <w:rFonts w:ascii="Arial" w:hAnsi="Arial" w:cs="Arial"/>
          <w:b/>
          <w:bCs/>
          <w:sz w:val="23"/>
          <w:szCs w:val="23"/>
        </w:rPr>
      </w:pPr>
      <w:r w:rsidRPr="008C341D">
        <w:rPr>
          <w:rFonts w:ascii="Arial" w:hAnsi="Arial" w:cs="Arial"/>
          <w:b/>
          <w:bCs/>
          <w:sz w:val="23"/>
          <w:szCs w:val="23"/>
        </w:rPr>
        <w:t>2. Reflection on person-centred care</w:t>
      </w:r>
    </w:p>
    <w:p w14:paraId="3B59611C" w14:textId="7DA16124" w:rsidR="000563FF" w:rsidRPr="008C341D" w:rsidRDefault="000563FF" w:rsidP="000563FF">
      <w:pPr>
        <w:rPr>
          <w:rFonts w:ascii="Arial" w:hAnsi="Arial" w:cs="Arial"/>
          <w:sz w:val="23"/>
          <w:szCs w:val="23"/>
        </w:rPr>
      </w:pPr>
      <w:r w:rsidRPr="008C341D">
        <w:rPr>
          <w:rFonts w:ascii="Arial" w:hAnsi="Arial" w:cs="Arial"/>
          <w:sz w:val="23"/>
          <w:szCs w:val="23"/>
        </w:rPr>
        <w:t>Person-centred care is embedded in my daily interactions with individuals who have diverse needs. Practically</w:t>
      </w:r>
      <w:r w:rsidR="00DF07A2" w:rsidRPr="008C341D">
        <w:rPr>
          <w:rFonts w:ascii="Arial" w:hAnsi="Arial" w:cs="Arial"/>
          <w:sz w:val="23"/>
          <w:szCs w:val="23"/>
        </w:rPr>
        <w:t>, this includes adapting communication, offering choices, and considering emotional and cognitive needs during support</w:t>
      </w:r>
      <w:r w:rsidRPr="008C341D">
        <w:rPr>
          <w:rFonts w:ascii="Arial" w:hAnsi="Arial" w:cs="Arial"/>
          <w:sz w:val="23"/>
          <w:szCs w:val="23"/>
        </w:rPr>
        <w:t>. For example, when supporting an adult with mild learning disabilities to explore housing options, simplified explanations, visual prompts, and choice-based discussions helped the person feel involved. This approach fostered trust, respect, and active participation. Maslow’s theory reinforces this practice by highlighting the importance of meeting basic needs, such as safety and security, to enable engagement.</w:t>
      </w:r>
      <w:r w:rsidR="00AB2FD4" w:rsidRPr="008C341D">
        <w:rPr>
          <w:rFonts w:ascii="Arial" w:hAnsi="Arial" w:cs="Arial"/>
          <w:sz w:val="23"/>
          <w:szCs w:val="23"/>
        </w:rPr>
        <w:t xml:space="preserve"> As one study found, person</w:t>
      </w:r>
      <w:r w:rsidR="00AB2FD4" w:rsidRPr="008C341D">
        <w:rPr>
          <w:rFonts w:ascii="Cambria Math" w:hAnsi="Cambria Math" w:cs="Cambria Math"/>
          <w:sz w:val="23"/>
          <w:szCs w:val="23"/>
        </w:rPr>
        <w:t>‑</w:t>
      </w:r>
      <w:r w:rsidR="00AB2FD4" w:rsidRPr="008C341D">
        <w:rPr>
          <w:rFonts w:ascii="Arial" w:hAnsi="Arial" w:cs="Arial"/>
          <w:sz w:val="23"/>
          <w:szCs w:val="23"/>
        </w:rPr>
        <w:t>centred care interventions “improved the quality of life” and reduced behaviours such as agitation in people with dementia, showing benefits beyond satisfaction and decision</w:t>
      </w:r>
      <w:r w:rsidR="00AB2FD4" w:rsidRPr="008C341D">
        <w:rPr>
          <w:rFonts w:ascii="Cambria Math" w:hAnsi="Cambria Math" w:cs="Cambria Math"/>
          <w:sz w:val="23"/>
          <w:szCs w:val="23"/>
        </w:rPr>
        <w:t>‑</w:t>
      </w:r>
      <w:r w:rsidR="00AB2FD4" w:rsidRPr="008C341D">
        <w:rPr>
          <w:rFonts w:ascii="Arial" w:hAnsi="Arial" w:cs="Arial"/>
          <w:sz w:val="23"/>
          <w:szCs w:val="23"/>
        </w:rPr>
        <w:t xml:space="preserve">making (Kim and Park, 2017). </w:t>
      </w:r>
      <w:r w:rsidRPr="008C341D">
        <w:rPr>
          <w:rFonts w:ascii="Arial" w:hAnsi="Arial" w:cs="Arial"/>
          <w:sz w:val="23"/>
          <w:szCs w:val="23"/>
        </w:rPr>
        <w:t>Going forward, I aim to enhance trauma-informed strategies and communication techniques for neurodiverse individuals.</w:t>
      </w:r>
    </w:p>
    <w:p w14:paraId="6EEF34C7" w14:textId="23FB06DA" w:rsidR="000563FF" w:rsidRPr="008C341D" w:rsidRDefault="000563FF" w:rsidP="000563FF">
      <w:pPr>
        <w:rPr>
          <w:rFonts w:ascii="Arial" w:hAnsi="Arial" w:cs="Arial"/>
          <w:sz w:val="23"/>
          <w:szCs w:val="23"/>
        </w:rPr>
      </w:pPr>
    </w:p>
    <w:p w14:paraId="69C8ACAD" w14:textId="77777777" w:rsidR="000563FF" w:rsidRPr="008C341D" w:rsidRDefault="000563FF" w:rsidP="000563FF">
      <w:pPr>
        <w:rPr>
          <w:rFonts w:ascii="Arial" w:hAnsi="Arial" w:cs="Arial"/>
          <w:b/>
          <w:bCs/>
          <w:sz w:val="23"/>
          <w:szCs w:val="23"/>
        </w:rPr>
      </w:pPr>
      <w:r w:rsidRPr="008C341D">
        <w:rPr>
          <w:rFonts w:ascii="Arial" w:hAnsi="Arial" w:cs="Arial"/>
          <w:b/>
          <w:bCs/>
          <w:sz w:val="23"/>
          <w:szCs w:val="23"/>
        </w:rPr>
        <w:t>3. Reflection on partnership working</w:t>
      </w:r>
    </w:p>
    <w:p w14:paraId="529568C0" w14:textId="77777777" w:rsidR="000563FF" w:rsidRPr="008C341D" w:rsidRDefault="000563FF" w:rsidP="000563FF">
      <w:pPr>
        <w:rPr>
          <w:rFonts w:ascii="Arial" w:hAnsi="Arial" w:cs="Arial"/>
          <w:sz w:val="23"/>
          <w:szCs w:val="23"/>
        </w:rPr>
      </w:pPr>
      <w:r w:rsidRPr="008C341D">
        <w:rPr>
          <w:rFonts w:ascii="Arial" w:hAnsi="Arial" w:cs="Arial"/>
          <w:sz w:val="23"/>
          <w:szCs w:val="23"/>
        </w:rPr>
        <w:t xml:space="preserve">Collaborative working is central to supporting complex cases. Coordinating between district nurses, GPs, housing teams, and other professionals ensures holistic care. Strengths include effective information-sharing, maintaining focus on the service user, and facilitating seamless support. Challenges arise when professional priorities differ or risk assessments conflict. Reflecting on these experiences highlights the need for </w:t>
      </w:r>
      <w:r w:rsidRPr="008C341D">
        <w:rPr>
          <w:rFonts w:ascii="Arial" w:hAnsi="Arial" w:cs="Arial"/>
          <w:sz w:val="23"/>
          <w:szCs w:val="23"/>
        </w:rPr>
        <w:lastRenderedPageBreak/>
        <w:t>assertiveness, negotiation, and understanding interprofessional frameworks. Applying these skills will be essential in learning disability nursing, where coordinated care and clear communication within MDTs directly impact outcomes.</w:t>
      </w:r>
    </w:p>
    <w:p w14:paraId="48E069E9" w14:textId="7042955C" w:rsidR="000563FF" w:rsidRPr="008C341D" w:rsidRDefault="000563FF" w:rsidP="000563FF">
      <w:pPr>
        <w:rPr>
          <w:rFonts w:ascii="Arial" w:hAnsi="Arial" w:cs="Arial"/>
          <w:sz w:val="23"/>
          <w:szCs w:val="23"/>
        </w:rPr>
      </w:pPr>
    </w:p>
    <w:p w14:paraId="644BF984" w14:textId="3DCBA1C3" w:rsidR="000563FF" w:rsidRPr="008C341D" w:rsidRDefault="000563FF" w:rsidP="000563FF">
      <w:pPr>
        <w:rPr>
          <w:rFonts w:ascii="Arial" w:hAnsi="Arial" w:cs="Arial"/>
          <w:b/>
          <w:bCs/>
          <w:sz w:val="23"/>
          <w:szCs w:val="23"/>
        </w:rPr>
      </w:pPr>
      <w:r w:rsidRPr="008C341D">
        <w:rPr>
          <w:rFonts w:ascii="Arial" w:hAnsi="Arial" w:cs="Arial"/>
          <w:b/>
          <w:bCs/>
          <w:sz w:val="23"/>
          <w:szCs w:val="23"/>
        </w:rPr>
        <w:t>4. Reflection on ethics in practice</w:t>
      </w:r>
      <w:r w:rsidR="003F0B81" w:rsidRPr="008C341D">
        <w:rPr>
          <w:rFonts w:ascii="Arial" w:hAnsi="Arial" w:cs="Arial"/>
          <w:b/>
          <w:bCs/>
          <w:sz w:val="23"/>
          <w:szCs w:val="23"/>
        </w:rPr>
        <w:t xml:space="preserve">: </w:t>
      </w:r>
    </w:p>
    <w:p w14:paraId="6F2FEFD5" w14:textId="56A5B733" w:rsidR="000563FF" w:rsidRPr="008C341D" w:rsidRDefault="004E5282" w:rsidP="000563FF">
      <w:pPr>
        <w:rPr>
          <w:rFonts w:ascii="Arial" w:hAnsi="Arial" w:cs="Arial"/>
          <w:sz w:val="23"/>
          <w:szCs w:val="23"/>
        </w:rPr>
      </w:pPr>
      <w:r w:rsidRPr="008C341D">
        <w:rPr>
          <w:rFonts w:ascii="Arial" w:hAnsi="Arial" w:cs="Arial"/>
          <w:sz w:val="23"/>
          <w:szCs w:val="23"/>
        </w:rPr>
        <w:t xml:space="preserve">Ethical challenges frequently arise in practice, particularly when balancing autonomy, safeguarding, and confidentiality. For example, supporting a person who wished to maintain contact with a potentially harmful family member required careful navigation, open discussion, and supervision. Ethics provides practical tools to weigh risks, respect choice, and act proportionately. Dunn (2024) emphasises that understanding and applying the four main principles of ethical care </w:t>
      </w:r>
      <w:r w:rsidR="00C63858" w:rsidRPr="008C341D">
        <w:rPr>
          <w:rFonts w:ascii="Arial" w:hAnsi="Arial" w:cs="Arial"/>
          <w:sz w:val="23"/>
          <w:szCs w:val="23"/>
        </w:rPr>
        <w:t xml:space="preserve">- </w:t>
      </w:r>
      <w:r w:rsidRPr="008C341D">
        <w:rPr>
          <w:rFonts w:ascii="Arial" w:hAnsi="Arial" w:cs="Arial"/>
          <w:sz w:val="23"/>
          <w:szCs w:val="23"/>
        </w:rPr>
        <w:t>autonomy, beneficence, non-maleficence, and justice</w:t>
      </w:r>
      <w:r w:rsidR="00702556" w:rsidRPr="008C341D">
        <w:rPr>
          <w:rFonts w:ascii="Arial" w:hAnsi="Arial" w:cs="Arial"/>
          <w:sz w:val="23"/>
          <w:szCs w:val="23"/>
        </w:rPr>
        <w:t xml:space="preserve">- </w:t>
      </w:r>
      <w:r w:rsidRPr="008C341D">
        <w:rPr>
          <w:rFonts w:ascii="Arial" w:hAnsi="Arial" w:cs="Arial"/>
          <w:sz w:val="23"/>
          <w:szCs w:val="23"/>
        </w:rPr>
        <w:t>provides nurses with a structured approach to make patient-centred, accountable, and proportionate decisions in complex situations. Developing deeper knowledge of the Mental Capacity Act and proportionality principles remains a key focus for my future practice, as these frameworks support consistent, safe, and ethically grounded decision-making.</w:t>
      </w:r>
    </w:p>
    <w:p w14:paraId="02430A32" w14:textId="2106A15E" w:rsidR="000563FF" w:rsidRPr="008C341D" w:rsidRDefault="000563FF" w:rsidP="000563FF">
      <w:pPr>
        <w:rPr>
          <w:rFonts w:ascii="Arial" w:hAnsi="Arial" w:cs="Arial"/>
          <w:b/>
          <w:bCs/>
          <w:sz w:val="23"/>
          <w:szCs w:val="23"/>
        </w:rPr>
      </w:pPr>
      <w:r w:rsidRPr="008C341D">
        <w:rPr>
          <w:rFonts w:ascii="Arial" w:hAnsi="Arial" w:cs="Arial"/>
          <w:b/>
          <w:bCs/>
          <w:sz w:val="23"/>
          <w:szCs w:val="23"/>
        </w:rPr>
        <w:t>5. Strengths and areas for development</w:t>
      </w:r>
      <w:r w:rsidR="003F0B81" w:rsidRPr="008C341D">
        <w:rPr>
          <w:rFonts w:ascii="Arial" w:hAnsi="Arial" w:cs="Arial"/>
          <w:b/>
          <w:bCs/>
          <w:sz w:val="23"/>
          <w:szCs w:val="23"/>
        </w:rPr>
        <w:t xml:space="preserve">: </w:t>
      </w:r>
    </w:p>
    <w:p w14:paraId="6225BE82" w14:textId="51DDD23A" w:rsidR="00775D46" w:rsidRPr="008C341D" w:rsidRDefault="00A744D4" w:rsidP="000563FF">
      <w:pPr>
        <w:rPr>
          <w:rFonts w:ascii="Arial" w:hAnsi="Arial" w:cs="Arial"/>
          <w:b/>
          <w:bCs/>
          <w:sz w:val="23"/>
          <w:szCs w:val="23"/>
        </w:rPr>
      </w:pPr>
      <w:r w:rsidRPr="008C341D">
        <w:rPr>
          <w:rFonts w:ascii="Arial" w:hAnsi="Arial" w:cs="Arial"/>
          <w:sz w:val="23"/>
          <w:szCs w:val="23"/>
        </w:rPr>
        <w:t xml:space="preserve"> I recognise strengths in empathy, active listening, problem-solving, and advocacy, which help me deliver person-centred and ethical care. I feel confident in building rapport and reflecting on my practice to improve decisions. I sometimes struggle to communicate my ideas in ways that suit the person I am speaking to, which can affect understanding and engagement. However, I need to develop confidence in MDT discussions, negotiation skills, knowledge of legislation, leadership, and communication with non-verbal or AAC users. Focusing on these areas will support my growth and prepare me for the demands of learning disability nursing. Engaging in structured reflective practice also supports continuing professional development (CPD) by enhancing clinical judgement, self-awareness, and resilience in complex care settings, helping practitioners to learn from experience and continually improve their skills (Madden and Goss Hill, 2024).</w:t>
      </w:r>
    </w:p>
    <w:p w14:paraId="072DE424" w14:textId="77777777" w:rsidR="008111BB" w:rsidRPr="008C341D" w:rsidRDefault="000563FF" w:rsidP="00C614E0">
      <w:pPr>
        <w:rPr>
          <w:rFonts w:ascii="Arial" w:hAnsi="Arial" w:cs="Arial"/>
          <w:b/>
          <w:bCs/>
          <w:sz w:val="23"/>
          <w:szCs w:val="23"/>
        </w:rPr>
      </w:pPr>
      <w:r w:rsidRPr="008C341D">
        <w:rPr>
          <w:rFonts w:ascii="Arial" w:hAnsi="Arial" w:cs="Arial"/>
          <w:b/>
          <w:bCs/>
          <w:sz w:val="23"/>
          <w:szCs w:val="23"/>
        </w:rPr>
        <w:t>6. Action plan (CPD-focused)</w:t>
      </w:r>
      <w:r w:rsidR="0004501F" w:rsidRPr="008C341D">
        <w:rPr>
          <w:rFonts w:ascii="Arial" w:hAnsi="Arial" w:cs="Arial"/>
          <w:b/>
          <w:bCs/>
          <w:sz w:val="23"/>
          <w:szCs w:val="23"/>
        </w:rPr>
        <w:t xml:space="preserve">: </w:t>
      </w:r>
    </w:p>
    <w:p w14:paraId="2245B22D" w14:textId="77777777" w:rsidR="00917031" w:rsidRPr="008C341D" w:rsidRDefault="00C614E0" w:rsidP="00917031">
      <w:pPr>
        <w:rPr>
          <w:rFonts w:ascii="Arial" w:hAnsi="Arial" w:cs="Arial"/>
          <w:b/>
          <w:bCs/>
          <w:sz w:val="23"/>
          <w:szCs w:val="23"/>
        </w:rPr>
      </w:pPr>
      <w:r w:rsidRPr="008C341D">
        <w:rPr>
          <w:rFonts w:ascii="Arial" w:hAnsi="Arial" w:cs="Arial"/>
          <w:sz w:val="23"/>
          <w:szCs w:val="23"/>
        </w:rPr>
        <w:t>To address my development needs and prepare for a career in learning disability nursing, I plan to complete targeted training in areas such as the Mental Capacity Act, trauma-informed practice, and communication strategies for neurodiverse individuals. I will make use of reflective supervision to explore ethical dilemmas, build confidence in MDT settings, and review my decisions critically. Seeking mentorship from experienced learning disability nurses will allow me to observe best practice and gain guidance on handling complex cases, while shadowing opportunities in clinical settings will enhance my understanding of multidisciplinary processes and practical problem-solving. I also intend to maintain regular reflective logs using Gibbs’ cycle to consolidate my learning and track progress over time.</w:t>
      </w:r>
      <w:r w:rsidR="006B46D7" w:rsidRPr="008C341D">
        <w:rPr>
          <w:rFonts w:ascii="Arial" w:hAnsi="Arial" w:cs="Arial"/>
          <w:sz w:val="23"/>
          <w:szCs w:val="23"/>
        </w:rPr>
        <w:t xml:space="preserve"> I will be using Gibbs’ reflective cycle exclusively, as it provides a clear and structured framework to help me learn from experience and apply those lessons to improve my practice.</w:t>
      </w:r>
      <w:r w:rsidRPr="008C341D">
        <w:rPr>
          <w:rFonts w:ascii="Arial" w:hAnsi="Arial" w:cs="Arial"/>
          <w:sz w:val="23"/>
          <w:szCs w:val="23"/>
        </w:rPr>
        <w:t xml:space="preserve"> Alongside these activities, I will actively pursue relevant roles and academic programmes, applying for learning disability nursing courses and gaining practical experience in supporting people with cognitive or communication needs. </w:t>
      </w:r>
      <w:r w:rsidR="003D1FCD" w:rsidRPr="008C341D">
        <w:rPr>
          <w:rFonts w:ascii="Arial" w:hAnsi="Arial" w:cs="Arial"/>
          <w:sz w:val="23"/>
          <w:szCs w:val="23"/>
        </w:rPr>
        <w:t xml:space="preserve">These actions are specific, measurable, achievable, relevant, and time-bound, supporting structured growth and addressing my strengths and areas </w:t>
      </w:r>
      <w:r w:rsidR="003D1FCD" w:rsidRPr="008C341D">
        <w:rPr>
          <w:rFonts w:ascii="Arial" w:hAnsi="Arial" w:cs="Arial"/>
          <w:sz w:val="23"/>
          <w:szCs w:val="23"/>
        </w:rPr>
        <w:lastRenderedPageBreak/>
        <w:t>for development. Incorporating this plan into supervision and reflective practice will support ongoing improvement</w:t>
      </w:r>
      <w:r w:rsidR="00917031" w:rsidRPr="008C341D">
        <w:rPr>
          <w:rFonts w:ascii="Arial" w:hAnsi="Arial" w:cs="Arial"/>
          <w:sz w:val="23"/>
          <w:szCs w:val="23"/>
        </w:rPr>
        <w:t xml:space="preserve"> in a complex healthcare environment</w:t>
      </w:r>
    </w:p>
    <w:p w14:paraId="306475AC" w14:textId="77777777" w:rsidR="00917031" w:rsidRPr="008C341D" w:rsidRDefault="00917031" w:rsidP="000563FF">
      <w:pPr>
        <w:rPr>
          <w:rFonts w:ascii="Arial" w:hAnsi="Arial" w:cs="Arial"/>
          <w:sz w:val="23"/>
          <w:szCs w:val="23"/>
        </w:rPr>
      </w:pPr>
    </w:p>
    <w:p w14:paraId="344F0DD7" w14:textId="09B99A63" w:rsidR="000563FF" w:rsidRPr="008C341D" w:rsidRDefault="000563FF" w:rsidP="000563FF">
      <w:pPr>
        <w:rPr>
          <w:rFonts w:ascii="Arial" w:hAnsi="Arial" w:cs="Arial"/>
          <w:b/>
          <w:bCs/>
          <w:sz w:val="23"/>
          <w:szCs w:val="23"/>
        </w:rPr>
      </w:pPr>
      <w:r w:rsidRPr="008C341D">
        <w:rPr>
          <w:rFonts w:ascii="Arial" w:hAnsi="Arial" w:cs="Arial"/>
          <w:b/>
          <w:bCs/>
          <w:sz w:val="23"/>
          <w:szCs w:val="23"/>
        </w:rPr>
        <w:t>CONCLUSION</w:t>
      </w:r>
      <w:r w:rsidR="0004501F" w:rsidRPr="008C341D">
        <w:rPr>
          <w:rFonts w:ascii="Arial" w:hAnsi="Arial" w:cs="Arial"/>
          <w:b/>
          <w:bCs/>
          <w:sz w:val="23"/>
          <w:szCs w:val="23"/>
        </w:rPr>
        <w:t>:</w:t>
      </w:r>
    </w:p>
    <w:p w14:paraId="57D2D12A" w14:textId="77777777" w:rsidR="000563FF" w:rsidRPr="008C341D" w:rsidRDefault="000563FF" w:rsidP="000563FF">
      <w:pPr>
        <w:rPr>
          <w:rFonts w:ascii="Arial" w:hAnsi="Arial" w:cs="Arial"/>
          <w:sz w:val="23"/>
          <w:szCs w:val="23"/>
        </w:rPr>
      </w:pPr>
      <w:r w:rsidRPr="008C341D">
        <w:rPr>
          <w:rFonts w:ascii="Arial" w:hAnsi="Arial" w:cs="Arial"/>
          <w:sz w:val="23"/>
          <w:szCs w:val="23"/>
        </w:rPr>
        <w:t>Person-centred care, partnership working, and ethics are foundational to high-quality practice within UK health and social care. They guide professionals to collaborate effectively, uphold individual rights, and make decisions grounded in respect, safety, and dignity. The fictional case study demonstrates how these principles interact to support coordinated discharge planning and enhance outcomes. Reflecting on my practice has highlighted strengths and areas for development, particularly in communication, ethical reasoning, and interprofessional collaboration. Embedding these principles will continue to shape my growth as a learning disability nurse, ensuring care that is compassionate, ethically informed, and centred on the individual.</w:t>
      </w:r>
    </w:p>
    <w:p w14:paraId="203922A9" w14:textId="77777777" w:rsidR="00E87980" w:rsidRPr="008C341D" w:rsidRDefault="00E87980" w:rsidP="00B40EE8">
      <w:pPr>
        <w:rPr>
          <w:rFonts w:ascii="Arial" w:hAnsi="Arial" w:cs="Arial"/>
          <w:sz w:val="23"/>
          <w:szCs w:val="23"/>
        </w:rPr>
      </w:pPr>
    </w:p>
    <w:p w14:paraId="7AA94533" w14:textId="77777777" w:rsidR="00E87980" w:rsidRPr="008C341D" w:rsidRDefault="00E87980" w:rsidP="00B40EE8">
      <w:pPr>
        <w:rPr>
          <w:rFonts w:ascii="Arial" w:hAnsi="Arial" w:cs="Arial"/>
          <w:sz w:val="23"/>
          <w:szCs w:val="23"/>
        </w:rPr>
      </w:pPr>
    </w:p>
    <w:p w14:paraId="21E9C65D" w14:textId="3C74DED7" w:rsidR="00B5319E" w:rsidRPr="008C341D" w:rsidRDefault="00B5319E" w:rsidP="00B40EE8">
      <w:pPr>
        <w:rPr>
          <w:rFonts w:ascii="Arial" w:hAnsi="Arial" w:cs="Arial"/>
          <w:b/>
          <w:bCs/>
          <w:sz w:val="23"/>
          <w:szCs w:val="23"/>
        </w:rPr>
      </w:pPr>
      <w:r w:rsidRPr="008C341D">
        <w:rPr>
          <w:rFonts w:ascii="Arial" w:hAnsi="Arial" w:cs="Arial"/>
          <w:b/>
          <w:bCs/>
          <w:sz w:val="23"/>
          <w:szCs w:val="23"/>
        </w:rPr>
        <w:t xml:space="preserve">REFERENCES: </w:t>
      </w:r>
    </w:p>
    <w:p w14:paraId="2758AE7F" w14:textId="2B534CA3" w:rsidR="00E87980" w:rsidRPr="008C341D" w:rsidRDefault="00C62275" w:rsidP="00B40EE8">
      <w:pPr>
        <w:rPr>
          <w:rFonts w:ascii="Arial" w:hAnsi="Arial" w:cs="Arial"/>
          <w:sz w:val="23"/>
          <w:szCs w:val="23"/>
        </w:rPr>
      </w:pPr>
      <w:r w:rsidRPr="008C341D">
        <w:rPr>
          <w:rFonts w:ascii="Arial" w:hAnsi="Arial" w:cs="Arial"/>
          <w:sz w:val="23"/>
          <w:szCs w:val="23"/>
        </w:rPr>
        <w:t>PIÑEIRO-FERNÁNDEZ, J.C., FERNÁNDEZ-RIAL ÁLVARO, SUÁREZ-GIL, R., MARTÍNEZ-GARCÍA MÓNICA, GARCÍA-TRINCADO BEATRIZ, SUÁREZ-PIÑERA ADRIÁN, PÉRTEGA-DÍAZ SONIA and CASARIEGO-VALES EMILIO, 2022. Evaluation of a patient-</w:t>
      </w:r>
      <w:proofErr w:type="spellStart"/>
      <w:r w:rsidRPr="008C341D">
        <w:rPr>
          <w:rFonts w:ascii="Arial" w:hAnsi="Arial" w:cs="Arial"/>
          <w:sz w:val="23"/>
          <w:szCs w:val="23"/>
        </w:rPr>
        <w:t>centered</w:t>
      </w:r>
      <w:proofErr w:type="spellEnd"/>
      <w:r w:rsidRPr="008C341D">
        <w:rPr>
          <w:rFonts w:ascii="Arial" w:hAnsi="Arial" w:cs="Arial"/>
          <w:sz w:val="23"/>
          <w:szCs w:val="23"/>
        </w:rPr>
        <w:t xml:space="preserve"> integrated care program for individuals with frequent hospital readmissions and multimorbidity. </w:t>
      </w:r>
      <w:r w:rsidRPr="008C341D">
        <w:rPr>
          <w:rFonts w:ascii="Arial" w:hAnsi="Arial" w:cs="Arial"/>
          <w:i/>
          <w:iCs/>
          <w:sz w:val="23"/>
          <w:szCs w:val="23"/>
        </w:rPr>
        <w:t>Internal and Emergency Medicine, </w:t>
      </w:r>
      <w:r w:rsidRPr="008C341D">
        <w:rPr>
          <w:rFonts w:ascii="Arial" w:hAnsi="Arial" w:cs="Arial"/>
          <w:b/>
          <w:bCs/>
          <w:sz w:val="23"/>
          <w:szCs w:val="23"/>
        </w:rPr>
        <w:t>17</w:t>
      </w:r>
      <w:r w:rsidRPr="008C341D">
        <w:rPr>
          <w:rFonts w:ascii="Arial" w:hAnsi="Arial" w:cs="Arial"/>
          <w:sz w:val="23"/>
          <w:szCs w:val="23"/>
        </w:rPr>
        <w:t>(3), pp. 789-797.</w:t>
      </w:r>
    </w:p>
    <w:p w14:paraId="6A3BCD1A" w14:textId="1F9FB9A2" w:rsidR="00D538F8" w:rsidRPr="008C341D" w:rsidRDefault="00E00301" w:rsidP="00B40EE8">
      <w:pPr>
        <w:rPr>
          <w:rFonts w:ascii="Arial" w:hAnsi="Arial" w:cs="Arial"/>
          <w:sz w:val="23"/>
          <w:szCs w:val="23"/>
        </w:rPr>
      </w:pPr>
      <w:r w:rsidRPr="008C341D">
        <w:rPr>
          <w:rFonts w:ascii="Arial" w:hAnsi="Arial" w:cs="Arial"/>
          <w:sz w:val="23"/>
          <w:szCs w:val="23"/>
        </w:rPr>
        <w:t>Bronfenbrenner, U. 1979. The ecology of human development: Experiments by nature and design. Cambridge, MA: Harvard University Press</w:t>
      </w:r>
      <w:r w:rsidR="009A5CBA" w:rsidRPr="008C341D">
        <w:rPr>
          <w:rFonts w:ascii="Arial" w:hAnsi="Arial" w:cs="Arial"/>
          <w:sz w:val="23"/>
          <w:szCs w:val="23"/>
        </w:rPr>
        <w:t>.</w:t>
      </w:r>
      <w:r w:rsidRPr="008C341D">
        <w:rPr>
          <w:rFonts w:ascii="Arial" w:hAnsi="Arial" w:cs="Arial"/>
          <w:sz w:val="23"/>
          <w:szCs w:val="23"/>
        </w:rPr>
        <w:t xml:space="preserve"> Available at: </w:t>
      </w:r>
      <w:hyperlink r:id="rId8" w:anchor="v=onepage&amp;q&amp;f=false" w:history="1">
        <w:r w:rsidR="00D71839" w:rsidRPr="008C341D">
          <w:rPr>
            <w:rStyle w:val="Hyperlink"/>
            <w:rFonts w:ascii="Arial" w:hAnsi="Arial" w:cs="Arial"/>
            <w:sz w:val="23"/>
            <w:szCs w:val="23"/>
          </w:rPr>
          <w:t>The Ecology of Human Development: Experiments by Nature and Design - Urie Bronfenbrenner - Google Books</w:t>
        </w:r>
      </w:hyperlink>
    </w:p>
    <w:p w14:paraId="5BEDD839" w14:textId="3B9B9181" w:rsidR="00906AA4" w:rsidRPr="008C341D" w:rsidRDefault="00906AA4" w:rsidP="00B40EE8">
      <w:pPr>
        <w:rPr>
          <w:rFonts w:ascii="Arial" w:hAnsi="Arial" w:cs="Arial"/>
          <w:sz w:val="23"/>
          <w:szCs w:val="23"/>
        </w:rPr>
      </w:pPr>
      <w:r w:rsidRPr="008C341D">
        <w:rPr>
          <w:rFonts w:ascii="Arial" w:hAnsi="Arial" w:cs="Arial"/>
          <w:sz w:val="23"/>
          <w:szCs w:val="23"/>
        </w:rPr>
        <w:t>Maslow, A. H. (1943). A theory of human motivation. </w:t>
      </w:r>
      <w:r w:rsidRPr="008C341D">
        <w:rPr>
          <w:rFonts w:ascii="Arial" w:hAnsi="Arial" w:cs="Arial"/>
          <w:i/>
          <w:iCs/>
          <w:sz w:val="23"/>
          <w:szCs w:val="23"/>
        </w:rPr>
        <w:t>Psychological Review, 50</w:t>
      </w:r>
      <w:r w:rsidRPr="008C341D">
        <w:rPr>
          <w:rFonts w:ascii="Arial" w:hAnsi="Arial" w:cs="Arial"/>
          <w:sz w:val="23"/>
          <w:szCs w:val="23"/>
        </w:rPr>
        <w:t>(4), 370–396. </w:t>
      </w:r>
      <w:hyperlink r:id="rId9" w:tgtFrame="_blank" w:history="1">
        <w:r w:rsidRPr="008C341D">
          <w:rPr>
            <w:rStyle w:val="Hyperlink"/>
            <w:rFonts w:ascii="Arial" w:hAnsi="Arial" w:cs="Arial"/>
            <w:sz w:val="23"/>
            <w:szCs w:val="23"/>
          </w:rPr>
          <w:t>https://doi.org/10.1037/h0054346</w:t>
        </w:r>
      </w:hyperlink>
    </w:p>
    <w:p w14:paraId="04CAE87D" w14:textId="46CDA785" w:rsidR="00675DF1" w:rsidRPr="008C341D" w:rsidRDefault="00675DF1" w:rsidP="00B40EE8">
      <w:pPr>
        <w:rPr>
          <w:rFonts w:ascii="Arial" w:hAnsi="Arial" w:cs="Arial"/>
          <w:sz w:val="23"/>
          <w:szCs w:val="23"/>
        </w:rPr>
      </w:pPr>
      <w:r w:rsidRPr="008C341D">
        <w:rPr>
          <w:rFonts w:ascii="Arial" w:hAnsi="Arial" w:cs="Arial"/>
          <w:sz w:val="23"/>
          <w:szCs w:val="23"/>
        </w:rPr>
        <w:t>JEHAN, M.A., ALNASSER, A.A., HALIMA ABDULLAH, A.Y., ABDULLAH, M.A., FATIMAH, A.S., ALDOSSARY, M.J., AMAL KHALAF ESSA AL-ANAZI, MASHAEL, M.A., MARYAM, A.A., ALRASHIDI, J.M. and ALMOTAIRI, H.S., 2024. The Importance of Ethical Decision-Making in Nursing Practice. </w:t>
      </w:r>
      <w:r w:rsidRPr="008C341D">
        <w:rPr>
          <w:rFonts w:ascii="Arial" w:hAnsi="Arial" w:cs="Arial"/>
          <w:i/>
          <w:iCs/>
          <w:sz w:val="23"/>
          <w:szCs w:val="23"/>
        </w:rPr>
        <w:t>Journal of International Crisis and Risk Communication Research, </w:t>
      </w:r>
      <w:r w:rsidRPr="008C341D">
        <w:rPr>
          <w:rFonts w:ascii="Arial" w:hAnsi="Arial" w:cs="Arial"/>
          <w:b/>
          <w:bCs/>
          <w:sz w:val="23"/>
          <w:szCs w:val="23"/>
        </w:rPr>
        <w:t>7</w:t>
      </w:r>
      <w:r w:rsidRPr="008C341D">
        <w:rPr>
          <w:rFonts w:ascii="Arial" w:hAnsi="Arial" w:cs="Arial"/>
          <w:sz w:val="23"/>
          <w:szCs w:val="23"/>
        </w:rPr>
        <w:t>, pp. 2623-2634.</w:t>
      </w:r>
    </w:p>
    <w:p w14:paraId="3B150EC1" w14:textId="48A53AB0" w:rsidR="00D6089B" w:rsidRPr="008C341D" w:rsidRDefault="00D6089B" w:rsidP="00D6089B">
      <w:pPr>
        <w:rPr>
          <w:rFonts w:ascii="Arial" w:hAnsi="Arial" w:cs="Arial"/>
          <w:sz w:val="23"/>
          <w:szCs w:val="23"/>
        </w:rPr>
      </w:pPr>
      <w:r w:rsidRPr="008C341D">
        <w:rPr>
          <w:rFonts w:ascii="Arial" w:hAnsi="Arial" w:cs="Arial"/>
          <w:sz w:val="23"/>
          <w:szCs w:val="23"/>
        </w:rPr>
        <w:t xml:space="preserve">Otaibi, A. (2025) “Enhancing Patient Outcomes in Intensive Care Units: The Impact of Multidisciplinary Team Collaboration on Care Quality,” </w:t>
      </w:r>
      <w:r w:rsidRPr="008C341D">
        <w:rPr>
          <w:rFonts w:ascii="Arial" w:hAnsi="Arial" w:cs="Arial"/>
          <w:i/>
          <w:iCs/>
          <w:sz w:val="23"/>
          <w:szCs w:val="23"/>
        </w:rPr>
        <w:t xml:space="preserve">The </w:t>
      </w:r>
      <w:r w:rsidR="009F0E34" w:rsidRPr="008C341D">
        <w:rPr>
          <w:rFonts w:ascii="Arial" w:hAnsi="Arial" w:cs="Arial"/>
          <w:i/>
          <w:iCs/>
          <w:sz w:val="23"/>
          <w:szCs w:val="23"/>
        </w:rPr>
        <w:t>Review</w:t>
      </w:r>
      <w:r w:rsidRPr="008C341D">
        <w:rPr>
          <w:rFonts w:ascii="Arial" w:hAnsi="Arial" w:cs="Arial"/>
          <w:i/>
          <w:iCs/>
          <w:sz w:val="23"/>
          <w:szCs w:val="23"/>
        </w:rPr>
        <w:t xml:space="preserve"> of diabetic studies</w:t>
      </w:r>
      <w:r w:rsidRPr="008C341D">
        <w:rPr>
          <w:rFonts w:ascii="Arial" w:hAnsi="Arial" w:cs="Arial"/>
          <w:sz w:val="23"/>
          <w:szCs w:val="23"/>
        </w:rPr>
        <w:t xml:space="preserve">, pp. 1144–1153. Available at: </w:t>
      </w:r>
      <w:hyperlink r:id="rId10" w:history="1">
        <w:r w:rsidR="00891B1E" w:rsidRPr="008C341D">
          <w:rPr>
            <w:rStyle w:val="Hyperlink"/>
            <w:rFonts w:ascii="Arial" w:hAnsi="Arial" w:cs="Arial"/>
            <w:sz w:val="23"/>
            <w:szCs w:val="23"/>
          </w:rPr>
          <w:t>https://doi.org/10.70082/enhfys90</w:t>
        </w:r>
      </w:hyperlink>
      <w:r w:rsidRPr="008C341D">
        <w:rPr>
          <w:rFonts w:ascii="Arial" w:hAnsi="Arial" w:cs="Arial"/>
          <w:sz w:val="23"/>
          <w:szCs w:val="23"/>
        </w:rPr>
        <w:t>.</w:t>
      </w:r>
    </w:p>
    <w:p w14:paraId="231D7986" w14:textId="1237032C" w:rsidR="00891B1E" w:rsidRPr="008C341D" w:rsidRDefault="00F4795F" w:rsidP="00D6089B">
      <w:pPr>
        <w:rPr>
          <w:rFonts w:ascii="Arial" w:hAnsi="Arial" w:cs="Arial"/>
          <w:sz w:val="23"/>
          <w:szCs w:val="23"/>
        </w:rPr>
      </w:pPr>
      <w:r w:rsidRPr="008C341D">
        <w:rPr>
          <w:rFonts w:ascii="Arial" w:hAnsi="Arial" w:cs="Arial"/>
          <w:sz w:val="23"/>
          <w:szCs w:val="23"/>
        </w:rPr>
        <w:t>NMC</w:t>
      </w:r>
      <w:r w:rsidR="00CE2B80" w:rsidRPr="008C341D">
        <w:rPr>
          <w:rFonts w:ascii="Arial" w:hAnsi="Arial" w:cs="Arial"/>
          <w:sz w:val="23"/>
          <w:szCs w:val="23"/>
        </w:rPr>
        <w:t>, NMC</w:t>
      </w:r>
      <w:r w:rsidRPr="008C341D">
        <w:rPr>
          <w:rFonts w:ascii="Arial" w:hAnsi="Arial" w:cs="Arial"/>
          <w:sz w:val="23"/>
          <w:szCs w:val="23"/>
        </w:rPr>
        <w:t xml:space="preserve"> Code</w:t>
      </w:r>
      <w:r w:rsidR="00CE2B80" w:rsidRPr="008C341D">
        <w:rPr>
          <w:rFonts w:ascii="Arial" w:hAnsi="Arial" w:cs="Arial"/>
          <w:sz w:val="23"/>
          <w:szCs w:val="23"/>
        </w:rPr>
        <w:t xml:space="preserve"> of </w:t>
      </w:r>
      <w:r w:rsidR="009F0E34" w:rsidRPr="008C341D">
        <w:rPr>
          <w:rFonts w:ascii="Arial" w:hAnsi="Arial" w:cs="Arial"/>
          <w:sz w:val="23"/>
          <w:szCs w:val="23"/>
        </w:rPr>
        <w:t>Conduct</w:t>
      </w:r>
      <w:r w:rsidRPr="008C341D">
        <w:rPr>
          <w:rFonts w:ascii="Arial" w:hAnsi="Arial" w:cs="Arial"/>
          <w:sz w:val="23"/>
          <w:szCs w:val="23"/>
        </w:rPr>
        <w:t xml:space="preserve"> (2015)</w:t>
      </w:r>
      <w:r w:rsidR="00CE2B80" w:rsidRPr="008C341D">
        <w:rPr>
          <w:rFonts w:ascii="Arial" w:hAnsi="Arial" w:cs="Arial"/>
          <w:sz w:val="23"/>
          <w:szCs w:val="23"/>
        </w:rPr>
        <w:t>.</w:t>
      </w:r>
      <w:r w:rsidRPr="008C341D">
        <w:rPr>
          <w:rFonts w:ascii="Arial" w:hAnsi="Arial" w:cs="Arial"/>
          <w:sz w:val="23"/>
          <w:szCs w:val="23"/>
        </w:rPr>
        <w:t xml:space="preserve"> Available at: </w:t>
      </w:r>
      <w:hyperlink r:id="rId11" w:history="1">
        <w:r w:rsidR="000E7FB6" w:rsidRPr="008C341D">
          <w:rPr>
            <w:rStyle w:val="Hyperlink"/>
            <w:rFonts w:ascii="Arial" w:hAnsi="Arial" w:cs="Arial"/>
            <w:sz w:val="23"/>
            <w:szCs w:val="23"/>
          </w:rPr>
          <w:t>https://www.nmc.org.uk/standards/code/read-the-code-online/</w:t>
        </w:r>
      </w:hyperlink>
    </w:p>
    <w:p w14:paraId="3C129D02" w14:textId="3E89AA4B" w:rsidR="000E7FB6" w:rsidRPr="008C341D" w:rsidRDefault="000E7FB6" w:rsidP="00D6089B">
      <w:pPr>
        <w:rPr>
          <w:rFonts w:ascii="Arial" w:hAnsi="Arial" w:cs="Arial"/>
          <w:sz w:val="23"/>
          <w:szCs w:val="23"/>
        </w:rPr>
      </w:pPr>
      <w:r w:rsidRPr="008C341D">
        <w:rPr>
          <w:rFonts w:ascii="Arial" w:hAnsi="Arial" w:cs="Arial"/>
          <w:sz w:val="23"/>
          <w:szCs w:val="23"/>
        </w:rPr>
        <w:t xml:space="preserve">Bru-Luna, L.M., Martí-Vilar, M. and Sala, F.G., 2022. Person-centred care approach by professional caregivers in the population with mental illness: Systematic review. </w:t>
      </w:r>
      <w:proofErr w:type="spellStart"/>
      <w:r w:rsidRPr="008C341D">
        <w:rPr>
          <w:rFonts w:ascii="Arial" w:hAnsi="Arial" w:cs="Arial"/>
          <w:sz w:val="23"/>
          <w:szCs w:val="23"/>
        </w:rPr>
        <w:t>Acción</w:t>
      </w:r>
      <w:proofErr w:type="spellEnd"/>
      <w:r w:rsidRPr="008C341D">
        <w:rPr>
          <w:rFonts w:ascii="Arial" w:hAnsi="Arial" w:cs="Arial"/>
          <w:sz w:val="23"/>
          <w:szCs w:val="23"/>
        </w:rPr>
        <w:t xml:space="preserve"> </w:t>
      </w:r>
      <w:proofErr w:type="spellStart"/>
      <w:r w:rsidRPr="008C341D">
        <w:rPr>
          <w:rFonts w:ascii="Arial" w:hAnsi="Arial" w:cs="Arial"/>
          <w:sz w:val="23"/>
          <w:szCs w:val="23"/>
        </w:rPr>
        <w:t>psicológica</w:t>
      </w:r>
      <w:proofErr w:type="spellEnd"/>
      <w:r w:rsidRPr="008C341D">
        <w:rPr>
          <w:rFonts w:ascii="Arial" w:hAnsi="Arial" w:cs="Arial"/>
          <w:sz w:val="23"/>
          <w:szCs w:val="23"/>
        </w:rPr>
        <w:t>, 19(1), pp.111-128.</w:t>
      </w:r>
    </w:p>
    <w:p w14:paraId="70336B22" w14:textId="59D94F47" w:rsidR="00CE2B80" w:rsidRPr="008C341D" w:rsidRDefault="00CE2B80" w:rsidP="00DB3597">
      <w:pPr>
        <w:rPr>
          <w:rFonts w:ascii="Arial" w:hAnsi="Arial" w:cs="Arial"/>
          <w:sz w:val="23"/>
          <w:szCs w:val="23"/>
        </w:rPr>
      </w:pPr>
      <w:r w:rsidRPr="008C341D">
        <w:rPr>
          <w:rFonts w:ascii="Arial" w:hAnsi="Arial" w:cs="Arial"/>
          <w:sz w:val="23"/>
          <w:szCs w:val="23"/>
        </w:rPr>
        <w:lastRenderedPageBreak/>
        <w:t xml:space="preserve">HCPC (2024) </w:t>
      </w:r>
      <w:r w:rsidR="00DB3597" w:rsidRPr="008C341D">
        <w:rPr>
          <w:rFonts w:ascii="Arial" w:hAnsi="Arial" w:cs="Arial"/>
          <w:sz w:val="23"/>
          <w:szCs w:val="23"/>
        </w:rPr>
        <w:t>Standards of conduct</w:t>
      </w:r>
      <w:r w:rsidR="00F37888" w:rsidRPr="008C341D">
        <w:rPr>
          <w:rFonts w:ascii="Arial" w:hAnsi="Arial" w:cs="Arial"/>
          <w:sz w:val="23"/>
          <w:szCs w:val="23"/>
        </w:rPr>
        <w:t>,</w:t>
      </w:r>
      <w:r w:rsidR="00DB3597" w:rsidRPr="008C341D">
        <w:rPr>
          <w:rFonts w:ascii="Arial" w:hAnsi="Arial" w:cs="Arial"/>
          <w:sz w:val="23"/>
          <w:szCs w:val="23"/>
        </w:rPr>
        <w:t xml:space="preserve"> performance and ethics</w:t>
      </w:r>
      <w:r w:rsidR="00F37888" w:rsidRPr="008C341D">
        <w:rPr>
          <w:rFonts w:ascii="Arial" w:hAnsi="Arial" w:cs="Arial"/>
          <w:sz w:val="23"/>
          <w:szCs w:val="23"/>
        </w:rPr>
        <w:t>.</w:t>
      </w:r>
      <w:r w:rsidR="00DB3597" w:rsidRPr="008C341D">
        <w:rPr>
          <w:rFonts w:ascii="Arial" w:hAnsi="Arial" w:cs="Arial"/>
          <w:sz w:val="23"/>
          <w:szCs w:val="23"/>
        </w:rPr>
        <w:t xml:space="preserve"> </w:t>
      </w:r>
      <w:r w:rsidRPr="008C341D">
        <w:rPr>
          <w:rFonts w:ascii="Arial" w:hAnsi="Arial" w:cs="Arial"/>
          <w:sz w:val="23"/>
          <w:szCs w:val="23"/>
        </w:rPr>
        <w:t xml:space="preserve">Available at: </w:t>
      </w:r>
      <w:hyperlink r:id="rId12" w:history="1">
        <w:r w:rsidRPr="008C341D">
          <w:rPr>
            <w:rStyle w:val="Hyperlink"/>
            <w:rFonts w:ascii="Arial" w:hAnsi="Arial" w:cs="Arial"/>
            <w:sz w:val="23"/>
            <w:szCs w:val="23"/>
          </w:rPr>
          <w:t>hcpc-uk.org/globalassets/resources/standards/standards-of-conduct-performance-and-ethics.pdf</w:t>
        </w:r>
      </w:hyperlink>
    </w:p>
    <w:p w14:paraId="2D582E68" w14:textId="42241A2B" w:rsidR="00DC2D72" w:rsidRPr="008C341D" w:rsidRDefault="00DC2D72" w:rsidP="00DB3597">
      <w:pPr>
        <w:rPr>
          <w:rFonts w:ascii="Arial" w:hAnsi="Arial" w:cs="Arial"/>
          <w:sz w:val="23"/>
          <w:szCs w:val="23"/>
        </w:rPr>
      </w:pPr>
      <w:r w:rsidRPr="008C341D">
        <w:rPr>
          <w:rFonts w:ascii="Arial" w:hAnsi="Arial" w:cs="Arial"/>
          <w:sz w:val="23"/>
          <w:szCs w:val="23"/>
        </w:rPr>
        <w:t xml:space="preserve">Kim, S.K. and Park, M., 2017. </w:t>
      </w:r>
      <w:r w:rsidRPr="008C341D">
        <w:rPr>
          <w:rFonts w:ascii="Arial" w:hAnsi="Arial" w:cs="Arial"/>
          <w:i/>
          <w:iCs/>
          <w:sz w:val="23"/>
          <w:szCs w:val="23"/>
        </w:rPr>
        <w:t xml:space="preserve">Effectiveness of </w:t>
      </w:r>
      <w:r w:rsidR="009F0E34" w:rsidRPr="008C341D">
        <w:rPr>
          <w:rFonts w:ascii="Arial" w:hAnsi="Arial" w:cs="Arial"/>
          <w:i/>
          <w:iCs/>
          <w:sz w:val="23"/>
          <w:szCs w:val="23"/>
        </w:rPr>
        <w:t>person-</w:t>
      </w:r>
      <w:proofErr w:type="spellStart"/>
      <w:r w:rsidR="009F0E34" w:rsidRPr="008C341D">
        <w:rPr>
          <w:rFonts w:ascii="Arial" w:hAnsi="Arial" w:cs="Arial"/>
          <w:i/>
          <w:iCs/>
          <w:sz w:val="23"/>
          <w:szCs w:val="23"/>
        </w:rPr>
        <w:t>centered</w:t>
      </w:r>
      <w:proofErr w:type="spellEnd"/>
      <w:r w:rsidRPr="008C341D">
        <w:rPr>
          <w:rFonts w:ascii="Arial" w:hAnsi="Arial" w:cs="Arial"/>
          <w:i/>
          <w:iCs/>
          <w:sz w:val="23"/>
          <w:szCs w:val="23"/>
        </w:rPr>
        <w:t xml:space="preserve"> care on people with dementia: a systematic review and </w:t>
      </w:r>
      <w:r w:rsidR="009F0E34" w:rsidRPr="008C341D">
        <w:rPr>
          <w:rFonts w:ascii="Arial" w:hAnsi="Arial" w:cs="Arial"/>
          <w:i/>
          <w:iCs/>
          <w:sz w:val="23"/>
          <w:szCs w:val="23"/>
        </w:rPr>
        <w:t>meta-analysis</w:t>
      </w:r>
      <w:r w:rsidRPr="008C341D">
        <w:rPr>
          <w:rFonts w:ascii="Arial" w:hAnsi="Arial" w:cs="Arial"/>
          <w:sz w:val="23"/>
          <w:szCs w:val="23"/>
        </w:rPr>
        <w:t>. Clinical Interventions in Aging, 12, pp.381–397</w:t>
      </w:r>
      <w:r w:rsidR="00EB3823" w:rsidRPr="008C341D">
        <w:rPr>
          <w:rFonts w:ascii="Arial" w:hAnsi="Arial" w:cs="Arial"/>
          <w:sz w:val="23"/>
          <w:szCs w:val="23"/>
        </w:rPr>
        <w:t>, DOI: </w:t>
      </w:r>
      <w:hyperlink r:id="rId13" w:tgtFrame="_blank" w:history="1">
        <w:r w:rsidR="00EB3823" w:rsidRPr="008C341D">
          <w:rPr>
            <w:rStyle w:val="Hyperlink"/>
            <w:rFonts w:ascii="Arial" w:hAnsi="Arial" w:cs="Arial"/>
            <w:sz w:val="23"/>
            <w:szCs w:val="23"/>
          </w:rPr>
          <w:t>10.2147/CIA.S117637</w:t>
        </w:r>
      </w:hyperlink>
    </w:p>
    <w:p w14:paraId="448F9410" w14:textId="3861AB85" w:rsidR="00D6089B" w:rsidRPr="008C341D" w:rsidRDefault="00A97F91" w:rsidP="00B40EE8">
      <w:pPr>
        <w:rPr>
          <w:rFonts w:ascii="Arial" w:hAnsi="Arial" w:cs="Arial"/>
          <w:sz w:val="23"/>
          <w:szCs w:val="23"/>
        </w:rPr>
      </w:pPr>
      <w:r w:rsidRPr="008C341D">
        <w:rPr>
          <w:rFonts w:ascii="Arial" w:hAnsi="Arial" w:cs="Arial"/>
          <w:sz w:val="23"/>
          <w:szCs w:val="23"/>
        </w:rPr>
        <w:t>Dunn</w:t>
      </w:r>
      <w:r w:rsidR="009F0E34" w:rsidRPr="008C341D">
        <w:rPr>
          <w:rFonts w:ascii="Arial" w:hAnsi="Arial" w:cs="Arial"/>
          <w:sz w:val="23"/>
          <w:szCs w:val="23"/>
        </w:rPr>
        <w:t>,</w:t>
      </w:r>
      <w:r w:rsidRPr="008C341D">
        <w:rPr>
          <w:rFonts w:ascii="Arial" w:hAnsi="Arial" w:cs="Arial"/>
          <w:sz w:val="23"/>
          <w:szCs w:val="23"/>
        </w:rPr>
        <w:t xml:space="preserve"> H. Ethical decision-making: exploring the four main principles in nursing. Nurs Stand. 2024 Jul 22. </w:t>
      </w:r>
      <w:r w:rsidR="009F0E34" w:rsidRPr="008C341D">
        <w:rPr>
          <w:rFonts w:ascii="Arial" w:hAnsi="Arial" w:cs="Arial"/>
          <w:sz w:val="23"/>
          <w:szCs w:val="23"/>
        </w:rPr>
        <w:t>Doi</w:t>
      </w:r>
      <w:r w:rsidRPr="008C341D">
        <w:rPr>
          <w:rFonts w:ascii="Arial" w:hAnsi="Arial" w:cs="Arial"/>
          <w:sz w:val="23"/>
          <w:szCs w:val="23"/>
        </w:rPr>
        <w:t>: 10.7748/</w:t>
      </w:r>
      <w:proofErr w:type="gramStart"/>
      <w:r w:rsidRPr="008C341D">
        <w:rPr>
          <w:rFonts w:ascii="Arial" w:hAnsi="Arial" w:cs="Arial"/>
          <w:sz w:val="23"/>
          <w:szCs w:val="23"/>
        </w:rPr>
        <w:t>ns.2024.e</w:t>
      </w:r>
      <w:proofErr w:type="gramEnd"/>
      <w:r w:rsidRPr="008C341D">
        <w:rPr>
          <w:rFonts w:ascii="Arial" w:hAnsi="Arial" w:cs="Arial"/>
          <w:sz w:val="23"/>
          <w:szCs w:val="23"/>
        </w:rPr>
        <w:t xml:space="preserve">12346. </w:t>
      </w:r>
      <w:proofErr w:type="spellStart"/>
      <w:r w:rsidRPr="008C341D">
        <w:rPr>
          <w:rFonts w:ascii="Arial" w:hAnsi="Arial" w:cs="Arial"/>
          <w:sz w:val="23"/>
          <w:szCs w:val="23"/>
        </w:rPr>
        <w:t>Epub</w:t>
      </w:r>
      <w:proofErr w:type="spellEnd"/>
      <w:r w:rsidRPr="008C341D">
        <w:rPr>
          <w:rFonts w:ascii="Arial" w:hAnsi="Arial" w:cs="Arial"/>
          <w:sz w:val="23"/>
          <w:szCs w:val="23"/>
        </w:rPr>
        <w:t xml:space="preserve"> ahead of print. PMID: 39034737.</w:t>
      </w:r>
    </w:p>
    <w:p w14:paraId="0A53B666" w14:textId="7A4898DB" w:rsidR="00CB4065" w:rsidRPr="008C341D" w:rsidRDefault="00CB4065" w:rsidP="00B40EE8">
      <w:pPr>
        <w:rPr>
          <w:rFonts w:ascii="Arial" w:hAnsi="Arial" w:cs="Arial"/>
          <w:sz w:val="23"/>
          <w:szCs w:val="23"/>
        </w:rPr>
      </w:pPr>
      <w:r w:rsidRPr="008C341D">
        <w:rPr>
          <w:rFonts w:ascii="Arial" w:hAnsi="Arial" w:cs="Arial"/>
          <w:sz w:val="23"/>
          <w:szCs w:val="23"/>
        </w:rPr>
        <w:t>BECHIR, G. and ANGELINA, B., 2025. Reducing Delays, Improving Flow: The Importance of a Dedicated Discharge Coordinator in Hospital Discharge Planning. </w:t>
      </w:r>
      <w:r w:rsidRPr="008C341D">
        <w:rPr>
          <w:rFonts w:ascii="Arial" w:hAnsi="Arial" w:cs="Arial"/>
          <w:i/>
          <w:iCs/>
          <w:sz w:val="23"/>
          <w:szCs w:val="23"/>
        </w:rPr>
        <w:t>Cureus, </w:t>
      </w:r>
      <w:r w:rsidRPr="008C341D">
        <w:rPr>
          <w:rFonts w:ascii="Arial" w:hAnsi="Arial" w:cs="Arial"/>
          <w:b/>
          <w:bCs/>
          <w:sz w:val="23"/>
          <w:szCs w:val="23"/>
        </w:rPr>
        <w:t>17</w:t>
      </w:r>
      <w:r w:rsidRPr="008C341D">
        <w:rPr>
          <w:rFonts w:ascii="Arial" w:hAnsi="Arial" w:cs="Arial"/>
          <w:sz w:val="23"/>
          <w:szCs w:val="23"/>
        </w:rPr>
        <w:t>(6), pp. 5.</w:t>
      </w:r>
    </w:p>
    <w:p w14:paraId="4CA8EA54" w14:textId="1A96674B" w:rsidR="00624CBF" w:rsidRPr="008C341D" w:rsidRDefault="00624CBF" w:rsidP="00B40EE8">
      <w:pPr>
        <w:rPr>
          <w:rFonts w:ascii="Arial" w:hAnsi="Arial" w:cs="Arial"/>
          <w:sz w:val="23"/>
          <w:szCs w:val="23"/>
        </w:rPr>
      </w:pPr>
      <w:r w:rsidRPr="008C341D">
        <w:rPr>
          <w:rFonts w:ascii="Arial" w:hAnsi="Arial" w:cs="Arial"/>
          <w:sz w:val="23"/>
          <w:szCs w:val="23"/>
        </w:rPr>
        <w:t xml:space="preserve">UK Clinical Ethics Network, 2022. </w:t>
      </w:r>
      <w:r w:rsidRPr="008C341D">
        <w:rPr>
          <w:rFonts w:ascii="Arial" w:hAnsi="Arial" w:cs="Arial"/>
          <w:i/>
          <w:iCs/>
          <w:sz w:val="23"/>
          <w:szCs w:val="23"/>
        </w:rPr>
        <w:t>Why to use a framework – Ethical Frameworks for Clinical Ethics Services</w:t>
      </w:r>
      <w:r w:rsidRPr="008C341D">
        <w:rPr>
          <w:rFonts w:ascii="Arial" w:hAnsi="Arial" w:cs="Arial"/>
          <w:sz w:val="23"/>
          <w:szCs w:val="23"/>
        </w:rPr>
        <w:t xml:space="preserve">. UK Clinical Ethics Network. Available at: </w:t>
      </w:r>
      <w:r w:rsidR="00D13B86" w:rsidRPr="008C341D">
        <w:rPr>
          <w:rFonts w:ascii="Arial" w:hAnsi="Arial" w:cs="Arial"/>
          <w:sz w:val="23"/>
          <w:szCs w:val="23"/>
        </w:rPr>
        <w:t>https://ukcen.org/guidance-for-clinical-ethics-services/ethical-frameworks/why-to-use-a-framework</w:t>
      </w:r>
      <w:r w:rsidR="009378C8" w:rsidRPr="008C341D">
        <w:rPr>
          <w:rFonts w:ascii="Arial" w:hAnsi="Arial" w:cs="Arial"/>
          <w:sz w:val="23"/>
          <w:szCs w:val="23"/>
        </w:rPr>
        <w:t>/</w:t>
      </w:r>
    </w:p>
    <w:p w14:paraId="5B613BBF" w14:textId="77777777" w:rsidR="00E87980" w:rsidRPr="008C341D" w:rsidRDefault="00E87980" w:rsidP="00B40EE8">
      <w:pPr>
        <w:rPr>
          <w:rFonts w:ascii="Arial" w:hAnsi="Arial" w:cs="Arial"/>
          <w:sz w:val="23"/>
          <w:szCs w:val="23"/>
        </w:rPr>
      </w:pPr>
    </w:p>
    <w:p w14:paraId="3221BB48" w14:textId="77777777" w:rsidR="00E87980" w:rsidRPr="008C341D" w:rsidRDefault="00E87980" w:rsidP="00B40EE8">
      <w:pPr>
        <w:rPr>
          <w:rFonts w:ascii="Arial" w:hAnsi="Arial" w:cs="Arial"/>
          <w:sz w:val="23"/>
          <w:szCs w:val="23"/>
        </w:rPr>
      </w:pPr>
    </w:p>
    <w:p w14:paraId="3B050F26" w14:textId="77777777" w:rsidR="00E87980" w:rsidRPr="008C341D" w:rsidRDefault="00E87980" w:rsidP="00B40EE8">
      <w:pPr>
        <w:rPr>
          <w:rFonts w:ascii="Arial" w:hAnsi="Arial" w:cs="Arial"/>
          <w:sz w:val="23"/>
          <w:szCs w:val="23"/>
        </w:rPr>
      </w:pPr>
    </w:p>
    <w:p w14:paraId="753C755C" w14:textId="77777777" w:rsidR="00E87980" w:rsidRPr="008C341D" w:rsidRDefault="00E87980" w:rsidP="00B40EE8">
      <w:pPr>
        <w:rPr>
          <w:rFonts w:ascii="Arial" w:hAnsi="Arial" w:cs="Arial"/>
          <w:sz w:val="23"/>
          <w:szCs w:val="23"/>
        </w:rPr>
      </w:pPr>
    </w:p>
    <w:p w14:paraId="682706F1" w14:textId="77777777" w:rsidR="00E87980" w:rsidRPr="008C341D" w:rsidRDefault="00E87980" w:rsidP="00B40EE8">
      <w:pPr>
        <w:rPr>
          <w:rFonts w:ascii="Arial" w:hAnsi="Arial" w:cs="Arial"/>
          <w:sz w:val="23"/>
          <w:szCs w:val="23"/>
        </w:rPr>
      </w:pPr>
    </w:p>
    <w:p w14:paraId="52534B79" w14:textId="77777777" w:rsidR="00E87980" w:rsidRPr="008C341D" w:rsidRDefault="00E87980" w:rsidP="00B40EE8">
      <w:pPr>
        <w:rPr>
          <w:rFonts w:ascii="Arial" w:hAnsi="Arial" w:cs="Arial"/>
          <w:sz w:val="23"/>
          <w:szCs w:val="23"/>
        </w:rPr>
      </w:pPr>
    </w:p>
    <w:p w14:paraId="241D652C" w14:textId="77777777" w:rsidR="00E87980" w:rsidRPr="008C341D" w:rsidRDefault="00E87980" w:rsidP="00B40EE8">
      <w:pPr>
        <w:rPr>
          <w:rFonts w:ascii="Arial" w:hAnsi="Arial" w:cs="Arial"/>
          <w:sz w:val="23"/>
          <w:szCs w:val="23"/>
        </w:rPr>
      </w:pPr>
    </w:p>
    <w:p w14:paraId="3C577975" w14:textId="77777777" w:rsidR="00E87980" w:rsidRPr="008C341D" w:rsidRDefault="00E87980" w:rsidP="00B40EE8">
      <w:pPr>
        <w:rPr>
          <w:rFonts w:ascii="Arial" w:hAnsi="Arial" w:cs="Arial"/>
          <w:sz w:val="23"/>
          <w:szCs w:val="23"/>
        </w:rPr>
      </w:pPr>
    </w:p>
    <w:p w14:paraId="31261A00" w14:textId="77777777" w:rsidR="00E87980" w:rsidRPr="008C341D" w:rsidRDefault="00E87980" w:rsidP="00B40EE8">
      <w:pPr>
        <w:rPr>
          <w:rFonts w:ascii="Arial" w:hAnsi="Arial" w:cs="Arial"/>
          <w:sz w:val="23"/>
          <w:szCs w:val="23"/>
        </w:rPr>
      </w:pPr>
    </w:p>
    <w:p w14:paraId="718FA94B" w14:textId="77777777" w:rsidR="00E87980" w:rsidRPr="008C341D" w:rsidRDefault="00E87980" w:rsidP="00B40EE8">
      <w:pPr>
        <w:rPr>
          <w:rFonts w:ascii="Arial" w:hAnsi="Arial" w:cs="Arial"/>
          <w:sz w:val="23"/>
          <w:szCs w:val="23"/>
        </w:rPr>
      </w:pPr>
    </w:p>
    <w:p w14:paraId="58241A38" w14:textId="77777777" w:rsidR="00E87980" w:rsidRPr="008C341D" w:rsidRDefault="00E87980" w:rsidP="00B40EE8">
      <w:pPr>
        <w:rPr>
          <w:rFonts w:ascii="Arial" w:hAnsi="Arial" w:cs="Arial"/>
          <w:sz w:val="23"/>
          <w:szCs w:val="23"/>
        </w:rPr>
      </w:pPr>
    </w:p>
    <w:p w14:paraId="5C24DA40" w14:textId="77777777" w:rsidR="00E87980" w:rsidRPr="008C341D" w:rsidRDefault="00E87980" w:rsidP="00B40EE8">
      <w:pPr>
        <w:rPr>
          <w:rFonts w:ascii="Arial" w:hAnsi="Arial" w:cs="Arial"/>
          <w:sz w:val="23"/>
          <w:szCs w:val="23"/>
        </w:rPr>
      </w:pPr>
    </w:p>
    <w:p w14:paraId="7E7C1162" w14:textId="77777777" w:rsidR="00E87980" w:rsidRPr="008C341D" w:rsidRDefault="00E87980" w:rsidP="00B40EE8">
      <w:pPr>
        <w:rPr>
          <w:rFonts w:ascii="Arial" w:hAnsi="Arial" w:cs="Arial"/>
          <w:sz w:val="23"/>
          <w:szCs w:val="23"/>
        </w:rPr>
      </w:pPr>
    </w:p>
    <w:p w14:paraId="23B5446B" w14:textId="77777777" w:rsidR="00E87980" w:rsidRPr="008C341D" w:rsidRDefault="00E87980" w:rsidP="00B40EE8">
      <w:pPr>
        <w:rPr>
          <w:rFonts w:ascii="Arial" w:hAnsi="Arial" w:cs="Arial"/>
          <w:sz w:val="23"/>
          <w:szCs w:val="23"/>
        </w:rPr>
      </w:pPr>
    </w:p>
    <w:p w14:paraId="2964A625" w14:textId="77777777" w:rsidR="00B40EE8" w:rsidRPr="008C341D" w:rsidRDefault="00B40EE8">
      <w:pPr>
        <w:rPr>
          <w:rFonts w:ascii="Arial" w:hAnsi="Arial" w:cs="Arial"/>
          <w:sz w:val="23"/>
          <w:szCs w:val="23"/>
        </w:rPr>
      </w:pPr>
    </w:p>
    <w:p w14:paraId="51AC819B" w14:textId="77777777" w:rsidR="00B40EE8" w:rsidRPr="008C341D" w:rsidRDefault="00B40EE8">
      <w:pPr>
        <w:rPr>
          <w:rFonts w:ascii="Arial" w:hAnsi="Arial" w:cs="Arial"/>
          <w:sz w:val="23"/>
          <w:szCs w:val="23"/>
        </w:rPr>
      </w:pPr>
    </w:p>
    <w:p w14:paraId="10046BC0" w14:textId="77777777" w:rsidR="00B40EE8" w:rsidRPr="008C341D" w:rsidRDefault="00B40EE8">
      <w:pPr>
        <w:rPr>
          <w:rFonts w:ascii="Arial" w:hAnsi="Arial" w:cs="Arial"/>
          <w:sz w:val="23"/>
          <w:szCs w:val="23"/>
        </w:rPr>
      </w:pPr>
    </w:p>
    <w:p w14:paraId="4F569AED" w14:textId="77777777" w:rsidR="00B40EE8" w:rsidRPr="008C341D" w:rsidRDefault="00B40EE8">
      <w:pPr>
        <w:rPr>
          <w:rFonts w:ascii="Arial" w:hAnsi="Arial" w:cs="Arial"/>
          <w:sz w:val="23"/>
          <w:szCs w:val="23"/>
        </w:rPr>
      </w:pPr>
    </w:p>
    <w:p w14:paraId="4D7D569D" w14:textId="77777777" w:rsidR="00B40EE8" w:rsidRPr="008C341D" w:rsidRDefault="00B40EE8">
      <w:pPr>
        <w:rPr>
          <w:rFonts w:ascii="Arial" w:hAnsi="Arial" w:cs="Arial"/>
          <w:sz w:val="23"/>
          <w:szCs w:val="23"/>
        </w:rPr>
      </w:pPr>
    </w:p>
    <w:p w14:paraId="67D685AF" w14:textId="77777777" w:rsidR="00B40EE8" w:rsidRPr="008C341D" w:rsidRDefault="00B40EE8">
      <w:pPr>
        <w:rPr>
          <w:rFonts w:ascii="Arial" w:hAnsi="Arial" w:cs="Arial"/>
          <w:sz w:val="23"/>
          <w:szCs w:val="23"/>
        </w:rPr>
      </w:pPr>
    </w:p>
    <w:p w14:paraId="68DF7B3F" w14:textId="77777777" w:rsidR="00B40EE8" w:rsidRPr="008C341D" w:rsidRDefault="00B40EE8">
      <w:pPr>
        <w:rPr>
          <w:rFonts w:ascii="Arial" w:hAnsi="Arial" w:cs="Arial"/>
          <w:sz w:val="23"/>
          <w:szCs w:val="23"/>
        </w:rPr>
      </w:pPr>
    </w:p>
    <w:p w14:paraId="5CEE55F2" w14:textId="77777777" w:rsidR="00B40EE8" w:rsidRPr="008C341D" w:rsidRDefault="00B40EE8">
      <w:pPr>
        <w:rPr>
          <w:rFonts w:ascii="Arial" w:hAnsi="Arial" w:cs="Arial"/>
          <w:sz w:val="23"/>
          <w:szCs w:val="23"/>
        </w:rPr>
      </w:pPr>
    </w:p>
    <w:p w14:paraId="1FCBE5C9" w14:textId="77777777" w:rsidR="00B40EE8" w:rsidRPr="008C341D" w:rsidRDefault="00B40EE8">
      <w:pPr>
        <w:rPr>
          <w:rFonts w:ascii="Arial" w:hAnsi="Arial" w:cs="Arial"/>
          <w:sz w:val="23"/>
          <w:szCs w:val="23"/>
        </w:rPr>
      </w:pPr>
    </w:p>
    <w:p w14:paraId="2F63AC6A" w14:textId="77777777" w:rsidR="00B40EE8" w:rsidRPr="008C341D" w:rsidRDefault="00B40EE8">
      <w:pPr>
        <w:rPr>
          <w:rFonts w:ascii="Arial" w:hAnsi="Arial" w:cs="Arial"/>
          <w:sz w:val="23"/>
          <w:szCs w:val="23"/>
        </w:rPr>
      </w:pPr>
    </w:p>
    <w:p w14:paraId="53DF2BF9" w14:textId="77777777" w:rsidR="00B40EE8" w:rsidRPr="008C341D" w:rsidRDefault="00B40EE8">
      <w:pPr>
        <w:rPr>
          <w:rFonts w:ascii="Arial" w:hAnsi="Arial" w:cs="Arial"/>
          <w:sz w:val="23"/>
          <w:szCs w:val="23"/>
        </w:rPr>
      </w:pPr>
    </w:p>
    <w:p w14:paraId="23765866" w14:textId="77777777" w:rsidR="00B40EE8" w:rsidRPr="008C341D" w:rsidRDefault="00B40EE8">
      <w:pPr>
        <w:rPr>
          <w:rFonts w:ascii="Arial" w:hAnsi="Arial" w:cs="Arial"/>
          <w:sz w:val="23"/>
          <w:szCs w:val="23"/>
        </w:rPr>
      </w:pPr>
    </w:p>
    <w:p w14:paraId="7F709F35" w14:textId="77777777" w:rsidR="00B40EE8" w:rsidRPr="008C341D" w:rsidRDefault="00B40EE8">
      <w:pPr>
        <w:rPr>
          <w:rFonts w:ascii="Arial" w:hAnsi="Arial" w:cs="Arial"/>
          <w:sz w:val="23"/>
          <w:szCs w:val="23"/>
        </w:rPr>
      </w:pPr>
    </w:p>
    <w:sectPr w:rsidR="00B40EE8" w:rsidRPr="008C3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CA9"/>
    <w:multiLevelType w:val="multilevel"/>
    <w:tmpl w:val="019C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E4F1B"/>
    <w:multiLevelType w:val="multilevel"/>
    <w:tmpl w:val="E49A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D65F11"/>
    <w:multiLevelType w:val="multilevel"/>
    <w:tmpl w:val="D68E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121A2C"/>
    <w:multiLevelType w:val="multilevel"/>
    <w:tmpl w:val="93965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44755B"/>
    <w:multiLevelType w:val="multilevel"/>
    <w:tmpl w:val="0024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AD37A1"/>
    <w:multiLevelType w:val="multilevel"/>
    <w:tmpl w:val="922E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F90714"/>
    <w:multiLevelType w:val="multilevel"/>
    <w:tmpl w:val="7658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315">
    <w:abstractNumId w:val="5"/>
  </w:num>
  <w:num w:numId="2" w16cid:durableId="366375480">
    <w:abstractNumId w:val="4"/>
  </w:num>
  <w:num w:numId="3" w16cid:durableId="1446463669">
    <w:abstractNumId w:val="2"/>
  </w:num>
  <w:num w:numId="4" w16cid:durableId="1711302305">
    <w:abstractNumId w:val="6"/>
  </w:num>
  <w:num w:numId="5" w16cid:durableId="1110584786">
    <w:abstractNumId w:val="1"/>
  </w:num>
  <w:num w:numId="6" w16cid:durableId="345329090">
    <w:abstractNumId w:val="0"/>
  </w:num>
  <w:num w:numId="7" w16cid:durableId="281868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EE8"/>
    <w:rsid w:val="000011F3"/>
    <w:rsid w:val="000068B6"/>
    <w:rsid w:val="0004501F"/>
    <w:rsid w:val="000563FF"/>
    <w:rsid w:val="000A39EA"/>
    <w:rsid w:val="000E7FB6"/>
    <w:rsid w:val="0011465D"/>
    <w:rsid w:val="00117BDC"/>
    <w:rsid w:val="00140C7C"/>
    <w:rsid w:val="00154EFD"/>
    <w:rsid w:val="00187950"/>
    <w:rsid w:val="00195F40"/>
    <w:rsid w:val="001B0ECE"/>
    <w:rsid w:val="00202117"/>
    <w:rsid w:val="00243387"/>
    <w:rsid w:val="00246E26"/>
    <w:rsid w:val="002B18DF"/>
    <w:rsid w:val="00334125"/>
    <w:rsid w:val="00371D9C"/>
    <w:rsid w:val="003737B6"/>
    <w:rsid w:val="003D1FCD"/>
    <w:rsid w:val="003E7F11"/>
    <w:rsid w:val="003F0B81"/>
    <w:rsid w:val="00402BC7"/>
    <w:rsid w:val="004134A7"/>
    <w:rsid w:val="00436608"/>
    <w:rsid w:val="004E347D"/>
    <w:rsid w:val="004E5282"/>
    <w:rsid w:val="004F05BE"/>
    <w:rsid w:val="0051080F"/>
    <w:rsid w:val="00536292"/>
    <w:rsid w:val="00610084"/>
    <w:rsid w:val="00624CBF"/>
    <w:rsid w:val="00675DF1"/>
    <w:rsid w:val="00687169"/>
    <w:rsid w:val="006B46D7"/>
    <w:rsid w:val="006D74C9"/>
    <w:rsid w:val="00702556"/>
    <w:rsid w:val="007138CB"/>
    <w:rsid w:val="00721681"/>
    <w:rsid w:val="00775D46"/>
    <w:rsid w:val="00792951"/>
    <w:rsid w:val="007A4C4D"/>
    <w:rsid w:val="007A768F"/>
    <w:rsid w:val="008111BB"/>
    <w:rsid w:val="00856A7C"/>
    <w:rsid w:val="00891B1E"/>
    <w:rsid w:val="008A5163"/>
    <w:rsid w:val="008C341D"/>
    <w:rsid w:val="00906AA4"/>
    <w:rsid w:val="00917031"/>
    <w:rsid w:val="00920DFE"/>
    <w:rsid w:val="009378C8"/>
    <w:rsid w:val="00982CB1"/>
    <w:rsid w:val="009A5CBA"/>
    <w:rsid w:val="009C5D44"/>
    <w:rsid w:val="009D3C4F"/>
    <w:rsid w:val="009F0E34"/>
    <w:rsid w:val="00A01584"/>
    <w:rsid w:val="00A744D4"/>
    <w:rsid w:val="00A85589"/>
    <w:rsid w:val="00A97F91"/>
    <w:rsid w:val="00AA75AC"/>
    <w:rsid w:val="00AB2FD4"/>
    <w:rsid w:val="00AF04AD"/>
    <w:rsid w:val="00B40EE8"/>
    <w:rsid w:val="00B5319E"/>
    <w:rsid w:val="00BF64D0"/>
    <w:rsid w:val="00C614E0"/>
    <w:rsid w:val="00C62275"/>
    <w:rsid w:val="00C63858"/>
    <w:rsid w:val="00C96F2D"/>
    <w:rsid w:val="00CA7390"/>
    <w:rsid w:val="00CB4065"/>
    <w:rsid w:val="00CB5AB1"/>
    <w:rsid w:val="00CE2B80"/>
    <w:rsid w:val="00D13B86"/>
    <w:rsid w:val="00D538F8"/>
    <w:rsid w:val="00D6089B"/>
    <w:rsid w:val="00D71839"/>
    <w:rsid w:val="00DB3597"/>
    <w:rsid w:val="00DC2D72"/>
    <w:rsid w:val="00DF07A2"/>
    <w:rsid w:val="00E00301"/>
    <w:rsid w:val="00E35B12"/>
    <w:rsid w:val="00E4254D"/>
    <w:rsid w:val="00E65F2F"/>
    <w:rsid w:val="00E87980"/>
    <w:rsid w:val="00E97DE0"/>
    <w:rsid w:val="00EB3823"/>
    <w:rsid w:val="00EE70AC"/>
    <w:rsid w:val="00F37888"/>
    <w:rsid w:val="00F410EA"/>
    <w:rsid w:val="00F4795F"/>
    <w:rsid w:val="00FD72FF"/>
    <w:rsid w:val="00FF6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6663F"/>
  <w15:chartTrackingRefBased/>
  <w15:docId w15:val="{3CA58FB9-AA9D-4AA7-BF9B-92BC5BCD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EE8"/>
    <w:rPr>
      <w:rFonts w:eastAsiaTheme="majorEastAsia" w:cstheme="majorBidi"/>
      <w:color w:val="272727" w:themeColor="text1" w:themeTint="D8"/>
    </w:rPr>
  </w:style>
  <w:style w:type="paragraph" w:styleId="Title">
    <w:name w:val="Title"/>
    <w:basedOn w:val="Normal"/>
    <w:next w:val="Normal"/>
    <w:link w:val="TitleChar"/>
    <w:uiPriority w:val="10"/>
    <w:qFormat/>
    <w:rsid w:val="00B40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EE8"/>
    <w:pPr>
      <w:spacing w:before="160"/>
      <w:jc w:val="center"/>
    </w:pPr>
    <w:rPr>
      <w:i/>
      <w:iCs/>
      <w:color w:val="404040" w:themeColor="text1" w:themeTint="BF"/>
    </w:rPr>
  </w:style>
  <w:style w:type="character" w:customStyle="1" w:styleId="QuoteChar">
    <w:name w:val="Quote Char"/>
    <w:basedOn w:val="DefaultParagraphFont"/>
    <w:link w:val="Quote"/>
    <w:uiPriority w:val="29"/>
    <w:rsid w:val="00B40EE8"/>
    <w:rPr>
      <w:i/>
      <w:iCs/>
      <w:color w:val="404040" w:themeColor="text1" w:themeTint="BF"/>
    </w:rPr>
  </w:style>
  <w:style w:type="paragraph" w:styleId="ListParagraph">
    <w:name w:val="List Paragraph"/>
    <w:basedOn w:val="Normal"/>
    <w:uiPriority w:val="34"/>
    <w:qFormat/>
    <w:rsid w:val="00B40EE8"/>
    <w:pPr>
      <w:ind w:left="720"/>
      <w:contextualSpacing/>
    </w:pPr>
  </w:style>
  <w:style w:type="character" w:styleId="IntenseEmphasis">
    <w:name w:val="Intense Emphasis"/>
    <w:basedOn w:val="DefaultParagraphFont"/>
    <w:uiPriority w:val="21"/>
    <w:qFormat/>
    <w:rsid w:val="00B40EE8"/>
    <w:rPr>
      <w:i/>
      <w:iCs/>
      <w:color w:val="0F4761" w:themeColor="accent1" w:themeShade="BF"/>
    </w:rPr>
  </w:style>
  <w:style w:type="paragraph" w:styleId="IntenseQuote">
    <w:name w:val="Intense Quote"/>
    <w:basedOn w:val="Normal"/>
    <w:next w:val="Normal"/>
    <w:link w:val="IntenseQuoteChar"/>
    <w:uiPriority w:val="30"/>
    <w:qFormat/>
    <w:rsid w:val="00B40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EE8"/>
    <w:rPr>
      <w:i/>
      <w:iCs/>
      <w:color w:val="0F4761" w:themeColor="accent1" w:themeShade="BF"/>
    </w:rPr>
  </w:style>
  <w:style w:type="character" w:styleId="IntenseReference">
    <w:name w:val="Intense Reference"/>
    <w:basedOn w:val="DefaultParagraphFont"/>
    <w:uiPriority w:val="32"/>
    <w:qFormat/>
    <w:rsid w:val="00B40EE8"/>
    <w:rPr>
      <w:b/>
      <w:bCs/>
      <w:smallCaps/>
      <w:color w:val="0F4761" w:themeColor="accent1" w:themeShade="BF"/>
      <w:spacing w:val="5"/>
    </w:rPr>
  </w:style>
  <w:style w:type="character" w:styleId="Hyperlink">
    <w:name w:val="Hyperlink"/>
    <w:basedOn w:val="DefaultParagraphFont"/>
    <w:uiPriority w:val="99"/>
    <w:unhideWhenUsed/>
    <w:rsid w:val="00D71839"/>
    <w:rPr>
      <w:color w:val="467886" w:themeColor="hyperlink"/>
      <w:u w:val="single"/>
    </w:rPr>
  </w:style>
  <w:style w:type="character" w:styleId="UnresolvedMention">
    <w:name w:val="Unresolved Mention"/>
    <w:basedOn w:val="DefaultParagraphFont"/>
    <w:uiPriority w:val="99"/>
    <w:semiHidden/>
    <w:unhideWhenUsed/>
    <w:rsid w:val="00D71839"/>
    <w:rPr>
      <w:color w:val="605E5C"/>
      <w:shd w:val="clear" w:color="auto" w:fill="E1DFDD"/>
    </w:rPr>
  </w:style>
  <w:style w:type="character" w:styleId="Strong">
    <w:name w:val="Strong"/>
    <w:basedOn w:val="DefaultParagraphFont"/>
    <w:uiPriority w:val="22"/>
    <w:qFormat/>
    <w:rsid w:val="00775D46"/>
    <w:rPr>
      <w:b/>
      <w:bCs/>
    </w:rPr>
  </w:style>
  <w:style w:type="paragraph" w:styleId="NormalWeb">
    <w:name w:val="Normal (Web)"/>
    <w:basedOn w:val="Normal"/>
    <w:uiPriority w:val="99"/>
    <w:semiHidden/>
    <w:unhideWhenUsed/>
    <w:rsid w:val="00E35B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OCmbzWka6xUC&amp;oi=fnd&amp;pg=PA3&amp;dq=Bronfenbrenner,+U.+1979.+The+ecology+of+human+development:+Experiments+by+nature+and+design.+Cambridge,+MA:+Harvard+University+Press.&amp;ots=yAQWN-UOe9&amp;sig=9v3fUlatlCaRGJw8spzYtROc5XI&amp;redir_esc=y" TargetMode="External"/><Relationship Id="rId13" Type="http://schemas.openxmlformats.org/officeDocument/2006/relationships/hyperlink" Target="https://doi.org/10.2147/cia.s11763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cpc-uk.org/globalassets/resources/standards/standards-of-conduct-performance-and-ethic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mc.org.uk/standards/code/read-the-code-onlin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oi.org/10.70082/enhfys90" TargetMode="External"/><Relationship Id="rId4" Type="http://schemas.openxmlformats.org/officeDocument/2006/relationships/numbering" Target="numbering.xml"/><Relationship Id="rId9" Type="http://schemas.openxmlformats.org/officeDocument/2006/relationships/hyperlink" Target="https://psycnet.apa.org/doi/10.1037/h005434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22e223c4eb11e0b4c22a6785dc34706c">
  <xsd:schema xmlns:xsd="http://www.w3.org/2001/XMLSchema" xmlns:xs="http://www.w3.org/2001/XMLSchema" xmlns:p="http://schemas.microsoft.com/office/2006/metadata/properties" xmlns:ns3="ccfc14db-0f45-423b-b2f5-752f8f8a0ada" targetNamespace="http://schemas.microsoft.com/office/2006/metadata/properties" ma:root="true" ma:fieldsID="b2f312e64cc1afa99473b2c1bc3a418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5F79BA4-68A8-4A35-9ECA-780A9BD77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CF4256-2A8C-4F6A-8B15-BE674A41CE7D}">
  <ds:schemaRefs>
    <ds:schemaRef ds:uri="http://schemas.microsoft.com/sharepoint/v3/contenttype/forms"/>
  </ds:schemaRefs>
</ds:datastoreItem>
</file>

<file path=customXml/itemProps3.xml><?xml version="1.0" encoding="utf-8"?>
<ds:datastoreItem xmlns:ds="http://schemas.openxmlformats.org/officeDocument/2006/customXml" ds:itemID="{9EBED1E6-DC6D-40EF-8E1A-8C594E828523}">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2969</Words>
  <Characters>16925</Characters>
  <Application>Microsoft Office Word</Application>
  <DocSecurity>0</DocSecurity>
  <Lines>141</Lines>
  <Paragraphs>39</Paragraphs>
  <ScaleCrop>false</ScaleCrop>
  <Company/>
  <LinksUpToDate>false</LinksUpToDate>
  <CharactersWithSpaces>19855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Amankonah (2426673)</dc:creator>
  <cp:keywords/>
  <dc:description/>
  <cp:lastModifiedBy>Portia Amankonah</cp:lastModifiedBy>
  <cp:revision>3</cp:revision>
  <dcterms:created xsi:type="dcterms:W3CDTF">2026-03-02T18:33:00Z</dcterms:created>
  <dcterms:modified xsi:type="dcterms:W3CDTF">2026-03-02T18:34:00Z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e0c66a3b-1767-4d7d-aac5-d7eca89ad063</vt:lpwstr>
  </property>
  <property fmtid="{D5CDD505-2E9C-101B-9397-08002B2CF9AE}" pid="3" name="ContentTypeId">
    <vt:lpwstr>0x0101007810DDF4EC27A54C9626255B384F637A</vt:lpwstr>
  </property>
</Properties>
</file>