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F50BE4E" w14:textId="77777777" w:rsidR="00176CEB" w:rsidRPr="00421DE2" w:rsidRDefault="00000000">
      <w:pPr>
        <w:spacing w:before="1600" w:after="240"/>
        <w:jc w:val="center"/>
        <w:rPr>
          <w:rFonts w:ascii="Arial" w:hAnsi="Arial" w:cs="Arial"/>
        </w:rPr>
      </w:pPr>
      <w:r w:rsidRPr="00421DE2">
        <w:rPr>
          <w:rFonts w:ascii="Arial" w:hAnsi="Arial" w:cs="Arial"/>
          <w:b/>
          <w:color w:val="1F4E79"/>
          <w:sz w:val="50"/>
        </w:rPr>
        <w:t>REDEVELOPMENT OF THE</w:t>
      </w:r>
      <w:r w:rsidRPr="00421DE2">
        <w:rPr>
          <w:rFonts w:ascii="Arial" w:hAnsi="Arial" w:cs="Arial"/>
          <w:b/>
          <w:color w:val="1F4E79"/>
          <w:sz w:val="50"/>
        </w:rPr>
        <w:br/>
        <w:t>CENTRAL TRANSPORT HUB</w:t>
      </w:r>
    </w:p>
    <w:p w14:paraId="67A18B27" w14:textId="77777777" w:rsidR="00176CEB" w:rsidRPr="00421DE2" w:rsidRDefault="00000000">
      <w:pPr>
        <w:jc w:val="center"/>
        <w:rPr>
          <w:rFonts w:ascii="Arial" w:hAnsi="Arial" w:cs="Arial"/>
        </w:rPr>
      </w:pPr>
      <w:r w:rsidRPr="00421DE2">
        <w:rPr>
          <w:rFonts w:ascii="Arial" w:hAnsi="Arial" w:cs="Arial"/>
          <w:sz w:val="30"/>
        </w:rPr>
        <w:t>Complete Project Management Assignment: Parts A, B and C</w:t>
      </w:r>
    </w:p>
    <w:p w14:paraId="3B6448AF" w14:textId="77777777" w:rsidR="00176CEB" w:rsidRDefault="00000000">
      <w:pPr>
        <w:spacing w:before="700"/>
        <w:jc w:val="center"/>
        <w:rPr>
          <w:rFonts w:ascii="Arial" w:hAnsi="Arial" w:cs="Arial"/>
          <w:sz w:val="24"/>
          <w:szCs w:val="24"/>
        </w:rPr>
      </w:pPr>
      <w:r w:rsidRPr="00421DE2">
        <w:rPr>
          <w:rFonts w:ascii="Arial" w:hAnsi="Arial" w:cs="Arial"/>
          <w:sz w:val="24"/>
          <w:szCs w:val="24"/>
        </w:rPr>
        <w:t>LCLM5003 Project Management</w:t>
      </w:r>
      <w:r w:rsidRPr="00421DE2">
        <w:rPr>
          <w:rFonts w:ascii="Arial" w:hAnsi="Arial" w:cs="Arial"/>
          <w:sz w:val="24"/>
          <w:szCs w:val="24"/>
        </w:rPr>
        <w:br/>
        <w:t>Vladislavs Suhankins | Student No. 2430395</w:t>
      </w:r>
      <w:r w:rsidRPr="00421DE2">
        <w:rPr>
          <w:rFonts w:ascii="Arial" w:hAnsi="Arial" w:cs="Arial"/>
          <w:sz w:val="24"/>
          <w:szCs w:val="24"/>
        </w:rPr>
        <w:br/>
        <w:t>Lecturer: Dr Xavier Matieni</w:t>
      </w:r>
      <w:r w:rsidRPr="00421DE2">
        <w:rPr>
          <w:rFonts w:ascii="Arial" w:hAnsi="Arial" w:cs="Arial"/>
          <w:sz w:val="24"/>
          <w:szCs w:val="24"/>
        </w:rPr>
        <w:br/>
        <w:t>Project budget: £35 million | Delivery period: Six months</w:t>
      </w:r>
    </w:p>
    <w:p w14:paraId="51B8AA08" w14:textId="77777777" w:rsidR="009D1037" w:rsidRDefault="009D1037">
      <w:pPr>
        <w:spacing w:before="700"/>
        <w:jc w:val="center"/>
        <w:rPr>
          <w:rFonts w:ascii="Arial" w:hAnsi="Arial" w:cs="Arial"/>
          <w:sz w:val="24"/>
          <w:szCs w:val="24"/>
        </w:rPr>
      </w:pPr>
    </w:p>
    <w:p w14:paraId="5BB359BD" w14:textId="77777777" w:rsidR="009D1037" w:rsidRDefault="009D1037">
      <w:pPr>
        <w:spacing w:before="700"/>
        <w:jc w:val="center"/>
        <w:rPr>
          <w:rFonts w:ascii="Arial" w:hAnsi="Arial" w:cs="Arial"/>
          <w:sz w:val="24"/>
          <w:szCs w:val="24"/>
        </w:rPr>
      </w:pPr>
    </w:p>
    <w:p w14:paraId="64B2C237" w14:textId="77777777" w:rsidR="009D1037" w:rsidRDefault="009D1037">
      <w:pPr>
        <w:spacing w:before="700"/>
        <w:jc w:val="center"/>
        <w:rPr>
          <w:rFonts w:ascii="Arial" w:hAnsi="Arial" w:cs="Arial"/>
          <w:sz w:val="24"/>
          <w:szCs w:val="24"/>
        </w:rPr>
      </w:pPr>
    </w:p>
    <w:p w14:paraId="5BD98B31" w14:textId="77777777" w:rsidR="009D1037" w:rsidRDefault="009D1037">
      <w:pPr>
        <w:spacing w:before="700"/>
        <w:jc w:val="center"/>
        <w:rPr>
          <w:rFonts w:ascii="Arial" w:hAnsi="Arial" w:cs="Arial"/>
          <w:sz w:val="24"/>
          <w:szCs w:val="24"/>
        </w:rPr>
      </w:pPr>
    </w:p>
    <w:p w14:paraId="6067A727" w14:textId="77777777" w:rsidR="009D1037" w:rsidRDefault="009D1037">
      <w:pPr>
        <w:spacing w:before="700"/>
        <w:jc w:val="center"/>
        <w:rPr>
          <w:rFonts w:ascii="Arial" w:hAnsi="Arial" w:cs="Arial"/>
          <w:sz w:val="24"/>
          <w:szCs w:val="24"/>
        </w:rPr>
      </w:pPr>
    </w:p>
    <w:p w14:paraId="098BF4E9" w14:textId="77777777" w:rsidR="009D1037" w:rsidRDefault="009D1037">
      <w:pPr>
        <w:spacing w:before="700"/>
        <w:jc w:val="center"/>
        <w:rPr>
          <w:rFonts w:ascii="Arial" w:hAnsi="Arial" w:cs="Arial"/>
          <w:sz w:val="24"/>
          <w:szCs w:val="24"/>
        </w:rPr>
      </w:pPr>
    </w:p>
    <w:sdt>
      <w:sdtPr>
        <w:id w:val="1139082925"/>
        <w:docPartObj>
          <w:docPartGallery w:val="Table of Contents"/>
          <w:docPartUnique/>
        </w:docPartObj>
      </w:sdtPr>
      <w:sdtEndPr>
        <w:rPr>
          <w:rFonts w:ascii="Calibri" w:eastAsiaTheme="minorEastAsia" w:hAnsi="Calibri" w:cstheme="minorBidi"/>
          <w:noProof/>
          <w:color w:val="auto"/>
          <w:sz w:val="22"/>
          <w:szCs w:val="22"/>
        </w:rPr>
      </w:sdtEndPr>
      <w:sdtContent>
        <w:p w14:paraId="45E85919" w14:textId="0FF415BF" w:rsidR="009D1037" w:rsidRDefault="009D1037">
          <w:pPr>
            <w:pStyle w:val="TOCHeading"/>
          </w:pPr>
          <w:r>
            <w:t>Table of Contents</w:t>
          </w:r>
        </w:p>
        <w:p w14:paraId="5A2DE821" w14:textId="03EB6D5A" w:rsidR="005E0B54" w:rsidRDefault="009D1037">
          <w:pPr>
            <w:pStyle w:val="TOC1"/>
            <w:tabs>
              <w:tab w:val="right" w:leader="dot" w:pos="9350"/>
            </w:tabs>
            <w:rPr>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36575986" w:history="1">
            <w:r w:rsidR="005E0B54" w:rsidRPr="00E97838">
              <w:rPr>
                <w:rStyle w:val="Hyperlink"/>
                <w:rFonts w:ascii="Arial" w:hAnsi="Arial" w:cs="Arial"/>
                <w:noProof/>
              </w:rPr>
              <w:t>Part B: Reflection on Feedback Using Kolb’s Experiential Learning Cycle</w:t>
            </w:r>
            <w:r w:rsidR="005E0B54">
              <w:rPr>
                <w:noProof/>
                <w:webHidden/>
              </w:rPr>
              <w:tab/>
            </w:r>
            <w:r w:rsidR="005E0B54">
              <w:rPr>
                <w:noProof/>
                <w:webHidden/>
              </w:rPr>
              <w:fldChar w:fldCharType="begin"/>
            </w:r>
            <w:r w:rsidR="005E0B54">
              <w:rPr>
                <w:noProof/>
                <w:webHidden/>
              </w:rPr>
              <w:instrText xml:space="preserve"> PAGEREF _Toc236575986 \h </w:instrText>
            </w:r>
            <w:r w:rsidR="005E0B54">
              <w:rPr>
                <w:noProof/>
                <w:webHidden/>
              </w:rPr>
            </w:r>
            <w:r w:rsidR="005E0B54">
              <w:rPr>
                <w:noProof/>
                <w:webHidden/>
              </w:rPr>
              <w:fldChar w:fldCharType="separate"/>
            </w:r>
            <w:r w:rsidR="005E0B54">
              <w:rPr>
                <w:noProof/>
                <w:webHidden/>
              </w:rPr>
              <w:t>4</w:t>
            </w:r>
            <w:r w:rsidR="005E0B54">
              <w:rPr>
                <w:noProof/>
                <w:webHidden/>
              </w:rPr>
              <w:fldChar w:fldCharType="end"/>
            </w:r>
          </w:hyperlink>
        </w:p>
        <w:p w14:paraId="2E2F0E6F" w14:textId="0B64C18B" w:rsidR="005E0B54" w:rsidRDefault="005E0B54">
          <w:pPr>
            <w:pStyle w:val="TOC2"/>
            <w:tabs>
              <w:tab w:val="right" w:leader="dot" w:pos="9350"/>
            </w:tabs>
            <w:rPr>
              <w:b w:val="0"/>
              <w:bCs w:val="0"/>
              <w:noProof/>
              <w:kern w:val="2"/>
              <w:sz w:val="24"/>
              <w:szCs w:val="24"/>
              <w:lang w:val="en-GB" w:eastAsia="en-GB"/>
              <w14:ligatures w14:val="standardContextual"/>
            </w:rPr>
          </w:pPr>
          <w:hyperlink w:anchor="_Toc236575987" w:history="1">
            <w:r w:rsidRPr="00E97838">
              <w:rPr>
                <w:rStyle w:val="Hyperlink"/>
                <w:rFonts w:ascii="Arial" w:hAnsi="Arial" w:cs="Arial"/>
                <w:noProof/>
              </w:rPr>
              <w:t>Concrete Experience</w:t>
            </w:r>
            <w:r>
              <w:rPr>
                <w:noProof/>
                <w:webHidden/>
              </w:rPr>
              <w:tab/>
            </w:r>
            <w:r>
              <w:rPr>
                <w:noProof/>
                <w:webHidden/>
              </w:rPr>
              <w:fldChar w:fldCharType="begin"/>
            </w:r>
            <w:r>
              <w:rPr>
                <w:noProof/>
                <w:webHidden/>
              </w:rPr>
              <w:instrText xml:space="preserve"> PAGEREF _Toc236575987 \h </w:instrText>
            </w:r>
            <w:r>
              <w:rPr>
                <w:noProof/>
                <w:webHidden/>
              </w:rPr>
            </w:r>
            <w:r>
              <w:rPr>
                <w:noProof/>
                <w:webHidden/>
              </w:rPr>
              <w:fldChar w:fldCharType="separate"/>
            </w:r>
            <w:r>
              <w:rPr>
                <w:noProof/>
                <w:webHidden/>
              </w:rPr>
              <w:t>4</w:t>
            </w:r>
            <w:r>
              <w:rPr>
                <w:noProof/>
                <w:webHidden/>
              </w:rPr>
              <w:fldChar w:fldCharType="end"/>
            </w:r>
          </w:hyperlink>
        </w:p>
        <w:p w14:paraId="5E4986FF" w14:textId="421FCBDB" w:rsidR="005E0B54" w:rsidRDefault="005E0B54">
          <w:pPr>
            <w:pStyle w:val="TOC2"/>
            <w:tabs>
              <w:tab w:val="right" w:leader="dot" w:pos="9350"/>
            </w:tabs>
            <w:rPr>
              <w:b w:val="0"/>
              <w:bCs w:val="0"/>
              <w:noProof/>
              <w:kern w:val="2"/>
              <w:sz w:val="24"/>
              <w:szCs w:val="24"/>
              <w:lang w:val="en-GB" w:eastAsia="en-GB"/>
              <w14:ligatures w14:val="standardContextual"/>
            </w:rPr>
          </w:pPr>
          <w:hyperlink w:anchor="_Toc236575988" w:history="1">
            <w:r w:rsidRPr="00E97838">
              <w:rPr>
                <w:rStyle w:val="Hyperlink"/>
                <w:rFonts w:ascii="Arial" w:hAnsi="Arial" w:cs="Arial"/>
                <w:noProof/>
              </w:rPr>
              <w:t>Reflective Observation</w:t>
            </w:r>
            <w:r>
              <w:rPr>
                <w:noProof/>
                <w:webHidden/>
              </w:rPr>
              <w:tab/>
            </w:r>
            <w:r>
              <w:rPr>
                <w:noProof/>
                <w:webHidden/>
              </w:rPr>
              <w:fldChar w:fldCharType="begin"/>
            </w:r>
            <w:r>
              <w:rPr>
                <w:noProof/>
                <w:webHidden/>
              </w:rPr>
              <w:instrText xml:space="preserve"> PAGEREF _Toc236575988 \h </w:instrText>
            </w:r>
            <w:r>
              <w:rPr>
                <w:noProof/>
                <w:webHidden/>
              </w:rPr>
            </w:r>
            <w:r>
              <w:rPr>
                <w:noProof/>
                <w:webHidden/>
              </w:rPr>
              <w:fldChar w:fldCharType="separate"/>
            </w:r>
            <w:r>
              <w:rPr>
                <w:noProof/>
                <w:webHidden/>
              </w:rPr>
              <w:t>4</w:t>
            </w:r>
            <w:r>
              <w:rPr>
                <w:noProof/>
                <w:webHidden/>
              </w:rPr>
              <w:fldChar w:fldCharType="end"/>
            </w:r>
          </w:hyperlink>
        </w:p>
        <w:p w14:paraId="45CCDA33" w14:textId="1B1E5A67" w:rsidR="005E0B54" w:rsidRDefault="005E0B54">
          <w:pPr>
            <w:pStyle w:val="TOC2"/>
            <w:tabs>
              <w:tab w:val="right" w:leader="dot" w:pos="9350"/>
            </w:tabs>
            <w:rPr>
              <w:b w:val="0"/>
              <w:bCs w:val="0"/>
              <w:noProof/>
              <w:kern w:val="2"/>
              <w:sz w:val="24"/>
              <w:szCs w:val="24"/>
              <w:lang w:val="en-GB" w:eastAsia="en-GB"/>
              <w14:ligatures w14:val="standardContextual"/>
            </w:rPr>
          </w:pPr>
          <w:hyperlink w:anchor="_Toc236575989" w:history="1">
            <w:r w:rsidRPr="00E97838">
              <w:rPr>
                <w:rStyle w:val="Hyperlink"/>
                <w:rFonts w:ascii="Arial" w:hAnsi="Arial" w:cs="Arial"/>
                <w:noProof/>
              </w:rPr>
              <w:t>Abstract Conceptualisation</w:t>
            </w:r>
            <w:r>
              <w:rPr>
                <w:noProof/>
                <w:webHidden/>
              </w:rPr>
              <w:tab/>
            </w:r>
            <w:r>
              <w:rPr>
                <w:noProof/>
                <w:webHidden/>
              </w:rPr>
              <w:fldChar w:fldCharType="begin"/>
            </w:r>
            <w:r>
              <w:rPr>
                <w:noProof/>
                <w:webHidden/>
              </w:rPr>
              <w:instrText xml:space="preserve"> PAGEREF _Toc236575989 \h </w:instrText>
            </w:r>
            <w:r>
              <w:rPr>
                <w:noProof/>
                <w:webHidden/>
              </w:rPr>
            </w:r>
            <w:r>
              <w:rPr>
                <w:noProof/>
                <w:webHidden/>
              </w:rPr>
              <w:fldChar w:fldCharType="separate"/>
            </w:r>
            <w:r>
              <w:rPr>
                <w:noProof/>
                <w:webHidden/>
              </w:rPr>
              <w:t>4</w:t>
            </w:r>
            <w:r>
              <w:rPr>
                <w:noProof/>
                <w:webHidden/>
              </w:rPr>
              <w:fldChar w:fldCharType="end"/>
            </w:r>
          </w:hyperlink>
        </w:p>
        <w:p w14:paraId="5EDBB024" w14:textId="7B0AA33D" w:rsidR="005E0B54" w:rsidRDefault="005E0B54">
          <w:pPr>
            <w:pStyle w:val="TOC2"/>
            <w:tabs>
              <w:tab w:val="right" w:leader="dot" w:pos="9350"/>
            </w:tabs>
            <w:rPr>
              <w:b w:val="0"/>
              <w:bCs w:val="0"/>
              <w:noProof/>
              <w:kern w:val="2"/>
              <w:sz w:val="24"/>
              <w:szCs w:val="24"/>
              <w:lang w:val="en-GB" w:eastAsia="en-GB"/>
              <w14:ligatures w14:val="standardContextual"/>
            </w:rPr>
          </w:pPr>
          <w:hyperlink w:anchor="_Toc236575990" w:history="1">
            <w:r w:rsidRPr="00E97838">
              <w:rPr>
                <w:rStyle w:val="Hyperlink"/>
                <w:rFonts w:ascii="Arial" w:hAnsi="Arial" w:cs="Arial"/>
                <w:noProof/>
              </w:rPr>
              <w:t>Active Experimentation</w:t>
            </w:r>
            <w:r>
              <w:rPr>
                <w:noProof/>
                <w:webHidden/>
              </w:rPr>
              <w:tab/>
            </w:r>
            <w:r>
              <w:rPr>
                <w:noProof/>
                <w:webHidden/>
              </w:rPr>
              <w:fldChar w:fldCharType="begin"/>
            </w:r>
            <w:r>
              <w:rPr>
                <w:noProof/>
                <w:webHidden/>
              </w:rPr>
              <w:instrText xml:space="preserve"> PAGEREF _Toc236575990 \h </w:instrText>
            </w:r>
            <w:r>
              <w:rPr>
                <w:noProof/>
                <w:webHidden/>
              </w:rPr>
            </w:r>
            <w:r>
              <w:rPr>
                <w:noProof/>
                <w:webHidden/>
              </w:rPr>
              <w:fldChar w:fldCharType="separate"/>
            </w:r>
            <w:r>
              <w:rPr>
                <w:noProof/>
                <w:webHidden/>
              </w:rPr>
              <w:t>5</w:t>
            </w:r>
            <w:r>
              <w:rPr>
                <w:noProof/>
                <w:webHidden/>
              </w:rPr>
              <w:fldChar w:fldCharType="end"/>
            </w:r>
          </w:hyperlink>
        </w:p>
        <w:p w14:paraId="2D013836" w14:textId="4E1211D3" w:rsidR="005E0B54" w:rsidRDefault="005E0B54">
          <w:pPr>
            <w:pStyle w:val="TOC1"/>
            <w:tabs>
              <w:tab w:val="right" w:leader="dot" w:pos="9350"/>
            </w:tabs>
            <w:rPr>
              <w:b w:val="0"/>
              <w:bCs w:val="0"/>
              <w:i w:val="0"/>
              <w:iCs w:val="0"/>
              <w:noProof/>
              <w:kern w:val="2"/>
              <w:lang w:val="en-GB" w:eastAsia="en-GB"/>
              <w14:ligatures w14:val="standardContextual"/>
            </w:rPr>
          </w:pPr>
          <w:hyperlink w:anchor="_Toc236575991" w:history="1">
            <w:r w:rsidRPr="00E97838">
              <w:rPr>
                <w:rStyle w:val="Hyperlink"/>
                <w:rFonts w:ascii="Arial" w:hAnsi="Arial" w:cs="Arial"/>
                <w:noProof/>
              </w:rPr>
              <w:t>Part C: Professional Project Management Plan</w:t>
            </w:r>
            <w:r>
              <w:rPr>
                <w:noProof/>
                <w:webHidden/>
              </w:rPr>
              <w:tab/>
            </w:r>
            <w:r>
              <w:rPr>
                <w:noProof/>
                <w:webHidden/>
              </w:rPr>
              <w:fldChar w:fldCharType="begin"/>
            </w:r>
            <w:r>
              <w:rPr>
                <w:noProof/>
                <w:webHidden/>
              </w:rPr>
              <w:instrText xml:space="preserve"> PAGEREF _Toc236575991 \h </w:instrText>
            </w:r>
            <w:r>
              <w:rPr>
                <w:noProof/>
                <w:webHidden/>
              </w:rPr>
            </w:r>
            <w:r>
              <w:rPr>
                <w:noProof/>
                <w:webHidden/>
              </w:rPr>
              <w:fldChar w:fldCharType="separate"/>
            </w:r>
            <w:r>
              <w:rPr>
                <w:noProof/>
                <w:webHidden/>
              </w:rPr>
              <w:t>6</w:t>
            </w:r>
            <w:r>
              <w:rPr>
                <w:noProof/>
                <w:webHidden/>
              </w:rPr>
              <w:fldChar w:fldCharType="end"/>
            </w:r>
          </w:hyperlink>
        </w:p>
        <w:p w14:paraId="22D62F02" w14:textId="673AF447" w:rsidR="005E0B54" w:rsidRDefault="005E0B54">
          <w:pPr>
            <w:pStyle w:val="TOC2"/>
            <w:tabs>
              <w:tab w:val="right" w:leader="dot" w:pos="9350"/>
            </w:tabs>
            <w:rPr>
              <w:b w:val="0"/>
              <w:bCs w:val="0"/>
              <w:noProof/>
              <w:kern w:val="2"/>
              <w:sz w:val="24"/>
              <w:szCs w:val="24"/>
              <w:lang w:val="en-GB" w:eastAsia="en-GB"/>
              <w14:ligatures w14:val="standardContextual"/>
            </w:rPr>
          </w:pPr>
          <w:hyperlink w:anchor="_Toc236575992" w:history="1">
            <w:r w:rsidRPr="00E97838">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_Toc236575992 \h </w:instrText>
            </w:r>
            <w:r>
              <w:rPr>
                <w:noProof/>
                <w:webHidden/>
              </w:rPr>
            </w:r>
            <w:r>
              <w:rPr>
                <w:noProof/>
                <w:webHidden/>
              </w:rPr>
              <w:fldChar w:fldCharType="separate"/>
            </w:r>
            <w:r>
              <w:rPr>
                <w:noProof/>
                <w:webHidden/>
              </w:rPr>
              <w:t>6</w:t>
            </w:r>
            <w:r>
              <w:rPr>
                <w:noProof/>
                <w:webHidden/>
              </w:rPr>
              <w:fldChar w:fldCharType="end"/>
            </w:r>
          </w:hyperlink>
        </w:p>
        <w:p w14:paraId="0DD62CD5" w14:textId="11E21069" w:rsidR="005E0B54" w:rsidRDefault="005E0B54">
          <w:pPr>
            <w:pStyle w:val="TOC1"/>
            <w:tabs>
              <w:tab w:val="right" w:leader="dot" w:pos="9350"/>
            </w:tabs>
            <w:rPr>
              <w:b w:val="0"/>
              <w:bCs w:val="0"/>
              <w:i w:val="0"/>
              <w:iCs w:val="0"/>
              <w:noProof/>
              <w:kern w:val="2"/>
              <w:lang w:val="en-GB" w:eastAsia="en-GB"/>
              <w14:ligatures w14:val="standardContextual"/>
            </w:rPr>
          </w:pPr>
          <w:hyperlink w:anchor="_Toc236575993" w:history="1">
            <w:r w:rsidRPr="00E97838">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_Toc236575993 \h </w:instrText>
            </w:r>
            <w:r>
              <w:rPr>
                <w:noProof/>
                <w:webHidden/>
              </w:rPr>
            </w:r>
            <w:r>
              <w:rPr>
                <w:noProof/>
                <w:webHidden/>
              </w:rPr>
              <w:fldChar w:fldCharType="separate"/>
            </w:r>
            <w:r>
              <w:rPr>
                <w:noProof/>
                <w:webHidden/>
              </w:rPr>
              <w:t>6</w:t>
            </w:r>
            <w:r>
              <w:rPr>
                <w:noProof/>
                <w:webHidden/>
              </w:rPr>
              <w:fldChar w:fldCharType="end"/>
            </w:r>
          </w:hyperlink>
        </w:p>
        <w:p w14:paraId="6C829755" w14:textId="0E2A5DF6" w:rsidR="005E0B54" w:rsidRDefault="005E0B54">
          <w:pPr>
            <w:pStyle w:val="TOC1"/>
            <w:tabs>
              <w:tab w:val="right" w:leader="dot" w:pos="9350"/>
            </w:tabs>
            <w:rPr>
              <w:b w:val="0"/>
              <w:bCs w:val="0"/>
              <w:i w:val="0"/>
              <w:iCs w:val="0"/>
              <w:noProof/>
              <w:kern w:val="2"/>
              <w:lang w:val="en-GB" w:eastAsia="en-GB"/>
              <w14:ligatures w14:val="standardContextual"/>
            </w:rPr>
          </w:pPr>
          <w:hyperlink w:anchor="_Toc236575994" w:history="1">
            <w:r w:rsidRPr="00E97838">
              <w:rPr>
                <w:rStyle w:val="Hyperlink"/>
                <w:rFonts w:ascii="Arial" w:hAnsi="Arial" w:cs="Arial"/>
                <w:noProof/>
              </w:rPr>
              <w:t>2. Project Description</w:t>
            </w:r>
            <w:r>
              <w:rPr>
                <w:noProof/>
                <w:webHidden/>
              </w:rPr>
              <w:tab/>
            </w:r>
            <w:r>
              <w:rPr>
                <w:noProof/>
                <w:webHidden/>
              </w:rPr>
              <w:fldChar w:fldCharType="begin"/>
            </w:r>
            <w:r>
              <w:rPr>
                <w:noProof/>
                <w:webHidden/>
              </w:rPr>
              <w:instrText xml:space="preserve"> PAGEREF _Toc236575994 \h </w:instrText>
            </w:r>
            <w:r>
              <w:rPr>
                <w:noProof/>
                <w:webHidden/>
              </w:rPr>
            </w:r>
            <w:r>
              <w:rPr>
                <w:noProof/>
                <w:webHidden/>
              </w:rPr>
              <w:fldChar w:fldCharType="separate"/>
            </w:r>
            <w:r>
              <w:rPr>
                <w:noProof/>
                <w:webHidden/>
              </w:rPr>
              <w:t>7</w:t>
            </w:r>
            <w:r>
              <w:rPr>
                <w:noProof/>
                <w:webHidden/>
              </w:rPr>
              <w:fldChar w:fldCharType="end"/>
            </w:r>
          </w:hyperlink>
        </w:p>
        <w:p w14:paraId="68F47B4E" w14:textId="22211222" w:rsidR="005E0B54" w:rsidRDefault="005E0B54">
          <w:pPr>
            <w:pStyle w:val="TOC2"/>
            <w:tabs>
              <w:tab w:val="right" w:leader="dot" w:pos="9350"/>
            </w:tabs>
            <w:rPr>
              <w:b w:val="0"/>
              <w:bCs w:val="0"/>
              <w:noProof/>
              <w:kern w:val="2"/>
              <w:sz w:val="24"/>
              <w:szCs w:val="24"/>
              <w:lang w:val="en-GB" w:eastAsia="en-GB"/>
              <w14:ligatures w14:val="standardContextual"/>
            </w:rPr>
          </w:pPr>
          <w:hyperlink w:anchor="_Toc236575995" w:history="1">
            <w:r w:rsidRPr="00E97838">
              <w:rPr>
                <w:rStyle w:val="Hyperlink"/>
                <w:rFonts w:ascii="Arial" w:hAnsi="Arial" w:cs="Arial"/>
                <w:noProof/>
              </w:rPr>
              <w:t>2.1 SMART Objectives and Success Criteria</w:t>
            </w:r>
            <w:r>
              <w:rPr>
                <w:noProof/>
                <w:webHidden/>
              </w:rPr>
              <w:tab/>
            </w:r>
            <w:r>
              <w:rPr>
                <w:noProof/>
                <w:webHidden/>
              </w:rPr>
              <w:fldChar w:fldCharType="begin"/>
            </w:r>
            <w:r>
              <w:rPr>
                <w:noProof/>
                <w:webHidden/>
              </w:rPr>
              <w:instrText xml:space="preserve"> PAGEREF _Toc236575995 \h </w:instrText>
            </w:r>
            <w:r>
              <w:rPr>
                <w:noProof/>
                <w:webHidden/>
              </w:rPr>
            </w:r>
            <w:r>
              <w:rPr>
                <w:noProof/>
                <w:webHidden/>
              </w:rPr>
              <w:fldChar w:fldCharType="separate"/>
            </w:r>
            <w:r>
              <w:rPr>
                <w:noProof/>
                <w:webHidden/>
              </w:rPr>
              <w:t>7</w:t>
            </w:r>
            <w:r>
              <w:rPr>
                <w:noProof/>
                <w:webHidden/>
              </w:rPr>
              <w:fldChar w:fldCharType="end"/>
            </w:r>
          </w:hyperlink>
        </w:p>
        <w:p w14:paraId="062B610A" w14:textId="3A28CAA0" w:rsidR="005E0B54" w:rsidRDefault="005E0B54">
          <w:pPr>
            <w:pStyle w:val="TOC1"/>
            <w:tabs>
              <w:tab w:val="right" w:leader="dot" w:pos="9350"/>
            </w:tabs>
            <w:rPr>
              <w:b w:val="0"/>
              <w:bCs w:val="0"/>
              <w:i w:val="0"/>
              <w:iCs w:val="0"/>
              <w:noProof/>
              <w:kern w:val="2"/>
              <w:lang w:val="en-GB" w:eastAsia="en-GB"/>
              <w14:ligatures w14:val="standardContextual"/>
            </w:rPr>
          </w:pPr>
          <w:hyperlink w:anchor="_Toc236575996" w:history="1">
            <w:r w:rsidRPr="00E97838">
              <w:rPr>
                <w:rStyle w:val="Hyperlink"/>
                <w:rFonts w:ascii="Arial" w:hAnsi="Arial" w:cs="Arial"/>
                <w:noProof/>
              </w:rPr>
              <w:t>3. Scope Management</w:t>
            </w:r>
            <w:r>
              <w:rPr>
                <w:noProof/>
                <w:webHidden/>
              </w:rPr>
              <w:tab/>
            </w:r>
            <w:r>
              <w:rPr>
                <w:noProof/>
                <w:webHidden/>
              </w:rPr>
              <w:fldChar w:fldCharType="begin"/>
            </w:r>
            <w:r>
              <w:rPr>
                <w:noProof/>
                <w:webHidden/>
              </w:rPr>
              <w:instrText xml:space="preserve"> PAGEREF _Toc236575996 \h </w:instrText>
            </w:r>
            <w:r>
              <w:rPr>
                <w:noProof/>
                <w:webHidden/>
              </w:rPr>
            </w:r>
            <w:r>
              <w:rPr>
                <w:noProof/>
                <w:webHidden/>
              </w:rPr>
              <w:fldChar w:fldCharType="separate"/>
            </w:r>
            <w:r>
              <w:rPr>
                <w:noProof/>
                <w:webHidden/>
              </w:rPr>
              <w:t>8</w:t>
            </w:r>
            <w:r>
              <w:rPr>
                <w:noProof/>
                <w:webHidden/>
              </w:rPr>
              <w:fldChar w:fldCharType="end"/>
            </w:r>
          </w:hyperlink>
        </w:p>
        <w:p w14:paraId="49368038" w14:textId="6CD92D38" w:rsidR="005E0B54" w:rsidRDefault="005E0B54">
          <w:pPr>
            <w:pStyle w:val="TOC1"/>
            <w:tabs>
              <w:tab w:val="right" w:leader="dot" w:pos="9350"/>
            </w:tabs>
            <w:rPr>
              <w:b w:val="0"/>
              <w:bCs w:val="0"/>
              <w:i w:val="0"/>
              <w:iCs w:val="0"/>
              <w:noProof/>
              <w:kern w:val="2"/>
              <w:lang w:val="en-GB" w:eastAsia="en-GB"/>
              <w14:ligatures w14:val="standardContextual"/>
            </w:rPr>
          </w:pPr>
          <w:hyperlink w:anchor="_Toc236575997" w:history="1">
            <w:r w:rsidRPr="00E97838">
              <w:rPr>
                <w:rStyle w:val="Hyperlink"/>
                <w:rFonts w:ascii="Arial" w:hAnsi="Arial" w:cs="Arial"/>
                <w:noProof/>
              </w:rPr>
              <w:t>4. Work Breakdown Structure</w:t>
            </w:r>
            <w:r>
              <w:rPr>
                <w:noProof/>
                <w:webHidden/>
              </w:rPr>
              <w:tab/>
            </w:r>
            <w:r>
              <w:rPr>
                <w:noProof/>
                <w:webHidden/>
              </w:rPr>
              <w:fldChar w:fldCharType="begin"/>
            </w:r>
            <w:r>
              <w:rPr>
                <w:noProof/>
                <w:webHidden/>
              </w:rPr>
              <w:instrText xml:space="preserve"> PAGEREF _Toc236575997 \h </w:instrText>
            </w:r>
            <w:r>
              <w:rPr>
                <w:noProof/>
                <w:webHidden/>
              </w:rPr>
            </w:r>
            <w:r>
              <w:rPr>
                <w:noProof/>
                <w:webHidden/>
              </w:rPr>
              <w:fldChar w:fldCharType="separate"/>
            </w:r>
            <w:r>
              <w:rPr>
                <w:noProof/>
                <w:webHidden/>
              </w:rPr>
              <w:t>9</w:t>
            </w:r>
            <w:r>
              <w:rPr>
                <w:noProof/>
                <w:webHidden/>
              </w:rPr>
              <w:fldChar w:fldCharType="end"/>
            </w:r>
          </w:hyperlink>
        </w:p>
        <w:p w14:paraId="4AE1B80A" w14:textId="7AD07FD1" w:rsidR="005E0B54" w:rsidRDefault="005E0B54">
          <w:pPr>
            <w:pStyle w:val="TOC1"/>
            <w:tabs>
              <w:tab w:val="right" w:leader="dot" w:pos="9350"/>
            </w:tabs>
            <w:rPr>
              <w:b w:val="0"/>
              <w:bCs w:val="0"/>
              <w:i w:val="0"/>
              <w:iCs w:val="0"/>
              <w:noProof/>
              <w:kern w:val="2"/>
              <w:lang w:val="en-GB" w:eastAsia="en-GB"/>
              <w14:ligatures w14:val="standardContextual"/>
            </w:rPr>
          </w:pPr>
          <w:hyperlink w:anchor="_Toc236575998" w:history="1">
            <w:r w:rsidRPr="00E97838">
              <w:rPr>
                <w:rStyle w:val="Hyperlink"/>
                <w:rFonts w:ascii="Arial" w:hAnsi="Arial" w:cs="Arial"/>
                <w:noProof/>
              </w:rPr>
              <w:t>5. Project Quad Chart</w:t>
            </w:r>
            <w:r>
              <w:rPr>
                <w:noProof/>
                <w:webHidden/>
              </w:rPr>
              <w:tab/>
            </w:r>
            <w:r>
              <w:rPr>
                <w:noProof/>
                <w:webHidden/>
              </w:rPr>
              <w:fldChar w:fldCharType="begin"/>
            </w:r>
            <w:r>
              <w:rPr>
                <w:noProof/>
                <w:webHidden/>
              </w:rPr>
              <w:instrText xml:space="preserve"> PAGEREF _Toc236575998 \h </w:instrText>
            </w:r>
            <w:r>
              <w:rPr>
                <w:noProof/>
                <w:webHidden/>
              </w:rPr>
            </w:r>
            <w:r>
              <w:rPr>
                <w:noProof/>
                <w:webHidden/>
              </w:rPr>
              <w:fldChar w:fldCharType="separate"/>
            </w:r>
            <w:r>
              <w:rPr>
                <w:noProof/>
                <w:webHidden/>
              </w:rPr>
              <w:t>10</w:t>
            </w:r>
            <w:r>
              <w:rPr>
                <w:noProof/>
                <w:webHidden/>
              </w:rPr>
              <w:fldChar w:fldCharType="end"/>
            </w:r>
          </w:hyperlink>
        </w:p>
        <w:p w14:paraId="505E2D5A" w14:textId="2B77DD08" w:rsidR="005E0B54" w:rsidRDefault="005E0B54">
          <w:pPr>
            <w:pStyle w:val="TOC1"/>
            <w:tabs>
              <w:tab w:val="right" w:leader="dot" w:pos="9350"/>
            </w:tabs>
            <w:rPr>
              <w:b w:val="0"/>
              <w:bCs w:val="0"/>
              <w:i w:val="0"/>
              <w:iCs w:val="0"/>
              <w:noProof/>
              <w:kern w:val="2"/>
              <w:lang w:val="en-GB" w:eastAsia="en-GB"/>
              <w14:ligatures w14:val="standardContextual"/>
            </w:rPr>
          </w:pPr>
          <w:hyperlink w:anchor="_Toc236575999" w:history="1">
            <w:r w:rsidRPr="00E97838">
              <w:rPr>
                <w:rStyle w:val="Hyperlink"/>
                <w:rFonts w:ascii="Arial" w:hAnsi="Arial" w:cs="Arial"/>
                <w:noProof/>
              </w:rPr>
              <w:t>6. Schedule and Gantt Plan</w:t>
            </w:r>
            <w:r>
              <w:rPr>
                <w:noProof/>
                <w:webHidden/>
              </w:rPr>
              <w:tab/>
            </w:r>
            <w:r>
              <w:rPr>
                <w:noProof/>
                <w:webHidden/>
              </w:rPr>
              <w:fldChar w:fldCharType="begin"/>
            </w:r>
            <w:r>
              <w:rPr>
                <w:noProof/>
                <w:webHidden/>
              </w:rPr>
              <w:instrText xml:space="preserve"> PAGEREF _Toc236575999 \h </w:instrText>
            </w:r>
            <w:r>
              <w:rPr>
                <w:noProof/>
                <w:webHidden/>
              </w:rPr>
            </w:r>
            <w:r>
              <w:rPr>
                <w:noProof/>
                <w:webHidden/>
              </w:rPr>
              <w:fldChar w:fldCharType="separate"/>
            </w:r>
            <w:r>
              <w:rPr>
                <w:noProof/>
                <w:webHidden/>
              </w:rPr>
              <w:t>10</w:t>
            </w:r>
            <w:r>
              <w:rPr>
                <w:noProof/>
                <w:webHidden/>
              </w:rPr>
              <w:fldChar w:fldCharType="end"/>
            </w:r>
          </w:hyperlink>
        </w:p>
        <w:p w14:paraId="47FEA7BE" w14:textId="054EC936" w:rsidR="005E0B54" w:rsidRDefault="005E0B54">
          <w:pPr>
            <w:pStyle w:val="TOC1"/>
            <w:tabs>
              <w:tab w:val="right" w:leader="dot" w:pos="9350"/>
            </w:tabs>
            <w:rPr>
              <w:b w:val="0"/>
              <w:bCs w:val="0"/>
              <w:i w:val="0"/>
              <w:iCs w:val="0"/>
              <w:noProof/>
              <w:kern w:val="2"/>
              <w:lang w:val="en-GB" w:eastAsia="en-GB"/>
              <w14:ligatures w14:val="standardContextual"/>
            </w:rPr>
          </w:pPr>
          <w:hyperlink w:anchor="_Toc236576000" w:history="1">
            <w:r w:rsidRPr="00E97838">
              <w:rPr>
                <w:rStyle w:val="Hyperlink"/>
                <w:rFonts w:ascii="Arial" w:hAnsi="Arial" w:cs="Arial"/>
                <w:noProof/>
              </w:rPr>
              <w:t>7. Stakeholder Involvement and Governance</w:t>
            </w:r>
            <w:r>
              <w:rPr>
                <w:noProof/>
                <w:webHidden/>
              </w:rPr>
              <w:tab/>
            </w:r>
            <w:r>
              <w:rPr>
                <w:noProof/>
                <w:webHidden/>
              </w:rPr>
              <w:fldChar w:fldCharType="begin"/>
            </w:r>
            <w:r>
              <w:rPr>
                <w:noProof/>
                <w:webHidden/>
              </w:rPr>
              <w:instrText xml:space="preserve"> PAGEREF _Toc236576000 \h </w:instrText>
            </w:r>
            <w:r>
              <w:rPr>
                <w:noProof/>
                <w:webHidden/>
              </w:rPr>
            </w:r>
            <w:r>
              <w:rPr>
                <w:noProof/>
                <w:webHidden/>
              </w:rPr>
              <w:fldChar w:fldCharType="separate"/>
            </w:r>
            <w:r>
              <w:rPr>
                <w:noProof/>
                <w:webHidden/>
              </w:rPr>
              <w:t>11</w:t>
            </w:r>
            <w:r>
              <w:rPr>
                <w:noProof/>
                <w:webHidden/>
              </w:rPr>
              <w:fldChar w:fldCharType="end"/>
            </w:r>
          </w:hyperlink>
        </w:p>
        <w:p w14:paraId="0F75F9E5" w14:textId="55400C09" w:rsidR="005E0B54" w:rsidRDefault="005E0B54">
          <w:pPr>
            <w:pStyle w:val="TOC1"/>
            <w:tabs>
              <w:tab w:val="right" w:leader="dot" w:pos="9350"/>
            </w:tabs>
            <w:rPr>
              <w:b w:val="0"/>
              <w:bCs w:val="0"/>
              <w:i w:val="0"/>
              <w:iCs w:val="0"/>
              <w:noProof/>
              <w:kern w:val="2"/>
              <w:lang w:val="en-GB" w:eastAsia="en-GB"/>
              <w14:ligatures w14:val="standardContextual"/>
            </w:rPr>
          </w:pPr>
          <w:hyperlink w:anchor="_Toc236576001" w:history="1">
            <w:r w:rsidRPr="00E97838">
              <w:rPr>
                <w:rStyle w:val="Hyperlink"/>
                <w:rFonts w:ascii="Arial" w:hAnsi="Arial" w:cs="Arial"/>
                <w:noProof/>
              </w:rPr>
              <w:t>8. Resource Allocation and Cost Control</w:t>
            </w:r>
            <w:r>
              <w:rPr>
                <w:noProof/>
                <w:webHidden/>
              </w:rPr>
              <w:tab/>
            </w:r>
            <w:r>
              <w:rPr>
                <w:noProof/>
                <w:webHidden/>
              </w:rPr>
              <w:fldChar w:fldCharType="begin"/>
            </w:r>
            <w:r>
              <w:rPr>
                <w:noProof/>
                <w:webHidden/>
              </w:rPr>
              <w:instrText xml:space="preserve"> PAGEREF _Toc236576001 \h </w:instrText>
            </w:r>
            <w:r>
              <w:rPr>
                <w:noProof/>
                <w:webHidden/>
              </w:rPr>
            </w:r>
            <w:r>
              <w:rPr>
                <w:noProof/>
                <w:webHidden/>
              </w:rPr>
              <w:fldChar w:fldCharType="separate"/>
            </w:r>
            <w:r>
              <w:rPr>
                <w:noProof/>
                <w:webHidden/>
              </w:rPr>
              <w:t>13</w:t>
            </w:r>
            <w:r>
              <w:rPr>
                <w:noProof/>
                <w:webHidden/>
              </w:rPr>
              <w:fldChar w:fldCharType="end"/>
            </w:r>
          </w:hyperlink>
        </w:p>
        <w:p w14:paraId="3C007FD0" w14:textId="374FD294" w:rsidR="005E0B54" w:rsidRDefault="005E0B54">
          <w:pPr>
            <w:pStyle w:val="TOC1"/>
            <w:tabs>
              <w:tab w:val="right" w:leader="dot" w:pos="9350"/>
            </w:tabs>
            <w:rPr>
              <w:b w:val="0"/>
              <w:bCs w:val="0"/>
              <w:i w:val="0"/>
              <w:iCs w:val="0"/>
              <w:noProof/>
              <w:kern w:val="2"/>
              <w:lang w:val="en-GB" w:eastAsia="en-GB"/>
              <w14:ligatures w14:val="standardContextual"/>
            </w:rPr>
          </w:pPr>
          <w:hyperlink w:anchor="_Toc236576002" w:history="1">
            <w:r w:rsidRPr="00E97838">
              <w:rPr>
                <w:rStyle w:val="Hyperlink"/>
                <w:rFonts w:ascii="Arial" w:hAnsi="Arial" w:cs="Arial"/>
                <w:noProof/>
              </w:rPr>
              <w:t>9. Risk Analysis and Control</w:t>
            </w:r>
            <w:r>
              <w:rPr>
                <w:noProof/>
                <w:webHidden/>
              </w:rPr>
              <w:tab/>
            </w:r>
            <w:r>
              <w:rPr>
                <w:noProof/>
                <w:webHidden/>
              </w:rPr>
              <w:fldChar w:fldCharType="begin"/>
            </w:r>
            <w:r>
              <w:rPr>
                <w:noProof/>
                <w:webHidden/>
              </w:rPr>
              <w:instrText xml:space="preserve"> PAGEREF _Toc236576002 \h </w:instrText>
            </w:r>
            <w:r>
              <w:rPr>
                <w:noProof/>
                <w:webHidden/>
              </w:rPr>
            </w:r>
            <w:r>
              <w:rPr>
                <w:noProof/>
                <w:webHidden/>
              </w:rPr>
              <w:fldChar w:fldCharType="separate"/>
            </w:r>
            <w:r>
              <w:rPr>
                <w:noProof/>
                <w:webHidden/>
              </w:rPr>
              <w:t>14</w:t>
            </w:r>
            <w:r>
              <w:rPr>
                <w:noProof/>
                <w:webHidden/>
              </w:rPr>
              <w:fldChar w:fldCharType="end"/>
            </w:r>
          </w:hyperlink>
        </w:p>
        <w:p w14:paraId="7A341C2F" w14:textId="306A3DD7" w:rsidR="005E0B54" w:rsidRDefault="005E0B54">
          <w:pPr>
            <w:pStyle w:val="TOC1"/>
            <w:tabs>
              <w:tab w:val="right" w:leader="dot" w:pos="9350"/>
            </w:tabs>
            <w:rPr>
              <w:b w:val="0"/>
              <w:bCs w:val="0"/>
              <w:i w:val="0"/>
              <w:iCs w:val="0"/>
              <w:noProof/>
              <w:kern w:val="2"/>
              <w:lang w:val="en-GB" w:eastAsia="en-GB"/>
              <w14:ligatures w14:val="standardContextual"/>
            </w:rPr>
          </w:pPr>
          <w:hyperlink w:anchor="_Toc236576003" w:history="1">
            <w:r w:rsidRPr="00E97838">
              <w:rPr>
                <w:rStyle w:val="Hyperlink"/>
                <w:rFonts w:ascii="Arial" w:hAnsi="Arial" w:cs="Arial"/>
                <w:noProof/>
              </w:rPr>
              <w:t>10. Quality, Monitoring and Reporting</w:t>
            </w:r>
            <w:r>
              <w:rPr>
                <w:noProof/>
                <w:webHidden/>
              </w:rPr>
              <w:tab/>
            </w:r>
            <w:r>
              <w:rPr>
                <w:noProof/>
                <w:webHidden/>
              </w:rPr>
              <w:fldChar w:fldCharType="begin"/>
            </w:r>
            <w:r>
              <w:rPr>
                <w:noProof/>
                <w:webHidden/>
              </w:rPr>
              <w:instrText xml:space="preserve"> PAGEREF _Toc236576003 \h </w:instrText>
            </w:r>
            <w:r>
              <w:rPr>
                <w:noProof/>
                <w:webHidden/>
              </w:rPr>
            </w:r>
            <w:r>
              <w:rPr>
                <w:noProof/>
                <w:webHidden/>
              </w:rPr>
              <w:fldChar w:fldCharType="separate"/>
            </w:r>
            <w:r>
              <w:rPr>
                <w:noProof/>
                <w:webHidden/>
              </w:rPr>
              <w:t>15</w:t>
            </w:r>
            <w:r>
              <w:rPr>
                <w:noProof/>
                <w:webHidden/>
              </w:rPr>
              <w:fldChar w:fldCharType="end"/>
            </w:r>
          </w:hyperlink>
        </w:p>
        <w:p w14:paraId="3C2A3E2C" w14:textId="1E41A1D7" w:rsidR="005E0B54" w:rsidRDefault="005E0B54">
          <w:pPr>
            <w:pStyle w:val="TOC1"/>
            <w:tabs>
              <w:tab w:val="right" w:leader="dot" w:pos="9350"/>
            </w:tabs>
            <w:rPr>
              <w:b w:val="0"/>
              <w:bCs w:val="0"/>
              <w:i w:val="0"/>
              <w:iCs w:val="0"/>
              <w:noProof/>
              <w:kern w:val="2"/>
              <w:lang w:val="en-GB" w:eastAsia="en-GB"/>
              <w14:ligatures w14:val="standardContextual"/>
            </w:rPr>
          </w:pPr>
          <w:hyperlink w:anchor="_Toc236576004" w:history="1">
            <w:r w:rsidRPr="00E97838">
              <w:rPr>
                <w:rStyle w:val="Hyperlink"/>
                <w:rFonts w:ascii="Arial" w:hAnsi="Arial" w:cs="Arial"/>
                <w:noProof/>
              </w:rPr>
              <w:t>11. Conclusion</w:t>
            </w:r>
            <w:r>
              <w:rPr>
                <w:noProof/>
                <w:webHidden/>
              </w:rPr>
              <w:tab/>
            </w:r>
            <w:r>
              <w:rPr>
                <w:noProof/>
                <w:webHidden/>
              </w:rPr>
              <w:fldChar w:fldCharType="begin"/>
            </w:r>
            <w:r>
              <w:rPr>
                <w:noProof/>
                <w:webHidden/>
              </w:rPr>
              <w:instrText xml:space="preserve"> PAGEREF _Toc236576004 \h </w:instrText>
            </w:r>
            <w:r>
              <w:rPr>
                <w:noProof/>
                <w:webHidden/>
              </w:rPr>
            </w:r>
            <w:r>
              <w:rPr>
                <w:noProof/>
                <w:webHidden/>
              </w:rPr>
              <w:fldChar w:fldCharType="separate"/>
            </w:r>
            <w:r>
              <w:rPr>
                <w:noProof/>
                <w:webHidden/>
              </w:rPr>
              <w:t>15</w:t>
            </w:r>
            <w:r>
              <w:rPr>
                <w:noProof/>
                <w:webHidden/>
              </w:rPr>
              <w:fldChar w:fldCharType="end"/>
            </w:r>
          </w:hyperlink>
        </w:p>
        <w:p w14:paraId="3B9FE4A4" w14:textId="7E4FB908" w:rsidR="005E0B54" w:rsidRDefault="005E0B54">
          <w:pPr>
            <w:pStyle w:val="TOC1"/>
            <w:tabs>
              <w:tab w:val="right" w:leader="dot" w:pos="9350"/>
            </w:tabs>
            <w:rPr>
              <w:b w:val="0"/>
              <w:bCs w:val="0"/>
              <w:i w:val="0"/>
              <w:iCs w:val="0"/>
              <w:noProof/>
              <w:kern w:val="2"/>
              <w:lang w:val="en-GB" w:eastAsia="en-GB"/>
              <w14:ligatures w14:val="standardContextual"/>
            </w:rPr>
          </w:pPr>
          <w:hyperlink w:anchor="_Toc236576005" w:history="1">
            <w:r w:rsidRPr="00E9783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_Toc236576005 \h </w:instrText>
            </w:r>
            <w:r>
              <w:rPr>
                <w:noProof/>
                <w:webHidden/>
              </w:rPr>
            </w:r>
            <w:r>
              <w:rPr>
                <w:noProof/>
                <w:webHidden/>
              </w:rPr>
              <w:fldChar w:fldCharType="separate"/>
            </w:r>
            <w:r>
              <w:rPr>
                <w:noProof/>
                <w:webHidden/>
              </w:rPr>
              <w:t>16</w:t>
            </w:r>
            <w:r>
              <w:rPr>
                <w:noProof/>
                <w:webHidden/>
              </w:rPr>
              <w:fldChar w:fldCharType="end"/>
            </w:r>
          </w:hyperlink>
        </w:p>
        <w:p w14:paraId="68B369A2" w14:textId="00134C70" w:rsidR="009D1037" w:rsidRPr="009D1037" w:rsidRDefault="009D1037" w:rsidP="009D1037">
          <w:r>
            <w:rPr>
              <w:b/>
              <w:bCs/>
              <w:noProof/>
            </w:rPr>
            <w:fldChar w:fldCharType="end"/>
          </w:r>
        </w:p>
      </w:sdtContent>
    </w:sdt>
    <w:p w14:paraId="1EA14446" w14:textId="4127982E" w:rsidR="00176CEB" w:rsidRPr="00421DE2" w:rsidRDefault="009D1037">
      <w:pPr>
        <w:rPr>
          <w:rFonts w:ascii="Arial" w:hAnsi="Arial" w:cs="Arial"/>
          <w:sz w:val="24"/>
          <w:szCs w:val="24"/>
        </w:rPr>
      </w:pPr>
      <w:r>
        <w:rPr>
          <w:rFonts w:ascii="Arial" w:hAnsi="Arial" w:cs="Arial"/>
          <w:noProof/>
          <w:sz w:val="24"/>
          <w:szCs w:val="24"/>
        </w:rPr>
        <w:lastRenderedPageBreak/>
        <w:drawing>
          <wp:inline distT="0" distB="0" distL="0" distR="0" wp14:anchorId="2705E9BD" wp14:editId="6026A1AE">
            <wp:extent cx="5819140" cy="8229600"/>
            <wp:effectExtent l="0" t="0" r="0" b="0"/>
            <wp:docPr id="911336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336752" name="Picture 911336752"/>
                    <pic:cNvPicPr/>
                  </pic:nvPicPr>
                  <pic:blipFill>
                    <a:blip r:embed="rId8"/>
                    <a:stretch>
                      <a:fillRect/>
                    </a:stretch>
                  </pic:blipFill>
                  <pic:spPr>
                    <a:xfrm>
                      <a:off x="0" y="0"/>
                      <a:ext cx="5819140" cy="8229600"/>
                    </a:xfrm>
                    <a:prstGeom prst="rect">
                      <a:avLst/>
                    </a:prstGeom>
                  </pic:spPr>
                </pic:pic>
              </a:graphicData>
            </a:graphic>
          </wp:inline>
        </w:drawing>
      </w:r>
    </w:p>
    <w:p w14:paraId="2BC4EECC" w14:textId="77777777" w:rsidR="00176CEB" w:rsidRPr="009D1037" w:rsidRDefault="00000000" w:rsidP="009D1037">
      <w:pPr>
        <w:pStyle w:val="Heading1"/>
        <w:pageBreakBefore/>
        <w:rPr>
          <w:rFonts w:ascii="Arial" w:hAnsi="Arial" w:cs="Arial"/>
          <w:sz w:val="24"/>
          <w:szCs w:val="24"/>
        </w:rPr>
      </w:pPr>
      <w:bookmarkStart w:id="0" w:name="_Toc236575986"/>
      <w:r w:rsidRPr="009D1037">
        <w:rPr>
          <w:rFonts w:ascii="Arial" w:hAnsi="Arial" w:cs="Arial"/>
          <w:sz w:val="24"/>
          <w:szCs w:val="24"/>
        </w:rPr>
        <w:lastRenderedPageBreak/>
        <w:t>Part B: Reflection on Feedback Using Kolb’s Experiential Learning Cycle</w:t>
      </w:r>
      <w:bookmarkEnd w:id="0"/>
    </w:p>
    <w:p w14:paraId="3D09D8E2" w14:textId="77777777" w:rsidR="00176CEB" w:rsidRPr="009D1037" w:rsidRDefault="00000000" w:rsidP="009D1037">
      <w:pPr>
        <w:pStyle w:val="Heading2"/>
        <w:rPr>
          <w:rFonts w:ascii="Arial" w:hAnsi="Arial" w:cs="Arial"/>
          <w:sz w:val="24"/>
          <w:szCs w:val="24"/>
        </w:rPr>
      </w:pPr>
      <w:bookmarkStart w:id="1" w:name="_Toc236575987"/>
      <w:r w:rsidRPr="009D1037">
        <w:rPr>
          <w:rFonts w:ascii="Arial" w:hAnsi="Arial" w:cs="Arial"/>
          <w:sz w:val="24"/>
          <w:szCs w:val="24"/>
        </w:rPr>
        <w:t>Concrete Experience</w:t>
      </w:r>
      <w:bookmarkEnd w:id="1"/>
    </w:p>
    <w:p w14:paraId="3DD22899" w14:textId="77777777" w:rsidR="00176CEB" w:rsidRPr="009D1037" w:rsidRDefault="00000000" w:rsidP="009D1037">
      <w:pPr>
        <w:rPr>
          <w:rFonts w:ascii="Arial" w:hAnsi="Arial" w:cs="Arial"/>
          <w:sz w:val="24"/>
          <w:szCs w:val="24"/>
        </w:rPr>
      </w:pPr>
      <w:r w:rsidRPr="009D1037">
        <w:rPr>
          <w:rFonts w:ascii="Arial" w:hAnsi="Arial" w:cs="Arial"/>
          <w:sz w:val="24"/>
          <w:szCs w:val="24"/>
        </w:rPr>
        <w:t>I presented a proposal for redeveloping the Central Transport Hub while maintaining passenger services through a temporary hub. I used project management tools, including a Quad Chart, Work Breakdown Structure (WBS), Gantt chart, project triangle, RACI matrix and risk assessment. These followed the principles of the Project Management Institute (2021) and Association for Project Management (2025). Feedback suggested that my aim was clear and the temporary-hub strategy showed awareness of operational continuity. However, the risk analysis was too general, some stakeholders were missing, the objectives were not sufficiently measurable, and several decisions required stronger academic support.</w:t>
      </w:r>
    </w:p>
    <w:p w14:paraId="426C4EE6" w14:textId="77777777" w:rsidR="00176CEB" w:rsidRPr="009D1037" w:rsidRDefault="00000000" w:rsidP="009D1037">
      <w:pPr>
        <w:pStyle w:val="Heading2"/>
        <w:rPr>
          <w:rFonts w:ascii="Arial" w:hAnsi="Arial" w:cs="Arial"/>
          <w:sz w:val="24"/>
          <w:szCs w:val="24"/>
        </w:rPr>
      </w:pPr>
      <w:bookmarkStart w:id="2" w:name="_Toc236575988"/>
      <w:r w:rsidRPr="009D1037">
        <w:rPr>
          <w:rFonts w:ascii="Arial" w:hAnsi="Arial" w:cs="Arial"/>
          <w:sz w:val="24"/>
          <w:szCs w:val="24"/>
        </w:rPr>
        <w:t>Reflective Observation</w:t>
      </w:r>
      <w:bookmarkEnd w:id="2"/>
    </w:p>
    <w:p w14:paraId="501B94D0" w14:textId="77777777" w:rsidR="00176CEB" w:rsidRPr="009D1037" w:rsidRDefault="00000000" w:rsidP="009D1037">
      <w:pPr>
        <w:rPr>
          <w:rFonts w:ascii="Arial" w:hAnsi="Arial" w:cs="Arial"/>
          <w:sz w:val="24"/>
          <w:szCs w:val="24"/>
        </w:rPr>
      </w:pPr>
      <w:r w:rsidRPr="009D1037">
        <w:rPr>
          <w:rFonts w:ascii="Arial" w:hAnsi="Arial" w:cs="Arial"/>
          <w:sz w:val="24"/>
          <w:szCs w:val="24"/>
        </w:rPr>
        <w:t>I felt confident because the presentation had a logical structure and considered scope, cost, time and service disruption. I was disappointed when these weaknesses were identified. After reflecting on the comments, I realised that I had concentrated on including tools rather than explaining how they supported effective decisions. Boud, Keogh and Walker (1985) argue that reflection involves questioning the assumptions behind one’s actions. I had incorrectly assumed that including each tool demonstrated effective planning.</w:t>
      </w:r>
    </w:p>
    <w:p w14:paraId="4D28BF70" w14:textId="77777777" w:rsidR="00176CEB" w:rsidRPr="009D1037" w:rsidRDefault="00000000" w:rsidP="009D1037">
      <w:pPr>
        <w:rPr>
          <w:rFonts w:ascii="Arial" w:hAnsi="Arial" w:cs="Arial"/>
          <w:sz w:val="24"/>
          <w:szCs w:val="24"/>
        </w:rPr>
      </w:pPr>
      <w:r w:rsidRPr="009D1037">
        <w:rPr>
          <w:rFonts w:ascii="Arial" w:hAnsi="Arial" w:cs="Arial"/>
          <w:sz w:val="24"/>
          <w:szCs w:val="24"/>
        </w:rPr>
        <w:t>I identified delays and cost overruns but did not assess their causes, probability, impact or ownership. My RACI matrix also focused on internal responsibilities, while passengers, nearby businesses, accessibility groups and environmental authorities received insufficient attention. As Schön (1983) explains, learning occurs when practitioners examine their decisions critically. The feedback helped me recognise the difference between producing project documents and applying them meaningfully.</w:t>
      </w:r>
    </w:p>
    <w:p w14:paraId="2F44F74B" w14:textId="77777777" w:rsidR="00176CEB" w:rsidRPr="009D1037" w:rsidRDefault="00000000" w:rsidP="009D1037">
      <w:pPr>
        <w:pStyle w:val="Heading2"/>
        <w:rPr>
          <w:rFonts w:ascii="Arial" w:hAnsi="Arial" w:cs="Arial"/>
          <w:sz w:val="24"/>
          <w:szCs w:val="24"/>
        </w:rPr>
      </w:pPr>
      <w:bookmarkStart w:id="3" w:name="_Toc236575989"/>
      <w:r w:rsidRPr="009D1037">
        <w:rPr>
          <w:rFonts w:ascii="Arial" w:hAnsi="Arial" w:cs="Arial"/>
          <w:sz w:val="24"/>
          <w:szCs w:val="24"/>
        </w:rPr>
        <w:t>Abstract Conceptualisation</w:t>
      </w:r>
      <w:bookmarkEnd w:id="3"/>
    </w:p>
    <w:p w14:paraId="03CFB64A" w14:textId="77777777" w:rsidR="00176CEB" w:rsidRPr="009D1037" w:rsidRDefault="00000000" w:rsidP="009D1037">
      <w:pPr>
        <w:rPr>
          <w:rFonts w:ascii="Arial" w:hAnsi="Arial" w:cs="Arial"/>
          <w:sz w:val="24"/>
          <w:szCs w:val="24"/>
        </w:rPr>
      </w:pPr>
      <w:r w:rsidRPr="009D1037">
        <w:rPr>
          <w:rFonts w:ascii="Arial" w:hAnsi="Arial" w:cs="Arial"/>
          <w:sz w:val="24"/>
          <w:szCs w:val="24"/>
        </w:rPr>
        <w:t xml:space="preserve">Kolb’s (1984) learning cycle helped me turn this experience into knowledge. Effective planning requires tools to </w:t>
      </w:r>
      <w:proofErr w:type="gramStart"/>
      <w:r w:rsidRPr="009D1037">
        <w:rPr>
          <w:rFonts w:ascii="Arial" w:hAnsi="Arial" w:cs="Arial"/>
          <w:sz w:val="24"/>
          <w:szCs w:val="24"/>
        </w:rPr>
        <w:t>be connected with</w:t>
      </w:r>
      <w:proofErr w:type="gramEnd"/>
      <w:r w:rsidRPr="009D1037">
        <w:rPr>
          <w:rFonts w:ascii="Arial" w:hAnsi="Arial" w:cs="Arial"/>
          <w:sz w:val="24"/>
          <w:szCs w:val="24"/>
        </w:rPr>
        <w:t xml:space="preserve"> evidence, stakeholder expectations and decision-making. Risk management should be project-specific, with risks assessed and treated using clear criteria (International Organization for Standardization, 2018). </w:t>
      </w:r>
      <w:r w:rsidRPr="009D1037">
        <w:rPr>
          <w:rFonts w:ascii="Arial" w:hAnsi="Arial" w:cs="Arial"/>
          <w:sz w:val="24"/>
          <w:szCs w:val="24"/>
        </w:rPr>
        <w:lastRenderedPageBreak/>
        <w:t>Success depends on understanding the relationship between technical work, organisational responsibilities and the wider project environment (Kerzner, 2022).</w:t>
      </w:r>
    </w:p>
    <w:p w14:paraId="5290F7A5" w14:textId="77777777" w:rsidR="00176CEB" w:rsidRPr="009D1037" w:rsidRDefault="00000000" w:rsidP="009D1037">
      <w:pPr>
        <w:rPr>
          <w:rFonts w:ascii="Arial" w:hAnsi="Arial" w:cs="Arial"/>
          <w:sz w:val="24"/>
          <w:szCs w:val="24"/>
        </w:rPr>
      </w:pPr>
      <w:r w:rsidRPr="009D1037">
        <w:rPr>
          <w:rFonts w:ascii="Arial" w:hAnsi="Arial" w:cs="Arial"/>
          <w:sz w:val="24"/>
          <w:szCs w:val="24"/>
        </w:rPr>
        <w:t>I learned that intentions, such as improving efficiency and reducing disruption, must become measurable objectives. Moon (2004) explains that reflection involves developing new perspectives rather than simply describing events. I now view feedback as evidence that can challenge assumptions and improve professional judgement (Brookfield, 2017).</w:t>
      </w:r>
    </w:p>
    <w:p w14:paraId="1E7948B7" w14:textId="77777777" w:rsidR="00176CEB" w:rsidRPr="009D1037" w:rsidRDefault="00000000" w:rsidP="009D1037">
      <w:pPr>
        <w:pStyle w:val="Heading2"/>
        <w:rPr>
          <w:rFonts w:ascii="Arial" w:hAnsi="Arial" w:cs="Arial"/>
          <w:sz w:val="24"/>
          <w:szCs w:val="24"/>
        </w:rPr>
      </w:pPr>
      <w:bookmarkStart w:id="4" w:name="_Toc236575990"/>
      <w:r w:rsidRPr="009D1037">
        <w:rPr>
          <w:rFonts w:ascii="Arial" w:hAnsi="Arial" w:cs="Arial"/>
          <w:sz w:val="24"/>
          <w:szCs w:val="24"/>
        </w:rPr>
        <w:t>Active Experimentation</w:t>
      </w:r>
      <w:bookmarkEnd w:id="4"/>
    </w:p>
    <w:p w14:paraId="2DE74ACE" w14:textId="77777777" w:rsidR="00176CEB" w:rsidRPr="009D1037" w:rsidRDefault="00000000" w:rsidP="009D1037">
      <w:pPr>
        <w:rPr>
          <w:rFonts w:ascii="Arial" w:hAnsi="Arial" w:cs="Arial"/>
          <w:sz w:val="24"/>
          <w:szCs w:val="24"/>
        </w:rPr>
      </w:pPr>
      <w:r w:rsidRPr="009D1037">
        <w:rPr>
          <w:rFonts w:ascii="Arial" w:hAnsi="Arial" w:cs="Arial"/>
          <w:sz w:val="24"/>
          <w:szCs w:val="24"/>
        </w:rPr>
        <w:t>In Part C, I will replace the general risk list with a detailed register covering passenger safety, construction interfaces, traffic arrangements, supply-chain disruption and budget increases. Each risk will include likelihood, impact, mitigation, contingency and ownership. I will also develop a power-interest matrix and stakeholder communication plan. Objectives will be rewritten using SMART principles and supported by indicators for cost, schedule, safety, accessibility and passenger disruption. These changes reflect the importance of reliable and inclusive transport infrastructure identified by the Department for Transport (2023). Finally, I will check that the WBS, schedule, budget, risks and responsibilities are aligned. This will make Part C more coherent, evidence-based and professionally credible.</w:t>
      </w:r>
    </w:p>
    <w:p w14:paraId="1D2D8EC4" w14:textId="77777777" w:rsidR="00176CEB" w:rsidRPr="009D1037" w:rsidRDefault="00000000" w:rsidP="009D1037">
      <w:pPr>
        <w:pStyle w:val="Heading1"/>
        <w:pageBreakBefore/>
        <w:rPr>
          <w:rFonts w:ascii="Arial" w:hAnsi="Arial" w:cs="Arial"/>
          <w:sz w:val="24"/>
          <w:szCs w:val="24"/>
        </w:rPr>
      </w:pPr>
      <w:bookmarkStart w:id="5" w:name="_Toc236575991"/>
      <w:r w:rsidRPr="009D1037">
        <w:rPr>
          <w:rFonts w:ascii="Arial" w:hAnsi="Arial" w:cs="Arial"/>
          <w:sz w:val="24"/>
          <w:szCs w:val="24"/>
        </w:rPr>
        <w:lastRenderedPageBreak/>
        <w:t>Part C: Professional Project Management Plan</w:t>
      </w:r>
      <w:bookmarkEnd w:id="5"/>
    </w:p>
    <w:p w14:paraId="77CAA514" w14:textId="77777777" w:rsidR="00176CEB" w:rsidRPr="009D1037" w:rsidRDefault="00000000" w:rsidP="009D1037">
      <w:pPr>
        <w:pStyle w:val="Heading2"/>
        <w:rPr>
          <w:rFonts w:ascii="Arial" w:hAnsi="Arial" w:cs="Arial"/>
          <w:sz w:val="24"/>
          <w:szCs w:val="24"/>
        </w:rPr>
      </w:pPr>
      <w:bookmarkStart w:id="6" w:name="_Toc236575992"/>
      <w:r w:rsidRPr="009D1037">
        <w:rPr>
          <w:rFonts w:ascii="Arial" w:hAnsi="Arial" w:cs="Arial"/>
          <w:sz w:val="24"/>
          <w:szCs w:val="24"/>
        </w:rPr>
        <w:t>Executive Summary</w:t>
      </w:r>
      <w:bookmarkEnd w:id="6"/>
    </w:p>
    <w:p w14:paraId="342BF317" w14:textId="77777777" w:rsidR="00176CEB" w:rsidRPr="009D1037" w:rsidRDefault="00000000" w:rsidP="009D1037">
      <w:pPr>
        <w:rPr>
          <w:rFonts w:ascii="Arial" w:hAnsi="Arial" w:cs="Arial"/>
          <w:sz w:val="24"/>
          <w:szCs w:val="24"/>
        </w:rPr>
      </w:pPr>
      <w:r w:rsidRPr="009D1037">
        <w:rPr>
          <w:rFonts w:ascii="Arial" w:hAnsi="Arial" w:cs="Arial"/>
          <w:sz w:val="24"/>
          <w:szCs w:val="24"/>
        </w:rPr>
        <w:t>This plan sets out how the Central Transport Hub will be redeveloped while passenger services continue through a temporary hub. The six-month, £35 million project will replace ageing facilities, improve interchange between rail, bus and local transport, and provide safer, more accessible and energy-efficient passenger spaces. Delivery will follow a controlled stage sequence: mobilisation and design confirmation; construction and commissioning of the temporary hub; transfer of operations; redevelopment of the permanent hub; testing; and handover. The plan integrates scope, schedule, resources, governance, stakeholder engagement and risk control rather than treating them as separate documents. Its central management principle is that no permanent-hub work begins until the temporary facility has passed safety, accessibility and operational-readiness checks. Success will be measured against budget and programme baselines, zero fatal or life-changing injuries, regulatory compliance, reliable passenger operations during the transition, and formal sponsor acceptance.</w:t>
      </w:r>
    </w:p>
    <w:p w14:paraId="151998BE" w14:textId="77777777" w:rsidR="00176CEB" w:rsidRPr="009D1037" w:rsidRDefault="00000000" w:rsidP="009D1037">
      <w:pPr>
        <w:pStyle w:val="Heading1"/>
        <w:rPr>
          <w:rFonts w:ascii="Arial" w:hAnsi="Arial" w:cs="Arial"/>
          <w:sz w:val="24"/>
          <w:szCs w:val="24"/>
        </w:rPr>
      </w:pPr>
      <w:bookmarkStart w:id="7" w:name="_Toc236575993"/>
      <w:r w:rsidRPr="009D1037">
        <w:rPr>
          <w:rFonts w:ascii="Arial" w:hAnsi="Arial" w:cs="Arial"/>
          <w:sz w:val="24"/>
          <w:szCs w:val="24"/>
        </w:rPr>
        <w:t>1. Introduction</w:t>
      </w:r>
      <w:bookmarkEnd w:id="7"/>
    </w:p>
    <w:p w14:paraId="12056D45" w14:textId="77777777" w:rsidR="00176CEB" w:rsidRPr="009D1037" w:rsidRDefault="00000000" w:rsidP="009D1037">
      <w:pPr>
        <w:rPr>
          <w:rFonts w:ascii="Arial" w:hAnsi="Arial" w:cs="Arial"/>
          <w:sz w:val="24"/>
          <w:szCs w:val="24"/>
        </w:rPr>
      </w:pPr>
      <w:r w:rsidRPr="009D1037">
        <w:rPr>
          <w:rFonts w:ascii="Arial" w:hAnsi="Arial" w:cs="Arial"/>
          <w:sz w:val="24"/>
          <w:szCs w:val="24"/>
        </w:rPr>
        <w:t>The existing Central Transport Hub no longer provides the capacity or quality required by current passenger demand. Ageing assets, congested circulation routes and weak connections between transport modes contribute to delays, safety concerns and an inconsistent passenger experience. Redevelopment is therefore necessary, but closing the hub for construction would cause unacceptable disruption to commuters, operators and the surrounding economy. The proposed solution is to establish a temporary hub before the permanent facility is taken out of service.</w:t>
      </w:r>
    </w:p>
    <w:p w14:paraId="753DA50A" w14:textId="77777777" w:rsidR="00176CEB" w:rsidRPr="009D1037" w:rsidRDefault="00000000" w:rsidP="009D1037">
      <w:pPr>
        <w:rPr>
          <w:rFonts w:ascii="Arial" w:hAnsi="Arial" w:cs="Arial"/>
          <w:sz w:val="24"/>
          <w:szCs w:val="24"/>
        </w:rPr>
      </w:pPr>
      <w:r w:rsidRPr="009D1037">
        <w:rPr>
          <w:rFonts w:ascii="Arial" w:hAnsi="Arial" w:cs="Arial"/>
          <w:sz w:val="24"/>
          <w:szCs w:val="24"/>
        </w:rPr>
        <w:t>The purpose of this document is to translate the approved idea into a practical delivery plan. It defines what will be delivered, who will make decisions, how resources will be allocated, when activities will occur and how uncertainty will be controlled. This approach reflects the PMBOK emphasis on tailoring management practices to the project context rather than applying processes mechanically (Project Management Institute, 2021). It also recognises that infrastructure performance depends on coordinated management of scope, time, cost, quality, risk and stakeholders (Kerzner, 2022). The plan is intended for the project sponsor, local authority, transport operators, delivery partners and the project steering committee.</w:t>
      </w:r>
    </w:p>
    <w:p w14:paraId="58F15A95" w14:textId="77777777" w:rsidR="00176CEB" w:rsidRPr="009D1037" w:rsidRDefault="00000000" w:rsidP="009D1037">
      <w:pPr>
        <w:pStyle w:val="Heading1"/>
        <w:rPr>
          <w:rFonts w:ascii="Arial" w:hAnsi="Arial" w:cs="Arial"/>
          <w:sz w:val="24"/>
          <w:szCs w:val="24"/>
        </w:rPr>
      </w:pPr>
      <w:bookmarkStart w:id="8" w:name="_Toc236575994"/>
      <w:r w:rsidRPr="009D1037">
        <w:rPr>
          <w:rFonts w:ascii="Arial" w:hAnsi="Arial" w:cs="Arial"/>
          <w:sz w:val="24"/>
          <w:szCs w:val="24"/>
        </w:rPr>
        <w:lastRenderedPageBreak/>
        <w:t>2. Project Description</w:t>
      </w:r>
      <w:bookmarkEnd w:id="8"/>
    </w:p>
    <w:p w14:paraId="3E2CD9D3" w14:textId="77777777" w:rsidR="00176CEB" w:rsidRPr="009D1037" w:rsidRDefault="00000000" w:rsidP="009D1037">
      <w:pPr>
        <w:rPr>
          <w:rFonts w:ascii="Arial" w:hAnsi="Arial" w:cs="Arial"/>
          <w:sz w:val="24"/>
          <w:szCs w:val="24"/>
        </w:rPr>
      </w:pPr>
      <w:r w:rsidRPr="009D1037">
        <w:rPr>
          <w:rFonts w:ascii="Arial" w:hAnsi="Arial" w:cs="Arial"/>
          <w:sz w:val="24"/>
          <w:szCs w:val="24"/>
        </w:rPr>
        <w:t>The project will deliver a fully operational temporary transport hub, complete the redevelopment of the permanent hub and transfer services back after testing. The permanent facility will include safer passenger circulation, step-free routes, clearer wayfinding, improved waiting areas, upgraded operational systems and better interchange between rail, bus and local services. Sustainability will be addressed through efficient lighting, responsible material selection, waste controls and design decisions consistent with the UK transition to net zero (HM Government, 2021). Accessibility and inclusive design will be treated as acceptance requirements, not optional enhancements.</w:t>
      </w:r>
    </w:p>
    <w:p w14:paraId="59AD495E" w14:textId="77777777" w:rsidR="00176CEB" w:rsidRPr="009D1037" w:rsidRDefault="00000000" w:rsidP="009D1037">
      <w:pPr>
        <w:pStyle w:val="Heading2"/>
        <w:rPr>
          <w:rFonts w:ascii="Arial" w:hAnsi="Arial" w:cs="Arial"/>
          <w:sz w:val="24"/>
          <w:szCs w:val="24"/>
        </w:rPr>
      </w:pPr>
      <w:bookmarkStart w:id="9" w:name="_Toc236575995"/>
      <w:r w:rsidRPr="009D1037">
        <w:rPr>
          <w:rFonts w:ascii="Arial" w:hAnsi="Arial" w:cs="Arial"/>
          <w:sz w:val="24"/>
          <w:szCs w:val="24"/>
        </w:rPr>
        <w:t>2.1 SMART Objectives and Success Criteria</w:t>
      </w:r>
      <w:bookmarkEnd w:id="9"/>
    </w:p>
    <w:tbl>
      <w:tblPr>
        <w:tblW w:w="0" w:type="auto"/>
        <w:jc w:val="center"/>
        <w:tblLayout w:type="fixed"/>
        <w:tblLook w:val="04A0" w:firstRow="1" w:lastRow="0" w:firstColumn="1" w:lastColumn="0" w:noHBand="0" w:noVBand="1"/>
      </w:tblPr>
      <w:tblGrid>
        <w:gridCol w:w="1728"/>
        <w:gridCol w:w="7632"/>
      </w:tblGrid>
      <w:tr w:rsidR="00176CEB" w:rsidRPr="009D1037" w14:paraId="0C8EF3EA" w14:textId="77777777">
        <w:trPr>
          <w:tblHeader/>
          <w:jc w:val="center"/>
        </w:trPr>
        <w:tc>
          <w:tcPr>
            <w:tcW w:w="1728" w:type="dxa"/>
            <w:shd w:val="clear" w:color="auto" w:fill="1F4E79"/>
            <w:tcMar>
              <w:top w:w="80" w:type="dxa"/>
              <w:left w:w="120" w:type="dxa"/>
              <w:bottom w:w="80" w:type="dxa"/>
              <w:right w:w="120" w:type="dxa"/>
            </w:tcMar>
            <w:vAlign w:val="center"/>
          </w:tcPr>
          <w:p w14:paraId="67E4938E"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Area</w:t>
            </w:r>
          </w:p>
        </w:tc>
        <w:tc>
          <w:tcPr>
            <w:tcW w:w="7632" w:type="dxa"/>
            <w:shd w:val="clear" w:color="auto" w:fill="1F4E79"/>
            <w:tcMar>
              <w:top w:w="80" w:type="dxa"/>
              <w:left w:w="120" w:type="dxa"/>
              <w:bottom w:w="80" w:type="dxa"/>
              <w:right w:w="120" w:type="dxa"/>
            </w:tcMar>
            <w:vAlign w:val="center"/>
          </w:tcPr>
          <w:p w14:paraId="46FDAAD1"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SMART objective / measure</w:t>
            </w:r>
          </w:p>
        </w:tc>
      </w:tr>
      <w:tr w:rsidR="00176CEB" w:rsidRPr="00F40639" w14:paraId="75B6B10D" w14:textId="77777777">
        <w:trPr>
          <w:jc w:val="center"/>
        </w:trPr>
        <w:tc>
          <w:tcPr>
            <w:tcW w:w="1728" w:type="dxa"/>
            <w:tcMar>
              <w:top w:w="80" w:type="dxa"/>
              <w:left w:w="120" w:type="dxa"/>
              <w:bottom w:w="80" w:type="dxa"/>
              <w:right w:w="120" w:type="dxa"/>
            </w:tcMar>
            <w:vAlign w:val="center"/>
          </w:tcPr>
          <w:p w14:paraId="632FFF45"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Continuity</w:t>
            </w:r>
          </w:p>
        </w:tc>
        <w:tc>
          <w:tcPr>
            <w:tcW w:w="7632" w:type="dxa"/>
            <w:tcMar>
              <w:top w:w="80" w:type="dxa"/>
              <w:left w:w="120" w:type="dxa"/>
              <w:bottom w:w="80" w:type="dxa"/>
              <w:right w:w="120" w:type="dxa"/>
            </w:tcMar>
            <w:vAlign w:val="center"/>
          </w:tcPr>
          <w:p w14:paraId="4360DACD"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Commission the temporary hub by the end of Week 8 and maintain at least 95% of scheduled passenger services during the redevelopment.</w:t>
            </w:r>
          </w:p>
        </w:tc>
      </w:tr>
      <w:tr w:rsidR="00176CEB" w:rsidRPr="00F40639" w14:paraId="2A73ED00" w14:textId="77777777">
        <w:trPr>
          <w:jc w:val="center"/>
        </w:trPr>
        <w:tc>
          <w:tcPr>
            <w:tcW w:w="1728" w:type="dxa"/>
            <w:shd w:val="clear" w:color="auto" w:fill="F3F6F8"/>
            <w:tcMar>
              <w:top w:w="80" w:type="dxa"/>
              <w:left w:w="120" w:type="dxa"/>
              <w:bottom w:w="80" w:type="dxa"/>
              <w:right w:w="120" w:type="dxa"/>
            </w:tcMar>
            <w:vAlign w:val="center"/>
          </w:tcPr>
          <w:p w14:paraId="7CB343F8"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Programme</w:t>
            </w:r>
          </w:p>
        </w:tc>
        <w:tc>
          <w:tcPr>
            <w:tcW w:w="7632" w:type="dxa"/>
            <w:shd w:val="clear" w:color="auto" w:fill="F3F6F8"/>
            <w:tcMar>
              <w:top w:w="80" w:type="dxa"/>
              <w:left w:w="120" w:type="dxa"/>
              <w:bottom w:w="80" w:type="dxa"/>
              <w:right w:w="120" w:type="dxa"/>
            </w:tcMar>
            <w:vAlign w:val="center"/>
          </w:tcPr>
          <w:p w14:paraId="044371DD"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Complete permanent-hub construction, testing and handover by the end of Week 26.</w:t>
            </w:r>
          </w:p>
        </w:tc>
      </w:tr>
      <w:tr w:rsidR="00176CEB" w:rsidRPr="00F40639" w14:paraId="61D573EF" w14:textId="77777777">
        <w:trPr>
          <w:jc w:val="center"/>
        </w:trPr>
        <w:tc>
          <w:tcPr>
            <w:tcW w:w="1728" w:type="dxa"/>
            <w:tcMar>
              <w:top w:w="80" w:type="dxa"/>
              <w:left w:w="120" w:type="dxa"/>
              <w:bottom w:w="80" w:type="dxa"/>
              <w:right w:w="120" w:type="dxa"/>
            </w:tcMar>
            <w:vAlign w:val="center"/>
          </w:tcPr>
          <w:p w14:paraId="3C57D7F1"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Cost</w:t>
            </w:r>
          </w:p>
        </w:tc>
        <w:tc>
          <w:tcPr>
            <w:tcW w:w="7632" w:type="dxa"/>
            <w:tcMar>
              <w:top w:w="80" w:type="dxa"/>
              <w:left w:w="120" w:type="dxa"/>
              <w:bottom w:w="80" w:type="dxa"/>
              <w:right w:w="120" w:type="dxa"/>
            </w:tcMar>
            <w:vAlign w:val="center"/>
          </w:tcPr>
          <w:p w14:paraId="11040235"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Deliver the approved scope within the £35 million baseline, with any use of contingency authorised through change control.</w:t>
            </w:r>
          </w:p>
        </w:tc>
      </w:tr>
      <w:tr w:rsidR="00176CEB" w:rsidRPr="00F40639" w14:paraId="6ED7D6A2" w14:textId="77777777">
        <w:trPr>
          <w:jc w:val="center"/>
        </w:trPr>
        <w:tc>
          <w:tcPr>
            <w:tcW w:w="1728" w:type="dxa"/>
            <w:shd w:val="clear" w:color="auto" w:fill="F3F6F8"/>
            <w:tcMar>
              <w:top w:w="80" w:type="dxa"/>
              <w:left w:w="120" w:type="dxa"/>
              <w:bottom w:w="80" w:type="dxa"/>
              <w:right w:w="120" w:type="dxa"/>
            </w:tcMar>
            <w:vAlign w:val="center"/>
          </w:tcPr>
          <w:p w14:paraId="54CD7901"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Safety</w:t>
            </w:r>
          </w:p>
        </w:tc>
        <w:tc>
          <w:tcPr>
            <w:tcW w:w="7632" w:type="dxa"/>
            <w:shd w:val="clear" w:color="auto" w:fill="F3F6F8"/>
            <w:tcMar>
              <w:top w:w="80" w:type="dxa"/>
              <w:left w:w="120" w:type="dxa"/>
              <w:bottom w:w="80" w:type="dxa"/>
              <w:right w:w="120" w:type="dxa"/>
            </w:tcMar>
            <w:vAlign w:val="center"/>
          </w:tcPr>
          <w:p w14:paraId="69A80BC1"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Achieve zero fatal or life-changing injuries and close all high-risk safety findings before each operational transition.</w:t>
            </w:r>
          </w:p>
        </w:tc>
      </w:tr>
      <w:tr w:rsidR="00176CEB" w:rsidRPr="00F40639" w14:paraId="61B8A438" w14:textId="77777777">
        <w:trPr>
          <w:jc w:val="center"/>
        </w:trPr>
        <w:tc>
          <w:tcPr>
            <w:tcW w:w="1728" w:type="dxa"/>
            <w:tcMar>
              <w:top w:w="80" w:type="dxa"/>
              <w:left w:w="120" w:type="dxa"/>
              <w:bottom w:w="80" w:type="dxa"/>
              <w:right w:w="120" w:type="dxa"/>
            </w:tcMar>
            <w:vAlign w:val="center"/>
          </w:tcPr>
          <w:p w14:paraId="6951F7CA"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Accessibility</w:t>
            </w:r>
          </w:p>
        </w:tc>
        <w:tc>
          <w:tcPr>
            <w:tcW w:w="7632" w:type="dxa"/>
            <w:tcMar>
              <w:top w:w="80" w:type="dxa"/>
              <w:left w:w="120" w:type="dxa"/>
              <w:bottom w:w="80" w:type="dxa"/>
              <w:right w:w="120" w:type="dxa"/>
            </w:tcMar>
            <w:vAlign w:val="center"/>
          </w:tcPr>
          <w:p w14:paraId="089BF2A7"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Provide step-free passenger routes and demonstrate compliance through an accessibility audit before opening.</w:t>
            </w:r>
          </w:p>
        </w:tc>
      </w:tr>
      <w:tr w:rsidR="00176CEB" w:rsidRPr="00F40639" w14:paraId="08D0A887" w14:textId="77777777">
        <w:trPr>
          <w:jc w:val="center"/>
        </w:trPr>
        <w:tc>
          <w:tcPr>
            <w:tcW w:w="1728" w:type="dxa"/>
            <w:shd w:val="clear" w:color="auto" w:fill="F3F6F8"/>
            <w:tcMar>
              <w:top w:w="80" w:type="dxa"/>
              <w:left w:w="120" w:type="dxa"/>
              <w:bottom w:w="80" w:type="dxa"/>
              <w:right w:w="120" w:type="dxa"/>
            </w:tcMar>
            <w:vAlign w:val="center"/>
          </w:tcPr>
          <w:p w14:paraId="0380D0FD"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Quality</w:t>
            </w:r>
          </w:p>
        </w:tc>
        <w:tc>
          <w:tcPr>
            <w:tcW w:w="7632" w:type="dxa"/>
            <w:shd w:val="clear" w:color="auto" w:fill="F3F6F8"/>
            <w:tcMar>
              <w:top w:w="80" w:type="dxa"/>
              <w:left w:w="120" w:type="dxa"/>
              <w:bottom w:w="80" w:type="dxa"/>
              <w:right w:w="120" w:type="dxa"/>
            </w:tcMar>
            <w:vAlign w:val="center"/>
          </w:tcPr>
          <w:p w14:paraId="7FDE28D0"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Close all critical defects before handover and at least 95% of minor defects within 20 working days.</w:t>
            </w:r>
          </w:p>
        </w:tc>
      </w:tr>
      <w:tr w:rsidR="00176CEB" w:rsidRPr="00F40639" w14:paraId="68CD49E7" w14:textId="77777777">
        <w:trPr>
          <w:jc w:val="center"/>
        </w:trPr>
        <w:tc>
          <w:tcPr>
            <w:tcW w:w="1728" w:type="dxa"/>
            <w:tcMar>
              <w:top w:w="80" w:type="dxa"/>
              <w:left w:w="120" w:type="dxa"/>
              <w:bottom w:w="80" w:type="dxa"/>
              <w:right w:w="120" w:type="dxa"/>
            </w:tcMar>
            <w:vAlign w:val="center"/>
          </w:tcPr>
          <w:p w14:paraId="47DE0B59"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Stakeholders</w:t>
            </w:r>
          </w:p>
        </w:tc>
        <w:tc>
          <w:tcPr>
            <w:tcW w:w="7632" w:type="dxa"/>
            <w:tcMar>
              <w:top w:w="80" w:type="dxa"/>
              <w:left w:w="120" w:type="dxa"/>
              <w:bottom w:w="80" w:type="dxa"/>
              <w:right w:w="120" w:type="dxa"/>
            </w:tcMar>
            <w:vAlign w:val="center"/>
          </w:tcPr>
          <w:p w14:paraId="2C663A0A"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Provide planned passenger notices before each service change and achieve at least 75% satisfaction in the post-opening survey.</w:t>
            </w:r>
          </w:p>
        </w:tc>
      </w:tr>
    </w:tbl>
    <w:p w14:paraId="26990C92" w14:textId="77777777" w:rsidR="00176CEB" w:rsidRPr="00F40639" w:rsidRDefault="00176CEB" w:rsidP="009D1037">
      <w:pPr>
        <w:spacing w:after="20"/>
        <w:rPr>
          <w:rFonts w:ascii="Arial" w:hAnsi="Arial" w:cs="Arial"/>
          <w:sz w:val="24"/>
          <w:szCs w:val="24"/>
        </w:rPr>
      </w:pPr>
    </w:p>
    <w:p w14:paraId="5883F4DC" w14:textId="77777777" w:rsidR="00176CEB" w:rsidRPr="009D1037" w:rsidRDefault="00000000" w:rsidP="009D1037">
      <w:pPr>
        <w:spacing w:after="100"/>
        <w:rPr>
          <w:rFonts w:ascii="Arial" w:hAnsi="Arial" w:cs="Arial"/>
          <w:sz w:val="24"/>
          <w:szCs w:val="24"/>
        </w:rPr>
      </w:pPr>
      <w:r w:rsidRPr="009D1037">
        <w:rPr>
          <w:rFonts w:ascii="Arial" w:hAnsi="Arial" w:cs="Arial"/>
          <w:i/>
          <w:color w:val="5A5A5A"/>
          <w:sz w:val="24"/>
          <w:szCs w:val="24"/>
        </w:rPr>
        <w:t>Table 1. Project objectives and measurable success criteria</w:t>
      </w:r>
    </w:p>
    <w:p w14:paraId="5955821F" w14:textId="77777777" w:rsidR="00176CEB" w:rsidRPr="009D1037" w:rsidRDefault="00000000" w:rsidP="009D1037">
      <w:pPr>
        <w:rPr>
          <w:rFonts w:ascii="Arial" w:hAnsi="Arial" w:cs="Arial"/>
          <w:sz w:val="24"/>
          <w:szCs w:val="24"/>
        </w:rPr>
      </w:pPr>
      <w:r w:rsidRPr="009D1037">
        <w:rPr>
          <w:rFonts w:ascii="Arial" w:hAnsi="Arial" w:cs="Arial"/>
          <w:sz w:val="24"/>
          <w:szCs w:val="24"/>
        </w:rPr>
        <w:t xml:space="preserve">The main deliverables are an approved design package, statutory approvals, a commissioned temporary hub, revised passenger-routing arrangements, the redeveloped permanent hub, trained operational staff, test records, asset information </w:t>
      </w:r>
      <w:r w:rsidRPr="009D1037">
        <w:rPr>
          <w:rFonts w:ascii="Arial" w:hAnsi="Arial" w:cs="Arial"/>
          <w:sz w:val="24"/>
          <w:szCs w:val="24"/>
        </w:rPr>
        <w:lastRenderedPageBreak/>
        <w:t>and a signed handover pack. Benefits such as improved reliability and passenger satisfaction will continue after project closure, but the project remains accountable for creating the conditions through which those benefits can be realised (Meredith, Shafer and Mantel, 2022).</w:t>
      </w:r>
    </w:p>
    <w:p w14:paraId="406DD62C" w14:textId="77777777" w:rsidR="00176CEB" w:rsidRPr="009D1037" w:rsidRDefault="00000000" w:rsidP="009D1037">
      <w:pPr>
        <w:pStyle w:val="Heading1"/>
        <w:rPr>
          <w:rFonts w:ascii="Arial" w:hAnsi="Arial" w:cs="Arial"/>
          <w:sz w:val="24"/>
          <w:szCs w:val="24"/>
        </w:rPr>
      </w:pPr>
      <w:bookmarkStart w:id="10" w:name="_Toc236575996"/>
      <w:r w:rsidRPr="009D1037">
        <w:rPr>
          <w:rFonts w:ascii="Arial" w:hAnsi="Arial" w:cs="Arial"/>
          <w:sz w:val="24"/>
          <w:szCs w:val="24"/>
        </w:rPr>
        <w:t>3. Scope Management</w:t>
      </w:r>
      <w:bookmarkEnd w:id="10"/>
    </w:p>
    <w:p w14:paraId="50BE39F0" w14:textId="77777777" w:rsidR="00176CEB" w:rsidRPr="009D1037" w:rsidRDefault="00000000" w:rsidP="009D1037">
      <w:pPr>
        <w:rPr>
          <w:rFonts w:ascii="Arial" w:hAnsi="Arial" w:cs="Arial"/>
          <w:sz w:val="24"/>
          <w:szCs w:val="24"/>
        </w:rPr>
      </w:pPr>
      <w:r w:rsidRPr="009D1037">
        <w:rPr>
          <w:rFonts w:ascii="Arial" w:hAnsi="Arial" w:cs="Arial"/>
          <w:sz w:val="24"/>
          <w:szCs w:val="24"/>
        </w:rPr>
        <w:t>A clear scope baseline is essential because the short programme creates little tolerance for unplanned additions. The scope statement, WBS and acceptance criteria will form the baseline against which proposed changes are assessed. Requests will be logged, analysed for cost, schedule, safety and operational impact, and submitted to the Change Control Board. The sponsor may approve changes within the contingency allowance; any change affecting the £35 million ceiling or final completion date requires steering-committee approval.</w:t>
      </w:r>
    </w:p>
    <w:tbl>
      <w:tblPr>
        <w:tblW w:w="0" w:type="auto"/>
        <w:jc w:val="center"/>
        <w:tblLayout w:type="fixed"/>
        <w:tblLook w:val="04A0" w:firstRow="1" w:lastRow="0" w:firstColumn="1" w:lastColumn="0" w:noHBand="0" w:noVBand="1"/>
      </w:tblPr>
      <w:tblGrid>
        <w:gridCol w:w="4680"/>
        <w:gridCol w:w="4680"/>
      </w:tblGrid>
      <w:tr w:rsidR="00176CEB" w:rsidRPr="009D1037" w14:paraId="0B684E19" w14:textId="77777777">
        <w:trPr>
          <w:tblHeader/>
          <w:jc w:val="center"/>
        </w:trPr>
        <w:tc>
          <w:tcPr>
            <w:tcW w:w="4680" w:type="dxa"/>
            <w:shd w:val="clear" w:color="auto" w:fill="1F4E79"/>
            <w:tcMar>
              <w:top w:w="80" w:type="dxa"/>
              <w:left w:w="120" w:type="dxa"/>
              <w:bottom w:w="80" w:type="dxa"/>
              <w:right w:w="120" w:type="dxa"/>
            </w:tcMar>
            <w:vAlign w:val="center"/>
          </w:tcPr>
          <w:p w14:paraId="2CC191DE"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In scope</w:t>
            </w:r>
          </w:p>
        </w:tc>
        <w:tc>
          <w:tcPr>
            <w:tcW w:w="4680" w:type="dxa"/>
            <w:shd w:val="clear" w:color="auto" w:fill="1F4E79"/>
            <w:tcMar>
              <w:top w:w="80" w:type="dxa"/>
              <w:left w:w="120" w:type="dxa"/>
              <w:bottom w:w="80" w:type="dxa"/>
              <w:right w:w="120" w:type="dxa"/>
            </w:tcMar>
            <w:vAlign w:val="center"/>
          </w:tcPr>
          <w:p w14:paraId="1905B7C9"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Out of scope</w:t>
            </w:r>
          </w:p>
        </w:tc>
      </w:tr>
      <w:tr w:rsidR="00176CEB" w:rsidRPr="009D1037" w14:paraId="79D178B3" w14:textId="77777777">
        <w:trPr>
          <w:jc w:val="center"/>
        </w:trPr>
        <w:tc>
          <w:tcPr>
            <w:tcW w:w="4680" w:type="dxa"/>
            <w:tcMar>
              <w:top w:w="80" w:type="dxa"/>
              <w:left w:w="120" w:type="dxa"/>
              <w:bottom w:w="80" w:type="dxa"/>
              <w:right w:w="120" w:type="dxa"/>
            </w:tcMar>
            <w:vAlign w:val="center"/>
          </w:tcPr>
          <w:p w14:paraId="3B88D1C6"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Temporary-hub design, construction, utilities, testing and removal</w:t>
            </w:r>
          </w:p>
        </w:tc>
        <w:tc>
          <w:tcPr>
            <w:tcW w:w="4680" w:type="dxa"/>
            <w:tcMar>
              <w:top w:w="80" w:type="dxa"/>
              <w:left w:w="120" w:type="dxa"/>
              <w:bottom w:w="80" w:type="dxa"/>
              <w:right w:w="120" w:type="dxa"/>
            </w:tcMar>
            <w:vAlign w:val="center"/>
          </w:tcPr>
          <w:p w14:paraId="0AE477B8"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Long-term operation and routine maintenance after handover</w:t>
            </w:r>
          </w:p>
        </w:tc>
      </w:tr>
      <w:tr w:rsidR="00176CEB" w:rsidRPr="009D1037" w14:paraId="579DAAD4" w14:textId="77777777">
        <w:trPr>
          <w:jc w:val="center"/>
        </w:trPr>
        <w:tc>
          <w:tcPr>
            <w:tcW w:w="4680" w:type="dxa"/>
            <w:shd w:val="clear" w:color="auto" w:fill="F3F6F8"/>
            <w:tcMar>
              <w:top w:w="80" w:type="dxa"/>
              <w:left w:w="120" w:type="dxa"/>
              <w:bottom w:w="80" w:type="dxa"/>
              <w:right w:w="120" w:type="dxa"/>
            </w:tcMar>
            <w:vAlign w:val="center"/>
          </w:tcPr>
          <w:p w14:paraId="74106755"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Permanent-hub structural, passenger, accessibility and systems upgrades</w:t>
            </w:r>
          </w:p>
        </w:tc>
        <w:tc>
          <w:tcPr>
            <w:tcW w:w="4680" w:type="dxa"/>
            <w:shd w:val="clear" w:color="auto" w:fill="F3F6F8"/>
            <w:tcMar>
              <w:top w:w="80" w:type="dxa"/>
              <w:left w:w="120" w:type="dxa"/>
              <w:bottom w:w="80" w:type="dxa"/>
              <w:right w:w="120" w:type="dxa"/>
            </w:tcMar>
            <w:vAlign w:val="center"/>
          </w:tcPr>
          <w:p w14:paraId="34590EE8"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Unrelated rail, highway or city-centre regeneration works</w:t>
            </w:r>
          </w:p>
        </w:tc>
      </w:tr>
      <w:tr w:rsidR="00176CEB" w:rsidRPr="009D1037" w14:paraId="11901F11" w14:textId="77777777">
        <w:trPr>
          <w:jc w:val="center"/>
        </w:trPr>
        <w:tc>
          <w:tcPr>
            <w:tcW w:w="4680" w:type="dxa"/>
            <w:tcMar>
              <w:top w:w="80" w:type="dxa"/>
              <w:left w:w="120" w:type="dxa"/>
              <w:bottom w:w="80" w:type="dxa"/>
              <w:right w:w="120" w:type="dxa"/>
            </w:tcMar>
            <w:vAlign w:val="center"/>
          </w:tcPr>
          <w:p w14:paraId="56AF6AF8"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Passenger diversions, signage and communications during construction</w:t>
            </w:r>
          </w:p>
        </w:tc>
        <w:tc>
          <w:tcPr>
            <w:tcW w:w="4680" w:type="dxa"/>
            <w:tcMar>
              <w:top w:w="80" w:type="dxa"/>
              <w:left w:w="120" w:type="dxa"/>
              <w:bottom w:w="80" w:type="dxa"/>
              <w:right w:w="120" w:type="dxa"/>
            </w:tcMar>
            <w:vAlign w:val="center"/>
          </w:tcPr>
          <w:p w14:paraId="22A791C6"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Commercial retail expansion beyond replacement provision</w:t>
            </w:r>
          </w:p>
        </w:tc>
      </w:tr>
      <w:tr w:rsidR="00176CEB" w:rsidRPr="009D1037" w14:paraId="06A0BC20" w14:textId="77777777">
        <w:trPr>
          <w:jc w:val="center"/>
        </w:trPr>
        <w:tc>
          <w:tcPr>
            <w:tcW w:w="4680" w:type="dxa"/>
            <w:shd w:val="clear" w:color="auto" w:fill="F3F6F8"/>
            <w:tcMar>
              <w:top w:w="80" w:type="dxa"/>
              <w:left w:w="120" w:type="dxa"/>
              <w:bottom w:w="80" w:type="dxa"/>
              <w:right w:w="120" w:type="dxa"/>
            </w:tcMar>
            <w:vAlign w:val="center"/>
          </w:tcPr>
          <w:p w14:paraId="61048340"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Testing, commissioning, staff training and operational transition</w:t>
            </w:r>
          </w:p>
        </w:tc>
        <w:tc>
          <w:tcPr>
            <w:tcW w:w="4680" w:type="dxa"/>
            <w:shd w:val="clear" w:color="auto" w:fill="F3F6F8"/>
            <w:tcMar>
              <w:top w:w="80" w:type="dxa"/>
              <w:left w:w="120" w:type="dxa"/>
              <w:bottom w:w="80" w:type="dxa"/>
              <w:right w:w="120" w:type="dxa"/>
            </w:tcMar>
            <w:vAlign w:val="center"/>
          </w:tcPr>
          <w:p w14:paraId="052C114F"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Future capacity extensions not required by the approved design</w:t>
            </w:r>
          </w:p>
        </w:tc>
      </w:tr>
      <w:tr w:rsidR="00176CEB" w:rsidRPr="009D1037" w14:paraId="762FA4DC" w14:textId="77777777">
        <w:trPr>
          <w:jc w:val="center"/>
        </w:trPr>
        <w:tc>
          <w:tcPr>
            <w:tcW w:w="4680" w:type="dxa"/>
            <w:tcMar>
              <w:top w:w="80" w:type="dxa"/>
              <w:left w:w="120" w:type="dxa"/>
              <w:bottom w:w="80" w:type="dxa"/>
              <w:right w:w="120" w:type="dxa"/>
            </w:tcMar>
            <w:vAlign w:val="center"/>
          </w:tcPr>
          <w:p w14:paraId="5F5DC27B"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Safety, environmental controls and completion documentation</w:t>
            </w:r>
          </w:p>
        </w:tc>
        <w:tc>
          <w:tcPr>
            <w:tcW w:w="4680" w:type="dxa"/>
            <w:tcMar>
              <w:top w:w="80" w:type="dxa"/>
              <w:left w:w="120" w:type="dxa"/>
              <w:bottom w:w="80" w:type="dxa"/>
              <w:right w:w="120" w:type="dxa"/>
            </w:tcMar>
            <w:vAlign w:val="center"/>
          </w:tcPr>
          <w:p w14:paraId="2AFAE4FE" w14:textId="77777777" w:rsidR="00176CEB" w:rsidRPr="00F40639" w:rsidRDefault="00000000" w:rsidP="00F40639">
            <w:pPr>
              <w:spacing w:after="40" w:line="240" w:lineRule="auto"/>
              <w:jc w:val="left"/>
              <w:rPr>
                <w:rFonts w:ascii="Arial" w:hAnsi="Arial" w:cs="Arial"/>
                <w:sz w:val="24"/>
                <w:szCs w:val="24"/>
              </w:rPr>
            </w:pPr>
            <w:r w:rsidRPr="00F40639">
              <w:rPr>
                <w:rFonts w:ascii="Arial" w:hAnsi="Arial" w:cs="Arial"/>
                <w:sz w:val="24"/>
                <w:szCs w:val="24"/>
              </w:rPr>
              <w:t>Operator business-process changes unrelated to the new facility</w:t>
            </w:r>
          </w:p>
        </w:tc>
      </w:tr>
    </w:tbl>
    <w:p w14:paraId="1CD47BCB" w14:textId="77777777" w:rsidR="00176CEB" w:rsidRPr="009D1037" w:rsidRDefault="00176CEB" w:rsidP="009D1037">
      <w:pPr>
        <w:spacing w:after="20"/>
        <w:rPr>
          <w:rFonts w:ascii="Arial" w:hAnsi="Arial" w:cs="Arial"/>
          <w:sz w:val="24"/>
          <w:szCs w:val="24"/>
        </w:rPr>
      </w:pPr>
    </w:p>
    <w:p w14:paraId="1E9DD591" w14:textId="77777777" w:rsidR="00176CEB" w:rsidRPr="009D1037" w:rsidRDefault="00000000" w:rsidP="009D1037">
      <w:pPr>
        <w:spacing w:after="100"/>
        <w:rPr>
          <w:rFonts w:ascii="Arial" w:hAnsi="Arial" w:cs="Arial"/>
          <w:sz w:val="24"/>
          <w:szCs w:val="24"/>
        </w:rPr>
      </w:pPr>
      <w:r w:rsidRPr="009D1037">
        <w:rPr>
          <w:rFonts w:ascii="Arial" w:hAnsi="Arial" w:cs="Arial"/>
          <w:i/>
          <w:color w:val="5A5A5A"/>
          <w:sz w:val="24"/>
          <w:szCs w:val="24"/>
        </w:rPr>
        <w:t>Table 2. Scope boundaries</w:t>
      </w:r>
    </w:p>
    <w:p w14:paraId="2816E5B5" w14:textId="77777777" w:rsidR="00176CEB" w:rsidRPr="009D1037" w:rsidRDefault="00000000" w:rsidP="009D1037">
      <w:pPr>
        <w:rPr>
          <w:rFonts w:ascii="Arial" w:hAnsi="Arial" w:cs="Arial"/>
          <w:sz w:val="24"/>
          <w:szCs w:val="24"/>
        </w:rPr>
      </w:pPr>
      <w:r w:rsidRPr="009D1037">
        <w:rPr>
          <w:rFonts w:ascii="Arial" w:hAnsi="Arial" w:cs="Arial"/>
          <w:sz w:val="24"/>
          <w:szCs w:val="24"/>
        </w:rPr>
        <w:t>Completion will require objective evidence: approved inspections, test certificates, training records, an updated asset register and written acceptance by the sponsor and operators. This prevents completion from being judged only by physical appearance and supports a controlled transition into service (Heagney, 2023).</w:t>
      </w:r>
    </w:p>
    <w:p w14:paraId="117715EA" w14:textId="77777777" w:rsidR="00176CEB" w:rsidRPr="009D1037" w:rsidRDefault="00000000" w:rsidP="009D1037">
      <w:pPr>
        <w:pStyle w:val="Heading1"/>
        <w:rPr>
          <w:rFonts w:ascii="Arial" w:hAnsi="Arial" w:cs="Arial"/>
          <w:sz w:val="24"/>
          <w:szCs w:val="24"/>
        </w:rPr>
      </w:pPr>
      <w:bookmarkStart w:id="11" w:name="_Toc236575997"/>
      <w:r w:rsidRPr="009D1037">
        <w:rPr>
          <w:rFonts w:ascii="Arial" w:hAnsi="Arial" w:cs="Arial"/>
          <w:sz w:val="24"/>
          <w:szCs w:val="24"/>
        </w:rPr>
        <w:lastRenderedPageBreak/>
        <w:t>4. Work Breakdown Structure</w:t>
      </w:r>
      <w:bookmarkEnd w:id="11"/>
    </w:p>
    <w:p w14:paraId="20907E96" w14:textId="77777777" w:rsidR="00176CEB" w:rsidRPr="009D1037" w:rsidRDefault="00000000" w:rsidP="009D1037">
      <w:pPr>
        <w:rPr>
          <w:rFonts w:ascii="Arial" w:hAnsi="Arial" w:cs="Arial"/>
          <w:sz w:val="24"/>
          <w:szCs w:val="24"/>
        </w:rPr>
      </w:pPr>
      <w:r w:rsidRPr="009D1037">
        <w:rPr>
          <w:rFonts w:ascii="Arial" w:hAnsi="Arial" w:cs="Arial"/>
          <w:sz w:val="24"/>
          <w:szCs w:val="24"/>
        </w:rPr>
        <w:t xml:space="preserve">The WBS converts the total scope into manageable work packages. It supports cost estimating, responsibility assignment and progress monitoring by ensuring that each element of work has a defined output. The structure below is </w:t>
      </w:r>
      <w:proofErr w:type="gramStart"/>
      <w:r w:rsidRPr="009D1037">
        <w:rPr>
          <w:rFonts w:ascii="Arial" w:hAnsi="Arial" w:cs="Arial"/>
          <w:sz w:val="24"/>
          <w:szCs w:val="24"/>
        </w:rPr>
        <w:t>deliverable-led</w:t>
      </w:r>
      <w:proofErr w:type="gramEnd"/>
      <w:r w:rsidRPr="009D1037">
        <w:rPr>
          <w:rFonts w:ascii="Arial" w:hAnsi="Arial" w:cs="Arial"/>
          <w:sz w:val="24"/>
          <w:szCs w:val="24"/>
        </w:rPr>
        <w:t>, which reduces overlap between teams and gives the schedule and cost plan a common control framework.</w:t>
      </w:r>
    </w:p>
    <w:tbl>
      <w:tblPr>
        <w:tblW w:w="0" w:type="auto"/>
        <w:jc w:val="center"/>
        <w:tblLayout w:type="fixed"/>
        <w:tblLook w:val="04A0" w:firstRow="1" w:lastRow="0" w:firstColumn="1" w:lastColumn="0" w:noHBand="0" w:noVBand="1"/>
      </w:tblPr>
      <w:tblGrid>
        <w:gridCol w:w="1944"/>
        <w:gridCol w:w="7416"/>
      </w:tblGrid>
      <w:tr w:rsidR="00176CEB" w:rsidRPr="009D1037" w14:paraId="0E590AF4" w14:textId="77777777">
        <w:trPr>
          <w:tblHeader/>
          <w:jc w:val="center"/>
        </w:trPr>
        <w:tc>
          <w:tcPr>
            <w:tcW w:w="1944" w:type="dxa"/>
            <w:shd w:val="clear" w:color="auto" w:fill="1F4E79"/>
            <w:tcMar>
              <w:top w:w="80" w:type="dxa"/>
              <w:left w:w="120" w:type="dxa"/>
              <w:bottom w:w="80" w:type="dxa"/>
              <w:right w:w="120" w:type="dxa"/>
            </w:tcMar>
            <w:vAlign w:val="center"/>
          </w:tcPr>
          <w:p w14:paraId="62550C65"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WBS</w:t>
            </w:r>
          </w:p>
        </w:tc>
        <w:tc>
          <w:tcPr>
            <w:tcW w:w="7416" w:type="dxa"/>
            <w:shd w:val="clear" w:color="auto" w:fill="1F4E79"/>
            <w:tcMar>
              <w:top w:w="80" w:type="dxa"/>
              <w:left w:w="120" w:type="dxa"/>
              <w:bottom w:w="80" w:type="dxa"/>
              <w:right w:w="120" w:type="dxa"/>
            </w:tcMar>
            <w:vAlign w:val="center"/>
          </w:tcPr>
          <w:p w14:paraId="73C9589A"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Work package and output</w:t>
            </w:r>
          </w:p>
        </w:tc>
      </w:tr>
      <w:tr w:rsidR="00176CEB" w:rsidRPr="009D1037" w14:paraId="343B8EFD" w14:textId="77777777">
        <w:trPr>
          <w:jc w:val="center"/>
        </w:trPr>
        <w:tc>
          <w:tcPr>
            <w:tcW w:w="1944" w:type="dxa"/>
            <w:tcMar>
              <w:top w:w="80" w:type="dxa"/>
              <w:left w:w="120" w:type="dxa"/>
              <w:bottom w:w="80" w:type="dxa"/>
              <w:right w:w="120" w:type="dxa"/>
            </w:tcMar>
            <w:vAlign w:val="center"/>
          </w:tcPr>
          <w:p w14:paraId="0905E1A0"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1.0 Governance and mobilisation</w:t>
            </w:r>
          </w:p>
        </w:tc>
        <w:tc>
          <w:tcPr>
            <w:tcW w:w="7416" w:type="dxa"/>
            <w:tcMar>
              <w:top w:w="80" w:type="dxa"/>
              <w:left w:w="120" w:type="dxa"/>
              <w:bottom w:w="80" w:type="dxa"/>
              <w:right w:w="120" w:type="dxa"/>
            </w:tcMar>
            <w:vAlign w:val="center"/>
          </w:tcPr>
          <w:p w14:paraId="41AD6654"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Charter, governance, controls, baseline and reporting</w:t>
            </w:r>
          </w:p>
        </w:tc>
      </w:tr>
      <w:tr w:rsidR="00176CEB" w:rsidRPr="009D1037" w14:paraId="1B3C5878" w14:textId="77777777">
        <w:trPr>
          <w:jc w:val="center"/>
        </w:trPr>
        <w:tc>
          <w:tcPr>
            <w:tcW w:w="1944" w:type="dxa"/>
            <w:shd w:val="clear" w:color="auto" w:fill="F3F6F8"/>
            <w:tcMar>
              <w:top w:w="80" w:type="dxa"/>
              <w:left w:w="120" w:type="dxa"/>
              <w:bottom w:w="80" w:type="dxa"/>
              <w:right w:w="120" w:type="dxa"/>
            </w:tcMar>
            <w:vAlign w:val="center"/>
          </w:tcPr>
          <w:p w14:paraId="6BE95E05"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2.0 Design and approvals</w:t>
            </w:r>
          </w:p>
        </w:tc>
        <w:tc>
          <w:tcPr>
            <w:tcW w:w="7416" w:type="dxa"/>
            <w:shd w:val="clear" w:color="auto" w:fill="F3F6F8"/>
            <w:tcMar>
              <w:top w:w="80" w:type="dxa"/>
              <w:left w:w="120" w:type="dxa"/>
              <w:bottom w:w="80" w:type="dxa"/>
              <w:right w:w="120" w:type="dxa"/>
            </w:tcMar>
            <w:vAlign w:val="center"/>
          </w:tcPr>
          <w:p w14:paraId="72C8C50C"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Surveys, coordinated design, accessibility review, permits</w:t>
            </w:r>
          </w:p>
        </w:tc>
      </w:tr>
      <w:tr w:rsidR="00176CEB" w:rsidRPr="009D1037" w14:paraId="7324AB83" w14:textId="77777777">
        <w:trPr>
          <w:jc w:val="center"/>
        </w:trPr>
        <w:tc>
          <w:tcPr>
            <w:tcW w:w="1944" w:type="dxa"/>
            <w:tcMar>
              <w:top w:w="80" w:type="dxa"/>
              <w:left w:w="120" w:type="dxa"/>
              <w:bottom w:w="80" w:type="dxa"/>
              <w:right w:w="120" w:type="dxa"/>
            </w:tcMar>
            <w:vAlign w:val="center"/>
          </w:tcPr>
          <w:p w14:paraId="751AB7DA"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3.0 Temporary hub</w:t>
            </w:r>
          </w:p>
        </w:tc>
        <w:tc>
          <w:tcPr>
            <w:tcW w:w="7416" w:type="dxa"/>
            <w:tcMar>
              <w:top w:w="80" w:type="dxa"/>
              <w:left w:w="120" w:type="dxa"/>
              <w:bottom w:w="80" w:type="dxa"/>
              <w:right w:w="120" w:type="dxa"/>
            </w:tcMar>
            <w:vAlign w:val="center"/>
          </w:tcPr>
          <w:p w14:paraId="1D0C123F"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Site preparation, utilities, structures, systems, testing</w:t>
            </w:r>
          </w:p>
        </w:tc>
      </w:tr>
      <w:tr w:rsidR="00176CEB" w:rsidRPr="009D1037" w14:paraId="537063B6" w14:textId="77777777">
        <w:trPr>
          <w:jc w:val="center"/>
        </w:trPr>
        <w:tc>
          <w:tcPr>
            <w:tcW w:w="1944" w:type="dxa"/>
            <w:shd w:val="clear" w:color="auto" w:fill="F3F6F8"/>
            <w:tcMar>
              <w:top w:w="80" w:type="dxa"/>
              <w:left w:w="120" w:type="dxa"/>
              <w:bottom w:w="80" w:type="dxa"/>
              <w:right w:w="120" w:type="dxa"/>
            </w:tcMar>
            <w:vAlign w:val="center"/>
          </w:tcPr>
          <w:p w14:paraId="60D4BC5F"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4.0 Operational transition</w:t>
            </w:r>
          </w:p>
        </w:tc>
        <w:tc>
          <w:tcPr>
            <w:tcW w:w="7416" w:type="dxa"/>
            <w:shd w:val="clear" w:color="auto" w:fill="F3F6F8"/>
            <w:tcMar>
              <w:top w:w="80" w:type="dxa"/>
              <w:left w:w="120" w:type="dxa"/>
              <w:bottom w:w="80" w:type="dxa"/>
              <w:right w:w="120" w:type="dxa"/>
            </w:tcMar>
            <w:vAlign w:val="center"/>
          </w:tcPr>
          <w:p w14:paraId="5C4B650C"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Staff training, passenger communications, service transfer</w:t>
            </w:r>
          </w:p>
        </w:tc>
      </w:tr>
      <w:tr w:rsidR="00176CEB" w:rsidRPr="009D1037" w14:paraId="25501976" w14:textId="77777777">
        <w:trPr>
          <w:jc w:val="center"/>
        </w:trPr>
        <w:tc>
          <w:tcPr>
            <w:tcW w:w="1944" w:type="dxa"/>
            <w:tcMar>
              <w:top w:w="80" w:type="dxa"/>
              <w:left w:w="120" w:type="dxa"/>
              <w:bottom w:w="80" w:type="dxa"/>
              <w:right w:w="120" w:type="dxa"/>
            </w:tcMar>
            <w:vAlign w:val="center"/>
          </w:tcPr>
          <w:p w14:paraId="19AE1B9B"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5.0 Permanent redevelopment</w:t>
            </w:r>
          </w:p>
        </w:tc>
        <w:tc>
          <w:tcPr>
            <w:tcW w:w="7416" w:type="dxa"/>
            <w:tcMar>
              <w:top w:w="80" w:type="dxa"/>
              <w:left w:w="120" w:type="dxa"/>
              <w:bottom w:w="80" w:type="dxa"/>
              <w:right w:w="120" w:type="dxa"/>
            </w:tcMar>
            <w:vAlign w:val="center"/>
          </w:tcPr>
          <w:p w14:paraId="4765BEA8"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Enabling works, construction, MEP, accessibility, finishes</w:t>
            </w:r>
          </w:p>
        </w:tc>
      </w:tr>
      <w:tr w:rsidR="00176CEB" w:rsidRPr="009D1037" w14:paraId="54AD5605" w14:textId="77777777">
        <w:trPr>
          <w:jc w:val="center"/>
        </w:trPr>
        <w:tc>
          <w:tcPr>
            <w:tcW w:w="1944" w:type="dxa"/>
            <w:shd w:val="clear" w:color="auto" w:fill="F3F6F8"/>
            <w:tcMar>
              <w:top w:w="80" w:type="dxa"/>
              <w:left w:w="120" w:type="dxa"/>
              <w:bottom w:w="80" w:type="dxa"/>
              <w:right w:w="120" w:type="dxa"/>
            </w:tcMar>
            <w:vAlign w:val="center"/>
          </w:tcPr>
          <w:p w14:paraId="0CED82F6"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6.0 Testing and commissioning</w:t>
            </w:r>
          </w:p>
        </w:tc>
        <w:tc>
          <w:tcPr>
            <w:tcW w:w="7416" w:type="dxa"/>
            <w:shd w:val="clear" w:color="auto" w:fill="F3F6F8"/>
            <w:tcMar>
              <w:top w:w="80" w:type="dxa"/>
              <w:left w:w="120" w:type="dxa"/>
              <w:bottom w:w="80" w:type="dxa"/>
              <w:right w:w="120" w:type="dxa"/>
            </w:tcMar>
            <w:vAlign w:val="center"/>
          </w:tcPr>
          <w:p w14:paraId="0EC5C899"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Integrated tests, safety assurance, defect management</w:t>
            </w:r>
          </w:p>
        </w:tc>
      </w:tr>
      <w:tr w:rsidR="00176CEB" w:rsidRPr="009D1037" w14:paraId="049293FA" w14:textId="77777777">
        <w:trPr>
          <w:jc w:val="center"/>
        </w:trPr>
        <w:tc>
          <w:tcPr>
            <w:tcW w:w="1944" w:type="dxa"/>
            <w:tcMar>
              <w:top w:w="80" w:type="dxa"/>
              <w:left w:w="120" w:type="dxa"/>
              <w:bottom w:w="80" w:type="dxa"/>
              <w:right w:w="120" w:type="dxa"/>
            </w:tcMar>
            <w:vAlign w:val="center"/>
          </w:tcPr>
          <w:p w14:paraId="18C9DFC0"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7.0 Handover and closure</w:t>
            </w:r>
          </w:p>
        </w:tc>
        <w:tc>
          <w:tcPr>
            <w:tcW w:w="7416" w:type="dxa"/>
            <w:tcMar>
              <w:top w:w="80" w:type="dxa"/>
              <w:left w:w="120" w:type="dxa"/>
              <w:bottom w:w="80" w:type="dxa"/>
              <w:right w:w="120" w:type="dxa"/>
            </w:tcMar>
            <w:vAlign w:val="center"/>
          </w:tcPr>
          <w:p w14:paraId="13998BBD"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Service return, documentation, lessons learned, temporary-hub removal</w:t>
            </w:r>
          </w:p>
        </w:tc>
      </w:tr>
    </w:tbl>
    <w:p w14:paraId="064387C9" w14:textId="77777777" w:rsidR="00176CEB" w:rsidRPr="009D1037" w:rsidRDefault="00176CEB" w:rsidP="009D1037">
      <w:pPr>
        <w:spacing w:after="20"/>
        <w:rPr>
          <w:rFonts w:ascii="Arial" w:hAnsi="Arial" w:cs="Arial"/>
          <w:sz w:val="24"/>
          <w:szCs w:val="24"/>
        </w:rPr>
      </w:pPr>
    </w:p>
    <w:p w14:paraId="67BCD2B4" w14:textId="77777777" w:rsidR="00176CEB" w:rsidRPr="009D1037" w:rsidRDefault="00000000" w:rsidP="009D1037">
      <w:pPr>
        <w:spacing w:after="100"/>
        <w:rPr>
          <w:rFonts w:ascii="Arial" w:hAnsi="Arial" w:cs="Arial"/>
          <w:sz w:val="24"/>
          <w:szCs w:val="24"/>
        </w:rPr>
      </w:pPr>
      <w:r w:rsidRPr="009D1037">
        <w:rPr>
          <w:rFonts w:ascii="Arial" w:hAnsi="Arial" w:cs="Arial"/>
          <w:i/>
          <w:color w:val="5A5A5A"/>
          <w:sz w:val="24"/>
          <w:szCs w:val="24"/>
        </w:rPr>
        <w:t xml:space="preserve">Table 3. </w:t>
      </w:r>
      <w:proofErr w:type="gramStart"/>
      <w:r w:rsidRPr="009D1037">
        <w:rPr>
          <w:rFonts w:ascii="Arial" w:hAnsi="Arial" w:cs="Arial"/>
          <w:i/>
          <w:color w:val="5A5A5A"/>
          <w:sz w:val="24"/>
          <w:szCs w:val="24"/>
        </w:rPr>
        <w:t>Level-two</w:t>
      </w:r>
      <w:proofErr w:type="gramEnd"/>
      <w:r w:rsidRPr="009D1037">
        <w:rPr>
          <w:rFonts w:ascii="Arial" w:hAnsi="Arial" w:cs="Arial"/>
          <w:i/>
          <w:color w:val="5A5A5A"/>
          <w:sz w:val="24"/>
          <w:szCs w:val="24"/>
        </w:rPr>
        <w:t xml:space="preserve"> Work Breakdown Structure</w:t>
      </w:r>
    </w:p>
    <w:p w14:paraId="51EC356E" w14:textId="77777777" w:rsidR="00176CEB" w:rsidRDefault="00000000" w:rsidP="009D1037">
      <w:pPr>
        <w:rPr>
          <w:rFonts w:ascii="Arial" w:hAnsi="Arial" w:cs="Arial"/>
          <w:sz w:val="24"/>
          <w:szCs w:val="24"/>
        </w:rPr>
      </w:pPr>
      <w:r w:rsidRPr="009D1037">
        <w:rPr>
          <w:rFonts w:ascii="Arial" w:hAnsi="Arial" w:cs="Arial"/>
          <w:sz w:val="24"/>
          <w:szCs w:val="24"/>
        </w:rPr>
        <w:t>Each work-package manager will report progress weekly using completed quantities, milestone status, forecast dates, committed cost and emerging risks. A package will not be reported as complete until its acceptance evidence has been approved. This avoids optimistic progress reporting and creates traceability from the project objective to the delivered asset.</w:t>
      </w:r>
    </w:p>
    <w:p w14:paraId="19A69981" w14:textId="77777777" w:rsidR="00F40639" w:rsidRDefault="00F40639" w:rsidP="009D1037">
      <w:pPr>
        <w:rPr>
          <w:rFonts w:ascii="Arial" w:hAnsi="Arial" w:cs="Arial"/>
          <w:sz w:val="24"/>
          <w:szCs w:val="24"/>
        </w:rPr>
      </w:pPr>
    </w:p>
    <w:p w14:paraId="00E961B2" w14:textId="77777777" w:rsidR="00F40639" w:rsidRDefault="00F40639" w:rsidP="009D1037">
      <w:pPr>
        <w:rPr>
          <w:rFonts w:ascii="Arial" w:hAnsi="Arial" w:cs="Arial"/>
          <w:sz w:val="24"/>
          <w:szCs w:val="24"/>
        </w:rPr>
      </w:pPr>
    </w:p>
    <w:p w14:paraId="59948BA6" w14:textId="77777777" w:rsidR="00F40639" w:rsidRPr="009D1037" w:rsidRDefault="00F40639" w:rsidP="009D1037">
      <w:pPr>
        <w:rPr>
          <w:rFonts w:ascii="Arial" w:hAnsi="Arial" w:cs="Arial"/>
          <w:sz w:val="24"/>
          <w:szCs w:val="24"/>
        </w:rPr>
      </w:pPr>
    </w:p>
    <w:p w14:paraId="6DCAA855" w14:textId="77777777" w:rsidR="00176CEB" w:rsidRPr="009D1037" w:rsidRDefault="00000000" w:rsidP="009D1037">
      <w:pPr>
        <w:pStyle w:val="Heading1"/>
        <w:rPr>
          <w:rFonts w:ascii="Arial" w:hAnsi="Arial" w:cs="Arial"/>
          <w:sz w:val="24"/>
          <w:szCs w:val="24"/>
        </w:rPr>
      </w:pPr>
      <w:bookmarkStart w:id="12" w:name="_Toc236575998"/>
      <w:r w:rsidRPr="009D1037">
        <w:rPr>
          <w:rFonts w:ascii="Arial" w:hAnsi="Arial" w:cs="Arial"/>
          <w:sz w:val="24"/>
          <w:szCs w:val="24"/>
        </w:rPr>
        <w:t>5. Project Quad Chart</w:t>
      </w:r>
      <w:bookmarkEnd w:id="12"/>
    </w:p>
    <w:tbl>
      <w:tblPr>
        <w:tblW w:w="0" w:type="auto"/>
        <w:jc w:val="center"/>
        <w:tblLayout w:type="fixed"/>
        <w:tblLook w:val="04A0" w:firstRow="1" w:lastRow="0" w:firstColumn="1" w:lastColumn="0" w:noHBand="0" w:noVBand="1"/>
      </w:tblPr>
      <w:tblGrid>
        <w:gridCol w:w="1944"/>
        <w:gridCol w:w="7416"/>
      </w:tblGrid>
      <w:tr w:rsidR="00176CEB" w:rsidRPr="009D1037" w14:paraId="2BAAA50E" w14:textId="77777777">
        <w:trPr>
          <w:tblHeader/>
          <w:jc w:val="center"/>
        </w:trPr>
        <w:tc>
          <w:tcPr>
            <w:tcW w:w="1944" w:type="dxa"/>
            <w:shd w:val="clear" w:color="auto" w:fill="1F4E79"/>
            <w:tcMar>
              <w:top w:w="80" w:type="dxa"/>
              <w:left w:w="120" w:type="dxa"/>
              <w:bottom w:w="80" w:type="dxa"/>
              <w:right w:w="120" w:type="dxa"/>
            </w:tcMar>
            <w:vAlign w:val="center"/>
          </w:tcPr>
          <w:p w14:paraId="12A8A9E3"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Quad element</w:t>
            </w:r>
          </w:p>
        </w:tc>
        <w:tc>
          <w:tcPr>
            <w:tcW w:w="7416" w:type="dxa"/>
            <w:shd w:val="clear" w:color="auto" w:fill="1F4E79"/>
            <w:tcMar>
              <w:top w:w="80" w:type="dxa"/>
              <w:left w:w="120" w:type="dxa"/>
              <w:bottom w:w="80" w:type="dxa"/>
              <w:right w:w="120" w:type="dxa"/>
            </w:tcMar>
            <w:vAlign w:val="center"/>
          </w:tcPr>
          <w:p w14:paraId="6B8A173E"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Executive summary</w:t>
            </w:r>
          </w:p>
        </w:tc>
      </w:tr>
      <w:tr w:rsidR="00176CEB" w:rsidRPr="009D1037" w14:paraId="349AF669" w14:textId="77777777">
        <w:trPr>
          <w:jc w:val="center"/>
        </w:trPr>
        <w:tc>
          <w:tcPr>
            <w:tcW w:w="1944" w:type="dxa"/>
            <w:tcMar>
              <w:top w:w="80" w:type="dxa"/>
              <w:left w:w="120" w:type="dxa"/>
              <w:bottom w:w="80" w:type="dxa"/>
              <w:right w:w="120" w:type="dxa"/>
            </w:tcMar>
            <w:vAlign w:val="center"/>
          </w:tcPr>
          <w:p w14:paraId="4C8AC368"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Purpose</w:t>
            </w:r>
          </w:p>
        </w:tc>
        <w:tc>
          <w:tcPr>
            <w:tcW w:w="7416" w:type="dxa"/>
            <w:tcMar>
              <w:top w:w="80" w:type="dxa"/>
              <w:left w:w="120" w:type="dxa"/>
              <w:bottom w:w="80" w:type="dxa"/>
              <w:right w:w="120" w:type="dxa"/>
            </w:tcMar>
            <w:vAlign w:val="center"/>
          </w:tcPr>
          <w:p w14:paraId="027744E7"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Redevelop an ageing hub while maintaining safe, reliable passenger services through a temporary facility.</w:t>
            </w:r>
          </w:p>
        </w:tc>
      </w:tr>
      <w:tr w:rsidR="00176CEB" w:rsidRPr="009D1037" w14:paraId="177E0E52" w14:textId="77777777">
        <w:trPr>
          <w:jc w:val="center"/>
        </w:trPr>
        <w:tc>
          <w:tcPr>
            <w:tcW w:w="1944" w:type="dxa"/>
            <w:shd w:val="clear" w:color="auto" w:fill="F3F6F8"/>
            <w:tcMar>
              <w:top w:w="80" w:type="dxa"/>
              <w:left w:w="120" w:type="dxa"/>
              <w:bottom w:w="80" w:type="dxa"/>
              <w:right w:w="120" w:type="dxa"/>
            </w:tcMar>
            <w:vAlign w:val="center"/>
          </w:tcPr>
          <w:p w14:paraId="37EBDF3B"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Key stakeholders</w:t>
            </w:r>
          </w:p>
        </w:tc>
        <w:tc>
          <w:tcPr>
            <w:tcW w:w="7416" w:type="dxa"/>
            <w:shd w:val="clear" w:color="auto" w:fill="F3F6F8"/>
            <w:tcMar>
              <w:top w:w="80" w:type="dxa"/>
              <w:left w:w="120" w:type="dxa"/>
              <w:bottom w:w="80" w:type="dxa"/>
              <w:right w:w="120" w:type="dxa"/>
            </w:tcMar>
            <w:vAlign w:val="center"/>
          </w:tcPr>
          <w:p w14:paraId="6EDFB70B"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Sponsor, local authority, transport operators, passengers, contractor, emergency services, regulators, nearby businesses and accessibility groups.</w:t>
            </w:r>
          </w:p>
        </w:tc>
      </w:tr>
      <w:tr w:rsidR="00176CEB" w:rsidRPr="009D1037" w14:paraId="45C43064" w14:textId="77777777">
        <w:trPr>
          <w:jc w:val="center"/>
        </w:trPr>
        <w:tc>
          <w:tcPr>
            <w:tcW w:w="1944" w:type="dxa"/>
            <w:tcMar>
              <w:top w:w="80" w:type="dxa"/>
              <w:left w:w="120" w:type="dxa"/>
              <w:bottom w:w="80" w:type="dxa"/>
              <w:right w:w="120" w:type="dxa"/>
            </w:tcMar>
            <w:vAlign w:val="center"/>
          </w:tcPr>
          <w:p w14:paraId="59F813DD"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Desired results</w:t>
            </w:r>
          </w:p>
        </w:tc>
        <w:tc>
          <w:tcPr>
            <w:tcW w:w="7416" w:type="dxa"/>
            <w:tcMar>
              <w:top w:w="80" w:type="dxa"/>
              <w:left w:w="120" w:type="dxa"/>
              <w:bottom w:w="80" w:type="dxa"/>
              <w:right w:w="120" w:type="dxa"/>
            </w:tcMar>
            <w:vAlign w:val="center"/>
          </w:tcPr>
          <w:p w14:paraId="1D1EE858"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Operational temporary hub; modern, safe, accessible permanent hub; controlled transition; complete handover information.</w:t>
            </w:r>
          </w:p>
        </w:tc>
      </w:tr>
      <w:tr w:rsidR="00176CEB" w:rsidRPr="009D1037" w14:paraId="7595D235" w14:textId="77777777">
        <w:trPr>
          <w:jc w:val="center"/>
        </w:trPr>
        <w:tc>
          <w:tcPr>
            <w:tcW w:w="1944" w:type="dxa"/>
            <w:shd w:val="clear" w:color="auto" w:fill="F3F6F8"/>
            <w:tcMar>
              <w:top w:w="80" w:type="dxa"/>
              <w:left w:w="120" w:type="dxa"/>
              <w:bottom w:w="80" w:type="dxa"/>
              <w:right w:w="120" w:type="dxa"/>
            </w:tcMar>
            <w:vAlign w:val="center"/>
          </w:tcPr>
          <w:p w14:paraId="12813D8E"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Measures of success</w:t>
            </w:r>
          </w:p>
        </w:tc>
        <w:tc>
          <w:tcPr>
            <w:tcW w:w="7416" w:type="dxa"/>
            <w:shd w:val="clear" w:color="auto" w:fill="F3F6F8"/>
            <w:tcMar>
              <w:top w:w="80" w:type="dxa"/>
              <w:left w:w="120" w:type="dxa"/>
              <w:bottom w:w="80" w:type="dxa"/>
              <w:right w:w="120" w:type="dxa"/>
            </w:tcMar>
            <w:vAlign w:val="center"/>
          </w:tcPr>
          <w:p w14:paraId="0323202B" w14:textId="77777777" w:rsidR="00176CEB" w:rsidRPr="009D1037" w:rsidRDefault="00000000" w:rsidP="00F40639">
            <w:pPr>
              <w:spacing w:after="40" w:line="240" w:lineRule="auto"/>
              <w:jc w:val="left"/>
              <w:rPr>
                <w:rFonts w:ascii="Arial" w:hAnsi="Arial" w:cs="Arial"/>
                <w:sz w:val="24"/>
                <w:szCs w:val="24"/>
              </w:rPr>
            </w:pPr>
            <w:r w:rsidRPr="009D1037">
              <w:rPr>
                <w:rFonts w:ascii="Arial" w:hAnsi="Arial" w:cs="Arial"/>
                <w:sz w:val="24"/>
                <w:szCs w:val="24"/>
              </w:rPr>
              <w:t>Week 26 completion; ≤£35m; ≥95% services maintained; zero fatal/life-changing injuries; passed accessibility audit; sponsor acceptance.</w:t>
            </w:r>
          </w:p>
        </w:tc>
      </w:tr>
    </w:tbl>
    <w:p w14:paraId="0FAE2B21" w14:textId="77777777" w:rsidR="00176CEB" w:rsidRPr="009D1037" w:rsidRDefault="00176CEB" w:rsidP="009D1037">
      <w:pPr>
        <w:spacing w:after="20"/>
        <w:rPr>
          <w:rFonts w:ascii="Arial" w:hAnsi="Arial" w:cs="Arial"/>
          <w:sz w:val="24"/>
          <w:szCs w:val="24"/>
        </w:rPr>
      </w:pPr>
    </w:p>
    <w:p w14:paraId="27B93C60" w14:textId="77777777" w:rsidR="00176CEB" w:rsidRPr="009D1037" w:rsidRDefault="00000000" w:rsidP="009D1037">
      <w:pPr>
        <w:spacing w:after="100"/>
        <w:rPr>
          <w:rFonts w:ascii="Arial" w:hAnsi="Arial" w:cs="Arial"/>
          <w:sz w:val="24"/>
          <w:szCs w:val="24"/>
        </w:rPr>
      </w:pPr>
      <w:r w:rsidRPr="009D1037">
        <w:rPr>
          <w:rFonts w:ascii="Arial" w:hAnsi="Arial" w:cs="Arial"/>
          <w:i/>
          <w:color w:val="5A5A5A"/>
          <w:sz w:val="24"/>
          <w:szCs w:val="24"/>
        </w:rPr>
        <w:t>Table 4. Project Quad Chart</w:t>
      </w:r>
    </w:p>
    <w:p w14:paraId="084DE8E0" w14:textId="77777777" w:rsidR="00176CEB" w:rsidRPr="009D1037" w:rsidRDefault="00000000" w:rsidP="009D1037">
      <w:pPr>
        <w:rPr>
          <w:rFonts w:ascii="Arial" w:hAnsi="Arial" w:cs="Arial"/>
          <w:sz w:val="24"/>
          <w:szCs w:val="24"/>
        </w:rPr>
      </w:pPr>
      <w:r w:rsidRPr="009D1037">
        <w:rPr>
          <w:rFonts w:ascii="Arial" w:hAnsi="Arial" w:cs="Arial"/>
          <w:sz w:val="24"/>
          <w:szCs w:val="24"/>
        </w:rPr>
        <w:t>The quad chart gives senior decision-makers a stable one-page view of purpose, customers, outcomes and measures. Its value is not visual simplicity alone: it enables proposed changes to be tested against the original business need. A request that does not improve an agreed outcome or success measure should normally be rejected or deferred.</w:t>
      </w:r>
    </w:p>
    <w:p w14:paraId="2FEB7D1E" w14:textId="77777777" w:rsidR="00176CEB" w:rsidRPr="009D1037" w:rsidRDefault="00000000" w:rsidP="009D1037">
      <w:pPr>
        <w:pStyle w:val="Heading1"/>
        <w:rPr>
          <w:rFonts w:ascii="Arial" w:hAnsi="Arial" w:cs="Arial"/>
          <w:sz w:val="24"/>
          <w:szCs w:val="24"/>
        </w:rPr>
      </w:pPr>
      <w:bookmarkStart w:id="13" w:name="_Toc236575999"/>
      <w:r w:rsidRPr="009D1037">
        <w:rPr>
          <w:rFonts w:ascii="Arial" w:hAnsi="Arial" w:cs="Arial"/>
          <w:sz w:val="24"/>
          <w:szCs w:val="24"/>
        </w:rPr>
        <w:t>6. Schedule and Gantt Plan</w:t>
      </w:r>
      <w:bookmarkEnd w:id="13"/>
    </w:p>
    <w:p w14:paraId="782BB406" w14:textId="77777777" w:rsidR="00176CEB" w:rsidRDefault="00000000" w:rsidP="009D1037">
      <w:pPr>
        <w:rPr>
          <w:rFonts w:ascii="Arial" w:hAnsi="Arial" w:cs="Arial"/>
          <w:sz w:val="24"/>
          <w:szCs w:val="24"/>
        </w:rPr>
      </w:pPr>
      <w:r w:rsidRPr="009D1037">
        <w:rPr>
          <w:rFonts w:ascii="Arial" w:hAnsi="Arial" w:cs="Arial"/>
          <w:sz w:val="24"/>
          <w:szCs w:val="24"/>
        </w:rPr>
        <w:t>The schedule is organised around the operational constraint that passenger services must continue. Design confirmation and statutory consultation begin immediately, while early procurement and temporary-site preparation run in parallel. The temporary hub is the first critical milestone because permanent works cannot begin until it is certified and services have transferred successfully. The final critical sequence then runs through permanent construction, systems integration, testing and handover. Any delay to these activities directly threatens the Week 26 completion date.</w:t>
      </w:r>
    </w:p>
    <w:p w14:paraId="43ADF7BD" w14:textId="77777777" w:rsidR="009D1037" w:rsidRDefault="009D1037" w:rsidP="009D1037">
      <w:pPr>
        <w:rPr>
          <w:rFonts w:ascii="Arial" w:hAnsi="Arial" w:cs="Arial"/>
          <w:sz w:val="24"/>
          <w:szCs w:val="24"/>
        </w:rPr>
      </w:pPr>
    </w:p>
    <w:p w14:paraId="6FFF5D25" w14:textId="77777777" w:rsidR="009D1037" w:rsidRDefault="009D1037" w:rsidP="009D1037">
      <w:pPr>
        <w:rPr>
          <w:rFonts w:ascii="Arial" w:hAnsi="Arial" w:cs="Arial"/>
          <w:sz w:val="24"/>
          <w:szCs w:val="24"/>
        </w:rPr>
      </w:pPr>
    </w:p>
    <w:p w14:paraId="0B3734EB" w14:textId="77777777" w:rsidR="009D1037" w:rsidRPr="009D1037" w:rsidRDefault="009D1037" w:rsidP="009D1037">
      <w:pPr>
        <w:rPr>
          <w:rFonts w:ascii="Arial" w:hAnsi="Arial" w:cs="Arial"/>
          <w:sz w:val="24"/>
          <w:szCs w:val="24"/>
        </w:rPr>
      </w:pPr>
    </w:p>
    <w:tbl>
      <w:tblPr>
        <w:tblW w:w="0" w:type="auto"/>
        <w:jc w:val="center"/>
        <w:tblLayout w:type="fixed"/>
        <w:tblLook w:val="04A0" w:firstRow="1" w:lastRow="0" w:firstColumn="1" w:lastColumn="0" w:noHBand="0" w:noVBand="1"/>
      </w:tblPr>
      <w:tblGrid>
        <w:gridCol w:w="3312"/>
        <w:gridCol w:w="1152"/>
        <w:gridCol w:w="2232"/>
        <w:gridCol w:w="2664"/>
      </w:tblGrid>
      <w:tr w:rsidR="00176CEB" w:rsidRPr="009D1037" w14:paraId="2DCD994E" w14:textId="77777777">
        <w:trPr>
          <w:tblHeader/>
          <w:jc w:val="center"/>
        </w:trPr>
        <w:tc>
          <w:tcPr>
            <w:tcW w:w="3312" w:type="dxa"/>
            <w:shd w:val="clear" w:color="auto" w:fill="1F4E79"/>
            <w:tcMar>
              <w:top w:w="80" w:type="dxa"/>
              <w:left w:w="120" w:type="dxa"/>
              <w:bottom w:w="80" w:type="dxa"/>
              <w:right w:w="120" w:type="dxa"/>
            </w:tcMar>
            <w:vAlign w:val="center"/>
          </w:tcPr>
          <w:p w14:paraId="3FA63900"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Activity</w:t>
            </w:r>
          </w:p>
        </w:tc>
        <w:tc>
          <w:tcPr>
            <w:tcW w:w="1152" w:type="dxa"/>
            <w:shd w:val="clear" w:color="auto" w:fill="1F4E79"/>
            <w:tcMar>
              <w:top w:w="80" w:type="dxa"/>
              <w:left w:w="120" w:type="dxa"/>
              <w:bottom w:w="80" w:type="dxa"/>
              <w:right w:w="120" w:type="dxa"/>
            </w:tcMar>
            <w:vAlign w:val="center"/>
          </w:tcPr>
          <w:p w14:paraId="66E5815A"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Weeks</w:t>
            </w:r>
          </w:p>
        </w:tc>
        <w:tc>
          <w:tcPr>
            <w:tcW w:w="2232" w:type="dxa"/>
            <w:shd w:val="clear" w:color="auto" w:fill="1F4E79"/>
            <w:tcMar>
              <w:top w:w="80" w:type="dxa"/>
              <w:left w:w="120" w:type="dxa"/>
              <w:bottom w:w="80" w:type="dxa"/>
              <w:right w:w="120" w:type="dxa"/>
            </w:tcMar>
            <w:vAlign w:val="center"/>
          </w:tcPr>
          <w:p w14:paraId="0DA0370F"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Milestone</w:t>
            </w:r>
          </w:p>
        </w:tc>
        <w:tc>
          <w:tcPr>
            <w:tcW w:w="2664" w:type="dxa"/>
            <w:shd w:val="clear" w:color="auto" w:fill="1F4E79"/>
            <w:tcMar>
              <w:top w:w="80" w:type="dxa"/>
              <w:left w:w="120" w:type="dxa"/>
              <w:bottom w:w="80" w:type="dxa"/>
              <w:right w:w="120" w:type="dxa"/>
            </w:tcMar>
            <w:vAlign w:val="center"/>
          </w:tcPr>
          <w:p w14:paraId="566CFA5D"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Dependency</w:t>
            </w:r>
          </w:p>
        </w:tc>
      </w:tr>
      <w:tr w:rsidR="00176CEB" w:rsidRPr="009D1037" w14:paraId="655F4DE6" w14:textId="77777777">
        <w:trPr>
          <w:jc w:val="center"/>
        </w:trPr>
        <w:tc>
          <w:tcPr>
            <w:tcW w:w="3312" w:type="dxa"/>
            <w:tcMar>
              <w:top w:w="80" w:type="dxa"/>
              <w:left w:w="120" w:type="dxa"/>
              <w:bottom w:w="80" w:type="dxa"/>
              <w:right w:w="120" w:type="dxa"/>
            </w:tcMar>
            <w:vAlign w:val="center"/>
          </w:tcPr>
          <w:p w14:paraId="437EFECE"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Mobilisation, surveys and baseline</w:t>
            </w:r>
          </w:p>
        </w:tc>
        <w:tc>
          <w:tcPr>
            <w:tcW w:w="1152" w:type="dxa"/>
            <w:tcMar>
              <w:top w:w="80" w:type="dxa"/>
              <w:left w:w="120" w:type="dxa"/>
              <w:bottom w:w="80" w:type="dxa"/>
              <w:right w:w="120" w:type="dxa"/>
            </w:tcMar>
            <w:vAlign w:val="center"/>
          </w:tcPr>
          <w:p w14:paraId="7A020AE3"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1–2</w:t>
            </w:r>
          </w:p>
        </w:tc>
        <w:tc>
          <w:tcPr>
            <w:tcW w:w="2232" w:type="dxa"/>
            <w:tcMar>
              <w:top w:w="80" w:type="dxa"/>
              <w:left w:w="120" w:type="dxa"/>
              <w:bottom w:w="80" w:type="dxa"/>
              <w:right w:w="120" w:type="dxa"/>
            </w:tcMar>
            <w:vAlign w:val="center"/>
          </w:tcPr>
          <w:p w14:paraId="3B688F71"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Approved baseline</w:t>
            </w:r>
          </w:p>
        </w:tc>
        <w:tc>
          <w:tcPr>
            <w:tcW w:w="2664" w:type="dxa"/>
            <w:tcMar>
              <w:top w:w="80" w:type="dxa"/>
              <w:left w:w="120" w:type="dxa"/>
              <w:bottom w:w="80" w:type="dxa"/>
              <w:right w:w="120" w:type="dxa"/>
            </w:tcMar>
            <w:vAlign w:val="center"/>
          </w:tcPr>
          <w:p w14:paraId="3553A7F6"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w:t>
            </w:r>
          </w:p>
        </w:tc>
      </w:tr>
      <w:tr w:rsidR="00176CEB" w:rsidRPr="009D1037" w14:paraId="5390D84C" w14:textId="77777777">
        <w:trPr>
          <w:jc w:val="center"/>
        </w:trPr>
        <w:tc>
          <w:tcPr>
            <w:tcW w:w="3312" w:type="dxa"/>
            <w:shd w:val="clear" w:color="auto" w:fill="F3F6F8"/>
            <w:tcMar>
              <w:top w:w="80" w:type="dxa"/>
              <w:left w:w="120" w:type="dxa"/>
              <w:bottom w:w="80" w:type="dxa"/>
              <w:right w:w="120" w:type="dxa"/>
            </w:tcMar>
            <w:vAlign w:val="center"/>
          </w:tcPr>
          <w:p w14:paraId="143C5FFA"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Design confirmation and approvals</w:t>
            </w:r>
          </w:p>
        </w:tc>
        <w:tc>
          <w:tcPr>
            <w:tcW w:w="1152" w:type="dxa"/>
            <w:shd w:val="clear" w:color="auto" w:fill="F3F6F8"/>
            <w:tcMar>
              <w:top w:w="80" w:type="dxa"/>
              <w:left w:w="120" w:type="dxa"/>
              <w:bottom w:w="80" w:type="dxa"/>
              <w:right w:w="120" w:type="dxa"/>
            </w:tcMar>
            <w:vAlign w:val="center"/>
          </w:tcPr>
          <w:p w14:paraId="6B3AB11D"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1–5</w:t>
            </w:r>
          </w:p>
        </w:tc>
        <w:tc>
          <w:tcPr>
            <w:tcW w:w="2232" w:type="dxa"/>
            <w:shd w:val="clear" w:color="auto" w:fill="F3F6F8"/>
            <w:tcMar>
              <w:top w:w="80" w:type="dxa"/>
              <w:left w:w="120" w:type="dxa"/>
              <w:bottom w:w="80" w:type="dxa"/>
              <w:right w:w="120" w:type="dxa"/>
            </w:tcMar>
            <w:vAlign w:val="center"/>
          </w:tcPr>
          <w:p w14:paraId="45A9A7B0"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Design freeze</w:t>
            </w:r>
          </w:p>
        </w:tc>
        <w:tc>
          <w:tcPr>
            <w:tcW w:w="2664" w:type="dxa"/>
            <w:shd w:val="clear" w:color="auto" w:fill="F3F6F8"/>
            <w:tcMar>
              <w:top w:w="80" w:type="dxa"/>
              <w:left w:w="120" w:type="dxa"/>
              <w:bottom w:w="80" w:type="dxa"/>
              <w:right w:w="120" w:type="dxa"/>
            </w:tcMar>
            <w:vAlign w:val="center"/>
          </w:tcPr>
          <w:p w14:paraId="1892D20C"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Mobilisation</w:t>
            </w:r>
          </w:p>
        </w:tc>
      </w:tr>
      <w:tr w:rsidR="00176CEB" w:rsidRPr="009D1037" w14:paraId="292C6911" w14:textId="77777777">
        <w:trPr>
          <w:jc w:val="center"/>
        </w:trPr>
        <w:tc>
          <w:tcPr>
            <w:tcW w:w="3312" w:type="dxa"/>
            <w:tcMar>
              <w:top w:w="80" w:type="dxa"/>
              <w:left w:w="120" w:type="dxa"/>
              <w:bottom w:w="80" w:type="dxa"/>
              <w:right w:w="120" w:type="dxa"/>
            </w:tcMar>
            <w:vAlign w:val="center"/>
          </w:tcPr>
          <w:p w14:paraId="76C6AF73"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Temporary-hub procurement and build</w:t>
            </w:r>
          </w:p>
        </w:tc>
        <w:tc>
          <w:tcPr>
            <w:tcW w:w="1152" w:type="dxa"/>
            <w:tcMar>
              <w:top w:w="80" w:type="dxa"/>
              <w:left w:w="120" w:type="dxa"/>
              <w:bottom w:w="80" w:type="dxa"/>
              <w:right w:w="120" w:type="dxa"/>
            </w:tcMar>
            <w:vAlign w:val="center"/>
          </w:tcPr>
          <w:p w14:paraId="3F45D8CC"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2–7</w:t>
            </w:r>
          </w:p>
        </w:tc>
        <w:tc>
          <w:tcPr>
            <w:tcW w:w="2232" w:type="dxa"/>
            <w:tcMar>
              <w:top w:w="80" w:type="dxa"/>
              <w:left w:w="120" w:type="dxa"/>
              <w:bottom w:w="80" w:type="dxa"/>
              <w:right w:w="120" w:type="dxa"/>
            </w:tcMar>
            <w:vAlign w:val="center"/>
          </w:tcPr>
          <w:p w14:paraId="759AD3E9"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 xml:space="preserve">Construction </w:t>
            </w:r>
            <w:proofErr w:type="gramStart"/>
            <w:r w:rsidRPr="009D1037">
              <w:rPr>
                <w:rFonts w:ascii="Arial" w:hAnsi="Arial" w:cs="Arial"/>
                <w:sz w:val="24"/>
                <w:szCs w:val="24"/>
              </w:rPr>
              <w:t>complete</w:t>
            </w:r>
            <w:proofErr w:type="gramEnd"/>
          </w:p>
        </w:tc>
        <w:tc>
          <w:tcPr>
            <w:tcW w:w="2664" w:type="dxa"/>
            <w:tcMar>
              <w:top w:w="80" w:type="dxa"/>
              <w:left w:w="120" w:type="dxa"/>
              <w:bottom w:w="80" w:type="dxa"/>
              <w:right w:w="120" w:type="dxa"/>
            </w:tcMar>
            <w:vAlign w:val="center"/>
          </w:tcPr>
          <w:p w14:paraId="4FC08EA0"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Initial design</w:t>
            </w:r>
          </w:p>
        </w:tc>
      </w:tr>
      <w:tr w:rsidR="00176CEB" w:rsidRPr="009D1037" w14:paraId="71624FCB" w14:textId="77777777">
        <w:trPr>
          <w:jc w:val="center"/>
        </w:trPr>
        <w:tc>
          <w:tcPr>
            <w:tcW w:w="3312" w:type="dxa"/>
            <w:shd w:val="clear" w:color="auto" w:fill="F3F6F8"/>
            <w:tcMar>
              <w:top w:w="80" w:type="dxa"/>
              <w:left w:w="120" w:type="dxa"/>
              <w:bottom w:w="80" w:type="dxa"/>
              <w:right w:w="120" w:type="dxa"/>
            </w:tcMar>
            <w:vAlign w:val="center"/>
          </w:tcPr>
          <w:p w14:paraId="27C77BF5"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Temporary-hub test and transition</w:t>
            </w:r>
          </w:p>
        </w:tc>
        <w:tc>
          <w:tcPr>
            <w:tcW w:w="1152" w:type="dxa"/>
            <w:shd w:val="clear" w:color="auto" w:fill="F3F6F8"/>
            <w:tcMar>
              <w:top w:w="80" w:type="dxa"/>
              <w:left w:w="120" w:type="dxa"/>
              <w:bottom w:w="80" w:type="dxa"/>
              <w:right w:w="120" w:type="dxa"/>
            </w:tcMar>
            <w:vAlign w:val="center"/>
          </w:tcPr>
          <w:p w14:paraId="2AEB241F"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7–8</w:t>
            </w:r>
          </w:p>
        </w:tc>
        <w:tc>
          <w:tcPr>
            <w:tcW w:w="2232" w:type="dxa"/>
            <w:shd w:val="clear" w:color="auto" w:fill="F3F6F8"/>
            <w:tcMar>
              <w:top w:w="80" w:type="dxa"/>
              <w:left w:w="120" w:type="dxa"/>
              <w:bottom w:w="80" w:type="dxa"/>
              <w:right w:w="120" w:type="dxa"/>
            </w:tcMar>
            <w:vAlign w:val="center"/>
          </w:tcPr>
          <w:p w14:paraId="19D582FE"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Services transferred</w:t>
            </w:r>
          </w:p>
        </w:tc>
        <w:tc>
          <w:tcPr>
            <w:tcW w:w="2664" w:type="dxa"/>
            <w:shd w:val="clear" w:color="auto" w:fill="F3F6F8"/>
            <w:tcMar>
              <w:top w:w="80" w:type="dxa"/>
              <w:left w:w="120" w:type="dxa"/>
              <w:bottom w:w="80" w:type="dxa"/>
              <w:right w:w="120" w:type="dxa"/>
            </w:tcMar>
            <w:vAlign w:val="center"/>
          </w:tcPr>
          <w:p w14:paraId="2F0F19EC"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Temporary build</w:t>
            </w:r>
          </w:p>
        </w:tc>
      </w:tr>
      <w:tr w:rsidR="00176CEB" w:rsidRPr="009D1037" w14:paraId="10FC5A47" w14:textId="77777777">
        <w:trPr>
          <w:jc w:val="center"/>
        </w:trPr>
        <w:tc>
          <w:tcPr>
            <w:tcW w:w="3312" w:type="dxa"/>
            <w:tcMar>
              <w:top w:w="80" w:type="dxa"/>
              <w:left w:w="120" w:type="dxa"/>
              <w:bottom w:w="80" w:type="dxa"/>
              <w:right w:w="120" w:type="dxa"/>
            </w:tcMar>
            <w:vAlign w:val="center"/>
          </w:tcPr>
          <w:p w14:paraId="639C0F83"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Permanent-hub enabling works</w:t>
            </w:r>
          </w:p>
        </w:tc>
        <w:tc>
          <w:tcPr>
            <w:tcW w:w="1152" w:type="dxa"/>
            <w:tcMar>
              <w:top w:w="80" w:type="dxa"/>
              <w:left w:w="120" w:type="dxa"/>
              <w:bottom w:w="80" w:type="dxa"/>
              <w:right w:w="120" w:type="dxa"/>
            </w:tcMar>
            <w:vAlign w:val="center"/>
          </w:tcPr>
          <w:p w14:paraId="750BFCAA"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9–11</w:t>
            </w:r>
          </w:p>
        </w:tc>
        <w:tc>
          <w:tcPr>
            <w:tcW w:w="2232" w:type="dxa"/>
            <w:tcMar>
              <w:top w:w="80" w:type="dxa"/>
              <w:left w:w="120" w:type="dxa"/>
              <w:bottom w:w="80" w:type="dxa"/>
              <w:right w:w="120" w:type="dxa"/>
            </w:tcMar>
            <w:vAlign w:val="center"/>
          </w:tcPr>
          <w:p w14:paraId="67E8EB0F"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Site released</w:t>
            </w:r>
          </w:p>
        </w:tc>
        <w:tc>
          <w:tcPr>
            <w:tcW w:w="2664" w:type="dxa"/>
            <w:tcMar>
              <w:top w:w="80" w:type="dxa"/>
              <w:left w:w="120" w:type="dxa"/>
              <w:bottom w:w="80" w:type="dxa"/>
              <w:right w:w="120" w:type="dxa"/>
            </w:tcMar>
            <w:vAlign w:val="center"/>
          </w:tcPr>
          <w:p w14:paraId="6D8E8E77"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Service transfer</w:t>
            </w:r>
          </w:p>
        </w:tc>
      </w:tr>
      <w:tr w:rsidR="00176CEB" w:rsidRPr="009D1037" w14:paraId="66E91530" w14:textId="77777777">
        <w:trPr>
          <w:jc w:val="center"/>
        </w:trPr>
        <w:tc>
          <w:tcPr>
            <w:tcW w:w="3312" w:type="dxa"/>
            <w:shd w:val="clear" w:color="auto" w:fill="F3F6F8"/>
            <w:tcMar>
              <w:top w:w="80" w:type="dxa"/>
              <w:left w:w="120" w:type="dxa"/>
              <w:bottom w:w="80" w:type="dxa"/>
              <w:right w:w="120" w:type="dxa"/>
            </w:tcMar>
            <w:vAlign w:val="center"/>
          </w:tcPr>
          <w:p w14:paraId="3C20109D"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Main construction and systems</w:t>
            </w:r>
          </w:p>
        </w:tc>
        <w:tc>
          <w:tcPr>
            <w:tcW w:w="1152" w:type="dxa"/>
            <w:shd w:val="clear" w:color="auto" w:fill="F3F6F8"/>
            <w:tcMar>
              <w:top w:w="80" w:type="dxa"/>
              <w:left w:w="120" w:type="dxa"/>
              <w:bottom w:w="80" w:type="dxa"/>
              <w:right w:w="120" w:type="dxa"/>
            </w:tcMar>
            <w:vAlign w:val="center"/>
          </w:tcPr>
          <w:p w14:paraId="352A2111"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10–20</w:t>
            </w:r>
          </w:p>
        </w:tc>
        <w:tc>
          <w:tcPr>
            <w:tcW w:w="2232" w:type="dxa"/>
            <w:shd w:val="clear" w:color="auto" w:fill="F3F6F8"/>
            <w:tcMar>
              <w:top w:w="80" w:type="dxa"/>
              <w:left w:w="120" w:type="dxa"/>
              <w:bottom w:w="80" w:type="dxa"/>
              <w:right w:w="120" w:type="dxa"/>
            </w:tcMar>
            <w:vAlign w:val="center"/>
          </w:tcPr>
          <w:p w14:paraId="2C434E56"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 xml:space="preserve">Construction </w:t>
            </w:r>
            <w:proofErr w:type="gramStart"/>
            <w:r w:rsidRPr="009D1037">
              <w:rPr>
                <w:rFonts w:ascii="Arial" w:hAnsi="Arial" w:cs="Arial"/>
                <w:sz w:val="24"/>
                <w:szCs w:val="24"/>
              </w:rPr>
              <w:t>complete</w:t>
            </w:r>
            <w:proofErr w:type="gramEnd"/>
          </w:p>
        </w:tc>
        <w:tc>
          <w:tcPr>
            <w:tcW w:w="2664" w:type="dxa"/>
            <w:shd w:val="clear" w:color="auto" w:fill="F3F6F8"/>
            <w:tcMar>
              <w:top w:w="80" w:type="dxa"/>
              <w:left w:w="120" w:type="dxa"/>
              <w:bottom w:w="80" w:type="dxa"/>
              <w:right w:w="120" w:type="dxa"/>
            </w:tcMar>
            <w:vAlign w:val="center"/>
          </w:tcPr>
          <w:p w14:paraId="2D2105D2"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Enabling works</w:t>
            </w:r>
          </w:p>
        </w:tc>
      </w:tr>
      <w:tr w:rsidR="00176CEB" w:rsidRPr="009D1037" w14:paraId="001F19F6" w14:textId="77777777">
        <w:trPr>
          <w:jc w:val="center"/>
        </w:trPr>
        <w:tc>
          <w:tcPr>
            <w:tcW w:w="3312" w:type="dxa"/>
            <w:tcMar>
              <w:top w:w="80" w:type="dxa"/>
              <w:left w:w="120" w:type="dxa"/>
              <w:bottom w:w="80" w:type="dxa"/>
              <w:right w:w="120" w:type="dxa"/>
            </w:tcMar>
            <w:vAlign w:val="center"/>
          </w:tcPr>
          <w:p w14:paraId="16DED2B8"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Integration, testing and defects</w:t>
            </w:r>
          </w:p>
        </w:tc>
        <w:tc>
          <w:tcPr>
            <w:tcW w:w="1152" w:type="dxa"/>
            <w:tcMar>
              <w:top w:w="80" w:type="dxa"/>
              <w:left w:w="120" w:type="dxa"/>
              <w:bottom w:w="80" w:type="dxa"/>
              <w:right w:w="120" w:type="dxa"/>
            </w:tcMar>
            <w:vAlign w:val="center"/>
          </w:tcPr>
          <w:p w14:paraId="7D468F1E"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19–23</w:t>
            </w:r>
          </w:p>
        </w:tc>
        <w:tc>
          <w:tcPr>
            <w:tcW w:w="2232" w:type="dxa"/>
            <w:tcMar>
              <w:top w:w="80" w:type="dxa"/>
              <w:left w:w="120" w:type="dxa"/>
              <w:bottom w:w="80" w:type="dxa"/>
              <w:right w:w="120" w:type="dxa"/>
            </w:tcMar>
            <w:vAlign w:val="center"/>
          </w:tcPr>
          <w:p w14:paraId="16ED6D88"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Operational readiness</w:t>
            </w:r>
          </w:p>
        </w:tc>
        <w:tc>
          <w:tcPr>
            <w:tcW w:w="2664" w:type="dxa"/>
            <w:tcMar>
              <w:top w:w="80" w:type="dxa"/>
              <w:left w:w="120" w:type="dxa"/>
              <w:bottom w:w="80" w:type="dxa"/>
              <w:right w:w="120" w:type="dxa"/>
            </w:tcMar>
            <w:vAlign w:val="center"/>
          </w:tcPr>
          <w:p w14:paraId="2D8FC902"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Systems installation</w:t>
            </w:r>
          </w:p>
        </w:tc>
      </w:tr>
      <w:tr w:rsidR="00176CEB" w:rsidRPr="009D1037" w14:paraId="0AB3C63E" w14:textId="77777777">
        <w:trPr>
          <w:jc w:val="center"/>
        </w:trPr>
        <w:tc>
          <w:tcPr>
            <w:tcW w:w="3312" w:type="dxa"/>
            <w:shd w:val="clear" w:color="auto" w:fill="F3F6F8"/>
            <w:tcMar>
              <w:top w:w="80" w:type="dxa"/>
              <w:left w:w="120" w:type="dxa"/>
              <w:bottom w:w="80" w:type="dxa"/>
              <w:right w:w="120" w:type="dxa"/>
            </w:tcMar>
            <w:vAlign w:val="center"/>
          </w:tcPr>
          <w:p w14:paraId="4433A9BD"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Staff training and service return</w:t>
            </w:r>
          </w:p>
        </w:tc>
        <w:tc>
          <w:tcPr>
            <w:tcW w:w="1152" w:type="dxa"/>
            <w:shd w:val="clear" w:color="auto" w:fill="F3F6F8"/>
            <w:tcMar>
              <w:top w:w="80" w:type="dxa"/>
              <w:left w:w="120" w:type="dxa"/>
              <w:bottom w:w="80" w:type="dxa"/>
              <w:right w:w="120" w:type="dxa"/>
            </w:tcMar>
            <w:vAlign w:val="center"/>
          </w:tcPr>
          <w:p w14:paraId="0D039A6C"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22–25</w:t>
            </w:r>
          </w:p>
        </w:tc>
        <w:tc>
          <w:tcPr>
            <w:tcW w:w="2232" w:type="dxa"/>
            <w:shd w:val="clear" w:color="auto" w:fill="F3F6F8"/>
            <w:tcMar>
              <w:top w:w="80" w:type="dxa"/>
              <w:left w:w="120" w:type="dxa"/>
              <w:bottom w:w="80" w:type="dxa"/>
              <w:right w:w="120" w:type="dxa"/>
            </w:tcMar>
            <w:vAlign w:val="center"/>
          </w:tcPr>
          <w:p w14:paraId="5E47CC2B"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Services restored</w:t>
            </w:r>
          </w:p>
        </w:tc>
        <w:tc>
          <w:tcPr>
            <w:tcW w:w="2664" w:type="dxa"/>
            <w:shd w:val="clear" w:color="auto" w:fill="F3F6F8"/>
            <w:tcMar>
              <w:top w:w="80" w:type="dxa"/>
              <w:left w:w="120" w:type="dxa"/>
              <w:bottom w:w="80" w:type="dxa"/>
              <w:right w:w="120" w:type="dxa"/>
            </w:tcMar>
            <w:vAlign w:val="center"/>
          </w:tcPr>
          <w:p w14:paraId="03706A89"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Readiness tests</w:t>
            </w:r>
          </w:p>
        </w:tc>
      </w:tr>
      <w:tr w:rsidR="00176CEB" w:rsidRPr="009D1037" w14:paraId="547DC92D" w14:textId="77777777">
        <w:trPr>
          <w:jc w:val="center"/>
        </w:trPr>
        <w:tc>
          <w:tcPr>
            <w:tcW w:w="3312" w:type="dxa"/>
            <w:tcMar>
              <w:top w:w="80" w:type="dxa"/>
              <w:left w:w="120" w:type="dxa"/>
              <w:bottom w:w="80" w:type="dxa"/>
              <w:right w:w="120" w:type="dxa"/>
            </w:tcMar>
            <w:vAlign w:val="center"/>
          </w:tcPr>
          <w:p w14:paraId="2DC8DC0A"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Handover and project closure</w:t>
            </w:r>
          </w:p>
        </w:tc>
        <w:tc>
          <w:tcPr>
            <w:tcW w:w="1152" w:type="dxa"/>
            <w:tcMar>
              <w:top w:w="80" w:type="dxa"/>
              <w:left w:w="120" w:type="dxa"/>
              <w:bottom w:w="80" w:type="dxa"/>
              <w:right w:w="120" w:type="dxa"/>
            </w:tcMar>
            <w:vAlign w:val="center"/>
          </w:tcPr>
          <w:p w14:paraId="0DAE4939"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25–26</w:t>
            </w:r>
          </w:p>
        </w:tc>
        <w:tc>
          <w:tcPr>
            <w:tcW w:w="2232" w:type="dxa"/>
            <w:tcMar>
              <w:top w:w="80" w:type="dxa"/>
              <w:left w:w="120" w:type="dxa"/>
              <w:bottom w:w="80" w:type="dxa"/>
              <w:right w:w="120" w:type="dxa"/>
            </w:tcMar>
            <w:vAlign w:val="center"/>
          </w:tcPr>
          <w:p w14:paraId="723BBE29"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Sponsor acceptance</w:t>
            </w:r>
          </w:p>
        </w:tc>
        <w:tc>
          <w:tcPr>
            <w:tcW w:w="2664" w:type="dxa"/>
            <w:tcMar>
              <w:top w:w="80" w:type="dxa"/>
              <w:left w:w="120" w:type="dxa"/>
              <w:bottom w:w="80" w:type="dxa"/>
              <w:right w:w="120" w:type="dxa"/>
            </w:tcMar>
            <w:vAlign w:val="center"/>
          </w:tcPr>
          <w:p w14:paraId="78FB1C68"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Service return</w:t>
            </w:r>
          </w:p>
        </w:tc>
      </w:tr>
    </w:tbl>
    <w:p w14:paraId="789BA5E0" w14:textId="77777777" w:rsidR="00176CEB" w:rsidRPr="009D1037" w:rsidRDefault="00176CEB" w:rsidP="009D1037">
      <w:pPr>
        <w:spacing w:after="20"/>
        <w:rPr>
          <w:rFonts w:ascii="Arial" w:hAnsi="Arial" w:cs="Arial"/>
          <w:sz w:val="24"/>
          <w:szCs w:val="24"/>
        </w:rPr>
      </w:pPr>
    </w:p>
    <w:p w14:paraId="06377D1D" w14:textId="77777777" w:rsidR="00176CEB" w:rsidRPr="009D1037" w:rsidRDefault="00000000" w:rsidP="009D1037">
      <w:pPr>
        <w:spacing w:after="100"/>
        <w:rPr>
          <w:rFonts w:ascii="Arial" w:hAnsi="Arial" w:cs="Arial"/>
          <w:sz w:val="24"/>
          <w:szCs w:val="24"/>
        </w:rPr>
      </w:pPr>
      <w:r w:rsidRPr="009D1037">
        <w:rPr>
          <w:rFonts w:ascii="Arial" w:hAnsi="Arial" w:cs="Arial"/>
          <w:i/>
          <w:color w:val="5A5A5A"/>
          <w:sz w:val="24"/>
          <w:szCs w:val="24"/>
        </w:rPr>
        <w:t>Table 5. Six-month summary Gantt schedule</w:t>
      </w:r>
    </w:p>
    <w:p w14:paraId="19C762E2" w14:textId="77777777" w:rsidR="00176CEB" w:rsidRPr="009D1037" w:rsidRDefault="00000000" w:rsidP="009D1037">
      <w:pPr>
        <w:rPr>
          <w:rFonts w:ascii="Arial" w:hAnsi="Arial" w:cs="Arial"/>
          <w:sz w:val="24"/>
          <w:szCs w:val="24"/>
        </w:rPr>
      </w:pPr>
      <w:r w:rsidRPr="009D1037">
        <w:rPr>
          <w:rFonts w:ascii="Arial" w:hAnsi="Arial" w:cs="Arial"/>
          <w:sz w:val="24"/>
          <w:szCs w:val="24"/>
        </w:rPr>
        <w:t xml:space="preserve">A detailed Gantt chart will be maintained in the scheduling system with task owners, durations, dependencies and float. Progress will be updated weekly and reviewed through a two-week look-ahead meeting. Variance beyond five working days on a critical activity will trigger a recovery plan. Recovery options may include resequencing non-safety-critical work, </w:t>
      </w:r>
      <w:proofErr w:type="gramStart"/>
      <w:r w:rsidRPr="009D1037">
        <w:rPr>
          <w:rFonts w:ascii="Arial" w:hAnsi="Arial" w:cs="Arial"/>
          <w:sz w:val="24"/>
          <w:szCs w:val="24"/>
        </w:rPr>
        <w:t>adding</w:t>
      </w:r>
      <w:proofErr w:type="gramEnd"/>
      <w:r w:rsidRPr="009D1037">
        <w:rPr>
          <w:rFonts w:ascii="Arial" w:hAnsi="Arial" w:cs="Arial"/>
          <w:sz w:val="24"/>
          <w:szCs w:val="24"/>
        </w:rPr>
        <w:t xml:space="preserve"> shifts or using alternative suppliers, but no acceleration will be accepted if it weakens safety or quality. Earned-value indicators will support early identification of cost and schedule divergence (Fleming and Koppelman, 2016).</w:t>
      </w:r>
    </w:p>
    <w:p w14:paraId="11292510" w14:textId="77777777" w:rsidR="00176CEB" w:rsidRPr="009D1037" w:rsidRDefault="00000000" w:rsidP="009D1037">
      <w:pPr>
        <w:pStyle w:val="Heading1"/>
        <w:rPr>
          <w:rFonts w:ascii="Arial" w:hAnsi="Arial" w:cs="Arial"/>
          <w:sz w:val="24"/>
          <w:szCs w:val="24"/>
        </w:rPr>
      </w:pPr>
      <w:bookmarkStart w:id="14" w:name="_Toc236576000"/>
      <w:r w:rsidRPr="009D1037">
        <w:rPr>
          <w:rFonts w:ascii="Arial" w:hAnsi="Arial" w:cs="Arial"/>
          <w:sz w:val="24"/>
          <w:szCs w:val="24"/>
        </w:rPr>
        <w:lastRenderedPageBreak/>
        <w:t>7. Stakeholder Involvement and Governance</w:t>
      </w:r>
      <w:bookmarkEnd w:id="14"/>
    </w:p>
    <w:p w14:paraId="727F89B0" w14:textId="77777777" w:rsidR="00176CEB" w:rsidRPr="009D1037" w:rsidRDefault="00000000" w:rsidP="009D1037">
      <w:pPr>
        <w:rPr>
          <w:rFonts w:ascii="Arial" w:hAnsi="Arial" w:cs="Arial"/>
          <w:sz w:val="24"/>
          <w:szCs w:val="24"/>
        </w:rPr>
      </w:pPr>
      <w:r w:rsidRPr="009D1037">
        <w:rPr>
          <w:rFonts w:ascii="Arial" w:hAnsi="Arial" w:cs="Arial"/>
          <w:sz w:val="24"/>
          <w:szCs w:val="24"/>
        </w:rPr>
        <w:t xml:space="preserve">Stakeholder management is central because the project affects people who may have limited formal authority but experience direct disruption. Stakeholders will be assessed by influence, interest and impact, then engaged at a level appropriate to their needs. High-power stakeholders will participate in governance, while high-impact user groups will be involved in design reviews, access trials and communication testing. This approach recognises that stakeholder support can affect both delivery efficiency and the legitimacy of the </w:t>
      </w:r>
      <w:proofErr w:type="gramStart"/>
      <w:r w:rsidRPr="009D1037">
        <w:rPr>
          <w:rFonts w:ascii="Arial" w:hAnsi="Arial" w:cs="Arial"/>
          <w:sz w:val="24"/>
          <w:szCs w:val="24"/>
        </w:rPr>
        <w:t>final outcome</w:t>
      </w:r>
      <w:proofErr w:type="gramEnd"/>
      <w:r w:rsidRPr="009D1037">
        <w:rPr>
          <w:rFonts w:ascii="Arial" w:hAnsi="Arial" w:cs="Arial"/>
          <w:sz w:val="24"/>
          <w:szCs w:val="24"/>
        </w:rPr>
        <w:t xml:space="preserve"> (Bourne, 2016).</w:t>
      </w:r>
    </w:p>
    <w:tbl>
      <w:tblPr>
        <w:tblW w:w="0" w:type="auto"/>
        <w:jc w:val="center"/>
        <w:tblLayout w:type="fixed"/>
        <w:tblLook w:val="04A0" w:firstRow="1" w:lastRow="0" w:firstColumn="1" w:lastColumn="0" w:noHBand="0" w:noVBand="1"/>
      </w:tblPr>
      <w:tblGrid>
        <w:gridCol w:w="1944"/>
        <w:gridCol w:w="1224"/>
        <w:gridCol w:w="3384"/>
        <w:gridCol w:w="2808"/>
      </w:tblGrid>
      <w:tr w:rsidR="00176CEB" w:rsidRPr="009D1037" w14:paraId="0C173C44" w14:textId="77777777">
        <w:trPr>
          <w:tblHeader/>
          <w:jc w:val="center"/>
        </w:trPr>
        <w:tc>
          <w:tcPr>
            <w:tcW w:w="1944" w:type="dxa"/>
            <w:shd w:val="clear" w:color="auto" w:fill="1F4E79"/>
            <w:tcMar>
              <w:top w:w="80" w:type="dxa"/>
              <w:left w:w="120" w:type="dxa"/>
              <w:bottom w:w="80" w:type="dxa"/>
              <w:right w:w="120" w:type="dxa"/>
            </w:tcMar>
            <w:vAlign w:val="center"/>
          </w:tcPr>
          <w:p w14:paraId="21D20B97"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Stakeholder</w:t>
            </w:r>
          </w:p>
        </w:tc>
        <w:tc>
          <w:tcPr>
            <w:tcW w:w="1224" w:type="dxa"/>
            <w:shd w:val="clear" w:color="auto" w:fill="1F4E79"/>
            <w:tcMar>
              <w:top w:w="80" w:type="dxa"/>
              <w:left w:w="120" w:type="dxa"/>
              <w:bottom w:w="80" w:type="dxa"/>
              <w:right w:w="120" w:type="dxa"/>
            </w:tcMar>
            <w:vAlign w:val="center"/>
          </w:tcPr>
          <w:p w14:paraId="121373DA" w14:textId="2A63924D" w:rsidR="00176CEB" w:rsidRPr="009D1037" w:rsidRDefault="00000000" w:rsidP="009D1037">
            <w:pPr>
              <w:rPr>
                <w:rFonts w:ascii="Arial" w:hAnsi="Arial" w:cs="Arial"/>
                <w:sz w:val="24"/>
                <w:szCs w:val="24"/>
              </w:rPr>
            </w:pPr>
            <w:r w:rsidRPr="009D1037">
              <w:rPr>
                <w:rFonts w:ascii="Arial" w:hAnsi="Arial" w:cs="Arial"/>
                <w:b/>
                <w:color w:val="FFFFFF"/>
                <w:sz w:val="24"/>
                <w:szCs w:val="24"/>
              </w:rPr>
              <w:t>Power/ interest</w:t>
            </w:r>
          </w:p>
        </w:tc>
        <w:tc>
          <w:tcPr>
            <w:tcW w:w="3384" w:type="dxa"/>
            <w:shd w:val="clear" w:color="auto" w:fill="1F4E79"/>
            <w:tcMar>
              <w:top w:w="80" w:type="dxa"/>
              <w:left w:w="120" w:type="dxa"/>
              <w:bottom w:w="80" w:type="dxa"/>
              <w:right w:w="120" w:type="dxa"/>
            </w:tcMar>
            <w:vAlign w:val="center"/>
          </w:tcPr>
          <w:p w14:paraId="0F503D6D"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Main concern or role</w:t>
            </w:r>
          </w:p>
        </w:tc>
        <w:tc>
          <w:tcPr>
            <w:tcW w:w="2808" w:type="dxa"/>
            <w:shd w:val="clear" w:color="auto" w:fill="1F4E79"/>
            <w:tcMar>
              <w:top w:w="80" w:type="dxa"/>
              <w:left w:w="120" w:type="dxa"/>
              <w:bottom w:w="80" w:type="dxa"/>
              <w:right w:w="120" w:type="dxa"/>
            </w:tcMar>
            <w:vAlign w:val="center"/>
          </w:tcPr>
          <w:p w14:paraId="1451402A"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Engagement</w:t>
            </w:r>
          </w:p>
        </w:tc>
      </w:tr>
      <w:tr w:rsidR="00176CEB" w:rsidRPr="009D1037" w14:paraId="2B8C7924" w14:textId="77777777">
        <w:trPr>
          <w:jc w:val="center"/>
        </w:trPr>
        <w:tc>
          <w:tcPr>
            <w:tcW w:w="1944" w:type="dxa"/>
            <w:tcMar>
              <w:top w:w="80" w:type="dxa"/>
              <w:left w:w="120" w:type="dxa"/>
              <w:bottom w:w="80" w:type="dxa"/>
              <w:right w:w="120" w:type="dxa"/>
            </w:tcMar>
            <w:vAlign w:val="center"/>
          </w:tcPr>
          <w:p w14:paraId="726FA83C" w14:textId="77777777"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Project sponsor / council</w:t>
            </w:r>
          </w:p>
        </w:tc>
        <w:tc>
          <w:tcPr>
            <w:tcW w:w="1224" w:type="dxa"/>
            <w:tcMar>
              <w:top w:w="80" w:type="dxa"/>
              <w:left w:w="120" w:type="dxa"/>
              <w:bottom w:w="80" w:type="dxa"/>
              <w:right w:w="120" w:type="dxa"/>
            </w:tcMar>
            <w:vAlign w:val="center"/>
          </w:tcPr>
          <w:p w14:paraId="4095F417" w14:textId="12E9B223"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High/ High</w:t>
            </w:r>
          </w:p>
        </w:tc>
        <w:tc>
          <w:tcPr>
            <w:tcW w:w="3384" w:type="dxa"/>
            <w:tcMar>
              <w:top w:w="80" w:type="dxa"/>
              <w:left w:w="120" w:type="dxa"/>
              <w:bottom w:w="80" w:type="dxa"/>
              <w:right w:w="120" w:type="dxa"/>
            </w:tcMar>
            <w:vAlign w:val="center"/>
          </w:tcPr>
          <w:p w14:paraId="53C1FE94" w14:textId="77777777"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Approve baseline, major changes and handover</w:t>
            </w:r>
          </w:p>
        </w:tc>
        <w:tc>
          <w:tcPr>
            <w:tcW w:w="2808" w:type="dxa"/>
            <w:tcMar>
              <w:top w:w="80" w:type="dxa"/>
              <w:left w:w="120" w:type="dxa"/>
              <w:bottom w:w="80" w:type="dxa"/>
              <w:right w:w="120" w:type="dxa"/>
            </w:tcMar>
            <w:vAlign w:val="center"/>
          </w:tcPr>
          <w:p w14:paraId="54506701" w14:textId="512F35CB"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Monthly</w:t>
            </w:r>
            <w:r w:rsidR="009D1037">
              <w:rPr>
                <w:rFonts w:ascii="Arial" w:hAnsi="Arial" w:cs="Arial"/>
                <w:sz w:val="24"/>
                <w:szCs w:val="24"/>
              </w:rPr>
              <w:t xml:space="preserve"> </w:t>
            </w:r>
            <w:r w:rsidRPr="009D1037">
              <w:rPr>
                <w:rFonts w:ascii="Arial" w:hAnsi="Arial" w:cs="Arial"/>
                <w:sz w:val="24"/>
                <w:szCs w:val="24"/>
              </w:rPr>
              <w:t>board; exception reports</w:t>
            </w:r>
          </w:p>
        </w:tc>
      </w:tr>
      <w:tr w:rsidR="00176CEB" w:rsidRPr="009D1037" w14:paraId="78BA00BD" w14:textId="77777777">
        <w:trPr>
          <w:jc w:val="center"/>
        </w:trPr>
        <w:tc>
          <w:tcPr>
            <w:tcW w:w="1944" w:type="dxa"/>
            <w:shd w:val="clear" w:color="auto" w:fill="F3F6F8"/>
            <w:tcMar>
              <w:top w:w="80" w:type="dxa"/>
              <w:left w:w="120" w:type="dxa"/>
              <w:bottom w:w="80" w:type="dxa"/>
              <w:right w:w="120" w:type="dxa"/>
            </w:tcMar>
            <w:vAlign w:val="center"/>
          </w:tcPr>
          <w:p w14:paraId="47102382" w14:textId="77777777"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Transport operators</w:t>
            </w:r>
          </w:p>
        </w:tc>
        <w:tc>
          <w:tcPr>
            <w:tcW w:w="1224" w:type="dxa"/>
            <w:shd w:val="clear" w:color="auto" w:fill="F3F6F8"/>
            <w:tcMar>
              <w:top w:w="80" w:type="dxa"/>
              <w:left w:w="120" w:type="dxa"/>
              <w:bottom w:w="80" w:type="dxa"/>
              <w:right w:w="120" w:type="dxa"/>
            </w:tcMar>
            <w:vAlign w:val="center"/>
          </w:tcPr>
          <w:p w14:paraId="512F0C5D" w14:textId="1F3A194F"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High/ High</w:t>
            </w:r>
          </w:p>
        </w:tc>
        <w:tc>
          <w:tcPr>
            <w:tcW w:w="3384" w:type="dxa"/>
            <w:shd w:val="clear" w:color="auto" w:fill="F3F6F8"/>
            <w:tcMar>
              <w:top w:w="80" w:type="dxa"/>
              <w:left w:w="120" w:type="dxa"/>
              <w:bottom w:w="80" w:type="dxa"/>
              <w:right w:w="120" w:type="dxa"/>
            </w:tcMar>
            <w:vAlign w:val="center"/>
          </w:tcPr>
          <w:p w14:paraId="14FA3955" w14:textId="77777777"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Operational requirements and transition</w:t>
            </w:r>
          </w:p>
        </w:tc>
        <w:tc>
          <w:tcPr>
            <w:tcW w:w="2808" w:type="dxa"/>
            <w:shd w:val="clear" w:color="auto" w:fill="F3F6F8"/>
            <w:tcMar>
              <w:top w:w="80" w:type="dxa"/>
              <w:left w:w="120" w:type="dxa"/>
              <w:bottom w:w="80" w:type="dxa"/>
              <w:right w:w="120" w:type="dxa"/>
            </w:tcMar>
            <w:vAlign w:val="center"/>
          </w:tcPr>
          <w:p w14:paraId="5E763AC8" w14:textId="77777777"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Weekly coordination; readiness reviews</w:t>
            </w:r>
          </w:p>
        </w:tc>
      </w:tr>
      <w:tr w:rsidR="00176CEB" w:rsidRPr="009D1037" w14:paraId="54789A82" w14:textId="77777777">
        <w:trPr>
          <w:jc w:val="center"/>
        </w:trPr>
        <w:tc>
          <w:tcPr>
            <w:tcW w:w="1944" w:type="dxa"/>
            <w:tcMar>
              <w:top w:w="80" w:type="dxa"/>
              <w:left w:w="120" w:type="dxa"/>
              <w:bottom w:w="80" w:type="dxa"/>
              <w:right w:w="120" w:type="dxa"/>
            </w:tcMar>
            <w:vAlign w:val="center"/>
          </w:tcPr>
          <w:p w14:paraId="12BB5D0E" w14:textId="77777777"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Principal contractor</w:t>
            </w:r>
          </w:p>
        </w:tc>
        <w:tc>
          <w:tcPr>
            <w:tcW w:w="1224" w:type="dxa"/>
            <w:tcMar>
              <w:top w:w="80" w:type="dxa"/>
              <w:left w:w="120" w:type="dxa"/>
              <w:bottom w:w="80" w:type="dxa"/>
              <w:right w:w="120" w:type="dxa"/>
            </w:tcMar>
            <w:vAlign w:val="center"/>
          </w:tcPr>
          <w:p w14:paraId="38EDA872" w14:textId="24FD29D2"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High/ High</w:t>
            </w:r>
          </w:p>
        </w:tc>
        <w:tc>
          <w:tcPr>
            <w:tcW w:w="3384" w:type="dxa"/>
            <w:tcMar>
              <w:top w:w="80" w:type="dxa"/>
              <w:left w:w="120" w:type="dxa"/>
              <w:bottom w:w="80" w:type="dxa"/>
              <w:right w:w="120" w:type="dxa"/>
            </w:tcMar>
            <w:vAlign w:val="center"/>
          </w:tcPr>
          <w:p w14:paraId="1063E666" w14:textId="77777777"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Plan and deliver construction safely</w:t>
            </w:r>
          </w:p>
        </w:tc>
        <w:tc>
          <w:tcPr>
            <w:tcW w:w="2808" w:type="dxa"/>
            <w:tcMar>
              <w:top w:w="80" w:type="dxa"/>
              <w:left w:w="120" w:type="dxa"/>
              <w:bottom w:w="80" w:type="dxa"/>
              <w:right w:w="120" w:type="dxa"/>
            </w:tcMar>
            <w:vAlign w:val="center"/>
          </w:tcPr>
          <w:p w14:paraId="638A8762" w14:textId="77777777"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Daily coordination; weekly performance review</w:t>
            </w:r>
          </w:p>
        </w:tc>
      </w:tr>
      <w:tr w:rsidR="00176CEB" w:rsidRPr="009D1037" w14:paraId="1C29890B" w14:textId="77777777">
        <w:trPr>
          <w:jc w:val="center"/>
        </w:trPr>
        <w:tc>
          <w:tcPr>
            <w:tcW w:w="1944" w:type="dxa"/>
            <w:shd w:val="clear" w:color="auto" w:fill="F3F6F8"/>
            <w:tcMar>
              <w:top w:w="80" w:type="dxa"/>
              <w:left w:w="120" w:type="dxa"/>
              <w:bottom w:w="80" w:type="dxa"/>
              <w:right w:w="120" w:type="dxa"/>
            </w:tcMar>
            <w:vAlign w:val="center"/>
          </w:tcPr>
          <w:p w14:paraId="31CC5A40" w14:textId="5FF5DDE8"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Passengers/ accessibility groups</w:t>
            </w:r>
          </w:p>
        </w:tc>
        <w:tc>
          <w:tcPr>
            <w:tcW w:w="1224" w:type="dxa"/>
            <w:shd w:val="clear" w:color="auto" w:fill="F3F6F8"/>
            <w:tcMar>
              <w:top w:w="80" w:type="dxa"/>
              <w:left w:w="120" w:type="dxa"/>
              <w:bottom w:w="80" w:type="dxa"/>
              <w:right w:w="120" w:type="dxa"/>
            </w:tcMar>
            <w:vAlign w:val="center"/>
          </w:tcPr>
          <w:p w14:paraId="07AF07BE" w14:textId="0255B490"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Medium /High</w:t>
            </w:r>
          </w:p>
        </w:tc>
        <w:tc>
          <w:tcPr>
            <w:tcW w:w="3384" w:type="dxa"/>
            <w:shd w:val="clear" w:color="auto" w:fill="F3F6F8"/>
            <w:tcMar>
              <w:top w:w="80" w:type="dxa"/>
              <w:left w:w="120" w:type="dxa"/>
              <w:bottom w:w="80" w:type="dxa"/>
              <w:right w:w="120" w:type="dxa"/>
            </w:tcMar>
            <w:vAlign w:val="center"/>
          </w:tcPr>
          <w:p w14:paraId="60C8CA3B" w14:textId="77777777"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User needs, disruption and inclusive access</w:t>
            </w:r>
          </w:p>
        </w:tc>
        <w:tc>
          <w:tcPr>
            <w:tcW w:w="2808" w:type="dxa"/>
            <w:shd w:val="clear" w:color="auto" w:fill="F3F6F8"/>
            <w:tcMar>
              <w:top w:w="80" w:type="dxa"/>
              <w:left w:w="120" w:type="dxa"/>
              <w:bottom w:w="80" w:type="dxa"/>
              <w:right w:w="120" w:type="dxa"/>
            </w:tcMar>
            <w:vAlign w:val="center"/>
          </w:tcPr>
          <w:p w14:paraId="12031AD8" w14:textId="77777777"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Workshops, notices, surveys, access trials</w:t>
            </w:r>
          </w:p>
        </w:tc>
      </w:tr>
      <w:tr w:rsidR="00176CEB" w:rsidRPr="009D1037" w14:paraId="4A0FD5DE" w14:textId="77777777">
        <w:trPr>
          <w:jc w:val="center"/>
        </w:trPr>
        <w:tc>
          <w:tcPr>
            <w:tcW w:w="1944" w:type="dxa"/>
            <w:tcMar>
              <w:top w:w="80" w:type="dxa"/>
              <w:left w:w="120" w:type="dxa"/>
              <w:bottom w:w="80" w:type="dxa"/>
              <w:right w:w="120" w:type="dxa"/>
            </w:tcMar>
            <w:vAlign w:val="center"/>
          </w:tcPr>
          <w:p w14:paraId="007B23CC" w14:textId="42F5FF26"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Regulators/ emergency services</w:t>
            </w:r>
          </w:p>
        </w:tc>
        <w:tc>
          <w:tcPr>
            <w:tcW w:w="1224" w:type="dxa"/>
            <w:tcMar>
              <w:top w:w="80" w:type="dxa"/>
              <w:left w:w="120" w:type="dxa"/>
              <w:bottom w:w="80" w:type="dxa"/>
              <w:right w:w="120" w:type="dxa"/>
            </w:tcMar>
            <w:vAlign w:val="center"/>
          </w:tcPr>
          <w:p w14:paraId="0F18F073" w14:textId="724A3C6E"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High/ Medium</w:t>
            </w:r>
          </w:p>
        </w:tc>
        <w:tc>
          <w:tcPr>
            <w:tcW w:w="3384" w:type="dxa"/>
            <w:tcMar>
              <w:top w:w="80" w:type="dxa"/>
              <w:left w:w="120" w:type="dxa"/>
              <w:bottom w:w="80" w:type="dxa"/>
              <w:right w:w="120" w:type="dxa"/>
            </w:tcMar>
            <w:vAlign w:val="center"/>
          </w:tcPr>
          <w:p w14:paraId="4ACD2D1E" w14:textId="77777777"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Compliance and emergency readiness</w:t>
            </w:r>
          </w:p>
        </w:tc>
        <w:tc>
          <w:tcPr>
            <w:tcW w:w="2808" w:type="dxa"/>
            <w:tcMar>
              <w:top w:w="80" w:type="dxa"/>
              <w:left w:w="120" w:type="dxa"/>
              <w:bottom w:w="80" w:type="dxa"/>
              <w:right w:w="120" w:type="dxa"/>
            </w:tcMar>
            <w:vAlign w:val="center"/>
          </w:tcPr>
          <w:p w14:paraId="3C48A5DD" w14:textId="77777777"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Formal submissions and milestone inspections</w:t>
            </w:r>
          </w:p>
        </w:tc>
      </w:tr>
      <w:tr w:rsidR="00176CEB" w:rsidRPr="009D1037" w14:paraId="02611CAE" w14:textId="77777777">
        <w:trPr>
          <w:jc w:val="center"/>
        </w:trPr>
        <w:tc>
          <w:tcPr>
            <w:tcW w:w="1944" w:type="dxa"/>
            <w:shd w:val="clear" w:color="auto" w:fill="F3F6F8"/>
            <w:tcMar>
              <w:top w:w="80" w:type="dxa"/>
              <w:left w:w="120" w:type="dxa"/>
              <w:bottom w:w="80" w:type="dxa"/>
              <w:right w:w="120" w:type="dxa"/>
            </w:tcMar>
            <w:vAlign w:val="center"/>
          </w:tcPr>
          <w:p w14:paraId="5C8C8388" w14:textId="77777777"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Residents and local businesses</w:t>
            </w:r>
          </w:p>
        </w:tc>
        <w:tc>
          <w:tcPr>
            <w:tcW w:w="1224" w:type="dxa"/>
            <w:shd w:val="clear" w:color="auto" w:fill="F3F6F8"/>
            <w:tcMar>
              <w:top w:w="80" w:type="dxa"/>
              <w:left w:w="120" w:type="dxa"/>
              <w:bottom w:w="80" w:type="dxa"/>
              <w:right w:w="120" w:type="dxa"/>
            </w:tcMar>
            <w:vAlign w:val="center"/>
          </w:tcPr>
          <w:p w14:paraId="159EE91A" w14:textId="48F0668B"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Medium/ High</w:t>
            </w:r>
          </w:p>
        </w:tc>
        <w:tc>
          <w:tcPr>
            <w:tcW w:w="3384" w:type="dxa"/>
            <w:shd w:val="clear" w:color="auto" w:fill="F3F6F8"/>
            <w:tcMar>
              <w:top w:w="80" w:type="dxa"/>
              <w:left w:w="120" w:type="dxa"/>
              <w:bottom w:w="80" w:type="dxa"/>
              <w:right w:w="120" w:type="dxa"/>
            </w:tcMar>
            <w:vAlign w:val="center"/>
          </w:tcPr>
          <w:p w14:paraId="0C61451E" w14:textId="77777777"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Noise, access, deliveries and local impact</w:t>
            </w:r>
          </w:p>
        </w:tc>
        <w:tc>
          <w:tcPr>
            <w:tcW w:w="2808" w:type="dxa"/>
            <w:shd w:val="clear" w:color="auto" w:fill="F3F6F8"/>
            <w:tcMar>
              <w:top w:w="80" w:type="dxa"/>
              <w:left w:w="120" w:type="dxa"/>
              <w:bottom w:w="80" w:type="dxa"/>
              <w:right w:w="120" w:type="dxa"/>
            </w:tcMar>
            <w:vAlign w:val="center"/>
          </w:tcPr>
          <w:p w14:paraId="0AA54BFF" w14:textId="77777777" w:rsidR="00176CEB" w:rsidRPr="009D1037" w:rsidRDefault="00000000" w:rsidP="009D1037">
            <w:pPr>
              <w:spacing w:after="40" w:line="240" w:lineRule="auto"/>
              <w:jc w:val="left"/>
              <w:rPr>
                <w:rFonts w:ascii="Arial" w:hAnsi="Arial" w:cs="Arial"/>
                <w:sz w:val="24"/>
                <w:szCs w:val="24"/>
              </w:rPr>
            </w:pPr>
            <w:r w:rsidRPr="009D1037">
              <w:rPr>
                <w:rFonts w:ascii="Arial" w:hAnsi="Arial" w:cs="Arial"/>
                <w:sz w:val="24"/>
                <w:szCs w:val="24"/>
              </w:rPr>
              <w:t>Fortnightly bulletin; liaison contact</w:t>
            </w:r>
          </w:p>
        </w:tc>
      </w:tr>
    </w:tbl>
    <w:p w14:paraId="6295E4AC" w14:textId="77777777" w:rsidR="00176CEB" w:rsidRPr="009D1037" w:rsidRDefault="00176CEB" w:rsidP="009D1037">
      <w:pPr>
        <w:spacing w:after="20"/>
        <w:rPr>
          <w:rFonts w:ascii="Arial" w:hAnsi="Arial" w:cs="Arial"/>
          <w:sz w:val="24"/>
          <w:szCs w:val="24"/>
        </w:rPr>
      </w:pPr>
    </w:p>
    <w:p w14:paraId="2B7293CC" w14:textId="77777777" w:rsidR="00176CEB" w:rsidRPr="009D1037" w:rsidRDefault="00000000" w:rsidP="009D1037">
      <w:pPr>
        <w:spacing w:after="100"/>
        <w:rPr>
          <w:rFonts w:ascii="Arial" w:hAnsi="Arial" w:cs="Arial"/>
          <w:sz w:val="24"/>
          <w:szCs w:val="24"/>
        </w:rPr>
      </w:pPr>
      <w:r w:rsidRPr="009D1037">
        <w:rPr>
          <w:rFonts w:ascii="Arial" w:hAnsi="Arial" w:cs="Arial"/>
          <w:i/>
          <w:color w:val="5A5A5A"/>
          <w:sz w:val="24"/>
          <w:szCs w:val="24"/>
        </w:rPr>
        <w:t xml:space="preserve">Table 6. </w:t>
      </w:r>
      <w:proofErr w:type="gramStart"/>
      <w:r w:rsidRPr="009D1037">
        <w:rPr>
          <w:rFonts w:ascii="Arial" w:hAnsi="Arial" w:cs="Arial"/>
          <w:i/>
          <w:color w:val="5A5A5A"/>
          <w:sz w:val="24"/>
          <w:szCs w:val="24"/>
        </w:rPr>
        <w:t>Stakeholder</w:t>
      </w:r>
      <w:proofErr w:type="gramEnd"/>
      <w:r w:rsidRPr="009D1037">
        <w:rPr>
          <w:rFonts w:ascii="Arial" w:hAnsi="Arial" w:cs="Arial"/>
          <w:i/>
          <w:color w:val="5A5A5A"/>
          <w:sz w:val="24"/>
          <w:szCs w:val="24"/>
        </w:rPr>
        <w:t xml:space="preserve"> register and communication approach</w:t>
      </w:r>
    </w:p>
    <w:p w14:paraId="659CC682" w14:textId="77777777" w:rsidR="00176CEB" w:rsidRPr="009D1037" w:rsidRDefault="00000000" w:rsidP="009D1037">
      <w:pPr>
        <w:rPr>
          <w:rFonts w:ascii="Arial" w:hAnsi="Arial" w:cs="Arial"/>
          <w:sz w:val="24"/>
          <w:szCs w:val="24"/>
        </w:rPr>
      </w:pPr>
      <w:r w:rsidRPr="009D1037">
        <w:rPr>
          <w:rFonts w:ascii="Arial" w:hAnsi="Arial" w:cs="Arial"/>
          <w:sz w:val="24"/>
          <w:szCs w:val="24"/>
        </w:rPr>
        <w:t xml:space="preserve">Governance will operate at three levels. The sponsor and steering committee will own strategic decisions and tolerances. The project manager will integrate scope, programme, cost, quality and risk, chair the weekly control meeting and escalate forecast breaches. Work-package managers will control daily delivery. Under the RACI model, the project manager is accountable for the integrated plan; discipline leads are responsible for their packages; operators, safety advisers and accessibility </w:t>
      </w:r>
      <w:r w:rsidRPr="009D1037">
        <w:rPr>
          <w:rFonts w:ascii="Arial" w:hAnsi="Arial" w:cs="Arial"/>
          <w:sz w:val="24"/>
          <w:szCs w:val="24"/>
        </w:rPr>
        <w:lastRenderedPageBreak/>
        <w:t>representatives are consulted; and passengers, businesses and elected representatives are informed. Decisions, actions and changes will be recorded to maintain accountability.</w:t>
      </w:r>
    </w:p>
    <w:p w14:paraId="4A785B6B" w14:textId="77777777" w:rsidR="00176CEB" w:rsidRPr="009D1037" w:rsidRDefault="00000000" w:rsidP="009D1037">
      <w:pPr>
        <w:pStyle w:val="Heading1"/>
        <w:rPr>
          <w:rFonts w:ascii="Arial" w:hAnsi="Arial" w:cs="Arial"/>
          <w:sz w:val="24"/>
          <w:szCs w:val="24"/>
        </w:rPr>
      </w:pPr>
      <w:bookmarkStart w:id="15" w:name="_Toc236576001"/>
      <w:r w:rsidRPr="009D1037">
        <w:rPr>
          <w:rFonts w:ascii="Arial" w:hAnsi="Arial" w:cs="Arial"/>
          <w:sz w:val="24"/>
          <w:szCs w:val="24"/>
        </w:rPr>
        <w:t>8. Resource Allocation and Cost Control</w:t>
      </w:r>
      <w:bookmarkEnd w:id="15"/>
    </w:p>
    <w:p w14:paraId="0657EAD2" w14:textId="77777777" w:rsidR="00176CEB" w:rsidRPr="009D1037" w:rsidRDefault="00000000" w:rsidP="009D1037">
      <w:pPr>
        <w:rPr>
          <w:rFonts w:ascii="Arial" w:hAnsi="Arial" w:cs="Arial"/>
          <w:sz w:val="24"/>
          <w:szCs w:val="24"/>
        </w:rPr>
      </w:pPr>
      <w:r w:rsidRPr="009D1037">
        <w:rPr>
          <w:rFonts w:ascii="Arial" w:hAnsi="Arial" w:cs="Arial"/>
          <w:sz w:val="24"/>
          <w:szCs w:val="24"/>
        </w:rPr>
        <w:t>The £35 million budget is allocated according to the delivery sequence and risk profile. The largest share is reserved for permanent construction, while explicit allowances are retained for systems, temporary operations and contingency. Cost control will compare the approved baseline with commitments, actual expenditure and estimate at completion. Monthly forecasts will explain variance and identify corrective action. Contingency is not a general spending allowance; release requires an identified risk or approved change and sponsor authorisation.</w:t>
      </w:r>
    </w:p>
    <w:tbl>
      <w:tblPr>
        <w:tblW w:w="0" w:type="auto"/>
        <w:jc w:val="center"/>
        <w:tblLayout w:type="fixed"/>
        <w:tblLook w:val="04A0" w:firstRow="1" w:lastRow="0" w:firstColumn="1" w:lastColumn="0" w:noHBand="0" w:noVBand="1"/>
      </w:tblPr>
      <w:tblGrid>
        <w:gridCol w:w="5328"/>
        <w:gridCol w:w="1944"/>
        <w:gridCol w:w="2088"/>
      </w:tblGrid>
      <w:tr w:rsidR="00176CEB" w:rsidRPr="009D1037" w14:paraId="70565835" w14:textId="77777777">
        <w:trPr>
          <w:tblHeader/>
          <w:jc w:val="center"/>
        </w:trPr>
        <w:tc>
          <w:tcPr>
            <w:tcW w:w="5328" w:type="dxa"/>
            <w:shd w:val="clear" w:color="auto" w:fill="1F4E79"/>
            <w:tcMar>
              <w:top w:w="80" w:type="dxa"/>
              <w:left w:w="120" w:type="dxa"/>
              <w:bottom w:w="80" w:type="dxa"/>
              <w:right w:w="120" w:type="dxa"/>
            </w:tcMar>
            <w:vAlign w:val="center"/>
          </w:tcPr>
          <w:p w14:paraId="75D830AF"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Budget category</w:t>
            </w:r>
          </w:p>
        </w:tc>
        <w:tc>
          <w:tcPr>
            <w:tcW w:w="1944" w:type="dxa"/>
            <w:shd w:val="clear" w:color="auto" w:fill="1F4E79"/>
            <w:tcMar>
              <w:top w:w="80" w:type="dxa"/>
              <w:left w:w="120" w:type="dxa"/>
              <w:bottom w:w="80" w:type="dxa"/>
              <w:right w:w="120" w:type="dxa"/>
            </w:tcMar>
            <w:vAlign w:val="center"/>
          </w:tcPr>
          <w:p w14:paraId="01D0A4D6"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£m</w:t>
            </w:r>
          </w:p>
        </w:tc>
        <w:tc>
          <w:tcPr>
            <w:tcW w:w="2088" w:type="dxa"/>
            <w:shd w:val="clear" w:color="auto" w:fill="1F4E79"/>
            <w:tcMar>
              <w:top w:w="80" w:type="dxa"/>
              <w:left w:w="120" w:type="dxa"/>
              <w:bottom w:w="80" w:type="dxa"/>
              <w:right w:w="120" w:type="dxa"/>
            </w:tcMar>
            <w:vAlign w:val="center"/>
          </w:tcPr>
          <w:p w14:paraId="3C505193"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Share</w:t>
            </w:r>
          </w:p>
        </w:tc>
      </w:tr>
      <w:tr w:rsidR="00176CEB" w:rsidRPr="009D1037" w14:paraId="2D1933A4" w14:textId="77777777">
        <w:trPr>
          <w:jc w:val="center"/>
        </w:trPr>
        <w:tc>
          <w:tcPr>
            <w:tcW w:w="5328" w:type="dxa"/>
            <w:tcMar>
              <w:top w:w="80" w:type="dxa"/>
              <w:left w:w="120" w:type="dxa"/>
              <w:bottom w:w="80" w:type="dxa"/>
              <w:right w:w="120" w:type="dxa"/>
            </w:tcMar>
            <w:vAlign w:val="center"/>
          </w:tcPr>
          <w:p w14:paraId="3B82D800"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Design, surveys and approvals</w:t>
            </w:r>
          </w:p>
        </w:tc>
        <w:tc>
          <w:tcPr>
            <w:tcW w:w="1944" w:type="dxa"/>
            <w:tcMar>
              <w:top w:w="80" w:type="dxa"/>
              <w:left w:w="120" w:type="dxa"/>
              <w:bottom w:w="80" w:type="dxa"/>
              <w:right w:w="120" w:type="dxa"/>
            </w:tcMar>
            <w:vAlign w:val="center"/>
          </w:tcPr>
          <w:p w14:paraId="25A53D50"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2.8</w:t>
            </w:r>
          </w:p>
        </w:tc>
        <w:tc>
          <w:tcPr>
            <w:tcW w:w="2088" w:type="dxa"/>
            <w:tcMar>
              <w:top w:w="80" w:type="dxa"/>
              <w:left w:w="120" w:type="dxa"/>
              <w:bottom w:w="80" w:type="dxa"/>
              <w:right w:w="120" w:type="dxa"/>
            </w:tcMar>
            <w:vAlign w:val="center"/>
          </w:tcPr>
          <w:p w14:paraId="4F2DDA36"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8%</w:t>
            </w:r>
          </w:p>
        </w:tc>
      </w:tr>
      <w:tr w:rsidR="00176CEB" w:rsidRPr="009D1037" w14:paraId="47F40BEC" w14:textId="77777777">
        <w:trPr>
          <w:jc w:val="center"/>
        </w:trPr>
        <w:tc>
          <w:tcPr>
            <w:tcW w:w="5328" w:type="dxa"/>
            <w:shd w:val="clear" w:color="auto" w:fill="F3F6F8"/>
            <w:tcMar>
              <w:top w:w="80" w:type="dxa"/>
              <w:left w:w="120" w:type="dxa"/>
              <w:bottom w:w="80" w:type="dxa"/>
              <w:right w:w="120" w:type="dxa"/>
            </w:tcMar>
            <w:vAlign w:val="center"/>
          </w:tcPr>
          <w:p w14:paraId="3ADEF53E"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Temporary hub and service transition</w:t>
            </w:r>
          </w:p>
        </w:tc>
        <w:tc>
          <w:tcPr>
            <w:tcW w:w="1944" w:type="dxa"/>
            <w:shd w:val="clear" w:color="auto" w:fill="F3F6F8"/>
            <w:tcMar>
              <w:top w:w="80" w:type="dxa"/>
              <w:left w:w="120" w:type="dxa"/>
              <w:bottom w:w="80" w:type="dxa"/>
              <w:right w:w="120" w:type="dxa"/>
            </w:tcMar>
            <w:vAlign w:val="center"/>
          </w:tcPr>
          <w:p w14:paraId="16731D20"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5.6</w:t>
            </w:r>
          </w:p>
        </w:tc>
        <w:tc>
          <w:tcPr>
            <w:tcW w:w="2088" w:type="dxa"/>
            <w:shd w:val="clear" w:color="auto" w:fill="F3F6F8"/>
            <w:tcMar>
              <w:top w:w="80" w:type="dxa"/>
              <w:left w:w="120" w:type="dxa"/>
              <w:bottom w:w="80" w:type="dxa"/>
              <w:right w:w="120" w:type="dxa"/>
            </w:tcMar>
            <w:vAlign w:val="center"/>
          </w:tcPr>
          <w:p w14:paraId="593100AE"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16%</w:t>
            </w:r>
          </w:p>
        </w:tc>
      </w:tr>
      <w:tr w:rsidR="00176CEB" w:rsidRPr="009D1037" w14:paraId="0DD68D36" w14:textId="77777777">
        <w:trPr>
          <w:jc w:val="center"/>
        </w:trPr>
        <w:tc>
          <w:tcPr>
            <w:tcW w:w="5328" w:type="dxa"/>
            <w:tcMar>
              <w:top w:w="80" w:type="dxa"/>
              <w:left w:w="120" w:type="dxa"/>
              <w:bottom w:w="80" w:type="dxa"/>
              <w:right w:w="120" w:type="dxa"/>
            </w:tcMar>
            <w:vAlign w:val="center"/>
          </w:tcPr>
          <w:p w14:paraId="787A281C"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Permanent civil and structural works</w:t>
            </w:r>
          </w:p>
        </w:tc>
        <w:tc>
          <w:tcPr>
            <w:tcW w:w="1944" w:type="dxa"/>
            <w:tcMar>
              <w:top w:w="80" w:type="dxa"/>
              <w:left w:w="120" w:type="dxa"/>
              <w:bottom w:w="80" w:type="dxa"/>
              <w:right w:w="120" w:type="dxa"/>
            </w:tcMar>
            <w:vAlign w:val="center"/>
          </w:tcPr>
          <w:p w14:paraId="0161B00A"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12.6</w:t>
            </w:r>
          </w:p>
        </w:tc>
        <w:tc>
          <w:tcPr>
            <w:tcW w:w="2088" w:type="dxa"/>
            <w:tcMar>
              <w:top w:w="80" w:type="dxa"/>
              <w:left w:w="120" w:type="dxa"/>
              <w:bottom w:w="80" w:type="dxa"/>
              <w:right w:w="120" w:type="dxa"/>
            </w:tcMar>
            <w:vAlign w:val="center"/>
          </w:tcPr>
          <w:p w14:paraId="1BAB1879"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36%</w:t>
            </w:r>
          </w:p>
        </w:tc>
      </w:tr>
      <w:tr w:rsidR="00176CEB" w:rsidRPr="009D1037" w14:paraId="33267046" w14:textId="77777777">
        <w:trPr>
          <w:jc w:val="center"/>
        </w:trPr>
        <w:tc>
          <w:tcPr>
            <w:tcW w:w="5328" w:type="dxa"/>
            <w:shd w:val="clear" w:color="auto" w:fill="F3F6F8"/>
            <w:tcMar>
              <w:top w:w="80" w:type="dxa"/>
              <w:left w:w="120" w:type="dxa"/>
              <w:bottom w:w="80" w:type="dxa"/>
              <w:right w:w="120" w:type="dxa"/>
            </w:tcMar>
            <w:vAlign w:val="center"/>
          </w:tcPr>
          <w:p w14:paraId="7AF418E2"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Building services, systems and accessibility</w:t>
            </w:r>
          </w:p>
        </w:tc>
        <w:tc>
          <w:tcPr>
            <w:tcW w:w="1944" w:type="dxa"/>
            <w:shd w:val="clear" w:color="auto" w:fill="F3F6F8"/>
            <w:tcMar>
              <w:top w:w="80" w:type="dxa"/>
              <w:left w:w="120" w:type="dxa"/>
              <w:bottom w:w="80" w:type="dxa"/>
              <w:right w:w="120" w:type="dxa"/>
            </w:tcMar>
            <w:vAlign w:val="center"/>
          </w:tcPr>
          <w:p w14:paraId="016B8A82"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6.3</w:t>
            </w:r>
          </w:p>
        </w:tc>
        <w:tc>
          <w:tcPr>
            <w:tcW w:w="2088" w:type="dxa"/>
            <w:shd w:val="clear" w:color="auto" w:fill="F3F6F8"/>
            <w:tcMar>
              <w:top w:w="80" w:type="dxa"/>
              <w:left w:w="120" w:type="dxa"/>
              <w:bottom w:w="80" w:type="dxa"/>
              <w:right w:w="120" w:type="dxa"/>
            </w:tcMar>
            <w:vAlign w:val="center"/>
          </w:tcPr>
          <w:p w14:paraId="15AD446B"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18%</w:t>
            </w:r>
          </w:p>
        </w:tc>
      </w:tr>
      <w:tr w:rsidR="00176CEB" w:rsidRPr="009D1037" w14:paraId="1D2C860E" w14:textId="77777777">
        <w:trPr>
          <w:jc w:val="center"/>
        </w:trPr>
        <w:tc>
          <w:tcPr>
            <w:tcW w:w="5328" w:type="dxa"/>
            <w:tcMar>
              <w:top w:w="80" w:type="dxa"/>
              <w:left w:w="120" w:type="dxa"/>
              <w:bottom w:w="80" w:type="dxa"/>
              <w:right w:w="120" w:type="dxa"/>
            </w:tcMar>
            <w:vAlign w:val="center"/>
          </w:tcPr>
          <w:p w14:paraId="64AE03A2"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Testing, training and handover</w:t>
            </w:r>
          </w:p>
        </w:tc>
        <w:tc>
          <w:tcPr>
            <w:tcW w:w="1944" w:type="dxa"/>
            <w:tcMar>
              <w:top w:w="80" w:type="dxa"/>
              <w:left w:w="120" w:type="dxa"/>
              <w:bottom w:w="80" w:type="dxa"/>
              <w:right w:w="120" w:type="dxa"/>
            </w:tcMar>
            <w:vAlign w:val="center"/>
          </w:tcPr>
          <w:p w14:paraId="02CE4A04"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1.75</w:t>
            </w:r>
          </w:p>
        </w:tc>
        <w:tc>
          <w:tcPr>
            <w:tcW w:w="2088" w:type="dxa"/>
            <w:tcMar>
              <w:top w:w="80" w:type="dxa"/>
              <w:left w:w="120" w:type="dxa"/>
              <w:bottom w:w="80" w:type="dxa"/>
              <w:right w:w="120" w:type="dxa"/>
            </w:tcMar>
            <w:vAlign w:val="center"/>
          </w:tcPr>
          <w:p w14:paraId="3EFA2364"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5%</w:t>
            </w:r>
          </w:p>
        </w:tc>
      </w:tr>
      <w:tr w:rsidR="00176CEB" w:rsidRPr="009D1037" w14:paraId="20341E00" w14:textId="77777777">
        <w:trPr>
          <w:jc w:val="center"/>
        </w:trPr>
        <w:tc>
          <w:tcPr>
            <w:tcW w:w="5328" w:type="dxa"/>
            <w:shd w:val="clear" w:color="auto" w:fill="F3F6F8"/>
            <w:tcMar>
              <w:top w:w="80" w:type="dxa"/>
              <w:left w:w="120" w:type="dxa"/>
              <w:bottom w:w="80" w:type="dxa"/>
              <w:right w:w="120" w:type="dxa"/>
            </w:tcMar>
            <w:vAlign w:val="center"/>
          </w:tcPr>
          <w:p w14:paraId="501F7F95"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Project management, assurance and communications</w:t>
            </w:r>
          </w:p>
        </w:tc>
        <w:tc>
          <w:tcPr>
            <w:tcW w:w="1944" w:type="dxa"/>
            <w:shd w:val="clear" w:color="auto" w:fill="F3F6F8"/>
            <w:tcMar>
              <w:top w:w="80" w:type="dxa"/>
              <w:left w:w="120" w:type="dxa"/>
              <w:bottom w:w="80" w:type="dxa"/>
              <w:right w:w="120" w:type="dxa"/>
            </w:tcMar>
            <w:vAlign w:val="center"/>
          </w:tcPr>
          <w:p w14:paraId="636E4F51"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2.45</w:t>
            </w:r>
          </w:p>
        </w:tc>
        <w:tc>
          <w:tcPr>
            <w:tcW w:w="2088" w:type="dxa"/>
            <w:shd w:val="clear" w:color="auto" w:fill="F3F6F8"/>
            <w:tcMar>
              <w:top w:w="80" w:type="dxa"/>
              <w:left w:w="120" w:type="dxa"/>
              <w:bottom w:w="80" w:type="dxa"/>
              <w:right w:w="120" w:type="dxa"/>
            </w:tcMar>
            <w:vAlign w:val="center"/>
          </w:tcPr>
          <w:p w14:paraId="19E5CE9D"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7%</w:t>
            </w:r>
          </w:p>
        </w:tc>
      </w:tr>
      <w:tr w:rsidR="00176CEB" w:rsidRPr="009D1037" w14:paraId="2071ED12" w14:textId="77777777">
        <w:trPr>
          <w:jc w:val="center"/>
        </w:trPr>
        <w:tc>
          <w:tcPr>
            <w:tcW w:w="5328" w:type="dxa"/>
            <w:tcMar>
              <w:top w:w="80" w:type="dxa"/>
              <w:left w:w="120" w:type="dxa"/>
              <w:bottom w:w="80" w:type="dxa"/>
              <w:right w:w="120" w:type="dxa"/>
            </w:tcMar>
            <w:vAlign w:val="center"/>
          </w:tcPr>
          <w:p w14:paraId="0A6FABFD"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Risk contingency</w:t>
            </w:r>
          </w:p>
        </w:tc>
        <w:tc>
          <w:tcPr>
            <w:tcW w:w="1944" w:type="dxa"/>
            <w:tcMar>
              <w:top w:w="80" w:type="dxa"/>
              <w:left w:w="120" w:type="dxa"/>
              <w:bottom w:w="80" w:type="dxa"/>
              <w:right w:w="120" w:type="dxa"/>
            </w:tcMar>
            <w:vAlign w:val="center"/>
          </w:tcPr>
          <w:p w14:paraId="7925AF0C"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3.5</w:t>
            </w:r>
          </w:p>
        </w:tc>
        <w:tc>
          <w:tcPr>
            <w:tcW w:w="2088" w:type="dxa"/>
            <w:tcMar>
              <w:top w:w="80" w:type="dxa"/>
              <w:left w:w="120" w:type="dxa"/>
              <w:bottom w:w="80" w:type="dxa"/>
              <w:right w:w="120" w:type="dxa"/>
            </w:tcMar>
            <w:vAlign w:val="center"/>
          </w:tcPr>
          <w:p w14:paraId="35B94AA8" w14:textId="77777777" w:rsidR="00176CEB" w:rsidRPr="009D1037" w:rsidRDefault="00000000" w:rsidP="009D1037">
            <w:pPr>
              <w:spacing w:after="40" w:line="240" w:lineRule="auto"/>
              <w:rPr>
                <w:rFonts w:ascii="Arial" w:hAnsi="Arial" w:cs="Arial"/>
                <w:sz w:val="24"/>
                <w:szCs w:val="24"/>
              </w:rPr>
            </w:pPr>
            <w:r w:rsidRPr="009D1037">
              <w:rPr>
                <w:rFonts w:ascii="Arial" w:hAnsi="Arial" w:cs="Arial"/>
                <w:sz w:val="24"/>
                <w:szCs w:val="24"/>
              </w:rPr>
              <w:t>10%</w:t>
            </w:r>
          </w:p>
        </w:tc>
      </w:tr>
    </w:tbl>
    <w:p w14:paraId="4DA07D71" w14:textId="77777777" w:rsidR="00176CEB" w:rsidRPr="009D1037" w:rsidRDefault="00176CEB" w:rsidP="009D1037">
      <w:pPr>
        <w:spacing w:after="20"/>
        <w:rPr>
          <w:rFonts w:ascii="Arial" w:hAnsi="Arial" w:cs="Arial"/>
          <w:sz w:val="24"/>
          <w:szCs w:val="24"/>
        </w:rPr>
      </w:pPr>
    </w:p>
    <w:p w14:paraId="20F930D8" w14:textId="77777777" w:rsidR="00176CEB" w:rsidRPr="009D1037" w:rsidRDefault="00000000" w:rsidP="009D1037">
      <w:pPr>
        <w:spacing w:after="100"/>
        <w:rPr>
          <w:rFonts w:ascii="Arial" w:hAnsi="Arial" w:cs="Arial"/>
          <w:sz w:val="24"/>
          <w:szCs w:val="24"/>
        </w:rPr>
      </w:pPr>
      <w:r w:rsidRPr="009D1037">
        <w:rPr>
          <w:rFonts w:ascii="Arial" w:hAnsi="Arial" w:cs="Arial"/>
          <w:i/>
          <w:color w:val="5A5A5A"/>
          <w:sz w:val="24"/>
          <w:szCs w:val="24"/>
        </w:rPr>
        <w:t>Table 7. Baseline budget allocation (£35 million)</w:t>
      </w:r>
    </w:p>
    <w:p w14:paraId="12D38B50" w14:textId="77777777" w:rsidR="00176CEB" w:rsidRPr="009D1037" w:rsidRDefault="00000000" w:rsidP="009D1037">
      <w:pPr>
        <w:rPr>
          <w:rFonts w:ascii="Arial" w:hAnsi="Arial" w:cs="Arial"/>
          <w:sz w:val="24"/>
          <w:szCs w:val="24"/>
        </w:rPr>
      </w:pPr>
      <w:r w:rsidRPr="009D1037">
        <w:rPr>
          <w:rFonts w:ascii="Arial" w:hAnsi="Arial" w:cs="Arial"/>
          <w:sz w:val="24"/>
          <w:szCs w:val="24"/>
        </w:rPr>
        <w:t xml:space="preserve">Human resources will include the project manager, planner, cost manager, design manager, construction manager, safety adviser, quality lead, stakeholder manager, commissioning manager and operator representatives. Specialist resources include temporary structures, lifting equipment, traffic-management systems, testing instruments, passenger-information technology and accessible wayfinding. Resource loading will be checked against the schedule before each phase. Long-lead items will be identified at design freeze and tracked weekly, while alternative suppliers will be pre-assessed for critical components. This supports balanced resource use and reduces the </w:t>
      </w:r>
      <w:r w:rsidRPr="009D1037">
        <w:rPr>
          <w:rFonts w:ascii="Arial" w:hAnsi="Arial" w:cs="Arial"/>
          <w:sz w:val="24"/>
          <w:szCs w:val="24"/>
        </w:rPr>
        <w:lastRenderedPageBreak/>
        <w:t>likelihood that one delayed item disrupts the entire programme (Association for Project Management, 2025).</w:t>
      </w:r>
    </w:p>
    <w:p w14:paraId="5894426B" w14:textId="77777777" w:rsidR="00176CEB" w:rsidRPr="009D1037" w:rsidRDefault="00000000" w:rsidP="009D1037">
      <w:pPr>
        <w:pStyle w:val="Heading1"/>
        <w:rPr>
          <w:rFonts w:ascii="Arial" w:hAnsi="Arial" w:cs="Arial"/>
          <w:sz w:val="24"/>
          <w:szCs w:val="24"/>
        </w:rPr>
      </w:pPr>
      <w:bookmarkStart w:id="16" w:name="_Toc236576002"/>
      <w:r w:rsidRPr="009D1037">
        <w:rPr>
          <w:rFonts w:ascii="Arial" w:hAnsi="Arial" w:cs="Arial"/>
          <w:sz w:val="24"/>
          <w:szCs w:val="24"/>
        </w:rPr>
        <w:t>9. Risk Analysis and Control</w:t>
      </w:r>
      <w:bookmarkEnd w:id="16"/>
    </w:p>
    <w:p w14:paraId="4AC4F237" w14:textId="77777777" w:rsidR="00176CEB" w:rsidRPr="009D1037" w:rsidRDefault="00000000" w:rsidP="009D1037">
      <w:pPr>
        <w:rPr>
          <w:rFonts w:ascii="Arial" w:hAnsi="Arial" w:cs="Arial"/>
          <w:sz w:val="24"/>
          <w:szCs w:val="24"/>
        </w:rPr>
      </w:pPr>
      <w:r w:rsidRPr="009D1037">
        <w:rPr>
          <w:rFonts w:ascii="Arial" w:hAnsi="Arial" w:cs="Arial"/>
          <w:sz w:val="24"/>
          <w:szCs w:val="24"/>
        </w:rPr>
        <w:t>Risk management will follow a continuous cycle of identification, analysis, response, ownership and review, consistent with ISO 31000 principles (International Organization for Standardization, 2018). Risks will be scored on a five-point likelihood and impact scale. Scores of 15–25 are high, 8–14 medium and 1–7 low. The register will be reviewed weekly; high risks and changes in exposure will be reported to the steering committee. Safety risks will also be managed through construction-phase planning and competent supervision in line with HSE guidance (Health and Safety Executive, 2023).</w:t>
      </w:r>
    </w:p>
    <w:tbl>
      <w:tblPr>
        <w:tblW w:w="0" w:type="auto"/>
        <w:jc w:val="center"/>
        <w:tblLayout w:type="fixed"/>
        <w:tblLook w:val="04A0" w:firstRow="1" w:lastRow="0" w:firstColumn="1" w:lastColumn="0" w:noHBand="0" w:noVBand="1"/>
      </w:tblPr>
      <w:tblGrid>
        <w:gridCol w:w="2016"/>
        <w:gridCol w:w="504"/>
        <w:gridCol w:w="504"/>
        <w:gridCol w:w="2520"/>
        <w:gridCol w:w="1656"/>
        <w:gridCol w:w="2160"/>
      </w:tblGrid>
      <w:tr w:rsidR="00176CEB" w:rsidRPr="009D1037" w14:paraId="5C613E4A" w14:textId="77777777">
        <w:trPr>
          <w:tblHeader/>
          <w:jc w:val="center"/>
        </w:trPr>
        <w:tc>
          <w:tcPr>
            <w:tcW w:w="2016" w:type="dxa"/>
            <w:shd w:val="clear" w:color="auto" w:fill="1F4E79"/>
            <w:tcMar>
              <w:top w:w="80" w:type="dxa"/>
              <w:left w:w="120" w:type="dxa"/>
              <w:bottom w:w="80" w:type="dxa"/>
              <w:right w:w="120" w:type="dxa"/>
            </w:tcMar>
            <w:vAlign w:val="center"/>
          </w:tcPr>
          <w:p w14:paraId="008CFEAD"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Risk</w:t>
            </w:r>
          </w:p>
        </w:tc>
        <w:tc>
          <w:tcPr>
            <w:tcW w:w="504" w:type="dxa"/>
            <w:shd w:val="clear" w:color="auto" w:fill="1F4E79"/>
            <w:tcMar>
              <w:top w:w="80" w:type="dxa"/>
              <w:left w:w="120" w:type="dxa"/>
              <w:bottom w:w="80" w:type="dxa"/>
              <w:right w:w="120" w:type="dxa"/>
            </w:tcMar>
            <w:vAlign w:val="center"/>
          </w:tcPr>
          <w:p w14:paraId="3C12EC65"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L</w:t>
            </w:r>
          </w:p>
        </w:tc>
        <w:tc>
          <w:tcPr>
            <w:tcW w:w="504" w:type="dxa"/>
            <w:shd w:val="clear" w:color="auto" w:fill="1F4E79"/>
            <w:tcMar>
              <w:top w:w="80" w:type="dxa"/>
              <w:left w:w="120" w:type="dxa"/>
              <w:bottom w:w="80" w:type="dxa"/>
              <w:right w:w="120" w:type="dxa"/>
            </w:tcMar>
            <w:vAlign w:val="center"/>
          </w:tcPr>
          <w:p w14:paraId="3D03A55A"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I</w:t>
            </w:r>
          </w:p>
        </w:tc>
        <w:tc>
          <w:tcPr>
            <w:tcW w:w="2520" w:type="dxa"/>
            <w:shd w:val="clear" w:color="auto" w:fill="1F4E79"/>
            <w:tcMar>
              <w:top w:w="80" w:type="dxa"/>
              <w:left w:w="120" w:type="dxa"/>
              <w:bottom w:w="80" w:type="dxa"/>
              <w:right w:w="120" w:type="dxa"/>
            </w:tcMar>
            <w:vAlign w:val="center"/>
          </w:tcPr>
          <w:p w14:paraId="4FEB37A6"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Mitigation</w:t>
            </w:r>
          </w:p>
        </w:tc>
        <w:tc>
          <w:tcPr>
            <w:tcW w:w="1656" w:type="dxa"/>
            <w:shd w:val="clear" w:color="auto" w:fill="1F4E79"/>
            <w:tcMar>
              <w:top w:w="80" w:type="dxa"/>
              <w:left w:w="120" w:type="dxa"/>
              <w:bottom w:w="80" w:type="dxa"/>
              <w:right w:w="120" w:type="dxa"/>
            </w:tcMar>
            <w:vAlign w:val="center"/>
          </w:tcPr>
          <w:p w14:paraId="0DC2BFDD"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Owner</w:t>
            </w:r>
          </w:p>
        </w:tc>
        <w:tc>
          <w:tcPr>
            <w:tcW w:w="2160" w:type="dxa"/>
            <w:shd w:val="clear" w:color="auto" w:fill="1F4E79"/>
            <w:tcMar>
              <w:top w:w="80" w:type="dxa"/>
              <w:left w:w="120" w:type="dxa"/>
              <w:bottom w:w="80" w:type="dxa"/>
              <w:right w:w="120" w:type="dxa"/>
            </w:tcMar>
            <w:vAlign w:val="center"/>
          </w:tcPr>
          <w:p w14:paraId="03472BA0" w14:textId="77777777" w:rsidR="00176CEB" w:rsidRPr="009D1037" w:rsidRDefault="00000000" w:rsidP="009D1037">
            <w:pPr>
              <w:rPr>
                <w:rFonts w:ascii="Arial" w:hAnsi="Arial" w:cs="Arial"/>
                <w:sz w:val="24"/>
                <w:szCs w:val="24"/>
              </w:rPr>
            </w:pPr>
            <w:r w:rsidRPr="009D1037">
              <w:rPr>
                <w:rFonts w:ascii="Arial" w:hAnsi="Arial" w:cs="Arial"/>
                <w:b/>
                <w:color w:val="FFFFFF"/>
                <w:sz w:val="24"/>
                <w:szCs w:val="24"/>
              </w:rPr>
              <w:t>Contingency</w:t>
            </w:r>
          </w:p>
        </w:tc>
      </w:tr>
      <w:tr w:rsidR="00176CEB" w:rsidRPr="009D1037" w14:paraId="3D7F3414" w14:textId="77777777">
        <w:trPr>
          <w:jc w:val="center"/>
        </w:trPr>
        <w:tc>
          <w:tcPr>
            <w:tcW w:w="2016" w:type="dxa"/>
            <w:tcMar>
              <w:top w:w="80" w:type="dxa"/>
              <w:left w:w="120" w:type="dxa"/>
              <w:bottom w:w="80" w:type="dxa"/>
              <w:right w:w="120" w:type="dxa"/>
            </w:tcMar>
            <w:vAlign w:val="center"/>
          </w:tcPr>
          <w:p w14:paraId="199F7A53" w14:textId="77777777" w:rsidR="00176CEB" w:rsidRPr="005E0B54" w:rsidRDefault="00000000" w:rsidP="009D1037">
            <w:pPr>
              <w:spacing w:after="40" w:line="240" w:lineRule="auto"/>
              <w:jc w:val="left"/>
              <w:rPr>
                <w:rFonts w:ascii="Arial" w:hAnsi="Arial" w:cs="Arial"/>
              </w:rPr>
            </w:pPr>
            <w:r w:rsidRPr="005E0B54">
              <w:rPr>
                <w:rFonts w:ascii="Arial" w:hAnsi="Arial" w:cs="Arial"/>
              </w:rPr>
              <w:t>Temporary hub not ready for transfer</w:t>
            </w:r>
          </w:p>
        </w:tc>
        <w:tc>
          <w:tcPr>
            <w:tcW w:w="504" w:type="dxa"/>
            <w:tcMar>
              <w:top w:w="80" w:type="dxa"/>
              <w:left w:w="120" w:type="dxa"/>
              <w:bottom w:w="80" w:type="dxa"/>
              <w:right w:w="120" w:type="dxa"/>
            </w:tcMar>
            <w:vAlign w:val="center"/>
          </w:tcPr>
          <w:p w14:paraId="162479AD" w14:textId="77777777" w:rsidR="00176CEB" w:rsidRPr="005E0B54" w:rsidRDefault="00000000" w:rsidP="009D1037">
            <w:pPr>
              <w:spacing w:after="40" w:line="240" w:lineRule="auto"/>
              <w:jc w:val="left"/>
              <w:rPr>
                <w:rFonts w:ascii="Arial" w:hAnsi="Arial" w:cs="Arial"/>
              </w:rPr>
            </w:pPr>
            <w:r w:rsidRPr="005E0B54">
              <w:rPr>
                <w:rFonts w:ascii="Arial" w:hAnsi="Arial" w:cs="Arial"/>
              </w:rPr>
              <w:t>3</w:t>
            </w:r>
          </w:p>
        </w:tc>
        <w:tc>
          <w:tcPr>
            <w:tcW w:w="504" w:type="dxa"/>
            <w:tcMar>
              <w:top w:w="80" w:type="dxa"/>
              <w:left w:w="120" w:type="dxa"/>
              <w:bottom w:w="80" w:type="dxa"/>
              <w:right w:w="120" w:type="dxa"/>
            </w:tcMar>
            <w:vAlign w:val="center"/>
          </w:tcPr>
          <w:p w14:paraId="105CAC2E" w14:textId="77777777" w:rsidR="00176CEB" w:rsidRPr="005E0B54" w:rsidRDefault="00000000" w:rsidP="009D1037">
            <w:pPr>
              <w:spacing w:after="40" w:line="240" w:lineRule="auto"/>
              <w:jc w:val="left"/>
              <w:rPr>
                <w:rFonts w:ascii="Arial" w:hAnsi="Arial" w:cs="Arial"/>
              </w:rPr>
            </w:pPr>
            <w:r w:rsidRPr="005E0B54">
              <w:rPr>
                <w:rFonts w:ascii="Arial" w:hAnsi="Arial" w:cs="Arial"/>
              </w:rPr>
              <w:t>5</w:t>
            </w:r>
          </w:p>
        </w:tc>
        <w:tc>
          <w:tcPr>
            <w:tcW w:w="2520" w:type="dxa"/>
            <w:tcMar>
              <w:top w:w="80" w:type="dxa"/>
              <w:left w:w="120" w:type="dxa"/>
              <w:bottom w:w="80" w:type="dxa"/>
              <w:right w:w="120" w:type="dxa"/>
            </w:tcMar>
            <w:vAlign w:val="center"/>
          </w:tcPr>
          <w:p w14:paraId="4E461B61" w14:textId="77777777" w:rsidR="00176CEB" w:rsidRPr="005E0B54" w:rsidRDefault="00000000" w:rsidP="009D1037">
            <w:pPr>
              <w:spacing w:after="40" w:line="240" w:lineRule="auto"/>
              <w:jc w:val="left"/>
              <w:rPr>
                <w:rFonts w:ascii="Arial" w:hAnsi="Arial" w:cs="Arial"/>
              </w:rPr>
            </w:pPr>
            <w:r w:rsidRPr="005E0B54">
              <w:rPr>
                <w:rFonts w:ascii="Arial" w:hAnsi="Arial" w:cs="Arial"/>
              </w:rPr>
              <w:t>Early design freeze; staged inspections; operator trials</w:t>
            </w:r>
          </w:p>
        </w:tc>
        <w:tc>
          <w:tcPr>
            <w:tcW w:w="1656" w:type="dxa"/>
            <w:tcMar>
              <w:top w:w="80" w:type="dxa"/>
              <w:left w:w="120" w:type="dxa"/>
              <w:bottom w:w="80" w:type="dxa"/>
              <w:right w:w="120" w:type="dxa"/>
            </w:tcMar>
            <w:vAlign w:val="center"/>
          </w:tcPr>
          <w:p w14:paraId="72953AB1" w14:textId="77777777" w:rsidR="00176CEB" w:rsidRPr="005E0B54" w:rsidRDefault="00000000" w:rsidP="009D1037">
            <w:pPr>
              <w:spacing w:after="40" w:line="240" w:lineRule="auto"/>
              <w:jc w:val="left"/>
              <w:rPr>
                <w:rFonts w:ascii="Arial" w:hAnsi="Arial" w:cs="Arial"/>
              </w:rPr>
            </w:pPr>
            <w:r w:rsidRPr="005E0B54">
              <w:rPr>
                <w:rFonts w:ascii="Arial" w:hAnsi="Arial" w:cs="Arial"/>
              </w:rPr>
              <w:t>Commissioning Manager</w:t>
            </w:r>
          </w:p>
        </w:tc>
        <w:tc>
          <w:tcPr>
            <w:tcW w:w="2160" w:type="dxa"/>
            <w:tcMar>
              <w:top w:w="80" w:type="dxa"/>
              <w:left w:w="120" w:type="dxa"/>
              <w:bottom w:w="80" w:type="dxa"/>
              <w:right w:w="120" w:type="dxa"/>
            </w:tcMar>
            <w:vAlign w:val="center"/>
          </w:tcPr>
          <w:p w14:paraId="61F98C10" w14:textId="77777777" w:rsidR="00176CEB" w:rsidRPr="005E0B54" w:rsidRDefault="00000000" w:rsidP="009D1037">
            <w:pPr>
              <w:spacing w:after="40" w:line="240" w:lineRule="auto"/>
              <w:jc w:val="left"/>
              <w:rPr>
                <w:rFonts w:ascii="Arial" w:hAnsi="Arial" w:cs="Arial"/>
              </w:rPr>
            </w:pPr>
            <w:r w:rsidRPr="005E0B54">
              <w:rPr>
                <w:rFonts w:ascii="Arial" w:hAnsi="Arial" w:cs="Arial"/>
              </w:rPr>
              <w:t>Extend dual-running period</w:t>
            </w:r>
          </w:p>
        </w:tc>
      </w:tr>
      <w:tr w:rsidR="00176CEB" w:rsidRPr="009D1037" w14:paraId="475C3009" w14:textId="77777777">
        <w:trPr>
          <w:jc w:val="center"/>
        </w:trPr>
        <w:tc>
          <w:tcPr>
            <w:tcW w:w="2016" w:type="dxa"/>
            <w:shd w:val="clear" w:color="auto" w:fill="F3F6F8"/>
            <w:tcMar>
              <w:top w:w="80" w:type="dxa"/>
              <w:left w:w="120" w:type="dxa"/>
              <w:bottom w:w="80" w:type="dxa"/>
              <w:right w:w="120" w:type="dxa"/>
            </w:tcMar>
            <w:vAlign w:val="center"/>
          </w:tcPr>
          <w:p w14:paraId="53FDBD2E" w14:textId="77777777" w:rsidR="00176CEB" w:rsidRPr="005E0B54" w:rsidRDefault="00000000" w:rsidP="009D1037">
            <w:pPr>
              <w:spacing w:after="40" w:line="240" w:lineRule="auto"/>
              <w:jc w:val="left"/>
              <w:rPr>
                <w:rFonts w:ascii="Arial" w:hAnsi="Arial" w:cs="Arial"/>
              </w:rPr>
            </w:pPr>
            <w:r w:rsidRPr="005E0B54">
              <w:rPr>
                <w:rFonts w:ascii="Arial" w:hAnsi="Arial" w:cs="Arial"/>
              </w:rPr>
              <w:t>Passenger injury during diversions</w:t>
            </w:r>
          </w:p>
        </w:tc>
        <w:tc>
          <w:tcPr>
            <w:tcW w:w="504" w:type="dxa"/>
            <w:shd w:val="clear" w:color="auto" w:fill="F3F6F8"/>
            <w:tcMar>
              <w:top w:w="80" w:type="dxa"/>
              <w:left w:w="120" w:type="dxa"/>
              <w:bottom w:w="80" w:type="dxa"/>
              <w:right w:w="120" w:type="dxa"/>
            </w:tcMar>
            <w:vAlign w:val="center"/>
          </w:tcPr>
          <w:p w14:paraId="484F665A" w14:textId="77777777" w:rsidR="00176CEB" w:rsidRPr="005E0B54" w:rsidRDefault="00000000" w:rsidP="009D1037">
            <w:pPr>
              <w:spacing w:after="40" w:line="240" w:lineRule="auto"/>
              <w:jc w:val="left"/>
              <w:rPr>
                <w:rFonts w:ascii="Arial" w:hAnsi="Arial" w:cs="Arial"/>
              </w:rPr>
            </w:pPr>
            <w:r w:rsidRPr="005E0B54">
              <w:rPr>
                <w:rFonts w:ascii="Arial" w:hAnsi="Arial" w:cs="Arial"/>
              </w:rPr>
              <w:t>3</w:t>
            </w:r>
          </w:p>
        </w:tc>
        <w:tc>
          <w:tcPr>
            <w:tcW w:w="504" w:type="dxa"/>
            <w:shd w:val="clear" w:color="auto" w:fill="F3F6F8"/>
            <w:tcMar>
              <w:top w:w="80" w:type="dxa"/>
              <w:left w:w="120" w:type="dxa"/>
              <w:bottom w:w="80" w:type="dxa"/>
              <w:right w:w="120" w:type="dxa"/>
            </w:tcMar>
            <w:vAlign w:val="center"/>
          </w:tcPr>
          <w:p w14:paraId="29165FF7" w14:textId="77777777" w:rsidR="00176CEB" w:rsidRPr="005E0B54" w:rsidRDefault="00000000" w:rsidP="009D1037">
            <w:pPr>
              <w:spacing w:after="40" w:line="240" w:lineRule="auto"/>
              <w:jc w:val="left"/>
              <w:rPr>
                <w:rFonts w:ascii="Arial" w:hAnsi="Arial" w:cs="Arial"/>
              </w:rPr>
            </w:pPr>
            <w:r w:rsidRPr="005E0B54">
              <w:rPr>
                <w:rFonts w:ascii="Arial" w:hAnsi="Arial" w:cs="Arial"/>
              </w:rPr>
              <w:t>5</w:t>
            </w:r>
          </w:p>
        </w:tc>
        <w:tc>
          <w:tcPr>
            <w:tcW w:w="2520" w:type="dxa"/>
            <w:shd w:val="clear" w:color="auto" w:fill="F3F6F8"/>
            <w:tcMar>
              <w:top w:w="80" w:type="dxa"/>
              <w:left w:w="120" w:type="dxa"/>
              <w:bottom w:w="80" w:type="dxa"/>
              <w:right w:w="120" w:type="dxa"/>
            </w:tcMar>
            <w:vAlign w:val="center"/>
          </w:tcPr>
          <w:p w14:paraId="5A6C5554" w14:textId="77777777" w:rsidR="00176CEB" w:rsidRPr="005E0B54" w:rsidRDefault="00000000" w:rsidP="009D1037">
            <w:pPr>
              <w:spacing w:after="40" w:line="240" w:lineRule="auto"/>
              <w:jc w:val="left"/>
              <w:rPr>
                <w:rFonts w:ascii="Arial" w:hAnsi="Arial" w:cs="Arial"/>
              </w:rPr>
            </w:pPr>
            <w:r w:rsidRPr="005E0B54">
              <w:rPr>
                <w:rFonts w:ascii="Arial" w:hAnsi="Arial" w:cs="Arial"/>
              </w:rPr>
              <w:t>Segregated routes; lighting; marshals; accessibility review</w:t>
            </w:r>
          </w:p>
        </w:tc>
        <w:tc>
          <w:tcPr>
            <w:tcW w:w="1656" w:type="dxa"/>
            <w:shd w:val="clear" w:color="auto" w:fill="F3F6F8"/>
            <w:tcMar>
              <w:top w:w="80" w:type="dxa"/>
              <w:left w:w="120" w:type="dxa"/>
              <w:bottom w:w="80" w:type="dxa"/>
              <w:right w:w="120" w:type="dxa"/>
            </w:tcMar>
            <w:vAlign w:val="center"/>
          </w:tcPr>
          <w:p w14:paraId="0912661D" w14:textId="77777777" w:rsidR="00176CEB" w:rsidRPr="005E0B54" w:rsidRDefault="00000000" w:rsidP="009D1037">
            <w:pPr>
              <w:spacing w:after="40" w:line="240" w:lineRule="auto"/>
              <w:jc w:val="left"/>
              <w:rPr>
                <w:rFonts w:ascii="Arial" w:hAnsi="Arial" w:cs="Arial"/>
              </w:rPr>
            </w:pPr>
            <w:r w:rsidRPr="005E0B54">
              <w:rPr>
                <w:rFonts w:ascii="Arial" w:hAnsi="Arial" w:cs="Arial"/>
              </w:rPr>
              <w:t>Safety Manager</w:t>
            </w:r>
          </w:p>
        </w:tc>
        <w:tc>
          <w:tcPr>
            <w:tcW w:w="2160" w:type="dxa"/>
            <w:shd w:val="clear" w:color="auto" w:fill="F3F6F8"/>
            <w:tcMar>
              <w:top w:w="80" w:type="dxa"/>
              <w:left w:w="120" w:type="dxa"/>
              <w:bottom w:w="80" w:type="dxa"/>
              <w:right w:w="120" w:type="dxa"/>
            </w:tcMar>
            <w:vAlign w:val="center"/>
          </w:tcPr>
          <w:p w14:paraId="21E41DE9" w14:textId="77777777" w:rsidR="00176CEB" w:rsidRPr="005E0B54" w:rsidRDefault="00000000" w:rsidP="009D1037">
            <w:pPr>
              <w:spacing w:after="40" w:line="240" w:lineRule="auto"/>
              <w:jc w:val="left"/>
              <w:rPr>
                <w:rFonts w:ascii="Arial" w:hAnsi="Arial" w:cs="Arial"/>
              </w:rPr>
            </w:pPr>
            <w:r w:rsidRPr="005E0B54">
              <w:rPr>
                <w:rFonts w:ascii="Arial" w:hAnsi="Arial" w:cs="Arial"/>
              </w:rPr>
              <w:t>Close route and activate signed alternative</w:t>
            </w:r>
          </w:p>
        </w:tc>
      </w:tr>
      <w:tr w:rsidR="00176CEB" w:rsidRPr="009D1037" w14:paraId="00EE0FE5" w14:textId="77777777">
        <w:trPr>
          <w:jc w:val="center"/>
        </w:trPr>
        <w:tc>
          <w:tcPr>
            <w:tcW w:w="2016" w:type="dxa"/>
            <w:tcMar>
              <w:top w:w="80" w:type="dxa"/>
              <w:left w:w="120" w:type="dxa"/>
              <w:bottom w:w="80" w:type="dxa"/>
              <w:right w:w="120" w:type="dxa"/>
            </w:tcMar>
            <w:vAlign w:val="center"/>
          </w:tcPr>
          <w:p w14:paraId="36ABB28B" w14:textId="77777777" w:rsidR="00176CEB" w:rsidRPr="005E0B54" w:rsidRDefault="00000000" w:rsidP="009D1037">
            <w:pPr>
              <w:spacing w:after="40" w:line="240" w:lineRule="auto"/>
              <w:jc w:val="left"/>
              <w:rPr>
                <w:rFonts w:ascii="Arial" w:hAnsi="Arial" w:cs="Arial"/>
              </w:rPr>
            </w:pPr>
            <w:r w:rsidRPr="005E0B54">
              <w:rPr>
                <w:rFonts w:ascii="Arial" w:hAnsi="Arial" w:cs="Arial"/>
              </w:rPr>
              <w:t>Unknown utilities or ground conditions</w:t>
            </w:r>
          </w:p>
        </w:tc>
        <w:tc>
          <w:tcPr>
            <w:tcW w:w="504" w:type="dxa"/>
            <w:tcMar>
              <w:top w:w="80" w:type="dxa"/>
              <w:left w:w="120" w:type="dxa"/>
              <w:bottom w:w="80" w:type="dxa"/>
              <w:right w:w="120" w:type="dxa"/>
            </w:tcMar>
            <w:vAlign w:val="center"/>
          </w:tcPr>
          <w:p w14:paraId="73ED6033" w14:textId="77777777" w:rsidR="00176CEB" w:rsidRPr="005E0B54" w:rsidRDefault="00000000" w:rsidP="009D1037">
            <w:pPr>
              <w:spacing w:after="40" w:line="240" w:lineRule="auto"/>
              <w:jc w:val="left"/>
              <w:rPr>
                <w:rFonts w:ascii="Arial" w:hAnsi="Arial" w:cs="Arial"/>
              </w:rPr>
            </w:pPr>
            <w:r w:rsidRPr="005E0B54">
              <w:rPr>
                <w:rFonts w:ascii="Arial" w:hAnsi="Arial" w:cs="Arial"/>
              </w:rPr>
              <w:t>3</w:t>
            </w:r>
          </w:p>
        </w:tc>
        <w:tc>
          <w:tcPr>
            <w:tcW w:w="504" w:type="dxa"/>
            <w:tcMar>
              <w:top w:w="80" w:type="dxa"/>
              <w:left w:w="120" w:type="dxa"/>
              <w:bottom w:w="80" w:type="dxa"/>
              <w:right w:w="120" w:type="dxa"/>
            </w:tcMar>
            <w:vAlign w:val="center"/>
          </w:tcPr>
          <w:p w14:paraId="74907F55" w14:textId="77777777" w:rsidR="00176CEB" w:rsidRPr="005E0B54" w:rsidRDefault="00000000" w:rsidP="009D1037">
            <w:pPr>
              <w:spacing w:after="40" w:line="240" w:lineRule="auto"/>
              <w:jc w:val="left"/>
              <w:rPr>
                <w:rFonts w:ascii="Arial" w:hAnsi="Arial" w:cs="Arial"/>
              </w:rPr>
            </w:pPr>
            <w:r w:rsidRPr="005E0B54">
              <w:rPr>
                <w:rFonts w:ascii="Arial" w:hAnsi="Arial" w:cs="Arial"/>
              </w:rPr>
              <w:t>4</w:t>
            </w:r>
          </w:p>
        </w:tc>
        <w:tc>
          <w:tcPr>
            <w:tcW w:w="2520" w:type="dxa"/>
            <w:tcMar>
              <w:top w:w="80" w:type="dxa"/>
              <w:left w:w="120" w:type="dxa"/>
              <w:bottom w:w="80" w:type="dxa"/>
              <w:right w:w="120" w:type="dxa"/>
            </w:tcMar>
            <w:vAlign w:val="center"/>
          </w:tcPr>
          <w:p w14:paraId="6671D4FD" w14:textId="77777777" w:rsidR="00176CEB" w:rsidRPr="005E0B54" w:rsidRDefault="00000000" w:rsidP="009D1037">
            <w:pPr>
              <w:spacing w:after="40" w:line="240" w:lineRule="auto"/>
              <w:jc w:val="left"/>
              <w:rPr>
                <w:rFonts w:ascii="Arial" w:hAnsi="Arial" w:cs="Arial"/>
              </w:rPr>
            </w:pPr>
            <w:r w:rsidRPr="005E0B54">
              <w:rPr>
                <w:rFonts w:ascii="Arial" w:hAnsi="Arial" w:cs="Arial"/>
              </w:rPr>
              <w:t>Surveys, trial holes and utility records</w:t>
            </w:r>
          </w:p>
        </w:tc>
        <w:tc>
          <w:tcPr>
            <w:tcW w:w="1656" w:type="dxa"/>
            <w:tcMar>
              <w:top w:w="80" w:type="dxa"/>
              <w:left w:w="120" w:type="dxa"/>
              <w:bottom w:w="80" w:type="dxa"/>
              <w:right w:w="120" w:type="dxa"/>
            </w:tcMar>
            <w:vAlign w:val="center"/>
          </w:tcPr>
          <w:p w14:paraId="3804EA84" w14:textId="77777777" w:rsidR="00176CEB" w:rsidRPr="005E0B54" w:rsidRDefault="00000000" w:rsidP="009D1037">
            <w:pPr>
              <w:spacing w:after="40" w:line="240" w:lineRule="auto"/>
              <w:jc w:val="left"/>
              <w:rPr>
                <w:rFonts w:ascii="Arial" w:hAnsi="Arial" w:cs="Arial"/>
              </w:rPr>
            </w:pPr>
            <w:r w:rsidRPr="005E0B54">
              <w:rPr>
                <w:rFonts w:ascii="Arial" w:hAnsi="Arial" w:cs="Arial"/>
              </w:rPr>
              <w:t>Construction Manager</w:t>
            </w:r>
          </w:p>
        </w:tc>
        <w:tc>
          <w:tcPr>
            <w:tcW w:w="2160" w:type="dxa"/>
            <w:tcMar>
              <w:top w:w="80" w:type="dxa"/>
              <w:left w:w="120" w:type="dxa"/>
              <w:bottom w:w="80" w:type="dxa"/>
              <w:right w:w="120" w:type="dxa"/>
            </w:tcMar>
            <w:vAlign w:val="center"/>
          </w:tcPr>
          <w:p w14:paraId="2FA5A66A" w14:textId="77777777" w:rsidR="00176CEB" w:rsidRPr="005E0B54" w:rsidRDefault="00000000" w:rsidP="009D1037">
            <w:pPr>
              <w:spacing w:after="40" w:line="240" w:lineRule="auto"/>
              <w:jc w:val="left"/>
              <w:rPr>
                <w:rFonts w:ascii="Arial" w:hAnsi="Arial" w:cs="Arial"/>
              </w:rPr>
            </w:pPr>
            <w:r w:rsidRPr="005E0B54">
              <w:rPr>
                <w:rFonts w:ascii="Arial" w:hAnsi="Arial" w:cs="Arial"/>
              </w:rPr>
              <w:t>Resequence work and use contingency</w:t>
            </w:r>
          </w:p>
        </w:tc>
      </w:tr>
      <w:tr w:rsidR="00176CEB" w:rsidRPr="009D1037" w14:paraId="78D13178" w14:textId="77777777">
        <w:trPr>
          <w:jc w:val="center"/>
        </w:trPr>
        <w:tc>
          <w:tcPr>
            <w:tcW w:w="2016" w:type="dxa"/>
            <w:shd w:val="clear" w:color="auto" w:fill="F3F6F8"/>
            <w:tcMar>
              <w:top w:w="80" w:type="dxa"/>
              <w:left w:w="120" w:type="dxa"/>
              <w:bottom w:w="80" w:type="dxa"/>
              <w:right w:w="120" w:type="dxa"/>
            </w:tcMar>
            <w:vAlign w:val="center"/>
          </w:tcPr>
          <w:p w14:paraId="47E4806F" w14:textId="0E238F1A" w:rsidR="00176CEB" w:rsidRPr="005E0B54" w:rsidRDefault="00000000" w:rsidP="009D1037">
            <w:pPr>
              <w:spacing w:after="40" w:line="240" w:lineRule="auto"/>
              <w:jc w:val="left"/>
              <w:rPr>
                <w:rFonts w:ascii="Arial" w:hAnsi="Arial" w:cs="Arial"/>
              </w:rPr>
            </w:pPr>
            <w:r w:rsidRPr="005E0B54">
              <w:rPr>
                <w:rFonts w:ascii="Arial" w:hAnsi="Arial" w:cs="Arial"/>
              </w:rPr>
              <w:t>Cost escalation/ supplier failure</w:t>
            </w:r>
          </w:p>
        </w:tc>
        <w:tc>
          <w:tcPr>
            <w:tcW w:w="504" w:type="dxa"/>
            <w:shd w:val="clear" w:color="auto" w:fill="F3F6F8"/>
            <w:tcMar>
              <w:top w:w="80" w:type="dxa"/>
              <w:left w:w="120" w:type="dxa"/>
              <w:bottom w:w="80" w:type="dxa"/>
              <w:right w:w="120" w:type="dxa"/>
            </w:tcMar>
            <w:vAlign w:val="center"/>
          </w:tcPr>
          <w:p w14:paraId="241FFDAA" w14:textId="77777777" w:rsidR="00176CEB" w:rsidRPr="005E0B54" w:rsidRDefault="00000000" w:rsidP="009D1037">
            <w:pPr>
              <w:spacing w:after="40" w:line="240" w:lineRule="auto"/>
              <w:jc w:val="left"/>
              <w:rPr>
                <w:rFonts w:ascii="Arial" w:hAnsi="Arial" w:cs="Arial"/>
              </w:rPr>
            </w:pPr>
            <w:r w:rsidRPr="005E0B54">
              <w:rPr>
                <w:rFonts w:ascii="Arial" w:hAnsi="Arial" w:cs="Arial"/>
              </w:rPr>
              <w:t>4</w:t>
            </w:r>
          </w:p>
        </w:tc>
        <w:tc>
          <w:tcPr>
            <w:tcW w:w="504" w:type="dxa"/>
            <w:shd w:val="clear" w:color="auto" w:fill="F3F6F8"/>
            <w:tcMar>
              <w:top w:w="80" w:type="dxa"/>
              <w:left w:w="120" w:type="dxa"/>
              <w:bottom w:w="80" w:type="dxa"/>
              <w:right w:w="120" w:type="dxa"/>
            </w:tcMar>
            <w:vAlign w:val="center"/>
          </w:tcPr>
          <w:p w14:paraId="7A5331CE" w14:textId="77777777" w:rsidR="00176CEB" w:rsidRPr="005E0B54" w:rsidRDefault="00000000" w:rsidP="009D1037">
            <w:pPr>
              <w:spacing w:after="40" w:line="240" w:lineRule="auto"/>
              <w:jc w:val="left"/>
              <w:rPr>
                <w:rFonts w:ascii="Arial" w:hAnsi="Arial" w:cs="Arial"/>
              </w:rPr>
            </w:pPr>
            <w:r w:rsidRPr="005E0B54">
              <w:rPr>
                <w:rFonts w:ascii="Arial" w:hAnsi="Arial" w:cs="Arial"/>
              </w:rPr>
              <w:t>4</w:t>
            </w:r>
          </w:p>
        </w:tc>
        <w:tc>
          <w:tcPr>
            <w:tcW w:w="2520" w:type="dxa"/>
            <w:shd w:val="clear" w:color="auto" w:fill="F3F6F8"/>
            <w:tcMar>
              <w:top w:w="80" w:type="dxa"/>
              <w:left w:w="120" w:type="dxa"/>
              <w:bottom w:w="80" w:type="dxa"/>
              <w:right w:w="120" w:type="dxa"/>
            </w:tcMar>
            <w:vAlign w:val="center"/>
          </w:tcPr>
          <w:p w14:paraId="64AA9DE0" w14:textId="77777777" w:rsidR="00176CEB" w:rsidRPr="005E0B54" w:rsidRDefault="00000000" w:rsidP="009D1037">
            <w:pPr>
              <w:spacing w:after="40" w:line="240" w:lineRule="auto"/>
              <w:jc w:val="left"/>
              <w:rPr>
                <w:rFonts w:ascii="Arial" w:hAnsi="Arial" w:cs="Arial"/>
              </w:rPr>
            </w:pPr>
            <w:r w:rsidRPr="005E0B54">
              <w:rPr>
                <w:rFonts w:ascii="Arial" w:hAnsi="Arial" w:cs="Arial"/>
              </w:rPr>
              <w:t>Early orders; financial checks; alternative suppliers</w:t>
            </w:r>
          </w:p>
        </w:tc>
        <w:tc>
          <w:tcPr>
            <w:tcW w:w="1656" w:type="dxa"/>
            <w:shd w:val="clear" w:color="auto" w:fill="F3F6F8"/>
            <w:tcMar>
              <w:top w:w="80" w:type="dxa"/>
              <w:left w:w="120" w:type="dxa"/>
              <w:bottom w:w="80" w:type="dxa"/>
              <w:right w:w="120" w:type="dxa"/>
            </w:tcMar>
            <w:vAlign w:val="center"/>
          </w:tcPr>
          <w:p w14:paraId="007785C0" w14:textId="77777777" w:rsidR="00176CEB" w:rsidRPr="005E0B54" w:rsidRDefault="00000000" w:rsidP="009D1037">
            <w:pPr>
              <w:spacing w:after="40" w:line="240" w:lineRule="auto"/>
              <w:jc w:val="left"/>
              <w:rPr>
                <w:rFonts w:ascii="Arial" w:hAnsi="Arial" w:cs="Arial"/>
              </w:rPr>
            </w:pPr>
            <w:r w:rsidRPr="005E0B54">
              <w:rPr>
                <w:rFonts w:ascii="Arial" w:hAnsi="Arial" w:cs="Arial"/>
              </w:rPr>
              <w:t>Commercial Manager</w:t>
            </w:r>
          </w:p>
        </w:tc>
        <w:tc>
          <w:tcPr>
            <w:tcW w:w="2160" w:type="dxa"/>
            <w:shd w:val="clear" w:color="auto" w:fill="F3F6F8"/>
            <w:tcMar>
              <w:top w:w="80" w:type="dxa"/>
              <w:left w:w="120" w:type="dxa"/>
              <w:bottom w:w="80" w:type="dxa"/>
              <w:right w:w="120" w:type="dxa"/>
            </w:tcMar>
            <w:vAlign w:val="center"/>
          </w:tcPr>
          <w:p w14:paraId="0452D565" w14:textId="77777777" w:rsidR="00176CEB" w:rsidRPr="005E0B54" w:rsidRDefault="00000000" w:rsidP="009D1037">
            <w:pPr>
              <w:spacing w:after="40" w:line="240" w:lineRule="auto"/>
              <w:jc w:val="left"/>
              <w:rPr>
                <w:rFonts w:ascii="Arial" w:hAnsi="Arial" w:cs="Arial"/>
              </w:rPr>
            </w:pPr>
            <w:r w:rsidRPr="005E0B54">
              <w:rPr>
                <w:rFonts w:ascii="Arial" w:hAnsi="Arial" w:cs="Arial"/>
              </w:rPr>
              <w:t>Activate substitute supplier; value-engineer</w:t>
            </w:r>
          </w:p>
        </w:tc>
      </w:tr>
      <w:tr w:rsidR="00176CEB" w:rsidRPr="009D1037" w14:paraId="741CFBF0" w14:textId="77777777">
        <w:trPr>
          <w:jc w:val="center"/>
        </w:trPr>
        <w:tc>
          <w:tcPr>
            <w:tcW w:w="2016" w:type="dxa"/>
            <w:tcMar>
              <w:top w:w="80" w:type="dxa"/>
              <w:left w:w="120" w:type="dxa"/>
              <w:bottom w:w="80" w:type="dxa"/>
              <w:right w:w="120" w:type="dxa"/>
            </w:tcMar>
            <w:vAlign w:val="center"/>
          </w:tcPr>
          <w:p w14:paraId="0C63D3A0" w14:textId="77777777" w:rsidR="00176CEB" w:rsidRPr="005E0B54" w:rsidRDefault="00000000" w:rsidP="009D1037">
            <w:pPr>
              <w:spacing w:after="40" w:line="240" w:lineRule="auto"/>
              <w:jc w:val="left"/>
              <w:rPr>
                <w:rFonts w:ascii="Arial" w:hAnsi="Arial" w:cs="Arial"/>
              </w:rPr>
            </w:pPr>
            <w:r w:rsidRPr="005E0B54">
              <w:rPr>
                <w:rFonts w:ascii="Arial" w:hAnsi="Arial" w:cs="Arial"/>
              </w:rPr>
              <w:t>Service disruption during changeover</w:t>
            </w:r>
          </w:p>
        </w:tc>
        <w:tc>
          <w:tcPr>
            <w:tcW w:w="504" w:type="dxa"/>
            <w:tcMar>
              <w:top w:w="80" w:type="dxa"/>
              <w:left w:w="120" w:type="dxa"/>
              <w:bottom w:w="80" w:type="dxa"/>
              <w:right w:w="120" w:type="dxa"/>
            </w:tcMar>
            <w:vAlign w:val="center"/>
          </w:tcPr>
          <w:p w14:paraId="6CBA6921" w14:textId="77777777" w:rsidR="00176CEB" w:rsidRPr="005E0B54" w:rsidRDefault="00000000" w:rsidP="009D1037">
            <w:pPr>
              <w:spacing w:after="40" w:line="240" w:lineRule="auto"/>
              <w:jc w:val="left"/>
              <w:rPr>
                <w:rFonts w:ascii="Arial" w:hAnsi="Arial" w:cs="Arial"/>
              </w:rPr>
            </w:pPr>
            <w:r w:rsidRPr="005E0B54">
              <w:rPr>
                <w:rFonts w:ascii="Arial" w:hAnsi="Arial" w:cs="Arial"/>
              </w:rPr>
              <w:t>3</w:t>
            </w:r>
          </w:p>
        </w:tc>
        <w:tc>
          <w:tcPr>
            <w:tcW w:w="504" w:type="dxa"/>
            <w:tcMar>
              <w:top w:w="80" w:type="dxa"/>
              <w:left w:w="120" w:type="dxa"/>
              <w:bottom w:w="80" w:type="dxa"/>
              <w:right w:w="120" w:type="dxa"/>
            </w:tcMar>
            <w:vAlign w:val="center"/>
          </w:tcPr>
          <w:p w14:paraId="4660062F" w14:textId="77777777" w:rsidR="00176CEB" w:rsidRPr="005E0B54" w:rsidRDefault="00000000" w:rsidP="009D1037">
            <w:pPr>
              <w:spacing w:after="40" w:line="240" w:lineRule="auto"/>
              <w:jc w:val="left"/>
              <w:rPr>
                <w:rFonts w:ascii="Arial" w:hAnsi="Arial" w:cs="Arial"/>
              </w:rPr>
            </w:pPr>
            <w:r w:rsidRPr="005E0B54">
              <w:rPr>
                <w:rFonts w:ascii="Arial" w:hAnsi="Arial" w:cs="Arial"/>
              </w:rPr>
              <w:t>5</w:t>
            </w:r>
          </w:p>
        </w:tc>
        <w:tc>
          <w:tcPr>
            <w:tcW w:w="2520" w:type="dxa"/>
            <w:tcMar>
              <w:top w:w="80" w:type="dxa"/>
              <w:left w:w="120" w:type="dxa"/>
              <w:bottom w:w="80" w:type="dxa"/>
              <w:right w:w="120" w:type="dxa"/>
            </w:tcMar>
            <w:vAlign w:val="center"/>
          </w:tcPr>
          <w:p w14:paraId="6CDA01D4" w14:textId="77777777" w:rsidR="00176CEB" w:rsidRPr="005E0B54" w:rsidRDefault="00000000" w:rsidP="009D1037">
            <w:pPr>
              <w:spacing w:after="40" w:line="240" w:lineRule="auto"/>
              <w:jc w:val="left"/>
              <w:rPr>
                <w:rFonts w:ascii="Arial" w:hAnsi="Arial" w:cs="Arial"/>
              </w:rPr>
            </w:pPr>
            <w:r w:rsidRPr="005E0B54">
              <w:rPr>
                <w:rFonts w:ascii="Arial" w:hAnsi="Arial" w:cs="Arial"/>
              </w:rPr>
              <w:t>Detailed cutover plan; rehearsal; operator command centre</w:t>
            </w:r>
          </w:p>
        </w:tc>
        <w:tc>
          <w:tcPr>
            <w:tcW w:w="1656" w:type="dxa"/>
            <w:tcMar>
              <w:top w:w="80" w:type="dxa"/>
              <w:left w:w="120" w:type="dxa"/>
              <w:bottom w:w="80" w:type="dxa"/>
              <w:right w:w="120" w:type="dxa"/>
            </w:tcMar>
            <w:vAlign w:val="center"/>
          </w:tcPr>
          <w:p w14:paraId="02850A2C" w14:textId="77777777" w:rsidR="00176CEB" w:rsidRPr="005E0B54" w:rsidRDefault="00000000" w:rsidP="009D1037">
            <w:pPr>
              <w:spacing w:after="40" w:line="240" w:lineRule="auto"/>
              <w:jc w:val="left"/>
              <w:rPr>
                <w:rFonts w:ascii="Arial" w:hAnsi="Arial" w:cs="Arial"/>
              </w:rPr>
            </w:pPr>
            <w:r w:rsidRPr="005E0B54">
              <w:rPr>
                <w:rFonts w:ascii="Arial" w:hAnsi="Arial" w:cs="Arial"/>
              </w:rPr>
              <w:t>Operations Lead</w:t>
            </w:r>
          </w:p>
        </w:tc>
        <w:tc>
          <w:tcPr>
            <w:tcW w:w="2160" w:type="dxa"/>
            <w:tcMar>
              <w:top w:w="80" w:type="dxa"/>
              <w:left w:w="120" w:type="dxa"/>
              <w:bottom w:w="80" w:type="dxa"/>
              <w:right w:w="120" w:type="dxa"/>
            </w:tcMar>
            <w:vAlign w:val="center"/>
          </w:tcPr>
          <w:p w14:paraId="44E3D987" w14:textId="77777777" w:rsidR="00176CEB" w:rsidRPr="005E0B54" w:rsidRDefault="00000000" w:rsidP="009D1037">
            <w:pPr>
              <w:spacing w:after="40" w:line="240" w:lineRule="auto"/>
              <w:jc w:val="left"/>
              <w:rPr>
                <w:rFonts w:ascii="Arial" w:hAnsi="Arial" w:cs="Arial"/>
              </w:rPr>
            </w:pPr>
            <w:r w:rsidRPr="005E0B54">
              <w:rPr>
                <w:rFonts w:ascii="Arial" w:hAnsi="Arial" w:cs="Arial"/>
              </w:rPr>
              <w:t>Use replacement services and incident plan</w:t>
            </w:r>
          </w:p>
        </w:tc>
      </w:tr>
      <w:tr w:rsidR="00176CEB" w:rsidRPr="009D1037" w14:paraId="332054D5" w14:textId="77777777">
        <w:trPr>
          <w:jc w:val="center"/>
        </w:trPr>
        <w:tc>
          <w:tcPr>
            <w:tcW w:w="2016" w:type="dxa"/>
            <w:shd w:val="clear" w:color="auto" w:fill="F3F6F8"/>
            <w:tcMar>
              <w:top w:w="80" w:type="dxa"/>
              <w:left w:w="120" w:type="dxa"/>
              <w:bottom w:w="80" w:type="dxa"/>
              <w:right w:w="120" w:type="dxa"/>
            </w:tcMar>
            <w:vAlign w:val="center"/>
          </w:tcPr>
          <w:p w14:paraId="16FA2C9D" w14:textId="77777777" w:rsidR="00176CEB" w:rsidRPr="005E0B54" w:rsidRDefault="00000000" w:rsidP="009D1037">
            <w:pPr>
              <w:spacing w:after="40" w:line="240" w:lineRule="auto"/>
              <w:jc w:val="left"/>
              <w:rPr>
                <w:rFonts w:ascii="Arial" w:hAnsi="Arial" w:cs="Arial"/>
              </w:rPr>
            </w:pPr>
            <w:r w:rsidRPr="005E0B54">
              <w:rPr>
                <w:rFonts w:ascii="Arial" w:hAnsi="Arial" w:cs="Arial"/>
              </w:rPr>
              <w:t>Approval or inspection delay</w:t>
            </w:r>
          </w:p>
        </w:tc>
        <w:tc>
          <w:tcPr>
            <w:tcW w:w="504" w:type="dxa"/>
            <w:shd w:val="clear" w:color="auto" w:fill="F3F6F8"/>
            <w:tcMar>
              <w:top w:w="80" w:type="dxa"/>
              <w:left w:w="120" w:type="dxa"/>
              <w:bottom w:w="80" w:type="dxa"/>
              <w:right w:w="120" w:type="dxa"/>
            </w:tcMar>
            <w:vAlign w:val="center"/>
          </w:tcPr>
          <w:p w14:paraId="168E3145" w14:textId="77777777" w:rsidR="00176CEB" w:rsidRPr="005E0B54" w:rsidRDefault="00000000" w:rsidP="009D1037">
            <w:pPr>
              <w:spacing w:after="40" w:line="240" w:lineRule="auto"/>
              <w:jc w:val="left"/>
              <w:rPr>
                <w:rFonts w:ascii="Arial" w:hAnsi="Arial" w:cs="Arial"/>
              </w:rPr>
            </w:pPr>
            <w:r w:rsidRPr="005E0B54">
              <w:rPr>
                <w:rFonts w:ascii="Arial" w:hAnsi="Arial" w:cs="Arial"/>
              </w:rPr>
              <w:t>2</w:t>
            </w:r>
          </w:p>
        </w:tc>
        <w:tc>
          <w:tcPr>
            <w:tcW w:w="504" w:type="dxa"/>
            <w:shd w:val="clear" w:color="auto" w:fill="F3F6F8"/>
            <w:tcMar>
              <w:top w:w="80" w:type="dxa"/>
              <w:left w:w="120" w:type="dxa"/>
              <w:bottom w:w="80" w:type="dxa"/>
              <w:right w:w="120" w:type="dxa"/>
            </w:tcMar>
            <w:vAlign w:val="center"/>
          </w:tcPr>
          <w:p w14:paraId="6804DA50" w14:textId="77777777" w:rsidR="00176CEB" w:rsidRPr="005E0B54" w:rsidRDefault="00000000" w:rsidP="009D1037">
            <w:pPr>
              <w:spacing w:after="40" w:line="240" w:lineRule="auto"/>
              <w:jc w:val="left"/>
              <w:rPr>
                <w:rFonts w:ascii="Arial" w:hAnsi="Arial" w:cs="Arial"/>
              </w:rPr>
            </w:pPr>
            <w:r w:rsidRPr="005E0B54">
              <w:rPr>
                <w:rFonts w:ascii="Arial" w:hAnsi="Arial" w:cs="Arial"/>
              </w:rPr>
              <w:t>4</w:t>
            </w:r>
          </w:p>
        </w:tc>
        <w:tc>
          <w:tcPr>
            <w:tcW w:w="2520" w:type="dxa"/>
            <w:shd w:val="clear" w:color="auto" w:fill="F3F6F8"/>
            <w:tcMar>
              <w:top w:w="80" w:type="dxa"/>
              <w:left w:w="120" w:type="dxa"/>
              <w:bottom w:w="80" w:type="dxa"/>
              <w:right w:w="120" w:type="dxa"/>
            </w:tcMar>
            <w:vAlign w:val="center"/>
          </w:tcPr>
          <w:p w14:paraId="1D381C63" w14:textId="77777777" w:rsidR="00176CEB" w:rsidRPr="005E0B54" w:rsidRDefault="00000000" w:rsidP="009D1037">
            <w:pPr>
              <w:spacing w:after="40" w:line="240" w:lineRule="auto"/>
              <w:jc w:val="left"/>
              <w:rPr>
                <w:rFonts w:ascii="Arial" w:hAnsi="Arial" w:cs="Arial"/>
              </w:rPr>
            </w:pPr>
            <w:r w:rsidRPr="005E0B54">
              <w:rPr>
                <w:rFonts w:ascii="Arial" w:hAnsi="Arial" w:cs="Arial"/>
              </w:rPr>
              <w:t>Early engagement; submission tracker; review gates</w:t>
            </w:r>
          </w:p>
        </w:tc>
        <w:tc>
          <w:tcPr>
            <w:tcW w:w="1656" w:type="dxa"/>
            <w:shd w:val="clear" w:color="auto" w:fill="F3F6F8"/>
            <w:tcMar>
              <w:top w:w="80" w:type="dxa"/>
              <w:left w:w="120" w:type="dxa"/>
              <w:bottom w:w="80" w:type="dxa"/>
              <w:right w:w="120" w:type="dxa"/>
            </w:tcMar>
            <w:vAlign w:val="center"/>
          </w:tcPr>
          <w:p w14:paraId="0CA5B5F8" w14:textId="77777777" w:rsidR="00176CEB" w:rsidRPr="005E0B54" w:rsidRDefault="00000000" w:rsidP="009D1037">
            <w:pPr>
              <w:spacing w:after="40" w:line="240" w:lineRule="auto"/>
              <w:jc w:val="left"/>
              <w:rPr>
                <w:rFonts w:ascii="Arial" w:hAnsi="Arial" w:cs="Arial"/>
              </w:rPr>
            </w:pPr>
            <w:r w:rsidRPr="005E0B54">
              <w:rPr>
                <w:rFonts w:ascii="Arial" w:hAnsi="Arial" w:cs="Arial"/>
              </w:rPr>
              <w:t>Design Manager</w:t>
            </w:r>
          </w:p>
        </w:tc>
        <w:tc>
          <w:tcPr>
            <w:tcW w:w="2160" w:type="dxa"/>
            <w:shd w:val="clear" w:color="auto" w:fill="F3F6F8"/>
            <w:tcMar>
              <w:top w:w="80" w:type="dxa"/>
              <w:left w:w="120" w:type="dxa"/>
              <w:bottom w:w="80" w:type="dxa"/>
              <w:right w:w="120" w:type="dxa"/>
            </w:tcMar>
            <w:vAlign w:val="center"/>
          </w:tcPr>
          <w:p w14:paraId="4C42A0D1" w14:textId="77777777" w:rsidR="00176CEB" w:rsidRPr="005E0B54" w:rsidRDefault="00000000" w:rsidP="009D1037">
            <w:pPr>
              <w:spacing w:after="40" w:line="240" w:lineRule="auto"/>
              <w:jc w:val="left"/>
              <w:rPr>
                <w:rFonts w:ascii="Arial" w:hAnsi="Arial" w:cs="Arial"/>
              </w:rPr>
            </w:pPr>
            <w:r w:rsidRPr="005E0B54">
              <w:rPr>
                <w:rFonts w:ascii="Arial" w:hAnsi="Arial" w:cs="Arial"/>
              </w:rPr>
              <w:t>Escalate and resequence unaffected work</w:t>
            </w:r>
          </w:p>
        </w:tc>
      </w:tr>
      <w:tr w:rsidR="00176CEB" w:rsidRPr="009D1037" w14:paraId="43609C2E" w14:textId="77777777">
        <w:trPr>
          <w:jc w:val="center"/>
        </w:trPr>
        <w:tc>
          <w:tcPr>
            <w:tcW w:w="2016" w:type="dxa"/>
            <w:tcMar>
              <w:top w:w="80" w:type="dxa"/>
              <w:left w:w="120" w:type="dxa"/>
              <w:bottom w:w="80" w:type="dxa"/>
              <w:right w:w="120" w:type="dxa"/>
            </w:tcMar>
            <w:vAlign w:val="center"/>
          </w:tcPr>
          <w:p w14:paraId="7A634039" w14:textId="77777777" w:rsidR="00176CEB" w:rsidRPr="005E0B54" w:rsidRDefault="00000000" w:rsidP="009D1037">
            <w:pPr>
              <w:spacing w:after="40" w:line="240" w:lineRule="auto"/>
              <w:jc w:val="left"/>
              <w:rPr>
                <w:rFonts w:ascii="Arial" w:hAnsi="Arial" w:cs="Arial"/>
              </w:rPr>
            </w:pPr>
            <w:r w:rsidRPr="005E0B54">
              <w:rPr>
                <w:rFonts w:ascii="Arial" w:hAnsi="Arial" w:cs="Arial"/>
              </w:rPr>
              <w:t>Noise, dust or traffic complaints</w:t>
            </w:r>
          </w:p>
        </w:tc>
        <w:tc>
          <w:tcPr>
            <w:tcW w:w="504" w:type="dxa"/>
            <w:tcMar>
              <w:top w:w="80" w:type="dxa"/>
              <w:left w:w="120" w:type="dxa"/>
              <w:bottom w:w="80" w:type="dxa"/>
              <w:right w:w="120" w:type="dxa"/>
            </w:tcMar>
            <w:vAlign w:val="center"/>
          </w:tcPr>
          <w:p w14:paraId="4CA3CA89" w14:textId="77777777" w:rsidR="00176CEB" w:rsidRPr="005E0B54" w:rsidRDefault="00000000" w:rsidP="009D1037">
            <w:pPr>
              <w:spacing w:after="40" w:line="240" w:lineRule="auto"/>
              <w:jc w:val="left"/>
              <w:rPr>
                <w:rFonts w:ascii="Arial" w:hAnsi="Arial" w:cs="Arial"/>
              </w:rPr>
            </w:pPr>
            <w:r w:rsidRPr="005E0B54">
              <w:rPr>
                <w:rFonts w:ascii="Arial" w:hAnsi="Arial" w:cs="Arial"/>
              </w:rPr>
              <w:t>3</w:t>
            </w:r>
          </w:p>
        </w:tc>
        <w:tc>
          <w:tcPr>
            <w:tcW w:w="504" w:type="dxa"/>
            <w:tcMar>
              <w:top w:w="80" w:type="dxa"/>
              <w:left w:w="120" w:type="dxa"/>
              <w:bottom w:w="80" w:type="dxa"/>
              <w:right w:w="120" w:type="dxa"/>
            </w:tcMar>
            <w:vAlign w:val="center"/>
          </w:tcPr>
          <w:p w14:paraId="429DBEF7" w14:textId="77777777" w:rsidR="00176CEB" w:rsidRPr="005E0B54" w:rsidRDefault="00000000" w:rsidP="009D1037">
            <w:pPr>
              <w:spacing w:after="40" w:line="240" w:lineRule="auto"/>
              <w:jc w:val="left"/>
              <w:rPr>
                <w:rFonts w:ascii="Arial" w:hAnsi="Arial" w:cs="Arial"/>
              </w:rPr>
            </w:pPr>
            <w:r w:rsidRPr="005E0B54">
              <w:rPr>
                <w:rFonts w:ascii="Arial" w:hAnsi="Arial" w:cs="Arial"/>
              </w:rPr>
              <w:t>3</w:t>
            </w:r>
          </w:p>
        </w:tc>
        <w:tc>
          <w:tcPr>
            <w:tcW w:w="2520" w:type="dxa"/>
            <w:tcMar>
              <w:top w:w="80" w:type="dxa"/>
              <w:left w:w="120" w:type="dxa"/>
              <w:bottom w:w="80" w:type="dxa"/>
              <w:right w:w="120" w:type="dxa"/>
            </w:tcMar>
            <w:vAlign w:val="center"/>
          </w:tcPr>
          <w:p w14:paraId="38B3D15D" w14:textId="77777777" w:rsidR="00176CEB" w:rsidRPr="005E0B54" w:rsidRDefault="00000000" w:rsidP="009D1037">
            <w:pPr>
              <w:spacing w:after="40" w:line="240" w:lineRule="auto"/>
              <w:jc w:val="left"/>
              <w:rPr>
                <w:rFonts w:ascii="Arial" w:hAnsi="Arial" w:cs="Arial"/>
              </w:rPr>
            </w:pPr>
            <w:r w:rsidRPr="005E0B54">
              <w:rPr>
                <w:rFonts w:ascii="Arial" w:hAnsi="Arial" w:cs="Arial"/>
              </w:rPr>
              <w:t>Working-hour controls; monitoring; logistics plan</w:t>
            </w:r>
          </w:p>
        </w:tc>
        <w:tc>
          <w:tcPr>
            <w:tcW w:w="1656" w:type="dxa"/>
            <w:tcMar>
              <w:top w:w="80" w:type="dxa"/>
              <w:left w:w="120" w:type="dxa"/>
              <w:bottom w:w="80" w:type="dxa"/>
              <w:right w:w="120" w:type="dxa"/>
            </w:tcMar>
            <w:vAlign w:val="center"/>
          </w:tcPr>
          <w:p w14:paraId="6573A923" w14:textId="77777777" w:rsidR="00176CEB" w:rsidRPr="005E0B54" w:rsidRDefault="00000000" w:rsidP="009D1037">
            <w:pPr>
              <w:spacing w:after="40" w:line="240" w:lineRule="auto"/>
              <w:jc w:val="left"/>
              <w:rPr>
                <w:rFonts w:ascii="Arial" w:hAnsi="Arial" w:cs="Arial"/>
              </w:rPr>
            </w:pPr>
            <w:r w:rsidRPr="005E0B54">
              <w:rPr>
                <w:rFonts w:ascii="Arial" w:hAnsi="Arial" w:cs="Arial"/>
              </w:rPr>
              <w:t>Stakeholder Manager</w:t>
            </w:r>
          </w:p>
        </w:tc>
        <w:tc>
          <w:tcPr>
            <w:tcW w:w="2160" w:type="dxa"/>
            <w:tcMar>
              <w:top w:w="80" w:type="dxa"/>
              <w:left w:w="120" w:type="dxa"/>
              <w:bottom w:w="80" w:type="dxa"/>
              <w:right w:w="120" w:type="dxa"/>
            </w:tcMar>
            <w:vAlign w:val="center"/>
          </w:tcPr>
          <w:p w14:paraId="212C8114" w14:textId="77777777" w:rsidR="00176CEB" w:rsidRPr="005E0B54" w:rsidRDefault="00000000" w:rsidP="009D1037">
            <w:pPr>
              <w:spacing w:after="40" w:line="240" w:lineRule="auto"/>
              <w:jc w:val="left"/>
              <w:rPr>
                <w:rFonts w:ascii="Arial" w:hAnsi="Arial" w:cs="Arial"/>
              </w:rPr>
            </w:pPr>
            <w:r w:rsidRPr="005E0B54">
              <w:rPr>
                <w:rFonts w:ascii="Arial" w:hAnsi="Arial" w:cs="Arial"/>
              </w:rPr>
              <w:t>Additional barriers and revised deliveries</w:t>
            </w:r>
          </w:p>
        </w:tc>
      </w:tr>
      <w:tr w:rsidR="00176CEB" w:rsidRPr="009D1037" w14:paraId="304EE2E0" w14:textId="77777777">
        <w:trPr>
          <w:jc w:val="center"/>
        </w:trPr>
        <w:tc>
          <w:tcPr>
            <w:tcW w:w="2016" w:type="dxa"/>
            <w:shd w:val="clear" w:color="auto" w:fill="F3F6F8"/>
            <w:tcMar>
              <w:top w:w="80" w:type="dxa"/>
              <w:left w:w="120" w:type="dxa"/>
              <w:bottom w:w="80" w:type="dxa"/>
              <w:right w:w="120" w:type="dxa"/>
            </w:tcMar>
            <w:vAlign w:val="center"/>
          </w:tcPr>
          <w:p w14:paraId="6C54683A" w14:textId="77777777" w:rsidR="00176CEB" w:rsidRPr="005E0B54" w:rsidRDefault="00000000" w:rsidP="009D1037">
            <w:pPr>
              <w:spacing w:after="40" w:line="240" w:lineRule="auto"/>
              <w:jc w:val="left"/>
              <w:rPr>
                <w:rFonts w:ascii="Arial" w:hAnsi="Arial" w:cs="Arial"/>
              </w:rPr>
            </w:pPr>
            <w:r w:rsidRPr="005E0B54">
              <w:rPr>
                <w:rFonts w:ascii="Arial" w:hAnsi="Arial" w:cs="Arial"/>
              </w:rPr>
              <w:t>Systems integration failure</w:t>
            </w:r>
          </w:p>
        </w:tc>
        <w:tc>
          <w:tcPr>
            <w:tcW w:w="504" w:type="dxa"/>
            <w:shd w:val="clear" w:color="auto" w:fill="F3F6F8"/>
            <w:tcMar>
              <w:top w:w="80" w:type="dxa"/>
              <w:left w:w="120" w:type="dxa"/>
              <w:bottom w:w="80" w:type="dxa"/>
              <w:right w:w="120" w:type="dxa"/>
            </w:tcMar>
            <w:vAlign w:val="center"/>
          </w:tcPr>
          <w:p w14:paraId="7D2F58E6" w14:textId="77777777" w:rsidR="00176CEB" w:rsidRPr="005E0B54" w:rsidRDefault="00000000" w:rsidP="009D1037">
            <w:pPr>
              <w:spacing w:after="40" w:line="240" w:lineRule="auto"/>
              <w:jc w:val="left"/>
              <w:rPr>
                <w:rFonts w:ascii="Arial" w:hAnsi="Arial" w:cs="Arial"/>
              </w:rPr>
            </w:pPr>
            <w:r w:rsidRPr="005E0B54">
              <w:rPr>
                <w:rFonts w:ascii="Arial" w:hAnsi="Arial" w:cs="Arial"/>
              </w:rPr>
              <w:t>3</w:t>
            </w:r>
          </w:p>
        </w:tc>
        <w:tc>
          <w:tcPr>
            <w:tcW w:w="504" w:type="dxa"/>
            <w:shd w:val="clear" w:color="auto" w:fill="F3F6F8"/>
            <w:tcMar>
              <w:top w:w="80" w:type="dxa"/>
              <w:left w:w="120" w:type="dxa"/>
              <w:bottom w:w="80" w:type="dxa"/>
              <w:right w:w="120" w:type="dxa"/>
            </w:tcMar>
            <w:vAlign w:val="center"/>
          </w:tcPr>
          <w:p w14:paraId="1C727C0C" w14:textId="77777777" w:rsidR="00176CEB" w:rsidRPr="005E0B54" w:rsidRDefault="00000000" w:rsidP="009D1037">
            <w:pPr>
              <w:spacing w:after="40" w:line="240" w:lineRule="auto"/>
              <w:jc w:val="left"/>
              <w:rPr>
                <w:rFonts w:ascii="Arial" w:hAnsi="Arial" w:cs="Arial"/>
              </w:rPr>
            </w:pPr>
            <w:r w:rsidRPr="005E0B54">
              <w:rPr>
                <w:rFonts w:ascii="Arial" w:hAnsi="Arial" w:cs="Arial"/>
              </w:rPr>
              <w:t>4</w:t>
            </w:r>
          </w:p>
        </w:tc>
        <w:tc>
          <w:tcPr>
            <w:tcW w:w="2520" w:type="dxa"/>
            <w:shd w:val="clear" w:color="auto" w:fill="F3F6F8"/>
            <w:tcMar>
              <w:top w:w="80" w:type="dxa"/>
              <w:left w:w="120" w:type="dxa"/>
              <w:bottom w:w="80" w:type="dxa"/>
              <w:right w:w="120" w:type="dxa"/>
            </w:tcMar>
            <w:vAlign w:val="center"/>
          </w:tcPr>
          <w:p w14:paraId="6F0DA203" w14:textId="77777777" w:rsidR="00176CEB" w:rsidRPr="005E0B54" w:rsidRDefault="00000000" w:rsidP="009D1037">
            <w:pPr>
              <w:spacing w:after="40" w:line="240" w:lineRule="auto"/>
              <w:jc w:val="left"/>
              <w:rPr>
                <w:rFonts w:ascii="Arial" w:hAnsi="Arial" w:cs="Arial"/>
              </w:rPr>
            </w:pPr>
            <w:r w:rsidRPr="005E0B54">
              <w:rPr>
                <w:rFonts w:ascii="Arial" w:hAnsi="Arial" w:cs="Arial"/>
              </w:rPr>
              <w:t>Interface schedule; factory and site testing</w:t>
            </w:r>
          </w:p>
        </w:tc>
        <w:tc>
          <w:tcPr>
            <w:tcW w:w="1656" w:type="dxa"/>
            <w:shd w:val="clear" w:color="auto" w:fill="F3F6F8"/>
            <w:tcMar>
              <w:top w:w="80" w:type="dxa"/>
              <w:left w:w="120" w:type="dxa"/>
              <w:bottom w:w="80" w:type="dxa"/>
              <w:right w:w="120" w:type="dxa"/>
            </w:tcMar>
            <w:vAlign w:val="center"/>
          </w:tcPr>
          <w:p w14:paraId="790D3C21" w14:textId="77777777" w:rsidR="00176CEB" w:rsidRPr="005E0B54" w:rsidRDefault="00000000" w:rsidP="009D1037">
            <w:pPr>
              <w:spacing w:after="40" w:line="240" w:lineRule="auto"/>
              <w:jc w:val="left"/>
              <w:rPr>
                <w:rFonts w:ascii="Arial" w:hAnsi="Arial" w:cs="Arial"/>
              </w:rPr>
            </w:pPr>
            <w:r w:rsidRPr="005E0B54">
              <w:rPr>
                <w:rFonts w:ascii="Arial" w:hAnsi="Arial" w:cs="Arial"/>
              </w:rPr>
              <w:t>Systems Lead</w:t>
            </w:r>
          </w:p>
        </w:tc>
        <w:tc>
          <w:tcPr>
            <w:tcW w:w="2160" w:type="dxa"/>
            <w:shd w:val="clear" w:color="auto" w:fill="F3F6F8"/>
            <w:tcMar>
              <w:top w:w="80" w:type="dxa"/>
              <w:left w:w="120" w:type="dxa"/>
              <w:bottom w:w="80" w:type="dxa"/>
              <w:right w:w="120" w:type="dxa"/>
            </w:tcMar>
            <w:vAlign w:val="center"/>
          </w:tcPr>
          <w:p w14:paraId="0BC8C589" w14:textId="77777777" w:rsidR="00176CEB" w:rsidRPr="005E0B54" w:rsidRDefault="00000000" w:rsidP="009D1037">
            <w:pPr>
              <w:spacing w:after="40" w:line="240" w:lineRule="auto"/>
              <w:jc w:val="left"/>
              <w:rPr>
                <w:rFonts w:ascii="Arial" w:hAnsi="Arial" w:cs="Arial"/>
              </w:rPr>
            </w:pPr>
            <w:r w:rsidRPr="005E0B54">
              <w:rPr>
                <w:rFonts w:ascii="Arial" w:hAnsi="Arial" w:cs="Arial"/>
              </w:rPr>
              <w:t>Rollback and temporary manual operation</w:t>
            </w:r>
          </w:p>
        </w:tc>
      </w:tr>
    </w:tbl>
    <w:p w14:paraId="5D627780" w14:textId="77777777" w:rsidR="00176CEB" w:rsidRPr="009D1037" w:rsidRDefault="00176CEB" w:rsidP="009D1037">
      <w:pPr>
        <w:spacing w:after="20"/>
        <w:rPr>
          <w:rFonts w:ascii="Arial" w:hAnsi="Arial" w:cs="Arial"/>
          <w:sz w:val="24"/>
          <w:szCs w:val="24"/>
        </w:rPr>
      </w:pPr>
    </w:p>
    <w:p w14:paraId="258F5852" w14:textId="77777777" w:rsidR="00176CEB" w:rsidRPr="009D1037" w:rsidRDefault="00000000" w:rsidP="009D1037">
      <w:pPr>
        <w:spacing w:after="100"/>
        <w:rPr>
          <w:rFonts w:ascii="Arial" w:hAnsi="Arial" w:cs="Arial"/>
          <w:sz w:val="24"/>
          <w:szCs w:val="24"/>
        </w:rPr>
      </w:pPr>
      <w:r w:rsidRPr="009D1037">
        <w:rPr>
          <w:rFonts w:ascii="Arial" w:hAnsi="Arial" w:cs="Arial"/>
          <w:i/>
          <w:color w:val="5A5A5A"/>
          <w:sz w:val="24"/>
          <w:szCs w:val="24"/>
        </w:rPr>
        <w:t>Table 8. Priority risk register</w:t>
      </w:r>
    </w:p>
    <w:p w14:paraId="073C0E12" w14:textId="77777777" w:rsidR="00176CEB" w:rsidRPr="009D1037" w:rsidRDefault="00000000" w:rsidP="009D1037">
      <w:pPr>
        <w:rPr>
          <w:rFonts w:ascii="Arial" w:hAnsi="Arial" w:cs="Arial"/>
          <w:sz w:val="24"/>
          <w:szCs w:val="24"/>
        </w:rPr>
      </w:pPr>
      <w:r w:rsidRPr="009D1037">
        <w:rPr>
          <w:rFonts w:ascii="Arial" w:hAnsi="Arial" w:cs="Arial"/>
          <w:sz w:val="24"/>
          <w:szCs w:val="24"/>
        </w:rPr>
        <w:t>Risk owners are responsible for implementing responses, but the project manager retains accountability for the overall process. Opportunities will also be recorded, including off-site fabrication, shared possessions and digital passenger information that may reduce duration or disruption. The register will be linked to cost and schedule contingency so that uncertainty is visible in forecasts rather than hidden in optimistic assumptions.</w:t>
      </w:r>
    </w:p>
    <w:p w14:paraId="25F47892" w14:textId="77777777" w:rsidR="00176CEB" w:rsidRPr="009D1037" w:rsidRDefault="00000000" w:rsidP="009D1037">
      <w:pPr>
        <w:pStyle w:val="Heading1"/>
        <w:rPr>
          <w:rFonts w:ascii="Arial" w:hAnsi="Arial" w:cs="Arial"/>
          <w:sz w:val="24"/>
          <w:szCs w:val="24"/>
        </w:rPr>
      </w:pPr>
      <w:bookmarkStart w:id="17" w:name="_Toc236576003"/>
      <w:r w:rsidRPr="009D1037">
        <w:rPr>
          <w:rFonts w:ascii="Arial" w:hAnsi="Arial" w:cs="Arial"/>
          <w:sz w:val="24"/>
          <w:szCs w:val="24"/>
        </w:rPr>
        <w:t>10. Quality, Monitoring and Reporting</w:t>
      </w:r>
      <w:bookmarkEnd w:id="17"/>
    </w:p>
    <w:p w14:paraId="2EC23D13" w14:textId="77777777" w:rsidR="00176CEB" w:rsidRPr="009D1037" w:rsidRDefault="00000000" w:rsidP="009D1037">
      <w:pPr>
        <w:rPr>
          <w:rFonts w:ascii="Arial" w:hAnsi="Arial" w:cs="Arial"/>
          <w:sz w:val="24"/>
          <w:szCs w:val="24"/>
        </w:rPr>
      </w:pPr>
      <w:r w:rsidRPr="009D1037">
        <w:rPr>
          <w:rFonts w:ascii="Arial" w:hAnsi="Arial" w:cs="Arial"/>
          <w:sz w:val="24"/>
          <w:szCs w:val="24"/>
        </w:rPr>
        <w:t>Quality will be planned through design reviews, inspection and test plans, hold points, material approvals and defect tracking. Network Rail’s station-design principles will inform passenger movement, legibility and inclusive experience where relevant (Network Rail, 2024). No safety-critical or passenger-facing system will enter service without documented verification. The commissioning manager will maintain a requirements matrix linking each requirement to its test evidence and acceptance authority.</w:t>
      </w:r>
    </w:p>
    <w:p w14:paraId="6CADD90B" w14:textId="047C1C0C" w:rsidR="00176CEB" w:rsidRPr="009D1037" w:rsidRDefault="00000000" w:rsidP="009D1037">
      <w:pPr>
        <w:rPr>
          <w:rFonts w:ascii="Arial" w:hAnsi="Arial" w:cs="Arial"/>
          <w:sz w:val="24"/>
          <w:szCs w:val="24"/>
        </w:rPr>
      </w:pPr>
      <w:r w:rsidRPr="009D1037">
        <w:rPr>
          <w:rFonts w:ascii="Arial" w:hAnsi="Arial" w:cs="Arial"/>
          <w:sz w:val="24"/>
          <w:szCs w:val="24"/>
        </w:rPr>
        <w:t xml:space="preserve">A concise weekly dashboard will report milestone status, schedule variance, budget forecast, safety performance, open high risks, change requests, quality defects and stakeholder issues. Red status will be used only where a tolerance is forecast to be </w:t>
      </w:r>
      <w:r w:rsidR="00F40639" w:rsidRPr="009D1037">
        <w:rPr>
          <w:rFonts w:ascii="Arial" w:hAnsi="Arial" w:cs="Arial"/>
          <w:sz w:val="24"/>
          <w:szCs w:val="24"/>
        </w:rPr>
        <w:t>exceeded,</w:t>
      </w:r>
      <w:r w:rsidRPr="009D1037">
        <w:rPr>
          <w:rFonts w:ascii="Arial" w:hAnsi="Arial" w:cs="Arial"/>
          <w:sz w:val="24"/>
          <w:szCs w:val="24"/>
        </w:rPr>
        <w:t xml:space="preserve"> and management action is required. Monthly steering-committee reports will focus on decisions and trends rather than repeating operational detail. At closure, the team will confirm deliverable acceptance, reconcile costs, archive records and hold a lessons-learned review. Benefits such as reliability, passenger satisfaction and energy performance will be reviewed after opening by the sponsor and operators.</w:t>
      </w:r>
    </w:p>
    <w:p w14:paraId="646C5E59" w14:textId="77777777" w:rsidR="00176CEB" w:rsidRPr="009D1037" w:rsidRDefault="00000000" w:rsidP="009D1037">
      <w:pPr>
        <w:pStyle w:val="Heading1"/>
        <w:rPr>
          <w:rFonts w:ascii="Arial" w:hAnsi="Arial" w:cs="Arial"/>
          <w:sz w:val="24"/>
          <w:szCs w:val="24"/>
        </w:rPr>
      </w:pPr>
      <w:bookmarkStart w:id="18" w:name="_Toc236576004"/>
      <w:r w:rsidRPr="009D1037">
        <w:rPr>
          <w:rFonts w:ascii="Arial" w:hAnsi="Arial" w:cs="Arial"/>
          <w:sz w:val="24"/>
          <w:szCs w:val="24"/>
        </w:rPr>
        <w:t>11. Conclusion</w:t>
      </w:r>
      <w:bookmarkEnd w:id="18"/>
    </w:p>
    <w:p w14:paraId="2C6C76FE" w14:textId="77777777" w:rsidR="00176CEB" w:rsidRPr="009D1037" w:rsidRDefault="00000000" w:rsidP="009D1037">
      <w:pPr>
        <w:rPr>
          <w:rFonts w:ascii="Arial" w:hAnsi="Arial" w:cs="Arial"/>
          <w:sz w:val="24"/>
          <w:szCs w:val="24"/>
        </w:rPr>
      </w:pPr>
      <w:r w:rsidRPr="009D1037">
        <w:rPr>
          <w:rFonts w:ascii="Arial" w:hAnsi="Arial" w:cs="Arial"/>
          <w:sz w:val="24"/>
          <w:szCs w:val="24"/>
        </w:rPr>
        <w:t xml:space="preserve">This plan provides a practical route for redeveloping the Central Transport Hub without unnecessary interruption to passenger services. Its success depends on commissioning the temporary facility before permanent works begin, maintaining disciplined scope and change control, and coordinating the organisations that operate, regulate, build and use the hub. The WBS, schedule, budget, stakeholder plan and risk register are therefore connected components of one control system rather than standalone assessment tools. </w:t>
      </w:r>
      <w:r w:rsidRPr="009D1037">
        <w:rPr>
          <w:rFonts w:ascii="Arial" w:hAnsi="Arial" w:cs="Arial"/>
          <w:sz w:val="24"/>
          <w:szCs w:val="24"/>
        </w:rPr>
        <w:lastRenderedPageBreak/>
        <w:t>With clear accountability, evidence-based decisions and regular performance reviews, the project can deliver a safer, more accessible and more reliable transport hub within the six-month programme and £35 million baseline.</w:t>
      </w:r>
    </w:p>
    <w:p w14:paraId="581DAF03" w14:textId="77777777" w:rsidR="00176CEB" w:rsidRPr="009D1037" w:rsidRDefault="00000000" w:rsidP="009D1037">
      <w:pPr>
        <w:pStyle w:val="Heading1"/>
        <w:rPr>
          <w:rFonts w:ascii="Arial" w:hAnsi="Arial" w:cs="Arial"/>
          <w:sz w:val="24"/>
          <w:szCs w:val="24"/>
        </w:rPr>
      </w:pPr>
      <w:bookmarkStart w:id="19" w:name="_Toc236576005"/>
      <w:r w:rsidRPr="009D1037">
        <w:rPr>
          <w:rFonts w:ascii="Arial" w:hAnsi="Arial" w:cs="Arial"/>
          <w:sz w:val="24"/>
          <w:szCs w:val="24"/>
        </w:rPr>
        <w:t>References</w:t>
      </w:r>
      <w:bookmarkEnd w:id="19"/>
    </w:p>
    <w:p w14:paraId="05CFDD89" w14:textId="77777777" w:rsidR="00176CEB" w:rsidRPr="005E0B54" w:rsidRDefault="00000000" w:rsidP="005E0B54">
      <w:pPr>
        <w:pStyle w:val="ListParagraph"/>
        <w:numPr>
          <w:ilvl w:val="0"/>
          <w:numId w:val="10"/>
        </w:numPr>
        <w:spacing w:after="100"/>
        <w:jc w:val="left"/>
        <w:rPr>
          <w:rFonts w:ascii="Arial" w:hAnsi="Arial" w:cs="Arial"/>
          <w:sz w:val="24"/>
          <w:szCs w:val="24"/>
        </w:rPr>
      </w:pPr>
      <w:r w:rsidRPr="005E0B54">
        <w:rPr>
          <w:rFonts w:ascii="Arial" w:hAnsi="Arial" w:cs="Arial"/>
          <w:sz w:val="24"/>
          <w:szCs w:val="24"/>
        </w:rPr>
        <w:t>Association for Project Management (2025) APM Body of Knowledge. 8th edn. Princes Risborough: Association for Project Management.</w:t>
      </w:r>
    </w:p>
    <w:p w14:paraId="12728346" w14:textId="77777777" w:rsidR="00176CEB" w:rsidRPr="005E0B54" w:rsidRDefault="00000000" w:rsidP="005E0B54">
      <w:pPr>
        <w:pStyle w:val="ListParagraph"/>
        <w:numPr>
          <w:ilvl w:val="0"/>
          <w:numId w:val="10"/>
        </w:numPr>
        <w:spacing w:after="100"/>
        <w:jc w:val="left"/>
        <w:rPr>
          <w:rFonts w:ascii="Arial" w:hAnsi="Arial" w:cs="Arial"/>
          <w:sz w:val="24"/>
          <w:szCs w:val="24"/>
        </w:rPr>
      </w:pPr>
      <w:r w:rsidRPr="005E0B54">
        <w:rPr>
          <w:rFonts w:ascii="Arial" w:hAnsi="Arial" w:cs="Arial"/>
          <w:sz w:val="24"/>
          <w:szCs w:val="24"/>
        </w:rPr>
        <w:t>Bourne, L. (2016) Stakeholder Relationship Management. 2nd edn. Abingdon: Routledge.</w:t>
      </w:r>
    </w:p>
    <w:p w14:paraId="4E22D83D" w14:textId="77777777" w:rsidR="00176CEB" w:rsidRPr="005E0B54" w:rsidRDefault="00000000" w:rsidP="005E0B54">
      <w:pPr>
        <w:pStyle w:val="ListParagraph"/>
        <w:numPr>
          <w:ilvl w:val="0"/>
          <w:numId w:val="10"/>
        </w:numPr>
        <w:spacing w:after="100"/>
        <w:jc w:val="left"/>
        <w:rPr>
          <w:rFonts w:ascii="Arial" w:hAnsi="Arial" w:cs="Arial"/>
          <w:sz w:val="24"/>
          <w:szCs w:val="24"/>
        </w:rPr>
      </w:pPr>
      <w:r w:rsidRPr="005E0B54">
        <w:rPr>
          <w:rFonts w:ascii="Arial" w:hAnsi="Arial" w:cs="Arial"/>
          <w:sz w:val="24"/>
          <w:szCs w:val="24"/>
        </w:rPr>
        <w:t>Department for Transport (2023) Transport Infrastructure Strategy. London: Department for Transport.</w:t>
      </w:r>
    </w:p>
    <w:p w14:paraId="29CE84C3" w14:textId="77777777" w:rsidR="00176CEB" w:rsidRPr="005E0B54" w:rsidRDefault="00000000" w:rsidP="005E0B54">
      <w:pPr>
        <w:pStyle w:val="ListParagraph"/>
        <w:numPr>
          <w:ilvl w:val="0"/>
          <w:numId w:val="10"/>
        </w:numPr>
        <w:spacing w:after="100"/>
        <w:jc w:val="left"/>
        <w:rPr>
          <w:rFonts w:ascii="Arial" w:hAnsi="Arial" w:cs="Arial"/>
          <w:sz w:val="24"/>
          <w:szCs w:val="24"/>
        </w:rPr>
      </w:pPr>
      <w:r w:rsidRPr="005E0B54">
        <w:rPr>
          <w:rFonts w:ascii="Arial" w:hAnsi="Arial" w:cs="Arial"/>
          <w:sz w:val="24"/>
          <w:szCs w:val="24"/>
        </w:rPr>
        <w:t>Fleming, Q.W. and Koppelman, J.M. (2016) Earned Value Project Management. 4th edn. Newtown Square, PA: Project Management Institute.</w:t>
      </w:r>
    </w:p>
    <w:p w14:paraId="72C7F631" w14:textId="77777777" w:rsidR="00176CEB" w:rsidRPr="005E0B54" w:rsidRDefault="00000000" w:rsidP="005E0B54">
      <w:pPr>
        <w:pStyle w:val="ListParagraph"/>
        <w:numPr>
          <w:ilvl w:val="0"/>
          <w:numId w:val="10"/>
        </w:numPr>
        <w:spacing w:after="100"/>
        <w:jc w:val="left"/>
        <w:rPr>
          <w:rFonts w:ascii="Arial" w:hAnsi="Arial" w:cs="Arial"/>
          <w:sz w:val="24"/>
          <w:szCs w:val="24"/>
        </w:rPr>
      </w:pPr>
      <w:r w:rsidRPr="005E0B54">
        <w:rPr>
          <w:rFonts w:ascii="Arial" w:hAnsi="Arial" w:cs="Arial"/>
          <w:sz w:val="24"/>
          <w:szCs w:val="24"/>
        </w:rPr>
        <w:t>Heagney, J. (2023) Fundamentals of Project Management. 6th edn. New York: AMACOM.</w:t>
      </w:r>
    </w:p>
    <w:p w14:paraId="7C3CAF55" w14:textId="77777777" w:rsidR="00176CEB" w:rsidRPr="005E0B54" w:rsidRDefault="00000000" w:rsidP="005E0B54">
      <w:pPr>
        <w:pStyle w:val="ListParagraph"/>
        <w:numPr>
          <w:ilvl w:val="0"/>
          <w:numId w:val="10"/>
        </w:numPr>
        <w:spacing w:after="100"/>
        <w:jc w:val="left"/>
        <w:rPr>
          <w:rFonts w:ascii="Arial" w:hAnsi="Arial" w:cs="Arial"/>
          <w:sz w:val="24"/>
          <w:szCs w:val="24"/>
        </w:rPr>
      </w:pPr>
      <w:r w:rsidRPr="005E0B54">
        <w:rPr>
          <w:rFonts w:ascii="Arial" w:hAnsi="Arial" w:cs="Arial"/>
          <w:sz w:val="24"/>
          <w:szCs w:val="24"/>
        </w:rPr>
        <w:t>Health and Safety Executive (2023) Managing Health and Safety in Construction. London: HSE.</w:t>
      </w:r>
    </w:p>
    <w:p w14:paraId="3F1F418C" w14:textId="77777777" w:rsidR="00176CEB" w:rsidRPr="005E0B54" w:rsidRDefault="00000000" w:rsidP="005E0B54">
      <w:pPr>
        <w:pStyle w:val="ListParagraph"/>
        <w:numPr>
          <w:ilvl w:val="0"/>
          <w:numId w:val="10"/>
        </w:numPr>
        <w:spacing w:after="100"/>
        <w:jc w:val="left"/>
        <w:rPr>
          <w:rFonts w:ascii="Arial" w:hAnsi="Arial" w:cs="Arial"/>
          <w:sz w:val="24"/>
          <w:szCs w:val="24"/>
        </w:rPr>
      </w:pPr>
      <w:r w:rsidRPr="005E0B54">
        <w:rPr>
          <w:rFonts w:ascii="Arial" w:hAnsi="Arial" w:cs="Arial"/>
          <w:sz w:val="24"/>
          <w:szCs w:val="24"/>
        </w:rPr>
        <w:t>HM Government (2021) Net Zero Strategy: Build Back Greener. London: HM Government.</w:t>
      </w:r>
    </w:p>
    <w:p w14:paraId="2D226077" w14:textId="77777777" w:rsidR="00176CEB" w:rsidRPr="005E0B54" w:rsidRDefault="00000000" w:rsidP="005E0B54">
      <w:pPr>
        <w:pStyle w:val="ListParagraph"/>
        <w:numPr>
          <w:ilvl w:val="0"/>
          <w:numId w:val="10"/>
        </w:numPr>
        <w:spacing w:after="100"/>
        <w:jc w:val="left"/>
        <w:rPr>
          <w:rFonts w:ascii="Arial" w:hAnsi="Arial" w:cs="Arial"/>
          <w:sz w:val="24"/>
          <w:szCs w:val="24"/>
        </w:rPr>
      </w:pPr>
      <w:r w:rsidRPr="005E0B54">
        <w:rPr>
          <w:rFonts w:ascii="Arial" w:hAnsi="Arial" w:cs="Arial"/>
          <w:sz w:val="24"/>
          <w:szCs w:val="24"/>
        </w:rPr>
        <w:t>International Organization for Standardization (2018) ISO 31000:2018 Risk Management — Guidelines. Geneva: ISO.</w:t>
      </w:r>
    </w:p>
    <w:p w14:paraId="1ADB8F72" w14:textId="77777777" w:rsidR="00176CEB" w:rsidRPr="005E0B54" w:rsidRDefault="00000000" w:rsidP="005E0B54">
      <w:pPr>
        <w:pStyle w:val="ListParagraph"/>
        <w:numPr>
          <w:ilvl w:val="0"/>
          <w:numId w:val="10"/>
        </w:numPr>
        <w:spacing w:after="100"/>
        <w:jc w:val="left"/>
        <w:rPr>
          <w:rFonts w:ascii="Arial" w:hAnsi="Arial" w:cs="Arial"/>
          <w:sz w:val="24"/>
          <w:szCs w:val="24"/>
        </w:rPr>
      </w:pPr>
      <w:r w:rsidRPr="005E0B54">
        <w:rPr>
          <w:rFonts w:ascii="Arial" w:hAnsi="Arial" w:cs="Arial"/>
          <w:sz w:val="24"/>
          <w:szCs w:val="24"/>
        </w:rPr>
        <w:t>Kerzner, H. (2022) Project Management: A Systems Approach to Planning, Scheduling and Controlling. 13th edn. Hoboken, NJ: Wiley.</w:t>
      </w:r>
    </w:p>
    <w:p w14:paraId="741AD690" w14:textId="77777777" w:rsidR="00176CEB" w:rsidRPr="005E0B54" w:rsidRDefault="00000000" w:rsidP="005E0B54">
      <w:pPr>
        <w:pStyle w:val="ListParagraph"/>
        <w:numPr>
          <w:ilvl w:val="0"/>
          <w:numId w:val="10"/>
        </w:numPr>
        <w:spacing w:after="100"/>
        <w:jc w:val="left"/>
        <w:rPr>
          <w:rFonts w:ascii="Arial" w:hAnsi="Arial" w:cs="Arial"/>
          <w:sz w:val="24"/>
          <w:szCs w:val="24"/>
        </w:rPr>
      </w:pPr>
      <w:r w:rsidRPr="005E0B54">
        <w:rPr>
          <w:rFonts w:ascii="Arial" w:hAnsi="Arial" w:cs="Arial"/>
          <w:sz w:val="24"/>
          <w:szCs w:val="24"/>
        </w:rPr>
        <w:t>Meredith, J.R., Shafer, S.M. and Mantel, S.J. (2022) Project Management: A Strategic Managerial Approach. 11th edn. Hoboken, NJ: Wiley.</w:t>
      </w:r>
    </w:p>
    <w:p w14:paraId="44A63D76" w14:textId="77777777" w:rsidR="00176CEB" w:rsidRPr="005E0B54" w:rsidRDefault="00000000" w:rsidP="005E0B54">
      <w:pPr>
        <w:pStyle w:val="ListParagraph"/>
        <w:numPr>
          <w:ilvl w:val="0"/>
          <w:numId w:val="10"/>
        </w:numPr>
        <w:spacing w:after="100"/>
        <w:jc w:val="left"/>
        <w:rPr>
          <w:rFonts w:ascii="Arial" w:hAnsi="Arial" w:cs="Arial"/>
          <w:sz w:val="24"/>
          <w:szCs w:val="24"/>
        </w:rPr>
      </w:pPr>
      <w:r w:rsidRPr="005E0B54">
        <w:rPr>
          <w:rFonts w:ascii="Arial" w:hAnsi="Arial" w:cs="Arial"/>
          <w:sz w:val="24"/>
          <w:szCs w:val="24"/>
        </w:rPr>
        <w:t>Network Rail (2024) Station Design Principles. London: Network Rail.</w:t>
      </w:r>
    </w:p>
    <w:p w14:paraId="3890A7F7" w14:textId="77777777" w:rsidR="00176CEB" w:rsidRPr="005E0B54" w:rsidRDefault="00000000" w:rsidP="005E0B54">
      <w:pPr>
        <w:pStyle w:val="ListParagraph"/>
        <w:numPr>
          <w:ilvl w:val="0"/>
          <w:numId w:val="10"/>
        </w:numPr>
        <w:spacing w:after="100"/>
        <w:jc w:val="left"/>
        <w:rPr>
          <w:rFonts w:ascii="Arial" w:hAnsi="Arial" w:cs="Arial"/>
          <w:sz w:val="24"/>
          <w:szCs w:val="24"/>
        </w:rPr>
      </w:pPr>
      <w:r w:rsidRPr="005E0B54">
        <w:rPr>
          <w:rFonts w:ascii="Arial" w:hAnsi="Arial" w:cs="Arial"/>
          <w:sz w:val="24"/>
          <w:szCs w:val="24"/>
        </w:rPr>
        <w:t>Project Management Institute (2021) A Guide to the Project Management Body of Knowledge (PMBOK Guide). 7th edn. Newtown Square, PA: Project Management Institute.</w:t>
      </w:r>
    </w:p>
    <w:p w14:paraId="20888F3E" w14:textId="77777777" w:rsidR="00176CEB" w:rsidRPr="005E0B54" w:rsidRDefault="00000000" w:rsidP="005E0B54">
      <w:pPr>
        <w:pStyle w:val="ListParagraph"/>
        <w:numPr>
          <w:ilvl w:val="0"/>
          <w:numId w:val="10"/>
        </w:numPr>
        <w:spacing w:after="100"/>
        <w:jc w:val="left"/>
        <w:rPr>
          <w:rFonts w:ascii="Arial" w:hAnsi="Arial" w:cs="Arial"/>
          <w:sz w:val="24"/>
          <w:szCs w:val="24"/>
        </w:rPr>
      </w:pPr>
      <w:r w:rsidRPr="005E0B54">
        <w:rPr>
          <w:rFonts w:ascii="Arial" w:hAnsi="Arial" w:cs="Arial"/>
          <w:sz w:val="24"/>
          <w:szCs w:val="24"/>
        </w:rPr>
        <w:t>Turner, J.R. (2014) The Handbook of Project-Based Management. 4th edn. New York: McGraw-Hill.</w:t>
      </w:r>
    </w:p>
    <w:p w14:paraId="31EBEF34" w14:textId="77777777" w:rsidR="00176CEB" w:rsidRPr="005E0B54" w:rsidRDefault="00000000" w:rsidP="005E0B54">
      <w:pPr>
        <w:pStyle w:val="ListParagraph"/>
        <w:numPr>
          <w:ilvl w:val="0"/>
          <w:numId w:val="10"/>
        </w:numPr>
        <w:spacing w:after="100"/>
        <w:jc w:val="left"/>
        <w:rPr>
          <w:rFonts w:ascii="Arial" w:hAnsi="Arial" w:cs="Arial"/>
          <w:sz w:val="24"/>
          <w:szCs w:val="24"/>
        </w:rPr>
      </w:pPr>
      <w:r w:rsidRPr="005E0B54">
        <w:rPr>
          <w:rFonts w:ascii="Arial" w:hAnsi="Arial" w:cs="Arial"/>
          <w:sz w:val="24"/>
          <w:szCs w:val="24"/>
        </w:rPr>
        <w:t>Ward, S. and Chapman, C. (2003) ‘Transforming project risk management into project uncertainty management’, International Journal of Project Management, 21(2), pp. 97–105.</w:t>
      </w:r>
    </w:p>
    <w:p w14:paraId="434461C7" w14:textId="77777777" w:rsidR="00176CEB" w:rsidRPr="005E0B54" w:rsidRDefault="00000000" w:rsidP="005E0B54">
      <w:pPr>
        <w:pStyle w:val="ListParagraph"/>
        <w:numPr>
          <w:ilvl w:val="0"/>
          <w:numId w:val="10"/>
        </w:numPr>
        <w:spacing w:after="100"/>
        <w:jc w:val="left"/>
        <w:rPr>
          <w:rFonts w:ascii="Arial" w:hAnsi="Arial" w:cs="Arial"/>
          <w:sz w:val="24"/>
          <w:szCs w:val="24"/>
        </w:rPr>
      </w:pPr>
      <w:r w:rsidRPr="005E0B54">
        <w:rPr>
          <w:rFonts w:ascii="Arial" w:hAnsi="Arial" w:cs="Arial"/>
          <w:sz w:val="24"/>
          <w:szCs w:val="24"/>
        </w:rPr>
        <w:lastRenderedPageBreak/>
        <w:t>Boud, D., Keogh, R. and Walker, D. (1985) Reflection: Turning Experience into Learning. London: Kogan Page.</w:t>
      </w:r>
    </w:p>
    <w:p w14:paraId="3167D880" w14:textId="77777777" w:rsidR="00176CEB" w:rsidRPr="005E0B54" w:rsidRDefault="00000000" w:rsidP="005E0B54">
      <w:pPr>
        <w:pStyle w:val="ListParagraph"/>
        <w:numPr>
          <w:ilvl w:val="0"/>
          <w:numId w:val="10"/>
        </w:numPr>
        <w:spacing w:after="100"/>
        <w:jc w:val="left"/>
        <w:rPr>
          <w:rFonts w:ascii="Arial" w:hAnsi="Arial" w:cs="Arial"/>
          <w:sz w:val="24"/>
          <w:szCs w:val="24"/>
        </w:rPr>
      </w:pPr>
      <w:r w:rsidRPr="005E0B54">
        <w:rPr>
          <w:rFonts w:ascii="Arial" w:hAnsi="Arial" w:cs="Arial"/>
          <w:sz w:val="24"/>
          <w:szCs w:val="24"/>
        </w:rPr>
        <w:t>Brookfield, S.D. (2017) Becoming a Critically Reflective Teacher. 2nd edn. San Francisco, CA: Jossey-Bass.</w:t>
      </w:r>
    </w:p>
    <w:p w14:paraId="77E96BBB" w14:textId="77777777" w:rsidR="00176CEB" w:rsidRPr="005E0B54" w:rsidRDefault="00000000" w:rsidP="005E0B54">
      <w:pPr>
        <w:pStyle w:val="ListParagraph"/>
        <w:numPr>
          <w:ilvl w:val="0"/>
          <w:numId w:val="10"/>
        </w:numPr>
        <w:spacing w:after="100"/>
        <w:jc w:val="left"/>
        <w:rPr>
          <w:rFonts w:ascii="Arial" w:hAnsi="Arial" w:cs="Arial"/>
          <w:sz w:val="24"/>
          <w:szCs w:val="24"/>
        </w:rPr>
      </w:pPr>
      <w:r w:rsidRPr="005E0B54">
        <w:rPr>
          <w:rFonts w:ascii="Arial" w:hAnsi="Arial" w:cs="Arial"/>
          <w:sz w:val="24"/>
          <w:szCs w:val="24"/>
        </w:rPr>
        <w:t>Kolb, D.A. (1984) Experiential Learning: Experience as the Source of Learning and Development. Englewood Cliffs, NJ: Prentice Hall.</w:t>
      </w:r>
    </w:p>
    <w:p w14:paraId="50D6DED7" w14:textId="77777777" w:rsidR="00176CEB" w:rsidRPr="005E0B54" w:rsidRDefault="00000000" w:rsidP="005E0B54">
      <w:pPr>
        <w:pStyle w:val="ListParagraph"/>
        <w:numPr>
          <w:ilvl w:val="0"/>
          <w:numId w:val="10"/>
        </w:numPr>
        <w:spacing w:after="100"/>
        <w:jc w:val="left"/>
        <w:rPr>
          <w:rFonts w:ascii="Arial" w:hAnsi="Arial" w:cs="Arial"/>
          <w:sz w:val="24"/>
          <w:szCs w:val="24"/>
        </w:rPr>
      </w:pPr>
      <w:r w:rsidRPr="005E0B54">
        <w:rPr>
          <w:rFonts w:ascii="Arial" w:hAnsi="Arial" w:cs="Arial"/>
          <w:sz w:val="24"/>
          <w:szCs w:val="24"/>
        </w:rPr>
        <w:t>Moon, J.A. (2004) A Handbook of Reflective and Experiential Learning: Theory and Practice. London: RoutledgeFalmer.</w:t>
      </w:r>
    </w:p>
    <w:p w14:paraId="5E2FCC53" w14:textId="77777777" w:rsidR="00176CEB" w:rsidRPr="005E0B54" w:rsidRDefault="00000000" w:rsidP="005E0B54">
      <w:pPr>
        <w:pStyle w:val="ListParagraph"/>
        <w:numPr>
          <w:ilvl w:val="0"/>
          <w:numId w:val="10"/>
        </w:numPr>
        <w:spacing w:after="100"/>
        <w:jc w:val="left"/>
        <w:rPr>
          <w:rFonts w:ascii="Arial" w:hAnsi="Arial" w:cs="Arial"/>
          <w:sz w:val="24"/>
          <w:szCs w:val="24"/>
        </w:rPr>
      </w:pPr>
      <w:r w:rsidRPr="005E0B54">
        <w:rPr>
          <w:rFonts w:ascii="Arial" w:hAnsi="Arial" w:cs="Arial"/>
          <w:sz w:val="24"/>
          <w:szCs w:val="24"/>
        </w:rPr>
        <w:t>Schön, D.A. (1983) The Reflective Practitioner: How Professionals Think in Action. New York: Basic Books.</w:t>
      </w:r>
    </w:p>
    <w:sectPr w:rsidR="00176CEB" w:rsidRPr="005E0B54" w:rsidSect="00034616">
      <w:headerReference w:type="default" r:id="rId9"/>
      <w:footerReference w:type="default" r:id="rId10"/>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2F96E25" w14:textId="77777777" w:rsidR="009977E8" w:rsidRDefault="009977E8">
      <w:pPr>
        <w:spacing w:after="0" w:line="240" w:lineRule="auto"/>
      </w:pPr>
      <w:r>
        <w:separator/>
      </w:r>
    </w:p>
  </w:endnote>
  <w:endnote w:type="continuationSeparator" w:id="0">
    <w:p w14:paraId="0BCB9412" w14:textId="77777777" w:rsidR="009977E8" w:rsidRDefault="009977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3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8E30060" w14:textId="77777777" w:rsidR="00176CEB" w:rsidRDefault="00000000">
    <w:pPr>
      <w:pStyle w:val="Footer"/>
      <w:jc w:val="center"/>
    </w:pPr>
    <w:r>
      <w:fldChar w:fldCharType="begin"/>
    </w:r>
    <w:r>
      <w:instrText>PAGE</w:instrText>
    </w:r>
    <w:r>
      <w:fldChar w:fldCharType="separate"/>
    </w:r>
    <w:r w:rsidR="00421DE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21AED91" w14:textId="77777777" w:rsidR="009977E8" w:rsidRDefault="009977E8">
      <w:pPr>
        <w:spacing w:after="0" w:line="240" w:lineRule="auto"/>
      </w:pPr>
      <w:r>
        <w:separator/>
      </w:r>
    </w:p>
  </w:footnote>
  <w:footnote w:type="continuationSeparator" w:id="0">
    <w:p w14:paraId="32D3FD7D" w14:textId="77777777" w:rsidR="009977E8" w:rsidRDefault="009977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5B54F8" w14:textId="6D217BA5" w:rsidR="00176CEB" w:rsidRDefault="00176CEB">
    <w:pPr>
      <w:pStyle w:val="Header"/>
      <w:jc w:val="left"/>
      <w:rPr>
        <w:b/>
        <w:color w:val="646464"/>
        <w:sz w:val="17"/>
        <w:lang w:val="en-GB"/>
      </w:rPr>
    </w:pPr>
  </w:p>
  <w:p w14:paraId="3B117DEB" w14:textId="77777777" w:rsidR="009D1037" w:rsidRPr="009D1037" w:rsidRDefault="009D1037">
    <w:pPr>
      <w:pStyle w:val="Header"/>
      <w:jc w:val="left"/>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D5A090D"/>
    <w:multiLevelType w:val="hybridMultilevel"/>
    <w:tmpl w:val="EC7CF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0159287">
    <w:abstractNumId w:val="8"/>
  </w:num>
  <w:num w:numId="2" w16cid:durableId="1803881803">
    <w:abstractNumId w:val="6"/>
  </w:num>
  <w:num w:numId="3" w16cid:durableId="1031371981">
    <w:abstractNumId w:val="5"/>
  </w:num>
  <w:num w:numId="4" w16cid:durableId="1342585520">
    <w:abstractNumId w:val="4"/>
  </w:num>
  <w:num w:numId="5" w16cid:durableId="390155785">
    <w:abstractNumId w:val="7"/>
  </w:num>
  <w:num w:numId="6" w16cid:durableId="846603811">
    <w:abstractNumId w:val="3"/>
  </w:num>
  <w:num w:numId="7" w16cid:durableId="1262297035">
    <w:abstractNumId w:val="2"/>
  </w:num>
  <w:num w:numId="8" w16cid:durableId="329411056">
    <w:abstractNumId w:val="1"/>
  </w:num>
  <w:num w:numId="9" w16cid:durableId="102964564">
    <w:abstractNumId w:val="0"/>
  </w:num>
  <w:num w:numId="10" w16cid:durableId="263653507">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76CEB"/>
    <w:rsid w:val="00177FB8"/>
    <w:rsid w:val="0029639D"/>
    <w:rsid w:val="00326F90"/>
    <w:rsid w:val="00421DE2"/>
    <w:rsid w:val="005E0B54"/>
    <w:rsid w:val="006239D3"/>
    <w:rsid w:val="009977E8"/>
    <w:rsid w:val="009D1037"/>
    <w:rsid w:val="00AA1D8D"/>
    <w:rsid w:val="00B47730"/>
    <w:rsid w:val="00CB0664"/>
    <w:rsid w:val="00E255FD"/>
    <w:rsid w:val="00F4063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71E92D2"/>
  <w14:defaultImageDpi w14:val="300"/>
  <w15:docId w15:val="{84321F10-95BE-4F4B-931B-79ABE8ECC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60" w:line="319" w:lineRule="auto"/>
      <w:jc w:val="both"/>
    </w:pPr>
    <w:rPr>
      <w:rFonts w:ascii="Calibri" w:hAnsi="Calibri"/>
    </w:rPr>
  </w:style>
  <w:style w:type="paragraph" w:styleId="Heading1">
    <w:name w:val="heading 1"/>
    <w:basedOn w:val="Normal"/>
    <w:next w:val="Normal"/>
    <w:link w:val="Heading1Char"/>
    <w:uiPriority w:val="9"/>
    <w:qFormat/>
    <w:rsid w:val="00FC693F"/>
    <w:pPr>
      <w:keepNext/>
      <w:keepLines/>
      <w:spacing w:before="360" w:after="200"/>
      <w:outlineLvl w:val="0"/>
    </w:pPr>
    <w:rPr>
      <w:rFonts w:asciiTheme="majorHAnsi" w:eastAsiaTheme="majorEastAsia" w:hAnsiTheme="majorHAnsi" w:cstheme="majorBidi"/>
      <w:b/>
      <w:bCs/>
      <w:color w:val="1F4E79"/>
      <w:sz w:val="32"/>
      <w:szCs w:val="28"/>
    </w:rPr>
  </w:style>
  <w:style w:type="paragraph" w:styleId="Heading2">
    <w:name w:val="heading 2"/>
    <w:basedOn w:val="Normal"/>
    <w:next w:val="Normal"/>
    <w:link w:val="Heading2Char"/>
    <w:uiPriority w:val="9"/>
    <w:unhideWhenUsed/>
    <w:qFormat/>
    <w:rsid w:val="00FC693F"/>
    <w:pPr>
      <w:keepNext/>
      <w:keepLines/>
      <w:spacing w:before="240" w:after="120"/>
      <w:outlineLvl w:val="1"/>
    </w:pPr>
    <w:rPr>
      <w:rFonts w:asciiTheme="majorHAnsi" w:eastAsiaTheme="majorEastAsia" w:hAnsiTheme="majorHAnsi" w:cstheme="majorBidi"/>
      <w:b/>
      <w:bCs/>
      <w:color w:val="1F4E79"/>
      <w:sz w:val="26"/>
      <w:szCs w:val="26"/>
    </w:rPr>
  </w:style>
  <w:style w:type="paragraph" w:styleId="Heading3">
    <w:name w:val="heading 3"/>
    <w:basedOn w:val="Normal"/>
    <w:next w:val="Normal"/>
    <w:link w:val="Heading3Char"/>
    <w:uiPriority w:val="9"/>
    <w:unhideWhenUsed/>
    <w:qFormat/>
    <w:rsid w:val="00FC693F"/>
    <w:pPr>
      <w:keepNext/>
      <w:keepLines/>
      <w:spacing w:before="160" w:after="80"/>
      <w:outlineLvl w:val="2"/>
    </w:pPr>
    <w:rPr>
      <w:rFonts w:asciiTheme="majorHAnsi" w:eastAsiaTheme="majorEastAsia" w:hAnsiTheme="majorHAnsi" w:cstheme="majorBidi"/>
      <w:b/>
      <w:bCs/>
      <w:color w:val="1F4E79"/>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9D1037"/>
    <w:pPr>
      <w:spacing w:before="120" w:after="0"/>
      <w:jc w:val="left"/>
    </w:pPr>
    <w:rPr>
      <w:rFonts w:asciiTheme="minorHAnsi" w:hAnsiTheme="minorHAnsi"/>
      <w:b/>
      <w:bCs/>
      <w:i/>
      <w:iCs/>
      <w:sz w:val="24"/>
      <w:szCs w:val="24"/>
    </w:rPr>
  </w:style>
  <w:style w:type="paragraph" w:styleId="TOC2">
    <w:name w:val="toc 2"/>
    <w:basedOn w:val="Normal"/>
    <w:next w:val="Normal"/>
    <w:autoRedefine/>
    <w:uiPriority w:val="39"/>
    <w:unhideWhenUsed/>
    <w:rsid w:val="009D1037"/>
    <w:pPr>
      <w:spacing w:before="120" w:after="0"/>
      <w:ind w:left="220"/>
      <w:jc w:val="left"/>
    </w:pPr>
    <w:rPr>
      <w:rFonts w:asciiTheme="minorHAnsi" w:hAnsiTheme="minorHAnsi"/>
      <w:b/>
      <w:bCs/>
    </w:rPr>
  </w:style>
  <w:style w:type="character" w:styleId="Hyperlink">
    <w:name w:val="Hyperlink"/>
    <w:basedOn w:val="DefaultParagraphFont"/>
    <w:uiPriority w:val="99"/>
    <w:unhideWhenUsed/>
    <w:rsid w:val="009D1037"/>
    <w:rPr>
      <w:color w:val="0000FF" w:themeColor="hyperlink"/>
      <w:u w:val="single"/>
    </w:rPr>
  </w:style>
  <w:style w:type="paragraph" w:styleId="TOC3">
    <w:name w:val="toc 3"/>
    <w:basedOn w:val="Normal"/>
    <w:next w:val="Normal"/>
    <w:autoRedefine/>
    <w:uiPriority w:val="39"/>
    <w:semiHidden/>
    <w:unhideWhenUsed/>
    <w:rsid w:val="009D1037"/>
    <w:pPr>
      <w:spacing w:after="0"/>
      <w:ind w:left="440"/>
      <w:jc w:val="left"/>
    </w:pPr>
    <w:rPr>
      <w:rFonts w:asciiTheme="minorHAnsi" w:hAnsiTheme="minorHAnsi"/>
      <w:sz w:val="20"/>
      <w:szCs w:val="20"/>
    </w:rPr>
  </w:style>
  <w:style w:type="paragraph" w:styleId="TOC4">
    <w:name w:val="toc 4"/>
    <w:basedOn w:val="Normal"/>
    <w:next w:val="Normal"/>
    <w:autoRedefine/>
    <w:uiPriority w:val="39"/>
    <w:semiHidden/>
    <w:unhideWhenUsed/>
    <w:rsid w:val="009D1037"/>
    <w:pPr>
      <w:spacing w:after="0"/>
      <w:ind w:left="660"/>
      <w:jc w:val="left"/>
    </w:pPr>
    <w:rPr>
      <w:rFonts w:asciiTheme="minorHAnsi" w:hAnsiTheme="minorHAnsi"/>
      <w:sz w:val="20"/>
      <w:szCs w:val="20"/>
    </w:rPr>
  </w:style>
  <w:style w:type="paragraph" w:styleId="TOC5">
    <w:name w:val="toc 5"/>
    <w:basedOn w:val="Normal"/>
    <w:next w:val="Normal"/>
    <w:autoRedefine/>
    <w:uiPriority w:val="39"/>
    <w:semiHidden/>
    <w:unhideWhenUsed/>
    <w:rsid w:val="009D1037"/>
    <w:pPr>
      <w:spacing w:after="0"/>
      <w:ind w:left="880"/>
      <w:jc w:val="left"/>
    </w:pPr>
    <w:rPr>
      <w:rFonts w:asciiTheme="minorHAnsi" w:hAnsiTheme="minorHAnsi"/>
      <w:sz w:val="20"/>
      <w:szCs w:val="20"/>
    </w:rPr>
  </w:style>
  <w:style w:type="paragraph" w:styleId="TOC6">
    <w:name w:val="toc 6"/>
    <w:basedOn w:val="Normal"/>
    <w:next w:val="Normal"/>
    <w:autoRedefine/>
    <w:uiPriority w:val="39"/>
    <w:semiHidden/>
    <w:unhideWhenUsed/>
    <w:rsid w:val="009D1037"/>
    <w:pPr>
      <w:spacing w:after="0"/>
      <w:ind w:left="1100"/>
      <w:jc w:val="left"/>
    </w:pPr>
    <w:rPr>
      <w:rFonts w:asciiTheme="minorHAnsi" w:hAnsiTheme="minorHAnsi"/>
      <w:sz w:val="20"/>
      <w:szCs w:val="20"/>
    </w:rPr>
  </w:style>
  <w:style w:type="paragraph" w:styleId="TOC7">
    <w:name w:val="toc 7"/>
    <w:basedOn w:val="Normal"/>
    <w:next w:val="Normal"/>
    <w:autoRedefine/>
    <w:uiPriority w:val="39"/>
    <w:semiHidden/>
    <w:unhideWhenUsed/>
    <w:rsid w:val="009D1037"/>
    <w:pPr>
      <w:spacing w:after="0"/>
      <w:ind w:left="1320"/>
      <w:jc w:val="left"/>
    </w:pPr>
    <w:rPr>
      <w:rFonts w:asciiTheme="minorHAnsi" w:hAnsiTheme="minorHAnsi"/>
      <w:sz w:val="20"/>
      <w:szCs w:val="20"/>
    </w:rPr>
  </w:style>
  <w:style w:type="paragraph" w:styleId="TOC8">
    <w:name w:val="toc 8"/>
    <w:basedOn w:val="Normal"/>
    <w:next w:val="Normal"/>
    <w:autoRedefine/>
    <w:uiPriority w:val="39"/>
    <w:semiHidden/>
    <w:unhideWhenUsed/>
    <w:rsid w:val="009D1037"/>
    <w:pPr>
      <w:spacing w:after="0"/>
      <w:ind w:left="1540"/>
      <w:jc w:val="left"/>
    </w:pPr>
    <w:rPr>
      <w:rFonts w:asciiTheme="minorHAnsi" w:hAnsiTheme="minorHAnsi"/>
      <w:sz w:val="20"/>
      <w:szCs w:val="20"/>
    </w:rPr>
  </w:style>
  <w:style w:type="paragraph" w:styleId="TOC9">
    <w:name w:val="toc 9"/>
    <w:basedOn w:val="Normal"/>
    <w:next w:val="Normal"/>
    <w:autoRedefine/>
    <w:uiPriority w:val="39"/>
    <w:semiHidden/>
    <w:unhideWhenUsed/>
    <w:rsid w:val="009D1037"/>
    <w:pPr>
      <w:spacing w:after="0"/>
      <w:ind w:left="176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17</Pages>
  <Words>3981</Words>
  <Characters>22694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Redevelopment of the Central Transport Hub - Complete Assignment</vt:lpstr>
    </vt:vector>
  </TitlesOfParts>
  <Manager/>
  <Company/>
  <LinksUpToDate>false</LinksUpToDate>
  <CharactersWithSpaces>26622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Redevelopment of the Central Transport Hub - Complete Assignment</dc:title>
  <dc:subject>LCLM5003 Project Management - Parts A, B and C</dc:subject>
  <dc:creator>Vladislavs Suhankins</dc:creator>
  <cp:keywords/>
  <dc:description>generated by python-docx</dc:description>
  <cp:lastModifiedBy>Vladislavs Suhankins (2430395)</cp:lastModifiedBy>
  <cp:revision>4</cp:revision>
  <dcterms:created xsi:type="dcterms:W3CDTF">2013-12-23T23:15:00Z</dcterms:created>
  <dcterms:modified xsi:type="dcterms:W3CDTF">2026-08-02T14:15:00Z</dcterms:modified>
  <cp:category/>
</cp:coreProperties>
</file>