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8188E" w14:textId="18C5F989" w:rsidR="007C1BF3" w:rsidRPr="007C1BF3" w:rsidRDefault="007A67A2" w:rsidP="007C1BF3">
      <w:pPr>
        <w:spacing w:before="0" w:beforeAutospacing="0" w:after="160" w:afterAutospacing="0" w:line="259" w:lineRule="auto"/>
        <w:jc w:val="center"/>
        <w:rPr>
          <w:rFonts w:ascii="Arial" w:hAnsi="Arial" w:cs="Arial"/>
        </w:rPr>
      </w:pPr>
      <w:r>
        <w:rPr>
          <w:rFonts w:ascii="Arial" w:hAnsi="Arial" w:cs="Arial"/>
        </w:rPr>
        <w:t>,</w:t>
      </w:r>
      <w:r w:rsidR="007C1BF3" w:rsidRPr="007C1BF3">
        <w:rPr>
          <w:rFonts w:ascii="Arial" w:hAnsi="Arial" w:cs="Arial"/>
          <w:noProof/>
          <w:lang w:eastAsia="en-GB"/>
        </w:rPr>
        <w:drawing>
          <wp:inline distT="0" distB="0" distL="0" distR="0" wp14:anchorId="43485389" wp14:editId="48B978B9">
            <wp:extent cx="1809750" cy="69984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74881" cy="725030"/>
                    </a:xfrm>
                    <a:prstGeom prst="rect">
                      <a:avLst/>
                    </a:prstGeom>
                  </pic:spPr>
                </pic:pic>
              </a:graphicData>
            </a:graphic>
          </wp:inline>
        </w:drawing>
      </w:r>
    </w:p>
    <w:p w14:paraId="64F2B3CF" w14:textId="77777777" w:rsidR="007C1BF3" w:rsidRPr="007C1BF3" w:rsidRDefault="007C1BF3" w:rsidP="007C1BF3">
      <w:pPr>
        <w:spacing w:before="0" w:beforeAutospacing="0" w:after="160" w:afterAutospacing="0" w:line="259" w:lineRule="auto"/>
        <w:jc w:val="center"/>
        <w:rPr>
          <w:rFonts w:ascii="Arial" w:hAnsi="Arial" w:cs="Arial"/>
        </w:rPr>
      </w:pPr>
    </w:p>
    <w:p w14:paraId="4DE8FD31" w14:textId="472EC6CB" w:rsidR="007C1BF3" w:rsidRPr="007C1BF3" w:rsidRDefault="007C1BF3" w:rsidP="007C1BF3">
      <w:pPr>
        <w:spacing w:before="0" w:beforeAutospacing="0" w:after="160" w:afterAutospacing="0" w:line="259" w:lineRule="auto"/>
        <w:jc w:val="center"/>
        <w:rPr>
          <w:rFonts w:ascii="Arial" w:hAnsi="Arial" w:cs="Arial"/>
          <w:sz w:val="32"/>
        </w:rPr>
      </w:pPr>
      <w:r w:rsidRPr="007C1BF3">
        <w:rPr>
          <w:rFonts w:ascii="Arial" w:hAnsi="Arial" w:cs="Arial"/>
          <w:b/>
          <w:sz w:val="32"/>
        </w:rPr>
        <w:t>Name</w:t>
      </w:r>
      <w:r w:rsidRPr="007C1BF3">
        <w:rPr>
          <w:rFonts w:ascii="Arial" w:hAnsi="Arial" w:cs="Arial"/>
          <w:sz w:val="32"/>
        </w:rPr>
        <w:t xml:space="preserve">: Asteria </w:t>
      </w:r>
      <w:r w:rsidR="006716A5">
        <w:rPr>
          <w:rFonts w:ascii="Arial" w:hAnsi="Arial" w:cs="Arial"/>
          <w:sz w:val="32"/>
        </w:rPr>
        <w:t xml:space="preserve">Joseph Nyamhanga </w:t>
      </w:r>
      <w:r w:rsidRPr="007C1BF3">
        <w:rPr>
          <w:rFonts w:ascii="Arial" w:hAnsi="Arial" w:cs="Arial"/>
          <w:sz w:val="32"/>
        </w:rPr>
        <w:t>Wilson</w:t>
      </w:r>
    </w:p>
    <w:p w14:paraId="266FD7A0" w14:textId="670AE111" w:rsidR="007C1BF3" w:rsidRPr="007A67A2" w:rsidRDefault="007C1BF3" w:rsidP="007A67A2">
      <w:pPr>
        <w:spacing w:before="0" w:beforeAutospacing="0" w:after="160" w:afterAutospacing="0" w:line="259" w:lineRule="auto"/>
        <w:jc w:val="center"/>
        <w:rPr>
          <w:rFonts w:ascii="Arial" w:hAnsi="Arial" w:cs="Arial"/>
          <w:sz w:val="32"/>
        </w:rPr>
      </w:pPr>
      <w:r w:rsidRPr="007C1BF3">
        <w:rPr>
          <w:rFonts w:ascii="Arial" w:hAnsi="Arial" w:cs="Arial"/>
          <w:b/>
          <w:sz w:val="32"/>
        </w:rPr>
        <w:t>Student</w:t>
      </w:r>
      <w:r w:rsidRPr="007C1BF3">
        <w:rPr>
          <w:rFonts w:ascii="Arial" w:hAnsi="Arial" w:cs="Arial"/>
          <w:sz w:val="32"/>
        </w:rPr>
        <w:t xml:space="preserve"> </w:t>
      </w:r>
      <w:r w:rsidRPr="007C1BF3">
        <w:rPr>
          <w:rFonts w:ascii="Arial" w:hAnsi="Arial" w:cs="Arial"/>
          <w:b/>
          <w:sz w:val="32"/>
        </w:rPr>
        <w:t>Number</w:t>
      </w:r>
      <w:r w:rsidRPr="007C1BF3">
        <w:rPr>
          <w:rFonts w:ascii="Arial" w:hAnsi="Arial" w:cs="Arial"/>
          <w:sz w:val="32"/>
        </w:rPr>
        <w:t>:</w:t>
      </w:r>
      <w:r w:rsidR="006716A5">
        <w:rPr>
          <w:rFonts w:ascii="Arial" w:hAnsi="Arial" w:cs="Arial"/>
          <w:sz w:val="32"/>
        </w:rPr>
        <w:t>2311121</w:t>
      </w:r>
    </w:p>
    <w:p w14:paraId="2BAFDA23" w14:textId="77777777" w:rsidR="007C1BF3" w:rsidRPr="007C1BF3" w:rsidRDefault="007C1BF3" w:rsidP="007C1BF3">
      <w:pPr>
        <w:spacing w:before="0" w:beforeAutospacing="0" w:after="160" w:afterAutospacing="0" w:line="259" w:lineRule="auto"/>
        <w:jc w:val="center"/>
        <w:rPr>
          <w:rFonts w:ascii="Arial" w:hAnsi="Arial" w:cs="Arial"/>
          <w:sz w:val="28"/>
        </w:rPr>
      </w:pPr>
      <w:r w:rsidRPr="007C1BF3">
        <w:rPr>
          <w:rFonts w:ascii="Arial" w:hAnsi="Arial" w:cs="Arial"/>
          <w:b/>
          <w:sz w:val="28"/>
        </w:rPr>
        <w:t>Module</w:t>
      </w:r>
      <w:r w:rsidRPr="007C1BF3">
        <w:rPr>
          <w:rFonts w:ascii="Arial" w:hAnsi="Arial" w:cs="Arial"/>
          <w:sz w:val="28"/>
        </w:rPr>
        <w:t xml:space="preserve"> </w:t>
      </w:r>
      <w:r w:rsidRPr="007C1BF3">
        <w:rPr>
          <w:rFonts w:ascii="Arial" w:hAnsi="Arial" w:cs="Arial"/>
          <w:b/>
          <w:sz w:val="28"/>
        </w:rPr>
        <w:t>Code</w:t>
      </w:r>
      <w:r w:rsidRPr="007C1BF3">
        <w:rPr>
          <w:rFonts w:ascii="Arial" w:hAnsi="Arial" w:cs="Arial"/>
          <w:sz w:val="28"/>
        </w:rPr>
        <w:t>: BMHP6030</w:t>
      </w:r>
    </w:p>
    <w:p w14:paraId="63358A34" w14:textId="311A6453" w:rsidR="007C1BF3" w:rsidRPr="007A67A2" w:rsidRDefault="007C1BF3" w:rsidP="007A67A2">
      <w:pPr>
        <w:spacing w:before="0" w:beforeAutospacing="0" w:after="160" w:afterAutospacing="0" w:line="259" w:lineRule="auto"/>
        <w:jc w:val="center"/>
        <w:rPr>
          <w:rFonts w:ascii="Arial" w:hAnsi="Arial" w:cs="Arial"/>
          <w:sz w:val="28"/>
        </w:rPr>
      </w:pPr>
      <w:r w:rsidRPr="007C1BF3">
        <w:rPr>
          <w:rFonts w:ascii="Arial" w:hAnsi="Arial" w:cs="Arial"/>
          <w:b/>
          <w:sz w:val="28"/>
        </w:rPr>
        <w:t>Module</w:t>
      </w:r>
      <w:r w:rsidRPr="007C1BF3">
        <w:rPr>
          <w:rFonts w:ascii="Arial" w:hAnsi="Arial" w:cs="Arial"/>
          <w:sz w:val="28"/>
        </w:rPr>
        <w:t xml:space="preserve"> </w:t>
      </w:r>
      <w:r w:rsidRPr="007C1BF3">
        <w:rPr>
          <w:rFonts w:ascii="Arial" w:hAnsi="Arial" w:cs="Arial"/>
          <w:b/>
          <w:sz w:val="28"/>
        </w:rPr>
        <w:t>Title</w:t>
      </w:r>
      <w:r w:rsidRPr="007C1BF3">
        <w:rPr>
          <w:rFonts w:ascii="Arial" w:hAnsi="Arial" w:cs="Arial"/>
          <w:sz w:val="28"/>
        </w:rPr>
        <w:t>: Health, Wellbeing and Sustainable Development</w:t>
      </w:r>
    </w:p>
    <w:p w14:paraId="6A55C0D8" w14:textId="77777777" w:rsidR="007A67A2" w:rsidRPr="007C1BF3" w:rsidRDefault="007A67A2" w:rsidP="007A67A2">
      <w:pPr>
        <w:spacing w:before="0" w:beforeAutospacing="0" w:after="160" w:afterAutospacing="0" w:line="259" w:lineRule="auto"/>
        <w:jc w:val="center"/>
        <w:rPr>
          <w:rFonts w:ascii="Arial" w:hAnsi="Arial" w:cs="Arial"/>
        </w:rPr>
      </w:pPr>
    </w:p>
    <w:p w14:paraId="1803C60F" w14:textId="76D4209E" w:rsidR="007C1BF3" w:rsidRDefault="007A67A2" w:rsidP="007A67A2">
      <w:pPr>
        <w:spacing w:before="0" w:beforeAutospacing="0" w:after="160" w:afterAutospacing="0" w:line="259" w:lineRule="auto"/>
        <w:jc w:val="center"/>
        <w:rPr>
          <w:rFonts w:ascii="Arial" w:hAnsi="Arial" w:cs="Arial"/>
        </w:rPr>
      </w:pPr>
      <w:r w:rsidRPr="007C1BF3">
        <w:rPr>
          <w:rFonts w:ascii="Arial" w:hAnsi="Arial" w:cs="Arial"/>
          <w:b/>
        </w:rPr>
        <w:t>Lecturer</w:t>
      </w:r>
      <w:r w:rsidRPr="007C1BF3">
        <w:rPr>
          <w:rFonts w:ascii="Arial" w:hAnsi="Arial" w:cs="Arial"/>
        </w:rPr>
        <w:t xml:space="preserve"> </w:t>
      </w:r>
      <w:r w:rsidRPr="007C1BF3">
        <w:rPr>
          <w:rFonts w:ascii="Arial" w:hAnsi="Arial" w:cs="Arial"/>
          <w:b/>
        </w:rPr>
        <w:t>Name</w:t>
      </w:r>
      <w:r w:rsidRPr="007C1BF3">
        <w:rPr>
          <w:rFonts w:ascii="Arial" w:hAnsi="Arial" w:cs="Arial"/>
        </w:rPr>
        <w:t>:  Junaid Shaikh</w:t>
      </w:r>
    </w:p>
    <w:p w14:paraId="63D1E6C4" w14:textId="77777777" w:rsidR="007C1BF3" w:rsidRPr="007C1BF3" w:rsidRDefault="007C1BF3" w:rsidP="007C1BF3">
      <w:pPr>
        <w:spacing w:before="0" w:beforeAutospacing="0" w:after="160" w:afterAutospacing="0" w:line="259" w:lineRule="auto"/>
        <w:jc w:val="center"/>
        <w:rPr>
          <w:rFonts w:ascii="Arial" w:hAnsi="Arial" w:cs="Arial"/>
        </w:rPr>
      </w:pPr>
    </w:p>
    <w:p w14:paraId="068EEBB0" w14:textId="737703CD" w:rsidR="007C1BF3" w:rsidRPr="000F7B23" w:rsidRDefault="007C1BF3" w:rsidP="000F7B23">
      <w:pPr>
        <w:pStyle w:val="Title"/>
      </w:pPr>
      <w:r w:rsidRPr="000F7B23">
        <w:t>Assignment title: Component 2: Written Assignment (Report)</w:t>
      </w:r>
    </w:p>
    <w:p w14:paraId="33F4636E" w14:textId="681E910B" w:rsidR="007C1BF3" w:rsidRPr="000F7B23" w:rsidRDefault="00034365" w:rsidP="000F7B23">
      <w:pPr>
        <w:spacing w:before="0" w:beforeAutospacing="0" w:after="160" w:afterAutospacing="0"/>
        <w:jc w:val="center"/>
        <w:rPr>
          <w:rFonts w:ascii="Arial" w:hAnsi="Arial" w:cs="Arial"/>
          <w:i/>
          <w:iCs/>
        </w:rPr>
      </w:pPr>
      <w:r w:rsidRPr="008A0E3D">
        <w:rPr>
          <w:rFonts w:ascii="Arial" w:hAnsi="Arial" w:cs="Arial"/>
          <w:b/>
          <w:bCs/>
        </w:rPr>
        <w:t>Topic:</w:t>
      </w:r>
      <w:r w:rsidRPr="008A0E3D">
        <w:rPr>
          <w:rFonts w:ascii="Arial" w:hAnsi="Arial" w:cs="Arial"/>
          <w:b/>
          <w:bCs/>
          <w:i/>
          <w:iCs/>
        </w:rPr>
        <w:t xml:space="preserve"> </w:t>
      </w:r>
      <w:r w:rsidR="000F7B23" w:rsidRPr="008A0E3D">
        <w:rPr>
          <w:rFonts w:ascii="Arial" w:hAnsi="Arial" w:cs="Arial"/>
          <w:i/>
          <w:iCs/>
        </w:rPr>
        <w:t>Analysis of tobacco control policies through the lens of SDG 3 and SDG 12 through theoretical interventions for gaining control on Tobacco Use</w:t>
      </w:r>
    </w:p>
    <w:p w14:paraId="4197380C" w14:textId="77777777" w:rsidR="007C1BF3" w:rsidRDefault="007C1BF3" w:rsidP="007C1BF3">
      <w:pPr>
        <w:spacing w:before="0" w:beforeAutospacing="0" w:after="160" w:afterAutospacing="0" w:line="259" w:lineRule="auto"/>
        <w:jc w:val="center"/>
        <w:rPr>
          <w:rFonts w:ascii="Arial" w:hAnsi="Arial" w:cs="Arial"/>
        </w:rPr>
      </w:pPr>
    </w:p>
    <w:p w14:paraId="614DE9F7" w14:textId="77777777" w:rsidR="007C1BF3" w:rsidRDefault="007C1BF3" w:rsidP="007C1BF3">
      <w:pPr>
        <w:spacing w:before="0" w:beforeAutospacing="0" w:after="160" w:afterAutospacing="0" w:line="259" w:lineRule="auto"/>
        <w:jc w:val="center"/>
        <w:rPr>
          <w:rFonts w:ascii="Arial" w:hAnsi="Arial" w:cs="Arial"/>
        </w:rPr>
      </w:pPr>
    </w:p>
    <w:p w14:paraId="05159F1F" w14:textId="77777777" w:rsidR="007C1BF3" w:rsidRPr="007C1BF3" w:rsidRDefault="007C1BF3" w:rsidP="007C1BF3">
      <w:pPr>
        <w:spacing w:before="0" w:beforeAutospacing="0" w:after="160" w:afterAutospacing="0" w:line="259" w:lineRule="auto"/>
        <w:jc w:val="center"/>
        <w:rPr>
          <w:rFonts w:ascii="Arial" w:hAnsi="Arial" w:cs="Arial"/>
        </w:rPr>
      </w:pPr>
    </w:p>
    <w:p w14:paraId="29861B70" w14:textId="393493E4" w:rsidR="00B6083C" w:rsidRPr="007C1BF3" w:rsidRDefault="00B6083C" w:rsidP="007C1BF3">
      <w:pPr>
        <w:spacing w:before="0" w:beforeAutospacing="0" w:after="160" w:afterAutospacing="0" w:line="259" w:lineRule="auto"/>
        <w:jc w:val="center"/>
        <w:rPr>
          <w:rFonts w:ascii="Arial" w:hAnsi="Arial" w:cs="Arial"/>
        </w:rPr>
      </w:pPr>
      <w:r w:rsidRPr="007C1BF3">
        <w:rPr>
          <w:rFonts w:ascii="Arial" w:hAnsi="Arial" w:cs="Arial"/>
        </w:rPr>
        <w:br w:type="page"/>
      </w:r>
    </w:p>
    <w:sdt>
      <w:sdtPr>
        <w:rPr>
          <w:rFonts w:ascii="Arial" w:hAnsi="Arial" w:cs="Arial"/>
          <w:b/>
          <w:sz w:val="28"/>
        </w:rPr>
        <w:id w:val="-1392104917"/>
        <w:docPartObj>
          <w:docPartGallery w:val="Table of Contents"/>
          <w:docPartUnique/>
        </w:docPartObj>
      </w:sdtPr>
      <w:sdtEndPr>
        <w:rPr>
          <w:bCs/>
          <w:noProof/>
          <w:sz w:val="24"/>
        </w:rPr>
      </w:sdtEndPr>
      <w:sdtContent>
        <w:p w14:paraId="18D773DA" w14:textId="77777777" w:rsidR="00B6083C" w:rsidRPr="007C1BF3" w:rsidRDefault="00B6083C" w:rsidP="00B6083C">
          <w:pPr>
            <w:spacing w:before="0" w:beforeAutospacing="0" w:after="0" w:afterAutospacing="0"/>
            <w:jc w:val="center"/>
            <w:rPr>
              <w:rFonts w:ascii="Arial" w:hAnsi="Arial" w:cs="Arial"/>
              <w:b/>
              <w:sz w:val="28"/>
            </w:rPr>
          </w:pPr>
          <w:r w:rsidRPr="007C1BF3">
            <w:rPr>
              <w:rFonts w:ascii="Arial" w:hAnsi="Arial" w:cs="Arial"/>
              <w:b/>
              <w:sz w:val="28"/>
            </w:rPr>
            <w:t>Table of Contents</w:t>
          </w:r>
        </w:p>
        <w:p w14:paraId="1C8435B5" w14:textId="77777777" w:rsidR="00B6083C" w:rsidRPr="007C1BF3" w:rsidRDefault="00B6083C" w:rsidP="00B6083C">
          <w:pPr>
            <w:pStyle w:val="TOC1"/>
            <w:tabs>
              <w:tab w:val="right" w:leader="dot" w:pos="9016"/>
            </w:tabs>
            <w:spacing w:before="0" w:beforeAutospacing="0" w:after="0" w:afterAutospacing="0"/>
            <w:rPr>
              <w:rFonts w:ascii="Arial" w:hAnsi="Arial" w:cs="Arial"/>
              <w:noProof/>
              <w:sz w:val="22"/>
            </w:rPr>
          </w:pPr>
          <w:r w:rsidRPr="007C1BF3">
            <w:rPr>
              <w:rFonts w:ascii="Arial" w:hAnsi="Arial" w:cs="Arial"/>
            </w:rPr>
            <w:fldChar w:fldCharType="begin"/>
          </w:r>
          <w:r w:rsidRPr="007C1BF3">
            <w:rPr>
              <w:rFonts w:ascii="Arial" w:hAnsi="Arial" w:cs="Arial"/>
            </w:rPr>
            <w:instrText xml:space="preserve"> TOC \o "1-3" \h \z \u </w:instrText>
          </w:r>
          <w:r w:rsidRPr="007C1BF3">
            <w:rPr>
              <w:rFonts w:ascii="Arial" w:hAnsi="Arial" w:cs="Arial"/>
            </w:rPr>
            <w:fldChar w:fldCharType="separate"/>
          </w:r>
          <w:hyperlink w:anchor="_Toc230602314" w:history="1">
            <w:r w:rsidRPr="007C1BF3">
              <w:rPr>
                <w:rStyle w:val="Hyperlink"/>
                <w:rFonts w:ascii="Arial" w:hAnsi="Arial" w:cs="Arial"/>
                <w:noProof/>
                <w:sz w:val="22"/>
              </w:rPr>
              <w:t>1. Introduction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_Toc230602314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3</w:t>
            </w:r>
            <w:r w:rsidRPr="007C1BF3">
              <w:rPr>
                <w:rFonts w:ascii="Arial" w:hAnsi="Arial" w:cs="Arial"/>
                <w:noProof/>
                <w:webHidden/>
                <w:sz w:val="22"/>
              </w:rPr>
              <w:fldChar w:fldCharType="end"/>
            </w:r>
          </w:hyperlink>
        </w:p>
        <w:p w14:paraId="170D2D7C" w14:textId="77777777" w:rsidR="00B6083C" w:rsidRPr="007C1BF3" w:rsidRDefault="00B6083C" w:rsidP="00B6083C">
          <w:pPr>
            <w:pStyle w:val="TOC1"/>
            <w:tabs>
              <w:tab w:val="right" w:leader="dot" w:pos="9016"/>
            </w:tabs>
            <w:spacing w:before="0" w:beforeAutospacing="0" w:after="0" w:afterAutospacing="0"/>
            <w:rPr>
              <w:rFonts w:ascii="Arial" w:hAnsi="Arial" w:cs="Arial"/>
              <w:noProof/>
              <w:sz w:val="22"/>
            </w:rPr>
          </w:pPr>
          <w:hyperlink w:anchor="_Toc230602315" w:history="1">
            <w:r w:rsidRPr="007C1BF3">
              <w:rPr>
                <w:rStyle w:val="Hyperlink"/>
                <w:rFonts w:ascii="Arial" w:hAnsi="Arial" w:cs="Arial"/>
                <w:noProof/>
                <w:sz w:val="22"/>
              </w:rPr>
              <w:t>2. Section 1: SDG 3 - Good Health and Wellbeing</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_Toc230602315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3</w:t>
            </w:r>
            <w:r w:rsidRPr="007C1BF3">
              <w:rPr>
                <w:rFonts w:ascii="Arial" w:hAnsi="Arial" w:cs="Arial"/>
                <w:noProof/>
                <w:webHidden/>
                <w:sz w:val="22"/>
              </w:rPr>
              <w:fldChar w:fldCharType="end"/>
            </w:r>
          </w:hyperlink>
        </w:p>
        <w:p w14:paraId="6F96A185"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16" w:history="1">
            <w:r w:rsidRPr="007C1BF3">
              <w:rPr>
                <w:rStyle w:val="Hyperlink"/>
                <w:rFonts w:ascii="Arial" w:hAnsi="Arial" w:cs="Arial"/>
                <w:noProof/>
                <w:sz w:val="22"/>
              </w:rPr>
              <w:t>2.1 Overview of SDG 3</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_Toc230602316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3</w:t>
            </w:r>
            <w:r w:rsidRPr="007C1BF3">
              <w:rPr>
                <w:rFonts w:ascii="Arial" w:hAnsi="Arial" w:cs="Arial"/>
                <w:noProof/>
                <w:webHidden/>
                <w:sz w:val="22"/>
              </w:rPr>
              <w:fldChar w:fldCharType="end"/>
            </w:r>
          </w:hyperlink>
        </w:p>
        <w:p w14:paraId="00BF635B"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17" w:history="1">
            <w:r w:rsidRPr="007C1BF3">
              <w:rPr>
                <w:rStyle w:val="Hyperlink"/>
                <w:rFonts w:ascii="Arial" w:hAnsi="Arial" w:cs="Arial"/>
                <w:noProof/>
                <w:sz w:val="22"/>
              </w:rPr>
              <w:t>2.2 Critical evaluation of global policies and/or initiatives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_Toc230602317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3</w:t>
            </w:r>
            <w:r w:rsidRPr="007C1BF3">
              <w:rPr>
                <w:rFonts w:ascii="Arial" w:hAnsi="Arial" w:cs="Arial"/>
                <w:noProof/>
                <w:webHidden/>
                <w:sz w:val="22"/>
              </w:rPr>
              <w:fldChar w:fldCharType="end"/>
            </w:r>
          </w:hyperlink>
        </w:p>
        <w:p w14:paraId="49534D3C"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18" w:history="1">
            <w:r w:rsidRPr="007C1BF3">
              <w:rPr>
                <w:rStyle w:val="Hyperlink"/>
                <w:rFonts w:ascii="Arial" w:hAnsi="Arial" w:cs="Arial"/>
                <w:noProof/>
                <w:sz w:val="22"/>
              </w:rPr>
              <w:t>2.3 Critical evaluation of national and local examples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_Toc230602318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4</w:t>
            </w:r>
            <w:r w:rsidRPr="007C1BF3">
              <w:rPr>
                <w:rFonts w:ascii="Arial" w:hAnsi="Arial" w:cs="Arial"/>
                <w:noProof/>
                <w:webHidden/>
                <w:sz w:val="22"/>
              </w:rPr>
              <w:fldChar w:fldCharType="end"/>
            </w:r>
          </w:hyperlink>
        </w:p>
        <w:p w14:paraId="1BC6D2F6"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19" w:history="1">
            <w:r w:rsidRPr="007C1BF3">
              <w:rPr>
                <w:rStyle w:val="Hyperlink"/>
                <w:rFonts w:ascii="Arial" w:hAnsi="Arial" w:cs="Arial"/>
                <w:noProof/>
                <w:sz w:val="22"/>
              </w:rPr>
              <w:t>2.4 Use of theories and models incorporated into your evaluation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_Toc230602319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4</w:t>
            </w:r>
            <w:r w:rsidRPr="007C1BF3">
              <w:rPr>
                <w:rFonts w:ascii="Arial" w:hAnsi="Arial" w:cs="Arial"/>
                <w:noProof/>
                <w:webHidden/>
                <w:sz w:val="22"/>
              </w:rPr>
              <w:fldChar w:fldCharType="end"/>
            </w:r>
          </w:hyperlink>
        </w:p>
        <w:p w14:paraId="3597F658"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0" w:history="1">
            <w:r w:rsidRPr="007C1BF3">
              <w:rPr>
                <w:rStyle w:val="Hyperlink"/>
                <w:rFonts w:ascii="Arial" w:hAnsi="Arial" w:cs="Arial"/>
                <w:noProof/>
                <w:sz w:val="22"/>
              </w:rPr>
              <w:t>2.5 Recommendations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_Toc230602320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5</w:t>
            </w:r>
            <w:r w:rsidRPr="007C1BF3">
              <w:rPr>
                <w:rFonts w:ascii="Arial" w:hAnsi="Arial" w:cs="Arial"/>
                <w:noProof/>
                <w:webHidden/>
                <w:sz w:val="22"/>
              </w:rPr>
              <w:fldChar w:fldCharType="end"/>
            </w:r>
          </w:hyperlink>
        </w:p>
        <w:p w14:paraId="21D252AE" w14:textId="77777777" w:rsidR="00B6083C" w:rsidRPr="007C1BF3" w:rsidRDefault="00B6083C" w:rsidP="00B6083C">
          <w:pPr>
            <w:pStyle w:val="TOC1"/>
            <w:tabs>
              <w:tab w:val="right" w:leader="dot" w:pos="9016"/>
            </w:tabs>
            <w:spacing w:before="0" w:beforeAutospacing="0" w:after="0" w:afterAutospacing="0"/>
            <w:rPr>
              <w:rFonts w:ascii="Arial" w:hAnsi="Arial" w:cs="Arial"/>
              <w:noProof/>
              <w:sz w:val="22"/>
            </w:rPr>
          </w:pPr>
          <w:hyperlink w:anchor="_Toc230602321" w:history="1">
            <w:r w:rsidRPr="007C1BF3">
              <w:rPr>
                <w:rStyle w:val="Hyperlink"/>
                <w:rFonts w:ascii="Arial" w:hAnsi="Arial" w:cs="Arial"/>
                <w:noProof/>
                <w:sz w:val="22"/>
              </w:rPr>
              <w:t>3. Section 2: Chosen SDG</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_Toc230602321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6</w:t>
            </w:r>
            <w:r w:rsidRPr="007C1BF3">
              <w:rPr>
                <w:rFonts w:ascii="Arial" w:hAnsi="Arial" w:cs="Arial"/>
                <w:noProof/>
                <w:webHidden/>
                <w:sz w:val="22"/>
              </w:rPr>
              <w:fldChar w:fldCharType="end"/>
            </w:r>
          </w:hyperlink>
        </w:p>
        <w:p w14:paraId="1CBAA658"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2" w:history="1">
            <w:r w:rsidRPr="007C1BF3">
              <w:rPr>
                <w:rStyle w:val="Hyperlink"/>
                <w:rFonts w:ascii="Arial" w:hAnsi="Arial" w:cs="Arial"/>
                <w:noProof/>
                <w:sz w:val="22"/>
              </w:rPr>
              <w:t>3.1 Overview of your chosen SDG (SDG 12: Responsible Consumption and Production)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_Toc230602322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6</w:t>
            </w:r>
            <w:r w:rsidRPr="007C1BF3">
              <w:rPr>
                <w:rFonts w:ascii="Arial" w:hAnsi="Arial" w:cs="Arial"/>
                <w:noProof/>
                <w:webHidden/>
                <w:sz w:val="22"/>
              </w:rPr>
              <w:fldChar w:fldCharType="end"/>
            </w:r>
          </w:hyperlink>
        </w:p>
        <w:p w14:paraId="3F8C3C3C"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3" w:history="1">
            <w:r w:rsidRPr="007C1BF3">
              <w:rPr>
                <w:rStyle w:val="Hyperlink"/>
                <w:rFonts w:ascii="Arial" w:hAnsi="Arial" w:cs="Arial"/>
                <w:noProof/>
                <w:sz w:val="22"/>
              </w:rPr>
              <w:t>3.2 Critical evaluation of global policies and initiatives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_Toc230602323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6</w:t>
            </w:r>
            <w:r w:rsidRPr="007C1BF3">
              <w:rPr>
                <w:rFonts w:ascii="Arial" w:hAnsi="Arial" w:cs="Arial"/>
                <w:noProof/>
                <w:webHidden/>
                <w:sz w:val="22"/>
              </w:rPr>
              <w:fldChar w:fldCharType="end"/>
            </w:r>
          </w:hyperlink>
        </w:p>
        <w:p w14:paraId="01EFA178"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4" w:history="1">
            <w:r w:rsidRPr="007C1BF3">
              <w:rPr>
                <w:rStyle w:val="Hyperlink"/>
                <w:rFonts w:ascii="Arial" w:hAnsi="Arial" w:cs="Arial"/>
                <w:noProof/>
                <w:sz w:val="22"/>
              </w:rPr>
              <w:t>3.3 Critical evaluation of national and local examples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_Toc230602324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6</w:t>
            </w:r>
            <w:r w:rsidRPr="007C1BF3">
              <w:rPr>
                <w:rFonts w:ascii="Arial" w:hAnsi="Arial" w:cs="Arial"/>
                <w:noProof/>
                <w:webHidden/>
                <w:sz w:val="22"/>
              </w:rPr>
              <w:fldChar w:fldCharType="end"/>
            </w:r>
          </w:hyperlink>
        </w:p>
        <w:p w14:paraId="611219A3"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5" w:history="1">
            <w:r w:rsidRPr="007C1BF3">
              <w:rPr>
                <w:rStyle w:val="Hyperlink"/>
                <w:rFonts w:ascii="Arial" w:hAnsi="Arial" w:cs="Arial"/>
                <w:noProof/>
                <w:sz w:val="22"/>
              </w:rPr>
              <w:t>3.4 Use of theories and models incorporated into your evaluation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_Toc230602325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7</w:t>
            </w:r>
            <w:r w:rsidRPr="007C1BF3">
              <w:rPr>
                <w:rFonts w:ascii="Arial" w:hAnsi="Arial" w:cs="Arial"/>
                <w:noProof/>
                <w:webHidden/>
                <w:sz w:val="22"/>
              </w:rPr>
              <w:fldChar w:fldCharType="end"/>
            </w:r>
          </w:hyperlink>
        </w:p>
        <w:p w14:paraId="0E6E6008"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6" w:history="1">
            <w:r w:rsidRPr="007C1BF3">
              <w:rPr>
                <w:rStyle w:val="Hyperlink"/>
                <w:rFonts w:ascii="Arial" w:hAnsi="Arial" w:cs="Arial"/>
                <w:noProof/>
                <w:sz w:val="22"/>
              </w:rPr>
              <w:t>3.5 Recommendations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_Toc230602326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8</w:t>
            </w:r>
            <w:r w:rsidRPr="007C1BF3">
              <w:rPr>
                <w:rFonts w:ascii="Arial" w:hAnsi="Arial" w:cs="Arial"/>
                <w:noProof/>
                <w:webHidden/>
                <w:sz w:val="22"/>
              </w:rPr>
              <w:fldChar w:fldCharType="end"/>
            </w:r>
          </w:hyperlink>
        </w:p>
        <w:p w14:paraId="3B66C6E8" w14:textId="77777777" w:rsidR="00B6083C" w:rsidRPr="007C1BF3" w:rsidRDefault="00B6083C" w:rsidP="00B6083C">
          <w:pPr>
            <w:pStyle w:val="TOC1"/>
            <w:tabs>
              <w:tab w:val="right" w:leader="dot" w:pos="9016"/>
            </w:tabs>
            <w:spacing w:before="0" w:beforeAutospacing="0" w:after="0" w:afterAutospacing="0"/>
            <w:rPr>
              <w:rFonts w:ascii="Arial" w:hAnsi="Arial" w:cs="Arial"/>
              <w:noProof/>
              <w:sz w:val="22"/>
            </w:rPr>
          </w:pPr>
          <w:hyperlink w:anchor="_Toc230602327" w:history="1">
            <w:r w:rsidRPr="007C1BF3">
              <w:rPr>
                <w:rStyle w:val="Hyperlink"/>
                <w:rFonts w:ascii="Arial" w:hAnsi="Arial" w:cs="Arial"/>
                <w:noProof/>
                <w:sz w:val="22"/>
              </w:rPr>
              <w:t>4. Conclusion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_Toc230602327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8</w:t>
            </w:r>
            <w:r w:rsidRPr="007C1BF3">
              <w:rPr>
                <w:rFonts w:ascii="Arial" w:hAnsi="Arial" w:cs="Arial"/>
                <w:noProof/>
                <w:webHidden/>
                <w:sz w:val="22"/>
              </w:rPr>
              <w:fldChar w:fldCharType="end"/>
            </w:r>
          </w:hyperlink>
        </w:p>
        <w:p w14:paraId="70E98E5E" w14:textId="77777777" w:rsidR="00B6083C" w:rsidRPr="007C1BF3" w:rsidRDefault="00B6083C" w:rsidP="00B6083C">
          <w:pPr>
            <w:pStyle w:val="TOC1"/>
            <w:tabs>
              <w:tab w:val="right" w:leader="dot" w:pos="9016"/>
            </w:tabs>
            <w:spacing w:before="0" w:beforeAutospacing="0" w:after="0" w:afterAutospacing="0"/>
            <w:rPr>
              <w:rFonts w:ascii="Arial" w:hAnsi="Arial" w:cs="Arial"/>
              <w:noProof/>
            </w:rPr>
          </w:pPr>
          <w:hyperlink w:anchor="_Toc230602328" w:history="1">
            <w:r w:rsidRPr="007C1BF3">
              <w:rPr>
                <w:rStyle w:val="Hyperlink"/>
                <w:rFonts w:ascii="Arial" w:hAnsi="Arial" w:cs="Arial"/>
                <w:noProof/>
                <w:sz w:val="22"/>
              </w:rPr>
              <w:t>References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_Toc230602328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10</w:t>
            </w:r>
            <w:r w:rsidRPr="007C1BF3">
              <w:rPr>
                <w:rFonts w:ascii="Arial" w:hAnsi="Arial" w:cs="Arial"/>
                <w:noProof/>
                <w:webHidden/>
                <w:sz w:val="22"/>
              </w:rPr>
              <w:fldChar w:fldCharType="end"/>
            </w:r>
          </w:hyperlink>
        </w:p>
        <w:p w14:paraId="4B078F0E" w14:textId="77777777" w:rsidR="00B6083C" w:rsidRPr="007C1BF3" w:rsidRDefault="00B6083C" w:rsidP="00B6083C">
          <w:pPr>
            <w:spacing w:before="0" w:beforeAutospacing="0" w:after="0" w:afterAutospacing="0"/>
            <w:rPr>
              <w:rFonts w:ascii="Arial" w:hAnsi="Arial" w:cs="Arial"/>
            </w:rPr>
          </w:pPr>
          <w:r w:rsidRPr="007C1BF3">
            <w:rPr>
              <w:rFonts w:ascii="Arial" w:hAnsi="Arial" w:cs="Arial"/>
              <w:b/>
              <w:bCs/>
              <w:noProof/>
            </w:rPr>
            <w:fldChar w:fldCharType="end"/>
          </w:r>
        </w:p>
      </w:sdtContent>
    </w:sdt>
    <w:p w14:paraId="7C07DCEE" w14:textId="77777777" w:rsidR="00B6083C" w:rsidRPr="007C1BF3" w:rsidRDefault="00B6083C">
      <w:pPr>
        <w:spacing w:before="0" w:beforeAutospacing="0" w:after="160" w:afterAutospacing="0" w:line="259" w:lineRule="auto"/>
        <w:jc w:val="left"/>
        <w:rPr>
          <w:rFonts w:ascii="Arial" w:hAnsi="Arial" w:cs="Arial"/>
        </w:rPr>
      </w:pPr>
      <w:r w:rsidRPr="007C1BF3">
        <w:rPr>
          <w:rFonts w:ascii="Arial" w:hAnsi="Arial" w:cs="Arial"/>
        </w:rPr>
        <w:br w:type="page"/>
      </w:r>
    </w:p>
    <w:p w14:paraId="54B3964A" w14:textId="77777777" w:rsidR="00B6083C" w:rsidRPr="007C1BF3" w:rsidRDefault="00B6083C" w:rsidP="00B6083C">
      <w:pPr>
        <w:pStyle w:val="Heading1"/>
        <w:rPr>
          <w:rFonts w:ascii="Arial" w:hAnsi="Arial" w:cs="Arial"/>
        </w:rPr>
      </w:pPr>
      <w:bookmarkStart w:id="0" w:name="_Toc230602314"/>
      <w:r w:rsidRPr="007C1BF3">
        <w:rPr>
          <w:rFonts w:ascii="Arial" w:hAnsi="Arial" w:cs="Arial"/>
        </w:rPr>
        <w:lastRenderedPageBreak/>
        <w:t>1. Introduction</w:t>
      </w:r>
      <w:bookmarkEnd w:id="0"/>
      <w:r w:rsidRPr="007C1BF3">
        <w:rPr>
          <w:rFonts w:ascii="Arial" w:hAnsi="Arial" w:cs="Arial"/>
        </w:rPr>
        <w:t> </w:t>
      </w:r>
    </w:p>
    <w:p w14:paraId="08996A3B" w14:textId="15D60903" w:rsidR="00B6083C" w:rsidRPr="007C1BF3" w:rsidRDefault="00B6083C" w:rsidP="00B6083C">
      <w:pPr>
        <w:rPr>
          <w:rFonts w:ascii="Arial" w:hAnsi="Arial" w:cs="Arial"/>
          <w:sz w:val="22"/>
        </w:rPr>
      </w:pPr>
      <w:r w:rsidRPr="007C1BF3">
        <w:rPr>
          <w:rFonts w:ascii="Arial" w:hAnsi="Arial" w:cs="Arial"/>
          <w:sz w:val="22"/>
        </w:rPr>
        <w:t xml:space="preserve">This report will explore the impact of </w:t>
      </w:r>
      <w:r w:rsidR="00BA6B22">
        <w:rPr>
          <w:rFonts w:ascii="Arial" w:hAnsi="Arial" w:cs="Arial"/>
          <w:sz w:val="22"/>
        </w:rPr>
        <w:t xml:space="preserve">Sustainability Development Goal </w:t>
      </w:r>
      <w:r w:rsidR="00BA6B22" w:rsidRPr="007C1BF3">
        <w:rPr>
          <w:rFonts w:ascii="Arial" w:hAnsi="Arial" w:cs="Arial"/>
          <w:sz w:val="22"/>
        </w:rPr>
        <w:t>3</w:t>
      </w:r>
      <w:r w:rsidR="00BA6B22">
        <w:rPr>
          <w:rFonts w:ascii="Arial" w:hAnsi="Arial" w:cs="Arial"/>
          <w:sz w:val="22"/>
        </w:rPr>
        <w:t xml:space="preserve"> (</w:t>
      </w:r>
      <w:r w:rsidRPr="007C1BF3">
        <w:rPr>
          <w:rFonts w:ascii="Arial" w:hAnsi="Arial" w:cs="Arial"/>
          <w:sz w:val="22"/>
        </w:rPr>
        <w:t>SDG</w:t>
      </w:r>
      <w:r w:rsidR="00BA6B22">
        <w:rPr>
          <w:rFonts w:ascii="Arial" w:hAnsi="Arial" w:cs="Arial"/>
          <w:sz w:val="22"/>
        </w:rPr>
        <w:t>)</w:t>
      </w:r>
      <w:r w:rsidRPr="007C1BF3">
        <w:rPr>
          <w:rFonts w:ascii="Arial" w:hAnsi="Arial" w:cs="Arial"/>
          <w:sz w:val="22"/>
        </w:rPr>
        <w:t xml:space="preserve">: Good Health and Wellbeing and SDG 12: Responsible Consumption and Production on public health and wellbeing. Focus will be increased on smoking cessation, as the use of tobacco not only has a detrimental impact on physical health, but also on the environment and on health care systems. The </w:t>
      </w:r>
      <w:r w:rsidR="00B50C16">
        <w:rPr>
          <w:rFonts w:ascii="Arial" w:hAnsi="Arial" w:cs="Arial"/>
          <w:sz w:val="22"/>
        </w:rPr>
        <w:t>importance</w:t>
      </w:r>
      <w:r w:rsidRPr="007C1BF3">
        <w:rPr>
          <w:rFonts w:ascii="Arial" w:hAnsi="Arial" w:cs="Arial"/>
          <w:sz w:val="22"/>
        </w:rPr>
        <w:t xml:space="preserve"> of SDGs for preventive healthcare, behavioural </w:t>
      </w:r>
      <w:r w:rsidR="00B50C16" w:rsidRPr="007C1BF3">
        <w:rPr>
          <w:rFonts w:ascii="Arial" w:hAnsi="Arial" w:cs="Arial"/>
          <w:sz w:val="22"/>
        </w:rPr>
        <w:t>changes</w:t>
      </w:r>
      <w:r w:rsidRPr="007C1BF3">
        <w:rPr>
          <w:rFonts w:ascii="Arial" w:hAnsi="Arial" w:cs="Arial"/>
          <w:sz w:val="22"/>
        </w:rPr>
        <w:t xml:space="preserve"> and Sustainable Public Health Practice will be presented. Smoking cessation policy and initiatives in a global, national, and local perspective will also be examined. Healthcare behavioural theories embedded in health interventions and responsible consumption will be integrated into the discourse</w:t>
      </w:r>
      <w:r w:rsidR="00B50C16">
        <w:rPr>
          <w:rFonts w:ascii="Arial" w:hAnsi="Arial" w:cs="Arial"/>
          <w:sz w:val="22"/>
        </w:rPr>
        <w:t xml:space="preserve">. </w:t>
      </w:r>
      <w:r w:rsidRPr="007C1BF3">
        <w:rPr>
          <w:rFonts w:ascii="Arial" w:hAnsi="Arial" w:cs="Arial"/>
          <w:sz w:val="22"/>
        </w:rPr>
        <w:t xml:space="preserve">This report </w:t>
      </w:r>
      <w:r w:rsidR="00B50C16">
        <w:rPr>
          <w:rFonts w:ascii="Arial" w:hAnsi="Arial" w:cs="Arial"/>
          <w:sz w:val="22"/>
        </w:rPr>
        <w:t xml:space="preserve">will focus on SDG 3 and its outcomes and evaluation based on healthcare enhancement related to smoking cessation. Then it </w:t>
      </w:r>
      <w:r w:rsidRPr="007C1BF3">
        <w:rPr>
          <w:rFonts w:ascii="Arial" w:hAnsi="Arial" w:cs="Arial"/>
          <w:sz w:val="22"/>
        </w:rPr>
        <w:t>will then conclude with a summary of the main findings, and look at the broad link between health promotion and sustainable development goals.</w:t>
      </w:r>
    </w:p>
    <w:p w14:paraId="008D08A5" w14:textId="77777777" w:rsidR="00B6083C" w:rsidRPr="007C1BF3" w:rsidRDefault="00B6083C" w:rsidP="00B6083C">
      <w:pPr>
        <w:pStyle w:val="Heading1"/>
        <w:rPr>
          <w:rFonts w:ascii="Arial" w:hAnsi="Arial" w:cs="Arial"/>
        </w:rPr>
      </w:pPr>
      <w:bookmarkStart w:id="1" w:name="_Toc230602315"/>
      <w:r w:rsidRPr="007C1BF3">
        <w:rPr>
          <w:rFonts w:ascii="Arial" w:hAnsi="Arial" w:cs="Arial"/>
        </w:rPr>
        <w:t>2. Section 1: SDG 3 - Good Health and Wellbeing</w:t>
      </w:r>
      <w:bookmarkEnd w:id="1"/>
      <w:r w:rsidRPr="007C1BF3">
        <w:rPr>
          <w:rFonts w:ascii="Arial" w:hAnsi="Arial" w:cs="Arial"/>
        </w:rPr>
        <w:t> </w:t>
      </w:r>
    </w:p>
    <w:p w14:paraId="3D913FB0" w14:textId="77777777" w:rsidR="00B6083C" w:rsidRPr="007C1BF3" w:rsidRDefault="00B6083C" w:rsidP="00034365">
      <w:pPr>
        <w:pStyle w:val="Heading2"/>
      </w:pPr>
      <w:bookmarkStart w:id="2" w:name="_Toc230602316"/>
      <w:r w:rsidRPr="007C1BF3">
        <w:t>2.1 Overview of SDG 3</w:t>
      </w:r>
      <w:bookmarkEnd w:id="2"/>
      <w:r w:rsidRPr="007C1BF3">
        <w:t> </w:t>
      </w:r>
    </w:p>
    <w:p w14:paraId="0845210D" w14:textId="23509E0B" w:rsidR="00B6083C" w:rsidRPr="007C1BF3" w:rsidRDefault="00B6083C" w:rsidP="00B6083C">
      <w:pPr>
        <w:rPr>
          <w:rFonts w:ascii="Arial" w:hAnsi="Arial" w:cs="Arial"/>
          <w:sz w:val="22"/>
        </w:rPr>
      </w:pPr>
      <w:r w:rsidRPr="007C1BF3">
        <w:rPr>
          <w:rFonts w:ascii="Arial" w:hAnsi="Arial" w:cs="Arial"/>
          <w:sz w:val="22"/>
        </w:rPr>
        <w:t xml:space="preserve">The target set for SDG 3 is geared towards enhancing success stories and bettering the access to health care systems. These targets focus on challenges such as prevention of non-communicable diseases and mental health by focusing on prevention and improvements in health service delivery (Amu et al., 2024). There has been a focus on preventive measures against illnesses and sickness and development of healthier </w:t>
      </w:r>
      <w:r w:rsidR="00836CD6" w:rsidRPr="007C1BF3">
        <w:rPr>
          <w:rFonts w:ascii="Arial" w:hAnsi="Arial" w:cs="Arial"/>
          <w:sz w:val="22"/>
        </w:rPr>
        <w:t>behaviour</w:t>
      </w:r>
      <w:r w:rsidRPr="007C1BF3">
        <w:rPr>
          <w:rFonts w:ascii="Arial" w:hAnsi="Arial" w:cs="Arial"/>
          <w:sz w:val="22"/>
        </w:rPr>
        <w:t xml:space="preserve"> patterns. Being a major cause of chronic diseases and early death, smoking cessation has been a priority. Public health agencies have promoted awareness campaigns, health care interventions, and behavioural programs that have helped to promote healthier populations (Faus </w:t>
      </w:r>
      <w:r w:rsidRPr="007C1BF3">
        <w:rPr>
          <w:rFonts w:ascii="Arial" w:hAnsi="Arial" w:cs="Arial"/>
          <w:i/>
          <w:iCs/>
          <w:sz w:val="22"/>
        </w:rPr>
        <w:t>et al.</w:t>
      </w:r>
      <w:r w:rsidRPr="007C1BF3">
        <w:rPr>
          <w:rFonts w:ascii="Arial" w:hAnsi="Arial" w:cs="Arial"/>
          <w:sz w:val="22"/>
        </w:rPr>
        <w:t>, 2022). Improved intergovernmental and inter-sectorial linkages have also been promoted via SDG 3 activities.</w:t>
      </w:r>
    </w:p>
    <w:p w14:paraId="5F11B40E" w14:textId="0CB9D838" w:rsidR="00B6083C" w:rsidRPr="00034365" w:rsidRDefault="00B6083C" w:rsidP="00034365">
      <w:pPr>
        <w:pStyle w:val="Heading2"/>
      </w:pPr>
      <w:bookmarkStart w:id="3" w:name="_Toc230602317"/>
      <w:r w:rsidRPr="00034365">
        <w:t>2.2 Critical eval</w:t>
      </w:r>
      <w:r w:rsidR="00375FF0" w:rsidRPr="00034365">
        <w:t>uation of global</w:t>
      </w:r>
      <w:r w:rsidR="00695106" w:rsidRPr="00034365">
        <w:t xml:space="preserve"> (WHO)</w:t>
      </w:r>
      <w:r w:rsidR="00375FF0" w:rsidRPr="00034365">
        <w:t xml:space="preserve"> policies and</w:t>
      </w:r>
      <w:r w:rsidRPr="00034365">
        <w:t xml:space="preserve"> initiatives</w:t>
      </w:r>
      <w:bookmarkEnd w:id="3"/>
      <w:r w:rsidRPr="00034365">
        <w:t> </w:t>
      </w:r>
    </w:p>
    <w:p w14:paraId="4535701A" w14:textId="04C4B676" w:rsidR="00B6083C" w:rsidRPr="00034365" w:rsidRDefault="00B6083C" w:rsidP="00B6083C">
      <w:pPr>
        <w:rPr>
          <w:rFonts w:ascii="Arial" w:hAnsi="Arial" w:cs="Arial"/>
          <w:sz w:val="22"/>
        </w:rPr>
      </w:pPr>
      <w:r w:rsidRPr="00034365">
        <w:rPr>
          <w:rFonts w:ascii="Arial" w:hAnsi="Arial" w:cs="Arial"/>
          <w:sz w:val="22"/>
        </w:rPr>
        <w:t xml:space="preserve">Tobacco control policies and regulations from international public health have supported the creation of better policies for quitting smoking worldwide. The UK has had to abide by tougher restrictions regarding advertisement and no smoking in public places, thus facilitating healthier practices (GOV.UK, 2024). </w:t>
      </w:r>
      <w:r w:rsidR="008A0E3D" w:rsidRPr="008A0E3D">
        <w:rPr>
          <w:rFonts w:ascii="Arial" w:hAnsi="Arial" w:cs="Arial"/>
          <w:sz w:val="22"/>
        </w:rPr>
        <w:t>The global health control policies</w:t>
      </w:r>
      <w:r w:rsidRPr="008A0E3D">
        <w:rPr>
          <w:rFonts w:ascii="Arial" w:hAnsi="Arial" w:cs="Arial"/>
          <w:sz w:val="22"/>
        </w:rPr>
        <w:t xml:space="preserve"> has relied on </w:t>
      </w:r>
      <w:r w:rsidR="00287137" w:rsidRPr="008A0E3D">
        <w:rPr>
          <w:rFonts w:ascii="Arial" w:hAnsi="Arial" w:cs="Arial"/>
          <w:sz w:val="22"/>
        </w:rPr>
        <w:t xml:space="preserve">employing the standards through </w:t>
      </w:r>
      <w:r w:rsidRPr="008A0E3D">
        <w:rPr>
          <w:rFonts w:ascii="Arial" w:hAnsi="Arial" w:cs="Arial"/>
          <w:sz w:val="22"/>
        </w:rPr>
        <w:t xml:space="preserve">the regulatory agencies. </w:t>
      </w:r>
      <w:r w:rsidR="00034365" w:rsidRPr="008A0E3D">
        <w:rPr>
          <w:rFonts w:ascii="Arial" w:hAnsi="Arial" w:cs="Arial"/>
          <w:sz w:val="22"/>
        </w:rPr>
        <w:t xml:space="preserve">In illustration of the above statement, the </w:t>
      </w:r>
      <w:r w:rsidR="00034365" w:rsidRPr="008A0E3D">
        <w:rPr>
          <w:rFonts w:ascii="Arial" w:hAnsi="Arial" w:cs="Arial"/>
          <w:sz w:val="22"/>
        </w:rPr>
        <w:lastRenderedPageBreak/>
        <w:t>MPOWER tool developed by WHO has been regarded as a standard for intensifying the effectiveness of the regulation measures mentioned above (WHO, 2023).</w:t>
      </w:r>
      <w:r w:rsidR="00034365" w:rsidRPr="00034365">
        <w:rPr>
          <w:rFonts w:ascii="Arial" w:hAnsi="Arial" w:cs="Arial"/>
          <w:sz w:val="22"/>
        </w:rPr>
        <w:t xml:space="preserve"> </w:t>
      </w:r>
      <w:r w:rsidRPr="00034365">
        <w:rPr>
          <w:rFonts w:ascii="Arial" w:hAnsi="Arial" w:cs="Arial"/>
          <w:sz w:val="22"/>
        </w:rPr>
        <w:t xml:space="preserve">While some success has been achieved in disadvantaged communities, however, inconsistent availability and implementation of health care has reduced its effectiveness (El Arab </w:t>
      </w:r>
      <w:r w:rsidRPr="00034365">
        <w:rPr>
          <w:rFonts w:ascii="Arial" w:hAnsi="Arial" w:cs="Arial"/>
          <w:i/>
          <w:iCs/>
          <w:sz w:val="22"/>
        </w:rPr>
        <w:t>et al.</w:t>
      </w:r>
      <w:r w:rsidRPr="00034365">
        <w:rPr>
          <w:rFonts w:ascii="Arial" w:hAnsi="Arial" w:cs="Arial"/>
          <w:sz w:val="22"/>
        </w:rPr>
        <w:t>, 2025). Contrary to this, UK laws and regulations have been seen as more robust and effective in closing down public tobacco coverage and improving community wellbeing.</w:t>
      </w:r>
    </w:p>
    <w:p w14:paraId="2E1A6851" w14:textId="77777777" w:rsidR="00B6083C" w:rsidRPr="007C1BF3" w:rsidRDefault="00B6083C" w:rsidP="00034365">
      <w:pPr>
        <w:pStyle w:val="Heading2"/>
      </w:pPr>
      <w:bookmarkStart w:id="4" w:name="_Toc230602318"/>
      <w:r w:rsidRPr="007C1BF3">
        <w:t>2.3 Critical evaluation of national and local examples</w:t>
      </w:r>
      <w:bookmarkEnd w:id="4"/>
      <w:r w:rsidRPr="007C1BF3">
        <w:t> </w:t>
      </w:r>
    </w:p>
    <w:p w14:paraId="4620C138" w14:textId="58DAEEC1" w:rsidR="00B6083C" w:rsidRPr="007C1BF3" w:rsidRDefault="00B6083C" w:rsidP="00B6083C">
      <w:pPr>
        <w:rPr>
          <w:rFonts w:ascii="Arial" w:hAnsi="Arial" w:cs="Arial"/>
          <w:sz w:val="22"/>
        </w:rPr>
      </w:pPr>
      <w:r w:rsidRPr="007C1BF3">
        <w:rPr>
          <w:rFonts w:ascii="Arial" w:hAnsi="Arial" w:cs="Arial"/>
          <w:sz w:val="22"/>
        </w:rPr>
        <w:t>The countrywide smoking cessation program has helped improve the well-being of the entire nation since the program is administered through NHS smoking cessation programs in England</w:t>
      </w:r>
      <w:r w:rsidRPr="008A0E3D">
        <w:rPr>
          <w:rFonts w:ascii="Arial" w:hAnsi="Arial" w:cs="Arial"/>
          <w:sz w:val="22"/>
        </w:rPr>
        <w:t xml:space="preserve">. The smoking rate amongst adults in England has seen a further decline </w:t>
      </w:r>
      <w:r w:rsidR="00487425" w:rsidRPr="008A0E3D">
        <w:rPr>
          <w:rFonts w:ascii="Arial" w:hAnsi="Arial" w:cs="Arial"/>
          <w:sz w:val="22"/>
        </w:rPr>
        <w:t xml:space="preserve">where </w:t>
      </w:r>
      <w:r w:rsidRPr="008A0E3D">
        <w:rPr>
          <w:rFonts w:ascii="Arial" w:hAnsi="Arial" w:cs="Arial"/>
          <w:sz w:val="22"/>
        </w:rPr>
        <w:t>it stood at 10.4% in 2024 (ONS, 2025).</w:t>
      </w:r>
      <w:r w:rsidRPr="007C1BF3">
        <w:rPr>
          <w:rFonts w:ascii="Arial" w:hAnsi="Arial" w:cs="Arial"/>
          <w:sz w:val="22"/>
        </w:rPr>
        <w:t xml:space="preserve"> However, the prevalence of smoking is relatively higher in poor and young people. Community-based efforts have been made to offer greater access to Stop Smoking services through the local NHS Stoppable Tobacco Services. Local services across England have helped over 5 million people to make successful quit attempts (Local Government Association, 2024). Meanwhile lack of funding from some areas and the rising rates of youth vaping have made certain local health programmes inherently less sustainable.</w:t>
      </w:r>
    </w:p>
    <w:p w14:paraId="71A15A5B" w14:textId="77777777" w:rsidR="00B6083C" w:rsidRPr="007C1BF3" w:rsidRDefault="00B6083C" w:rsidP="00034365">
      <w:pPr>
        <w:pStyle w:val="Heading2"/>
      </w:pPr>
      <w:bookmarkStart w:id="5" w:name="_Toc230602319"/>
      <w:r w:rsidRPr="007C1BF3">
        <w:t>2.4 Use of theories and models incorporated into your evaluation</w:t>
      </w:r>
      <w:bookmarkEnd w:id="5"/>
      <w:r w:rsidRPr="007C1BF3">
        <w:t> </w:t>
      </w:r>
    </w:p>
    <w:p w14:paraId="56144D2B" w14:textId="77777777" w:rsidR="00B6083C" w:rsidRPr="007C1BF3" w:rsidRDefault="00B6083C" w:rsidP="00B6083C">
      <w:pPr>
        <w:rPr>
          <w:rFonts w:ascii="Arial" w:hAnsi="Arial" w:cs="Arial"/>
        </w:rPr>
      </w:pPr>
      <w:r w:rsidRPr="007C1BF3">
        <w:rPr>
          <w:rFonts w:ascii="Arial" w:hAnsi="Arial" w:cs="Arial"/>
          <w:b/>
          <w:bCs/>
          <w:i/>
          <w:iCs/>
        </w:rPr>
        <w:t>Health Belief Model (HBM)</w:t>
      </w:r>
    </w:p>
    <w:p w14:paraId="63E14B0D" w14:textId="77777777" w:rsidR="00B6083C" w:rsidRDefault="00B6083C" w:rsidP="00B6083C">
      <w:pPr>
        <w:rPr>
          <w:rFonts w:ascii="Arial" w:hAnsi="Arial" w:cs="Arial"/>
          <w:sz w:val="22"/>
        </w:rPr>
      </w:pPr>
      <w:r w:rsidRPr="007C1BF3">
        <w:rPr>
          <w:rFonts w:ascii="Arial" w:hAnsi="Arial" w:cs="Arial"/>
          <w:sz w:val="22"/>
        </w:rPr>
        <w:t>The Health Belief Model (HBM) is an example of a behavioural theory that involves health beliefs and influences behavioural changes due to those beliefs. According to the model, the constant factors that affect behavioural change are perceived susceptibility, perceived severity, perceived benefits, perceived barriers, cues to action and self-efficacy (Al</w:t>
      </w:r>
      <w:r w:rsidRPr="007C1BF3">
        <w:rPr>
          <w:rFonts w:ascii="Cambria Math" w:hAnsi="Cambria Math" w:cs="Cambria Math"/>
          <w:sz w:val="22"/>
        </w:rPr>
        <w:t>‐</w:t>
      </w:r>
      <w:r w:rsidRPr="007C1BF3">
        <w:rPr>
          <w:rFonts w:ascii="Arial" w:hAnsi="Arial" w:cs="Arial"/>
          <w:sz w:val="22"/>
        </w:rPr>
        <w:t xml:space="preserve">Ani </w:t>
      </w:r>
      <w:r w:rsidRPr="007C1BF3">
        <w:rPr>
          <w:rFonts w:ascii="Arial" w:hAnsi="Arial" w:cs="Arial"/>
          <w:i/>
          <w:iCs/>
          <w:sz w:val="22"/>
        </w:rPr>
        <w:t>et al.</w:t>
      </w:r>
      <w:r w:rsidRPr="007C1BF3">
        <w:rPr>
          <w:rFonts w:ascii="Arial" w:hAnsi="Arial" w:cs="Arial"/>
          <w:sz w:val="22"/>
        </w:rPr>
        <w:t xml:space="preserve">, 2023). There is more emphasis on the individual's knowledge of health risks and results. In relation to smoking cessation, the theory has been used for creating awareness about smoking-related diseases and early death. Fear appeals and information campaigns have been integrated in public health campaigns to bolster behavioural intentions. Incorporation of counselling and awareness strategies have been adopted in NHS smoking cessation programmes to enhance confidence towards smoking cessation (Sharrad </w:t>
      </w:r>
      <w:r w:rsidRPr="007C1BF3">
        <w:rPr>
          <w:rFonts w:ascii="Arial" w:hAnsi="Arial" w:cs="Arial"/>
          <w:i/>
          <w:iCs/>
          <w:sz w:val="22"/>
        </w:rPr>
        <w:t>et al.</w:t>
      </w:r>
      <w:r w:rsidRPr="007C1BF3">
        <w:rPr>
          <w:rFonts w:ascii="Arial" w:hAnsi="Arial" w:cs="Arial"/>
          <w:sz w:val="22"/>
        </w:rPr>
        <w:t>, 2026). Therefore, healthier lifestyle discourses and health participations are facilitated with HBM-based approaches.</w:t>
      </w:r>
    </w:p>
    <w:p w14:paraId="55092928" w14:textId="77777777" w:rsidR="00A41AE4" w:rsidRDefault="00A41AE4" w:rsidP="00A41AE4">
      <w:pPr>
        <w:spacing w:before="0" w:beforeAutospacing="0" w:after="0" w:afterAutospacing="0"/>
        <w:jc w:val="center"/>
        <w:rPr>
          <w:rFonts w:ascii="Arial" w:hAnsi="Arial" w:cs="Arial"/>
          <w:sz w:val="22"/>
        </w:rPr>
      </w:pPr>
      <w:r w:rsidRPr="00A41AE4">
        <w:rPr>
          <w:rFonts w:ascii="Arial" w:hAnsi="Arial" w:cs="Arial"/>
          <w:noProof/>
          <w:sz w:val="22"/>
          <w:lang w:eastAsia="en-GB"/>
        </w:rPr>
        <w:lastRenderedPageBreak/>
        <w:drawing>
          <wp:inline distT="0" distB="0" distL="0" distR="0" wp14:anchorId="0E5935C4" wp14:editId="0F704A8A">
            <wp:extent cx="5132207" cy="2928377"/>
            <wp:effectExtent l="0" t="0" r="0" b="571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132207" cy="2928377"/>
                    </a:xfrm>
                    <a:prstGeom prst="rect">
                      <a:avLst/>
                    </a:prstGeom>
                  </pic:spPr>
                </pic:pic>
              </a:graphicData>
            </a:graphic>
          </wp:inline>
        </w:drawing>
      </w:r>
    </w:p>
    <w:p w14:paraId="5B7CD1E6" w14:textId="77777777" w:rsidR="00A41AE4" w:rsidRPr="00A41AE4" w:rsidRDefault="00A41AE4" w:rsidP="00A41AE4">
      <w:pPr>
        <w:spacing w:before="0" w:beforeAutospacing="0" w:after="0" w:afterAutospacing="0"/>
        <w:jc w:val="center"/>
        <w:rPr>
          <w:rFonts w:ascii="Arial" w:hAnsi="Arial" w:cs="Arial"/>
          <w:b/>
          <w:sz w:val="22"/>
        </w:rPr>
      </w:pPr>
      <w:r w:rsidRPr="00A41AE4">
        <w:rPr>
          <w:rFonts w:ascii="Arial" w:hAnsi="Arial" w:cs="Arial"/>
          <w:b/>
          <w:sz w:val="22"/>
        </w:rPr>
        <w:t>Figure</w:t>
      </w:r>
      <w:r>
        <w:rPr>
          <w:rFonts w:ascii="Arial" w:hAnsi="Arial" w:cs="Arial"/>
          <w:b/>
          <w:sz w:val="22"/>
        </w:rPr>
        <w:t xml:space="preserve"> 1</w:t>
      </w:r>
      <w:r w:rsidRPr="00A41AE4">
        <w:rPr>
          <w:rFonts w:ascii="Arial" w:hAnsi="Arial" w:cs="Arial"/>
          <w:b/>
          <w:sz w:val="22"/>
        </w:rPr>
        <w:t>: Health Belief Model</w:t>
      </w:r>
    </w:p>
    <w:p w14:paraId="5E8D53BF" w14:textId="77777777" w:rsidR="00A41AE4" w:rsidRPr="007C1BF3" w:rsidRDefault="00A41AE4" w:rsidP="00A41AE4">
      <w:pPr>
        <w:spacing w:before="0" w:beforeAutospacing="0" w:after="0" w:afterAutospacing="0"/>
        <w:jc w:val="center"/>
        <w:rPr>
          <w:rFonts w:ascii="Arial" w:hAnsi="Arial" w:cs="Arial"/>
          <w:sz w:val="22"/>
        </w:rPr>
      </w:pPr>
      <w:r>
        <w:rPr>
          <w:rFonts w:ascii="Arial" w:hAnsi="Arial" w:cs="Arial"/>
          <w:sz w:val="22"/>
        </w:rPr>
        <w:t xml:space="preserve">(Source: </w:t>
      </w:r>
      <w:r w:rsidRPr="00A41AE4">
        <w:rPr>
          <w:rFonts w:ascii="Arial" w:hAnsi="Arial" w:cs="Arial"/>
          <w:sz w:val="22"/>
        </w:rPr>
        <w:t>Al</w:t>
      </w:r>
      <w:r w:rsidRPr="00A41AE4">
        <w:rPr>
          <w:rFonts w:ascii="Cambria Math" w:hAnsi="Cambria Math" w:cs="Cambria Math"/>
          <w:sz w:val="22"/>
        </w:rPr>
        <w:t>‐</w:t>
      </w:r>
      <w:r w:rsidRPr="00A41AE4">
        <w:rPr>
          <w:rFonts w:ascii="Arial" w:hAnsi="Arial" w:cs="Arial"/>
          <w:sz w:val="22"/>
        </w:rPr>
        <w:t xml:space="preserve">Ani </w:t>
      </w:r>
      <w:r w:rsidRPr="00A41AE4">
        <w:rPr>
          <w:rFonts w:ascii="Arial" w:hAnsi="Arial" w:cs="Arial"/>
          <w:i/>
          <w:iCs/>
          <w:sz w:val="22"/>
        </w:rPr>
        <w:t>et al.</w:t>
      </w:r>
      <w:r w:rsidRPr="00A41AE4">
        <w:rPr>
          <w:rFonts w:ascii="Arial" w:hAnsi="Arial" w:cs="Arial"/>
          <w:sz w:val="22"/>
        </w:rPr>
        <w:t>, 2023</w:t>
      </w:r>
      <w:r>
        <w:rPr>
          <w:rFonts w:ascii="Arial" w:hAnsi="Arial" w:cs="Arial"/>
          <w:sz w:val="22"/>
        </w:rPr>
        <w:t>)</w:t>
      </w:r>
    </w:p>
    <w:p w14:paraId="6ED2B581" w14:textId="77777777" w:rsidR="00B6083C" w:rsidRPr="007C1BF3" w:rsidRDefault="00B6083C" w:rsidP="00B6083C">
      <w:pPr>
        <w:rPr>
          <w:rFonts w:ascii="Arial" w:hAnsi="Arial" w:cs="Arial"/>
        </w:rPr>
      </w:pPr>
      <w:r w:rsidRPr="007C1BF3">
        <w:rPr>
          <w:rFonts w:ascii="Arial" w:hAnsi="Arial" w:cs="Arial"/>
          <w:b/>
          <w:bCs/>
          <w:i/>
          <w:iCs/>
        </w:rPr>
        <w:t>Transtheoretical Model of Change (Stages of Change Theory)</w:t>
      </w:r>
    </w:p>
    <w:p w14:paraId="2489FE04" w14:textId="59033261" w:rsidR="00B6083C" w:rsidRPr="007C1BF3" w:rsidRDefault="00B6083C" w:rsidP="00B6083C">
      <w:pPr>
        <w:rPr>
          <w:rFonts w:ascii="Arial" w:hAnsi="Arial" w:cs="Arial"/>
          <w:sz w:val="22"/>
        </w:rPr>
      </w:pPr>
      <w:r w:rsidRPr="008A0E3D">
        <w:rPr>
          <w:rFonts w:ascii="Arial" w:hAnsi="Arial" w:cs="Arial"/>
          <w:sz w:val="22"/>
        </w:rPr>
        <w:t>The Transtheoretical Model of change</w:t>
      </w:r>
      <w:r w:rsidR="00695106" w:rsidRPr="008A0E3D">
        <w:rPr>
          <w:rFonts w:ascii="Arial" w:hAnsi="Arial" w:cs="Arial"/>
          <w:sz w:val="22"/>
        </w:rPr>
        <w:t xml:space="preserve"> (</w:t>
      </w:r>
      <w:r w:rsidR="00487425" w:rsidRPr="008A0E3D">
        <w:rPr>
          <w:rFonts w:ascii="Arial" w:hAnsi="Arial" w:cs="Arial"/>
          <w:sz w:val="22"/>
        </w:rPr>
        <w:t>1970</w:t>
      </w:r>
      <w:r w:rsidR="00695106" w:rsidRPr="008A0E3D">
        <w:rPr>
          <w:rFonts w:ascii="Arial" w:hAnsi="Arial" w:cs="Arial"/>
          <w:sz w:val="22"/>
        </w:rPr>
        <w:t>)</w:t>
      </w:r>
      <w:r w:rsidRPr="008A0E3D">
        <w:rPr>
          <w:rFonts w:ascii="Arial" w:hAnsi="Arial" w:cs="Arial"/>
          <w:sz w:val="22"/>
        </w:rPr>
        <w:t xml:space="preserve"> is a behaviour model that describes the sequential stages of </w:t>
      </w:r>
      <w:r w:rsidR="003F4588" w:rsidRPr="008A0E3D">
        <w:rPr>
          <w:rFonts w:ascii="Arial" w:hAnsi="Arial" w:cs="Arial"/>
          <w:sz w:val="22"/>
        </w:rPr>
        <w:t>behaviour</w:t>
      </w:r>
      <w:r w:rsidRPr="008A0E3D">
        <w:rPr>
          <w:rFonts w:ascii="Arial" w:hAnsi="Arial" w:cs="Arial"/>
          <w:sz w:val="22"/>
        </w:rPr>
        <w:t xml:space="preserve"> change. The</w:t>
      </w:r>
      <w:r w:rsidRPr="007C1BF3">
        <w:rPr>
          <w:rFonts w:ascii="Arial" w:hAnsi="Arial" w:cs="Arial"/>
          <w:sz w:val="22"/>
        </w:rPr>
        <w:t xml:space="preserve"> model suggests the behavioural change cycle for a person exists over pre-contemplation, contemplation, preparation, action, maintenance, and relapse phases (Walton </w:t>
      </w:r>
      <w:r w:rsidRPr="007C1BF3">
        <w:rPr>
          <w:rFonts w:ascii="Arial" w:hAnsi="Arial" w:cs="Arial"/>
          <w:i/>
          <w:iCs/>
          <w:sz w:val="22"/>
        </w:rPr>
        <w:t>et al.</w:t>
      </w:r>
      <w:r w:rsidRPr="007C1BF3">
        <w:rPr>
          <w:rFonts w:ascii="Arial" w:hAnsi="Arial" w:cs="Arial"/>
          <w:sz w:val="22"/>
        </w:rPr>
        <w:t xml:space="preserve">, 2022). Individuals therefore need different interventions based on level of readiness and level of motivation. Theory has been used to support smoking cessation personalised interventions in health services and smoking cessation structured behavioural support programmes. Stage Behaviour Change Therapy has been integrated into the NHS smoking cessation services in order to facilitate a smooth </w:t>
      </w:r>
      <w:r w:rsidR="00096AF4" w:rsidRPr="007C1BF3">
        <w:rPr>
          <w:rFonts w:ascii="Arial" w:hAnsi="Arial" w:cs="Arial"/>
          <w:sz w:val="22"/>
        </w:rPr>
        <w:t>behaviour</w:t>
      </w:r>
      <w:r w:rsidRPr="007C1BF3">
        <w:rPr>
          <w:rFonts w:ascii="Arial" w:hAnsi="Arial" w:cs="Arial"/>
          <w:sz w:val="22"/>
        </w:rPr>
        <w:t xml:space="preserve"> shift for the patient (Ramseier, 2026). Relapse prevention and sustaining the behavioural results has been another point of interest as well as the consideration of the effects of treatment interruptions. Long-term sustainability of behaviours has been the other area of interest along with the adverse effects that are associated with interruption of treatment regimens (Vinkers et al., 2024).</w:t>
      </w:r>
    </w:p>
    <w:p w14:paraId="5CE2A582" w14:textId="77777777" w:rsidR="00B6083C" w:rsidRPr="007C1BF3" w:rsidRDefault="00B6083C" w:rsidP="00034365">
      <w:pPr>
        <w:pStyle w:val="Heading2"/>
      </w:pPr>
      <w:bookmarkStart w:id="6" w:name="_Toc230602320"/>
      <w:r w:rsidRPr="007C1BF3">
        <w:t>2.5 Recommendations</w:t>
      </w:r>
      <w:bookmarkEnd w:id="6"/>
      <w:r w:rsidRPr="007C1BF3">
        <w:t> </w:t>
      </w:r>
    </w:p>
    <w:p w14:paraId="7DF4660E" w14:textId="77777777" w:rsidR="00B6083C" w:rsidRPr="007C1BF3" w:rsidRDefault="00B6083C" w:rsidP="00B6083C">
      <w:pPr>
        <w:numPr>
          <w:ilvl w:val="0"/>
          <w:numId w:val="1"/>
        </w:numPr>
        <w:rPr>
          <w:rFonts w:ascii="Arial" w:hAnsi="Arial" w:cs="Arial"/>
          <w:sz w:val="22"/>
        </w:rPr>
      </w:pPr>
      <w:r w:rsidRPr="007C1BF3">
        <w:rPr>
          <w:rFonts w:ascii="Arial" w:hAnsi="Arial" w:cs="Arial"/>
          <w:sz w:val="22"/>
        </w:rPr>
        <w:t>More funding may also be made available to stop smoking through grassroots programs in communities that suffer from deprivation. This improvement in access will help reduce health inequalities and enhance the behavioural tendencies of at-risk individuals (Cacciatore et al., 2025).</w:t>
      </w:r>
    </w:p>
    <w:p w14:paraId="23FC34A1" w14:textId="77777777" w:rsidR="00B6083C" w:rsidRPr="007C1BF3" w:rsidRDefault="00B6083C" w:rsidP="00B6083C">
      <w:pPr>
        <w:numPr>
          <w:ilvl w:val="0"/>
          <w:numId w:val="1"/>
        </w:numPr>
        <w:rPr>
          <w:rFonts w:ascii="Arial" w:hAnsi="Arial" w:cs="Arial"/>
          <w:sz w:val="22"/>
        </w:rPr>
      </w:pPr>
      <w:r w:rsidRPr="007C1BF3">
        <w:rPr>
          <w:rFonts w:ascii="Arial" w:hAnsi="Arial" w:cs="Arial"/>
          <w:sz w:val="22"/>
        </w:rPr>
        <w:lastRenderedPageBreak/>
        <w:t>Health policy strategies can also involve stricter regulations against youths who vape, as well as making the marketing of e-cigarettes harder to accomplish. Current tobacco prevention programs have failed to prevent an increase in addiction to nicotine by young adults (Okposio et al., 2026).</w:t>
      </w:r>
    </w:p>
    <w:p w14:paraId="1D7BBC9D" w14:textId="0DFC0D20" w:rsidR="00B6083C" w:rsidRPr="007C1BF3" w:rsidRDefault="00B6083C" w:rsidP="00B6083C">
      <w:pPr>
        <w:numPr>
          <w:ilvl w:val="0"/>
          <w:numId w:val="1"/>
        </w:numPr>
        <w:rPr>
          <w:rFonts w:ascii="Arial" w:hAnsi="Arial" w:cs="Arial"/>
          <w:sz w:val="22"/>
        </w:rPr>
      </w:pPr>
      <w:r w:rsidRPr="007C1BF3">
        <w:rPr>
          <w:rFonts w:ascii="Arial" w:hAnsi="Arial" w:cs="Arial"/>
          <w:sz w:val="22"/>
        </w:rPr>
        <w:t xml:space="preserve">An approach to provide personalized support for </w:t>
      </w:r>
      <w:r w:rsidR="00096AF4" w:rsidRPr="007C1BF3">
        <w:rPr>
          <w:rFonts w:ascii="Arial" w:hAnsi="Arial" w:cs="Arial"/>
          <w:sz w:val="22"/>
        </w:rPr>
        <w:t>behaviour</w:t>
      </w:r>
      <w:r w:rsidRPr="007C1BF3">
        <w:rPr>
          <w:rFonts w:ascii="Arial" w:hAnsi="Arial" w:cs="Arial"/>
          <w:sz w:val="22"/>
        </w:rPr>
        <w:t xml:space="preserve"> at stage level could be introduced to the existing NHS smoking cessation program. Use of behavioural interventions could assist in increasing patient engagement, relapse prevention, and success in smoking cessation (Ugalde et al., 2021).</w:t>
      </w:r>
    </w:p>
    <w:p w14:paraId="2EFF8863" w14:textId="77777777" w:rsidR="00B6083C" w:rsidRPr="007C1BF3" w:rsidRDefault="00B6083C" w:rsidP="00B6083C">
      <w:pPr>
        <w:pStyle w:val="Heading1"/>
        <w:rPr>
          <w:rFonts w:ascii="Arial" w:hAnsi="Arial" w:cs="Arial"/>
        </w:rPr>
      </w:pPr>
      <w:bookmarkStart w:id="7" w:name="_Toc230602321"/>
      <w:r w:rsidRPr="007C1BF3">
        <w:rPr>
          <w:rFonts w:ascii="Arial" w:hAnsi="Arial" w:cs="Arial"/>
        </w:rPr>
        <w:t xml:space="preserve">3. Section 2: </w:t>
      </w:r>
      <w:bookmarkEnd w:id="7"/>
      <w:r w:rsidR="00E93C6B">
        <w:rPr>
          <w:rFonts w:ascii="Arial" w:hAnsi="Arial" w:cs="Arial"/>
        </w:rPr>
        <w:t>E</w:t>
      </w:r>
      <w:r w:rsidR="00E93C6B" w:rsidRPr="00E93C6B">
        <w:rPr>
          <w:rFonts w:ascii="Arial" w:hAnsi="Arial" w:cs="Arial"/>
        </w:rPr>
        <w:t>valuation of the effectiveness of national and local health</w:t>
      </w:r>
    </w:p>
    <w:p w14:paraId="1C1FFE08" w14:textId="77777777" w:rsidR="00E93C6B" w:rsidRPr="00E93C6B" w:rsidRDefault="00B6083C" w:rsidP="00034365">
      <w:pPr>
        <w:pStyle w:val="Heading2"/>
      </w:pPr>
      <w:bookmarkStart w:id="8" w:name="_Toc230602322"/>
      <w:r w:rsidRPr="007C1BF3">
        <w:t xml:space="preserve">3.1 Overview of </w:t>
      </w:r>
      <w:r w:rsidR="00E93C6B">
        <w:t xml:space="preserve">SDG to enhance </w:t>
      </w:r>
      <w:r w:rsidR="00E93C6B" w:rsidRPr="00E93C6B">
        <w:t>national and local health</w:t>
      </w:r>
    </w:p>
    <w:bookmarkEnd w:id="8"/>
    <w:p w14:paraId="12613800" w14:textId="77777777" w:rsidR="00B6083C" w:rsidRPr="007C1BF3" w:rsidRDefault="00B6083C" w:rsidP="00B6083C">
      <w:pPr>
        <w:rPr>
          <w:rFonts w:ascii="Arial" w:hAnsi="Arial" w:cs="Arial"/>
          <w:sz w:val="22"/>
        </w:rPr>
      </w:pPr>
      <w:r w:rsidRPr="007C1BF3">
        <w:rPr>
          <w:rFonts w:ascii="Arial" w:hAnsi="Arial" w:cs="Arial"/>
          <w:sz w:val="22"/>
        </w:rPr>
        <w:t xml:space="preserve">Goal 12: Responsible Consumption and Production </w:t>
      </w:r>
      <w:proofErr w:type="gramStart"/>
      <w:r w:rsidRPr="007C1BF3">
        <w:rPr>
          <w:rFonts w:ascii="Arial" w:hAnsi="Arial" w:cs="Arial"/>
          <w:sz w:val="22"/>
        </w:rPr>
        <w:t>intends</w:t>
      </w:r>
      <w:proofErr w:type="gramEnd"/>
      <w:r w:rsidRPr="007C1BF3">
        <w:rPr>
          <w:rFonts w:ascii="Arial" w:hAnsi="Arial" w:cs="Arial"/>
          <w:sz w:val="22"/>
        </w:rPr>
        <w:t xml:space="preserve"> to ensure sustainable patterns of consumption and production and avoid negative patterns of consumption. </w:t>
      </w:r>
      <w:r w:rsidR="00E93C6B">
        <w:rPr>
          <w:rFonts w:ascii="Arial" w:hAnsi="Arial" w:cs="Arial"/>
          <w:sz w:val="22"/>
        </w:rPr>
        <w:t xml:space="preserve">Thus, the application of other SDGs </w:t>
      </w:r>
      <w:proofErr w:type="gramStart"/>
      <w:r w:rsidR="00E93C6B">
        <w:rPr>
          <w:rFonts w:ascii="Arial" w:hAnsi="Arial" w:cs="Arial"/>
          <w:sz w:val="22"/>
        </w:rPr>
        <w:t>are</w:t>
      </w:r>
      <w:proofErr w:type="gramEnd"/>
      <w:r w:rsidR="00E93C6B">
        <w:rPr>
          <w:rFonts w:ascii="Arial" w:hAnsi="Arial" w:cs="Arial"/>
          <w:sz w:val="22"/>
        </w:rPr>
        <w:t xml:space="preserve"> applied which can enhance the development apart from SDG 3 in carving healthcare and wellness benefits for the people. </w:t>
      </w:r>
      <w:r w:rsidRPr="007C1BF3">
        <w:rPr>
          <w:rFonts w:ascii="Arial" w:hAnsi="Arial" w:cs="Arial"/>
          <w:sz w:val="22"/>
        </w:rPr>
        <w:t>The objective encourages sustainable production methods, waste minimisation and healthier lifestyle habits (Mensah et al., 2023). Improved focus has been given to restricting environmentally detrimental and/or harmful to public health products. In the medical field, the problem of tobacco consumption has been reported as a big issue due to the production of environmental pollution and toxic waste through cigarette manufacturing. Litter and toxic emissions resulting from smoking have similarly compromised the health and environmental sustainability of various communities (Abubakar et al., 2022). In line with responsible behaviours, governments and health bodies have encouraged the adoption of these practices.</w:t>
      </w:r>
    </w:p>
    <w:p w14:paraId="36AE093B" w14:textId="77777777" w:rsidR="00B6083C" w:rsidRPr="007C1BF3" w:rsidRDefault="00B6083C" w:rsidP="00034365">
      <w:pPr>
        <w:pStyle w:val="Heading2"/>
      </w:pPr>
      <w:bookmarkStart w:id="9" w:name="_Toc230602323"/>
      <w:r w:rsidRPr="007C1BF3">
        <w:t>3.2 Critical evaluation of global policies and initiatives</w:t>
      </w:r>
      <w:bookmarkEnd w:id="9"/>
      <w:r w:rsidRPr="007C1BF3">
        <w:t> </w:t>
      </w:r>
    </w:p>
    <w:p w14:paraId="4DA4DCDF" w14:textId="12B3AECF" w:rsidR="00B6083C" w:rsidRDefault="00B6083C" w:rsidP="00B6083C">
      <w:pPr>
        <w:rPr>
          <w:rFonts w:ascii="Arial" w:hAnsi="Arial" w:cs="Arial"/>
          <w:sz w:val="22"/>
        </w:rPr>
      </w:pPr>
      <w:r w:rsidRPr="007C1BF3">
        <w:rPr>
          <w:rFonts w:ascii="Arial" w:hAnsi="Arial" w:cs="Arial"/>
          <w:sz w:val="22"/>
        </w:rPr>
        <w:t xml:space="preserve">International policies have been established to tackle smoking and sustainable consumption, shifting the emphasis to decreasing the dependency upon tobacco use and damage to the environment. Legislation and national smoking bans have played a role in encouraging responsible health behaviours and decrease in cigarette trash in the United Kingdom (Gupta and Gupta, 2025). </w:t>
      </w:r>
      <w:r w:rsidR="003F4588">
        <w:rPr>
          <w:rFonts w:ascii="Arial" w:hAnsi="Arial" w:cs="Arial"/>
          <w:sz w:val="22"/>
        </w:rPr>
        <w:t>The global health control</w:t>
      </w:r>
      <w:r w:rsidRPr="007C1BF3">
        <w:rPr>
          <w:rFonts w:ascii="Arial" w:hAnsi="Arial" w:cs="Arial"/>
          <w:sz w:val="22"/>
        </w:rPr>
        <w:t xml:space="preserve"> has focused on regulators, regulation, and consumer awareness by using federal anti-tobacco campaigns. Access to greater public education has raised awareness about negative consumption in both countries. Yet there is evidence of a weakening of the effectiveness of policies on a global level due to commercial </w:t>
      </w:r>
      <w:r w:rsidRPr="007C1BF3">
        <w:rPr>
          <w:rFonts w:ascii="Arial" w:hAnsi="Arial" w:cs="Arial"/>
          <w:sz w:val="22"/>
        </w:rPr>
        <w:lastRenderedPageBreak/>
        <w:t xml:space="preserve">tobacco influence and the fact that environment policies have not been uniform. </w:t>
      </w:r>
      <w:r w:rsidRPr="002F36A1">
        <w:rPr>
          <w:rFonts w:ascii="Arial" w:hAnsi="Arial" w:cs="Arial"/>
          <w:sz w:val="22"/>
        </w:rPr>
        <w:t xml:space="preserve">In addition, stricter </w:t>
      </w:r>
      <w:r w:rsidR="00487425" w:rsidRPr="002F36A1">
        <w:rPr>
          <w:rFonts w:ascii="Arial" w:hAnsi="Arial" w:cs="Arial"/>
          <w:sz w:val="22"/>
        </w:rPr>
        <w:t xml:space="preserve">Tobacco Control </w:t>
      </w:r>
      <w:r w:rsidRPr="002F36A1">
        <w:rPr>
          <w:rFonts w:ascii="Arial" w:hAnsi="Arial" w:cs="Arial"/>
          <w:sz w:val="22"/>
        </w:rPr>
        <w:t>measures adopted by the U.K. have become more aligned with the SDG 12</w:t>
      </w:r>
      <w:r w:rsidR="007157F2" w:rsidRPr="002F36A1">
        <w:rPr>
          <w:rFonts w:ascii="Arial" w:hAnsi="Arial" w:cs="Arial"/>
          <w:sz w:val="22"/>
        </w:rPr>
        <w:t xml:space="preserve"> </w:t>
      </w:r>
      <w:r w:rsidRPr="002F36A1">
        <w:rPr>
          <w:rFonts w:ascii="Arial" w:hAnsi="Arial" w:cs="Arial"/>
          <w:sz w:val="22"/>
        </w:rPr>
        <w:t>objectives and public health issues although in different ways (Yu et al., 2025).</w:t>
      </w:r>
    </w:p>
    <w:p w14:paraId="20D8A869" w14:textId="1EDB3210" w:rsidR="00487425" w:rsidRDefault="00487425" w:rsidP="0070420E">
      <w:pPr>
        <w:spacing w:before="0" w:beforeAutospacing="0" w:after="0" w:afterAutospacing="0"/>
        <w:jc w:val="center"/>
        <w:rPr>
          <w:rFonts w:ascii="Arial" w:hAnsi="Arial" w:cs="Arial"/>
          <w:sz w:val="22"/>
        </w:rPr>
      </w:pPr>
      <w:r>
        <w:rPr>
          <w:rFonts w:ascii="Arial" w:hAnsi="Arial" w:cs="Arial"/>
          <w:noProof/>
          <w:sz w:val="22"/>
        </w:rPr>
        <w:drawing>
          <wp:inline distT="0" distB="0" distL="0" distR="0" wp14:anchorId="5A1C4563" wp14:editId="20D52767">
            <wp:extent cx="5486400" cy="3200400"/>
            <wp:effectExtent l="38100" t="0" r="19050" b="0"/>
            <wp:docPr id="64162505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45CE507" w14:textId="2516D805" w:rsidR="0070420E" w:rsidRPr="0070420E" w:rsidRDefault="0070420E" w:rsidP="0070420E">
      <w:pPr>
        <w:spacing w:before="0" w:beforeAutospacing="0" w:after="0" w:afterAutospacing="0"/>
        <w:jc w:val="center"/>
        <w:rPr>
          <w:rFonts w:ascii="Arial" w:hAnsi="Arial" w:cs="Arial"/>
          <w:b/>
          <w:bCs/>
          <w:sz w:val="22"/>
        </w:rPr>
      </w:pPr>
      <w:r w:rsidRPr="0070420E">
        <w:rPr>
          <w:rFonts w:ascii="Arial" w:hAnsi="Arial" w:cs="Arial"/>
          <w:b/>
          <w:bCs/>
          <w:sz w:val="22"/>
        </w:rPr>
        <w:t>Figure</w:t>
      </w:r>
      <w:r>
        <w:rPr>
          <w:rFonts w:ascii="Arial" w:hAnsi="Arial" w:cs="Arial"/>
          <w:b/>
          <w:bCs/>
          <w:sz w:val="22"/>
        </w:rPr>
        <w:t xml:space="preserve"> 2</w:t>
      </w:r>
      <w:r w:rsidRPr="0070420E">
        <w:rPr>
          <w:rFonts w:ascii="Arial" w:hAnsi="Arial" w:cs="Arial"/>
          <w:b/>
          <w:bCs/>
          <w:sz w:val="22"/>
        </w:rPr>
        <w:t>: SDG 12 Objectives</w:t>
      </w:r>
    </w:p>
    <w:p w14:paraId="38E00527" w14:textId="2673EF8C" w:rsidR="0070420E" w:rsidRPr="007C1BF3" w:rsidRDefault="0070420E" w:rsidP="0070420E">
      <w:pPr>
        <w:spacing w:before="0" w:beforeAutospacing="0" w:after="0" w:afterAutospacing="0"/>
        <w:jc w:val="center"/>
        <w:rPr>
          <w:rFonts w:ascii="Arial" w:hAnsi="Arial" w:cs="Arial"/>
          <w:sz w:val="22"/>
        </w:rPr>
      </w:pPr>
      <w:r>
        <w:rPr>
          <w:rFonts w:ascii="Arial" w:hAnsi="Arial" w:cs="Arial"/>
          <w:sz w:val="22"/>
        </w:rPr>
        <w:t xml:space="preserve">(Source: </w:t>
      </w:r>
      <w:r w:rsidRPr="0070420E">
        <w:rPr>
          <w:rFonts w:ascii="Arial" w:hAnsi="Arial" w:cs="Arial"/>
          <w:sz w:val="22"/>
        </w:rPr>
        <w:t>The Global Goals, 2025</w:t>
      </w:r>
      <w:r>
        <w:rPr>
          <w:rFonts w:ascii="Arial" w:hAnsi="Arial" w:cs="Arial"/>
          <w:sz w:val="22"/>
        </w:rPr>
        <w:t>)</w:t>
      </w:r>
    </w:p>
    <w:p w14:paraId="48BA38F1" w14:textId="77777777" w:rsidR="00B6083C" w:rsidRPr="007C1BF3" w:rsidRDefault="00B6083C" w:rsidP="00034365">
      <w:pPr>
        <w:pStyle w:val="Heading2"/>
      </w:pPr>
      <w:bookmarkStart w:id="10" w:name="_Toc230602324"/>
      <w:r w:rsidRPr="007C1BF3">
        <w:t>3.3 Critical evaluation of national and local examples</w:t>
      </w:r>
      <w:bookmarkEnd w:id="10"/>
      <w:r w:rsidRPr="007C1BF3">
        <w:t> </w:t>
      </w:r>
    </w:p>
    <w:p w14:paraId="2B275EE7" w14:textId="77777777" w:rsidR="00B6083C" w:rsidRPr="007C1BF3" w:rsidRDefault="00B6083C" w:rsidP="00B6083C">
      <w:pPr>
        <w:rPr>
          <w:rFonts w:ascii="Arial" w:hAnsi="Arial" w:cs="Arial"/>
          <w:sz w:val="22"/>
        </w:rPr>
      </w:pPr>
      <w:r w:rsidRPr="007C1BF3">
        <w:rPr>
          <w:rFonts w:ascii="Arial" w:hAnsi="Arial" w:cs="Arial"/>
          <w:sz w:val="22"/>
        </w:rPr>
        <w:t xml:space="preserve">Smoking prevention policies in England across the UK have made responsible consumption easier through the implementation of limitations on tobacco product sales and use, health service tobacco behavioural interventions. The number of smokers in England dropped to 10.4% in 2024 according to the ONS data, and it indicated that there was increased awareness about harmful behaviour regarding consumption in the population (GOV.UK, 2025). There was also an increase in attempts to stop smoking among people in the community, which resulted in 162,655 quit attempts between 2024 and 2025 within the framework of Local NHS Stop Smoking Services. On the other hand, local health visitors and health professionals are improving behavioural outcomes with various types of counselling and nicotine replacement services (Huddlestone </w:t>
      </w:r>
      <w:r w:rsidRPr="007C1BF3">
        <w:rPr>
          <w:rFonts w:ascii="Arial" w:hAnsi="Arial" w:cs="Arial"/>
          <w:i/>
          <w:iCs/>
          <w:sz w:val="22"/>
        </w:rPr>
        <w:t>et al.</w:t>
      </w:r>
      <w:r w:rsidRPr="007C1BF3">
        <w:rPr>
          <w:rFonts w:ascii="Arial" w:hAnsi="Arial" w:cs="Arial"/>
          <w:sz w:val="22"/>
        </w:rPr>
        <w:t>, 2022). This in turn reduces the waste caused by tobacco consumption, as people become more "responsible" in their consumption.</w:t>
      </w:r>
    </w:p>
    <w:p w14:paraId="46B85B52" w14:textId="77777777" w:rsidR="003724C8" w:rsidRDefault="003724C8" w:rsidP="00034365">
      <w:pPr>
        <w:pStyle w:val="Heading2"/>
      </w:pPr>
      <w:bookmarkStart w:id="11" w:name="_Toc230602325"/>
    </w:p>
    <w:p w14:paraId="2070863B" w14:textId="00C9546C" w:rsidR="00B6083C" w:rsidRPr="007C1BF3" w:rsidRDefault="00B6083C" w:rsidP="00034365">
      <w:pPr>
        <w:pStyle w:val="Heading2"/>
      </w:pPr>
      <w:r w:rsidRPr="007C1BF3">
        <w:t>3.4 Use of theories and models incorporated into your evaluation</w:t>
      </w:r>
      <w:bookmarkEnd w:id="11"/>
      <w:r w:rsidRPr="007C1BF3">
        <w:t> </w:t>
      </w:r>
    </w:p>
    <w:p w14:paraId="17DA55C2" w14:textId="77777777" w:rsidR="00B6083C" w:rsidRPr="007C1BF3" w:rsidRDefault="00B6083C" w:rsidP="00B6083C">
      <w:pPr>
        <w:rPr>
          <w:rFonts w:ascii="Arial" w:hAnsi="Arial" w:cs="Arial"/>
        </w:rPr>
      </w:pPr>
      <w:r w:rsidRPr="007C1BF3">
        <w:rPr>
          <w:rFonts w:ascii="Arial" w:hAnsi="Arial" w:cs="Arial"/>
          <w:b/>
          <w:bCs/>
          <w:i/>
          <w:iCs/>
        </w:rPr>
        <w:t>Theory of Planned Behaviour (TPB)</w:t>
      </w:r>
    </w:p>
    <w:p w14:paraId="2E18C287" w14:textId="77777777" w:rsidR="00B6083C" w:rsidRPr="007C1BF3" w:rsidRDefault="00B6083C" w:rsidP="00B6083C">
      <w:pPr>
        <w:rPr>
          <w:rFonts w:ascii="Arial" w:hAnsi="Arial" w:cs="Arial"/>
          <w:sz w:val="22"/>
        </w:rPr>
      </w:pPr>
      <w:r w:rsidRPr="007C1BF3">
        <w:rPr>
          <w:rFonts w:ascii="Arial" w:hAnsi="Arial" w:cs="Arial"/>
          <w:sz w:val="22"/>
        </w:rPr>
        <w:t>Theory of Planned Behaviour (TPB) is a behavioural theory to describe the relationship between intentions and individual actions and decision-making. Attitudes, subjective norms, and perceived behavioural control are all proposed as factors that shape behaviour. Social influence, personal beliefs, and confidence in behaviour performance are given greater emphasis (Rozenkowska, 2023). In the field of smoking cessation, TPB has been examined to discern the reasons why people wish to quit or cut down from smoking tobacco. A negative attitude towards smoking has been fostered by public health campaigns and a healthier social attitude by the campaigns. Counselling support has also enhanced the self-control and confidence in behavioural change achieved by the NHS cessation programmes (NICE, 2026). The smoking cessation interventions, thus, have encouraged responsible consumption behaviours and presented healthier lifestyles choices via TPB.</w:t>
      </w:r>
    </w:p>
    <w:p w14:paraId="06EB80B9" w14:textId="77777777" w:rsidR="00B6083C" w:rsidRPr="007C1BF3" w:rsidRDefault="00B6083C" w:rsidP="00B6083C">
      <w:pPr>
        <w:rPr>
          <w:rFonts w:ascii="Arial" w:hAnsi="Arial" w:cs="Arial"/>
        </w:rPr>
      </w:pPr>
      <w:r w:rsidRPr="007C1BF3">
        <w:rPr>
          <w:rFonts w:ascii="Arial" w:hAnsi="Arial" w:cs="Arial"/>
          <w:b/>
          <w:bCs/>
          <w:i/>
          <w:iCs/>
        </w:rPr>
        <w:t>Social Cognitive Theory (SCT)</w:t>
      </w:r>
    </w:p>
    <w:p w14:paraId="13B5FE38" w14:textId="317271BC" w:rsidR="00B6083C" w:rsidRDefault="00B6083C" w:rsidP="00B6083C">
      <w:pPr>
        <w:rPr>
          <w:rFonts w:ascii="Arial" w:hAnsi="Arial" w:cs="Arial"/>
          <w:sz w:val="22"/>
        </w:rPr>
      </w:pPr>
      <w:r w:rsidRPr="007C1BF3">
        <w:rPr>
          <w:rFonts w:ascii="Arial" w:hAnsi="Arial" w:cs="Arial"/>
          <w:sz w:val="22"/>
        </w:rPr>
        <w:t xml:space="preserve">The concept of Social Cognitive Theory (SCT) refers to the theory of behaviourism, which deals with learning processes whereby one makes observations and interacts within his or her environment. There are suggested four mechanisms of influence: observational learning, self-efficacy, behavioural capability, positive reinforcement and reciprocal determinism (Ismail and Brown, 2026). Social environments and people's confidence towards behavioural changes are taken into greater account. Regarding smoking cessation, SCT has been adopted as a means of encouraging healthy </w:t>
      </w:r>
      <w:r w:rsidR="00096AF4" w:rsidRPr="007C1BF3">
        <w:rPr>
          <w:rFonts w:ascii="Arial" w:hAnsi="Arial" w:cs="Arial"/>
          <w:sz w:val="22"/>
        </w:rPr>
        <w:t>behaviour</w:t>
      </w:r>
      <w:r w:rsidRPr="007C1BF3">
        <w:rPr>
          <w:rFonts w:ascii="Arial" w:hAnsi="Arial" w:cs="Arial"/>
          <w:sz w:val="22"/>
        </w:rPr>
        <w:t xml:space="preserve"> through other people and spreading information about the prevention and treatment of smoking. There have been campaigns against smoking that encourage smokers not to smoke for the benefit of having good examples around them (GOV.UK, 2022). Nurses working in cessation services have gained greater behavioural confidence, because of counselling and group based interventions in services. Thus, healthier eating behaviours and a sustainable lifestyle have been increasingly encouraged.</w:t>
      </w:r>
    </w:p>
    <w:p w14:paraId="47E668FC" w14:textId="77777777" w:rsidR="00A41AE4" w:rsidRDefault="00A41AE4" w:rsidP="00A41AE4">
      <w:pPr>
        <w:spacing w:before="0" w:beforeAutospacing="0" w:after="0" w:afterAutospacing="0"/>
        <w:jc w:val="center"/>
        <w:rPr>
          <w:rFonts w:ascii="Arial" w:hAnsi="Arial" w:cs="Arial"/>
          <w:sz w:val="22"/>
        </w:rPr>
      </w:pPr>
      <w:r>
        <w:rPr>
          <w:rFonts w:ascii="Arial" w:hAnsi="Arial" w:cs="Arial"/>
          <w:noProof/>
          <w:sz w:val="22"/>
          <w:lang w:eastAsia="en-GB"/>
        </w:rPr>
        <w:lastRenderedPageBreak/>
        <w:drawing>
          <wp:inline distT="0" distB="0" distL="0" distR="0" wp14:anchorId="61E85BA9" wp14:editId="2A113FD5">
            <wp:extent cx="5486400" cy="3200400"/>
            <wp:effectExtent l="0" t="3810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D565FB0" w14:textId="52AEA1A2" w:rsidR="00A41AE4" w:rsidRPr="007A7C1B" w:rsidRDefault="00A41AE4" w:rsidP="00A41AE4">
      <w:pPr>
        <w:spacing w:before="0" w:beforeAutospacing="0" w:after="0" w:afterAutospacing="0"/>
        <w:jc w:val="center"/>
        <w:rPr>
          <w:rFonts w:ascii="Arial" w:hAnsi="Arial" w:cs="Arial"/>
          <w:b/>
          <w:sz w:val="22"/>
        </w:rPr>
      </w:pPr>
      <w:r w:rsidRPr="007A7C1B">
        <w:rPr>
          <w:rFonts w:ascii="Arial" w:hAnsi="Arial" w:cs="Arial"/>
          <w:b/>
          <w:sz w:val="22"/>
        </w:rPr>
        <w:t>Figure</w:t>
      </w:r>
      <w:r w:rsidR="007A7C1B" w:rsidRPr="007A7C1B">
        <w:rPr>
          <w:rFonts w:ascii="Arial" w:hAnsi="Arial" w:cs="Arial"/>
          <w:b/>
          <w:sz w:val="22"/>
        </w:rPr>
        <w:t xml:space="preserve"> </w:t>
      </w:r>
      <w:r w:rsidR="0070420E">
        <w:rPr>
          <w:rFonts w:ascii="Arial" w:hAnsi="Arial" w:cs="Arial"/>
          <w:b/>
          <w:sz w:val="22"/>
        </w:rPr>
        <w:t>3</w:t>
      </w:r>
      <w:r w:rsidRPr="007A7C1B">
        <w:rPr>
          <w:rFonts w:ascii="Arial" w:hAnsi="Arial" w:cs="Arial"/>
          <w:b/>
          <w:sz w:val="22"/>
        </w:rPr>
        <w:t xml:space="preserve">: Components of </w:t>
      </w:r>
      <w:r w:rsidRPr="007A7C1B">
        <w:rPr>
          <w:rFonts w:ascii="Arial" w:hAnsi="Arial" w:cs="Arial"/>
          <w:b/>
          <w:bCs/>
          <w:iCs/>
          <w:sz w:val="22"/>
        </w:rPr>
        <w:t>Social Cognitive Theory (SCT)</w:t>
      </w:r>
    </w:p>
    <w:p w14:paraId="25A1E278" w14:textId="77777777" w:rsidR="00A41AE4" w:rsidRPr="007C1BF3" w:rsidRDefault="00A41AE4" w:rsidP="00A41AE4">
      <w:pPr>
        <w:spacing w:before="0" w:beforeAutospacing="0" w:after="0" w:afterAutospacing="0"/>
        <w:jc w:val="center"/>
        <w:rPr>
          <w:rFonts w:ascii="Arial" w:hAnsi="Arial" w:cs="Arial"/>
          <w:sz w:val="22"/>
        </w:rPr>
      </w:pPr>
      <w:r>
        <w:rPr>
          <w:rFonts w:ascii="Arial" w:hAnsi="Arial" w:cs="Arial"/>
          <w:sz w:val="22"/>
        </w:rPr>
        <w:t>(Source: Author)</w:t>
      </w:r>
    </w:p>
    <w:p w14:paraId="4E79CF10" w14:textId="77777777" w:rsidR="00B6083C" w:rsidRPr="007C1BF3" w:rsidRDefault="00B6083C" w:rsidP="00034365">
      <w:pPr>
        <w:pStyle w:val="Heading2"/>
      </w:pPr>
      <w:bookmarkStart w:id="12" w:name="_Toc230602326"/>
      <w:r w:rsidRPr="007C1BF3">
        <w:t>3.5 Recommendations</w:t>
      </w:r>
      <w:bookmarkEnd w:id="12"/>
      <w:r w:rsidRPr="007C1BF3">
        <w:t> </w:t>
      </w:r>
    </w:p>
    <w:p w14:paraId="32097EDE" w14:textId="77777777" w:rsidR="00B6083C" w:rsidRPr="007C1BF3" w:rsidRDefault="00B6083C" w:rsidP="00B6083C">
      <w:pPr>
        <w:numPr>
          <w:ilvl w:val="0"/>
          <w:numId w:val="2"/>
        </w:numPr>
        <w:rPr>
          <w:rFonts w:ascii="Arial" w:hAnsi="Arial" w:cs="Arial"/>
          <w:sz w:val="22"/>
        </w:rPr>
      </w:pPr>
      <w:r w:rsidRPr="007C1BF3">
        <w:rPr>
          <w:rFonts w:ascii="Arial" w:hAnsi="Arial" w:cs="Arial"/>
          <w:sz w:val="22"/>
        </w:rPr>
        <w:t xml:space="preserve">For those who plan to smoke cigarettes, the disposal of cigarette butts and the production of cigarettes can be subject to stronger regulations in its disposal and production process. The efforts that are now made towards sustainability have proved to be too small and too short-lived before rising amounts of pollution due to littering and toxic waste from smoking have erupted (Evoy </w:t>
      </w:r>
      <w:r w:rsidRPr="007C1BF3">
        <w:rPr>
          <w:rFonts w:ascii="Arial" w:hAnsi="Arial" w:cs="Arial"/>
          <w:i/>
          <w:iCs/>
          <w:sz w:val="22"/>
        </w:rPr>
        <w:t>et al.</w:t>
      </w:r>
      <w:r w:rsidRPr="007C1BF3">
        <w:rPr>
          <w:rFonts w:ascii="Arial" w:hAnsi="Arial" w:cs="Arial"/>
          <w:sz w:val="22"/>
        </w:rPr>
        <w:t>, 2025).</w:t>
      </w:r>
    </w:p>
    <w:p w14:paraId="3154CD43" w14:textId="2E673FEC" w:rsidR="00B6083C" w:rsidRPr="007C1BF3" w:rsidRDefault="00B6083C" w:rsidP="00B6083C">
      <w:pPr>
        <w:numPr>
          <w:ilvl w:val="0"/>
          <w:numId w:val="2"/>
        </w:numPr>
        <w:rPr>
          <w:rFonts w:ascii="Arial" w:hAnsi="Arial" w:cs="Arial"/>
          <w:sz w:val="22"/>
        </w:rPr>
      </w:pPr>
      <w:r w:rsidRPr="007C1BF3">
        <w:rPr>
          <w:rFonts w:ascii="Arial" w:hAnsi="Arial" w:cs="Arial"/>
          <w:sz w:val="22"/>
        </w:rPr>
        <w:t xml:space="preserve">More funds should be allocated to a </w:t>
      </w:r>
      <w:r w:rsidR="00096AF4" w:rsidRPr="007C1BF3">
        <w:rPr>
          <w:rFonts w:ascii="Arial" w:hAnsi="Arial" w:cs="Arial"/>
          <w:sz w:val="22"/>
        </w:rPr>
        <w:t>community-based</w:t>
      </w:r>
      <w:r w:rsidRPr="007C1BF3">
        <w:rPr>
          <w:rFonts w:ascii="Arial" w:hAnsi="Arial" w:cs="Arial"/>
          <w:sz w:val="22"/>
        </w:rPr>
        <w:t xml:space="preserve"> smoking cessation education to groups of younger people and disadvantaged. Previous awareness raising campaigns have created awareness regarding the importance of behavior, but the maintenance of behaviours has not been consistent over time (O’Connell </w:t>
      </w:r>
      <w:r w:rsidRPr="007C1BF3">
        <w:rPr>
          <w:rFonts w:ascii="Arial" w:hAnsi="Arial" w:cs="Arial"/>
          <w:i/>
          <w:iCs/>
          <w:sz w:val="22"/>
        </w:rPr>
        <w:t>et al.</w:t>
      </w:r>
      <w:r w:rsidRPr="007C1BF3">
        <w:rPr>
          <w:rFonts w:ascii="Arial" w:hAnsi="Arial" w:cs="Arial"/>
          <w:sz w:val="22"/>
        </w:rPr>
        <w:t>, 2022).</w:t>
      </w:r>
    </w:p>
    <w:p w14:paraId="1D53492D" w14:textId="77777777" w:rsidR="00B6083C" w:rsidRPr="007C1BF3" w:rsidRDefault="00B6083C" w:rsidP="00B6083C">
      <w:pPr>
        <w:numPr>
          <w:ilvl w:val="0"/>
          <w:numId w:val="2"/>
        </w:numPr>
        <w:rPr>
          <w:rFonts w:ascii="Arial" w:hAnsi="Arial" w:cs="Arial"/>
          <w:sz w:val="22"/>
        </w:rPr>
      </w:pPr>
      <w:r w:rsidRPr="007C1BF3">
        <w:rPr>
          <w:rFonts w:ascii="Arial" w:hAnsi="Arial" w:cs="Arial"/>
          <w:sz w:val="22"/>
        </w:rPr>
        <w:t xml:space="preserve">Interventions combining behaviour change and sustainability aspects should be integrated into NHS smoking cessation interventions. These responsible consumption behaviours could be made more effective with the application of behavioural theories, thereby reducing the harmful tobacco dependency (Ugalde </w:t>
      </w:r>
      <w:r w:rsidRPr="007C1BF3">
        <w:rPr>
          <w:rFonts w:ascii="Arial" w:hAnsi="Arial" w:cs="Arial"/>
          <w:i/>
          <w:iCs/>
          <w:sz w:val="22"/>
        </w:rPr>
        <w:t>et al.</w:t>
      </w:r>
      <w:r w:rsidRPr="007C1BF3">
        <w:rPr>
          <w:rFonts w:ascii="Arial" w:hAnsi="Arial" w:cs="Arial"/>
          <w:sz w:val="22"/>
        </w:rPr>
        <w:t>, 2021).</w:t>
      </w:r>
    </w:p>
    <w:p w14:paraId="1F2B01EA" w14:textId="77777777" w:rsidR="00B6083C" w:rsidRPr="007C1BF3" w:rsidRDefault="00B6083C" w:rsidP="00B6083C">
      <w:pPr>
        <w:pStyle w:val="Heading1"/>
        <w:rPr>
          <w:rFonts w:ascii="Arial" w:hAnsi="Arial" w:cs="Arial"/>
        </w:rPr>
      </w:pPr>
      <w:bookmarkStart w:id="13" w:name="_Toc230602327"/>
      <w:r w:rsidRPr="007C1BF3">
        <w:rPr>
          <w:rFonts w:ascii="Arial" w:hAnsi="Arial" w:cs="Arial"/>
        </w:rPr>
        <w:t>4. Conclusion</w:t>
      </w:r>
      <w:bookmarkEnd w:id="13"/>
      <w:r w:rsidRPr="007C1BF3">
        <w:rPr>
          <w:rFonts w:ascii="Arial" w:hAnsi="Arial" w:cs="Arial"/>
        </w:rPr>
        <w:t> </w:t>
      </w:r>
    </w:p>
    <w:p w14:paraId="4FF53B2F" w14:textId="77777777" w:rsidR="00B6083C" w:rsidRPr="007C1BF3" w:rsidRDefault="00B6083C" w:rsidP="00B6083C">
      <w:pPr>
        <w:rPr>
          <w:rFonts w:ascii="Arial" w:hAnsi="Arial" w:cs="Arial"/>
          <w:sz w:val="22"/>
        </w:rPr>
      </w:pPr>
      <w:r w:rsidRPr="007C1BF3">
        <w:rPr>
          <w:rFonts w:ascii="Arial" w:hAnsi="Arial" w:cs="Arial"/>
          <w:sz w:val="22"/>
        </w:rPr>
        <w:t xml:space="preserve">It may be concluded that SDG 3 and SDG 12 have greatly affected public health good practices and ensuring sustainable behaviours. Quitting smoking was proven to help create </w:t>
      </w:r>
      <w:r w:rsidRPr="007C1BF3">
        <w:rPr>
          <w:rFonts w:ascii="Arial" w:hAnsi="Arial" w:cs="Arial"/>
          <w:sz w:val="22"/>
        </w:rPr>
        <w:lastRenderedPageBreak/>
        <w:t>healthier populations and curb harmful consumption behaviours, as well as improve sustainability of health care systems. Global and national policies showed positive results on health promotion policies, awareness raising and behavioural-supportive policies. However, inequities in the access to services and raised nicotine dependence of the younger cohorts persisted. Strong interrelationships between health promotion and responsible consumption were found, as there were similarities between the SDG that supported both a healthy lifestyle and sustainable consumption. A range of other impacts was also noted, including on the environment, on healthcare cost, and on long-term wellbeing for a community. For this reason, the behavioural interventions and sustainable approaches for the public health continuation will continue to be critical in the fight for future health and development goals.</w:t>
      </w:r>
    </w:p>
    <w:p w14:paraId="0DEC575D" w14:textId="77777777" w:rsidR="00B6083C" w:rsidRPr="007C1BF3" w:rsidRDefault="00B6083C">
      <w:pPr>
        <w:spacing w:before="0" w:beforeAutospacing="0" w:after="160" w:afterAutospacing="0" w:line="259" w:lineRule="auto"/>
        <w:jc w:val="left"/>
        <w:rPr>
          <w:rFonts w:ascii="Arial" w:hAnsi="Arial" w:cs="Arial"/>
        </w:rPr>
      </w:pPr>
      <w:r w:rsidRPr="007C1BF3">
        <w:rPr>
          <w:rFonts w:ascii="Arial" w:hAnsi="Arial" w:cs="Arial"/>
        </w:rPr>
        <w:br w:type="page"/>
      </w:r>
    </w:p>
    <w:p w14:paraId="3EE043BB" w14:textId="77777777" w:rsidR="00B6083C" w:rsidRPr="007C1BF3" w:rsidRDefault="00B6083C" w:rsidP="00B6083C">
      <w:pPr>
        <w:pStyle w:val="Heading1"/>
        <w:rPr>
          <w:rFonts w:ascii="Arial" w:hAnsi="Arial" w:cs="Arial"/>
        </w:rPr>
      </w:pPr>
      <w:bookmarkStart w:id="14" w:name="_Toc230602328"/>
      <w:r w:rsidRPr="007C1BF3">
        <w:rPr>
          <w:rFonts w:ascii="Arial" w:hAnsi="Arial" w:cs="Arial"/>
        </w:rPr>
        <w:lastRenderedPageBreak/>
        <w:t>References</w:t>
      </w:r>
      <w:bookmarkEnd w:id="14"/>
    </w:p>
    <w:p w14:paraId="402BC22B" w14:textId="77777777" w:rsidR="00676875" w:rsidRPr="007C1BF3" w:rsidRDefault="00676875" w:rsidP="00B6083C">
      <w:pPr>
        <w:rPr>
          <w:rFonts w:ascii="Arial" w:hAnsi="Arial" w:cs="Arial"/>
          <w:sz w:val="22"/>
        </w:rPr>
      </w:pPr>
      <w:r w:rsidRPr="007C1BF3">
        <w:rPr>
          <w:rFonts w:ascii="Arial" w:hAnsi="Arial" w:cs="Arial"/>
          <w:sz w:val="22"/>
        </w:rPr>
        <w:t xml:space="preserve">Abubakar, I.R., Maniruzzaman, K.M., Dano, U.L., AlShihri, F.S., AlShammari, M.S., Ahmed, S.M.S., Al-Gehlani, W.A.G. and Alrawaf, T.I. (2022) ‘Environmental sustainability impacts of solid waste management practices in the global south’, </w:t>
      </w:r>
      <w:r w:rsidRPr="007C1BF3">
        <w:rPr>
          <w:rFonts w:ascii="Arial" w:hAnsi="Arial" w:cs="Arial"/>
          <w:i/>
          <w:iCs/>
          <w:sz w:val="22"/>
        </w:rPr>
        <w:t>International Journal of Environmental Research and Public Health</w:t>
      </w:r>
      <w:r w:rsidRPr="007C1BF3">
        <w:rPr>
          <w:rFonts w:ascii="Arial" w:hAnsi="Arial" w:cs="Arial"/>
          <w:sz w:val="22"/>
        </w:rPr>
        <w:t>, 19(19), p. 12717. Available at: https://doi.org/10.3390/ijerph191912717.</w:t>
      </w:r>
    </w:p>
    <w:p w14:paraId="69C4C05D" w14:textId="77777777" w:rsidR="00676875" w:rsidRPr="007C1BF3" w:rsidRDefault="00676875" w:rsidP="00B6083C">
      <w:pPr>
        <w:rPr>
          <w:rFonts w:ascii="Arial" w:hAnsi="Arial" w:cs="Arial"/>
          <w:sz w:val="22"/>
        </w:rPr>
      </w:pPr>
      <w:r w:rsidRPr="007C1BF3">
        <w:rPr>
          <w:rFonts w:ascii="Arial" w:hAnsi="Arial" w:cs="Arial"/>
          <w:sz w:val="22"/>
        </w:rPr>
        <w:t>Al</w:t>
      </w:r>
      <w:r w:rsidRPr="007C1BF3">
        <w:rPr>
          <w:rFonts w:ascii="Cambria Math" w:hAnsi="Cambria Math" w:cs="Cambria Math"/>
          <w:sz w:val="22"/>
        </w:rPr>
        <w:t>‐</w:t>
      </w:r>
      <w:r w:rsidRPr="007C1BF3">
        <w:rPr>
          <w:rFonts w:ascii="Arial" w:hAnsi="Arial" w:cs="Arial"/>
          <w:sz w:val="22"/>
        </w:rPr>
        <w:t>Ani, A., Hammouri, M., Sultan, H., Al</w:t>
      </w:r>
      <w:r w:rsidRPr="007C1BF3">
        <w:rPr>
          <w:rFonts w:ascii="Cambria Math" w:hAnsi="Cambria Math" w:cs="Cambria Math"/>
          <w:sz w:val="22"/>
        </w:rPr>
        <w:t>‐</w:t>
      </w:r>
      <w:r w:rsidRPr="007C1BF3">
        <w:rPr>
          <w:rFonts w:ascii="Arial" w:hAnsi="Arial" w:cs="Arial"/>
          <w:sz w:val="22"/>
        </w:rPr>
        <w:t>Huneidy, L., Mansour, A. and Maysa Al</w:t>
      </w:r>
      <w:r w:rsidRPr="007C1BF3">
        <w:rPr>
          <w:rFonts w:ascii="Cambria Math" w:hAnsi="Cambria Math" w:cs="Cambria Math"/>
          <w:sz w:val="22"/>
        </w:rPr>
        <w:t>‐</w:t>
      </w:r>
      <w:r w:rsidRPr="007C1BF3">
        <w:rPr>
          <w:rFonts w:ascii="Arial" w:hAnsi="Arial" w:cs="Arial"/>
          <w:sz w:val="22"/>
        </w:rPr>
        <w:t>Hussaini (2023) ‘Factors affecting cervical screening using the health belief model during the last decade: A systematic review and meta</w:t>
      </w:r>
      <w:r w:rsidRPr="007C1BF3">
        <w:rPr>
          <w:rFonts w:ascii="Cambria Math" w:hAnsi="Cambria Math" w:cs="Cambria Math"/>
          <w:sz w:val="22"/>
        </w:rPr>
        <w:t>‐</w:t>
      </w:r>
      <w:r w:rsidRPr="007C1BF3">
        <w:rPr>
          <w:rFonts w:ascii="Arial" w:hAnsi="Arial" w:cs="Arial"/>
          <w:sz w:val="22"/>
        </w:rPr>
        <w:t xml:space="preserve">analysis’, </w:t>
      </w:r>
      <w:r w:rsidRPr="007C1BF3">
        <w:rPr>
          <w:rFonts w:ascii="Arial" w:hAnsi="Arial" w:cs="Arial"/>
          <w:i/>
          <w:iCs/>
          <w:sz w:val="22"/>
        </w:rPr>
        <w:t>Psycho-Oncology</w:t>
      </w:r>
      <w:r w:rsidRPr="007C1BF3">
        <w:rPr>
          <w:rFonts w:ascii="Arial" w:hAnsi="Arial" w:cs="Arial"/>
          <w:sz w:val="22"/>
        </w:rPr>
        <w:t>, 33(1). Available at: https://doi.org/10.1002/pon.6275.</w:t>
      </w:r>
    </w:p>
    <w:p w14:paraId="3C149A55" w14:textId="77777777" w:rsidR="00676875" w:rsidRPr="007C1BF3" w:rsidRDefault="00676875" w:rsidP="00B6083C">
      <w:pPr>
        <w:rPr>
          <w:rFonts w:ascii="Arial" w:hAnsi="Arial" w:cs="Arial"/>
          <w:sz w:val="22"/>
        </w:rPr>
      </w:pPr>
      <w:r w:rsidRPr="007C1BF3">
        <w:rPr>
          <w:rFonts w:ascii="Arial" w:hAnsi="Arial" w:cs="Arial"/>
          <w:sz w:val="22"/>
        </w:rPr>
        <w:t xml:space="preserve">Amu, H., Dzenu, M.W., Baku, S.T., Naboare, D., Charles-Unadike, V.O., Boateng, L.A., Tarkang, E.E. and Baiden, F.E. (2024) ‘Addressing Mental Health Challenges and Non-communicable Diseases in Sub-Saharan Africa: An Analysis from Health Systems Approach’, </w:t>
      </w:r>
      <w:r w:rsidRPr="007C1BF3">
        <w:rPr>
          <w:rFonts w:ascii="Arial" w:hAnsi="Arial" w:cs="Arial"/>
          <w:i/>
          <w:iCs/>
          <w:sz w:val="22"/>
        </w:rPr>
        <w:t>Preventive Medicine: Research &amp; Reviews</w:t>
      </w:r>
      <w:r w:rsidRPr="007C1BF3">
        <w:rPr>
          <w:rFonts w:ascii="Arial" w:hAnsi="Arial" w:cs="Arial"/>
          <w:sz w:val="22"/>
        </w:rPr>
        <w:t>, 1(1), p. 21. Available at: https://doi.org/10.4103/PMRR.PMRR_57_23.</w:t>
      </w:r>
    </w:p>
    <w:p w14:paraId="7D7193F4" w14:textId="77777777" w:rsidR="00676875" w:rsidRPr="007C1BF3" w:rsidRDefault="00676875" w:rsidP="00B6083C">
      <w:pPr>
        <w:rPr>
          <w:rFonts w:ascii="Arial" w:hAnsi="Arial" w:cs="Arial"/>
          <w:sz w:val="22"/>
        </w:rPr>
      </w:pPr>
      <w:r w:rsidRPr="007C1BF3">
        <w:rPr>
          <w:rFonts w:ascii="Arial" w:hAnsi="Arial" w:cs="Arial"/>
          <w:sz w:val="22"/>
        </w:rPr>
        <w:t xml:space="preserve">Cacciatore, S., Mao, S., Nuñez, M.V., Massaro, C., Spadafora, L., Bernardi, M., Perone, F., Sabouret, P., Biondi-Zoccai, G., Banach, M., Calvani, R., Tosato, M., Marzetti, E. and Landi, F. (2025) ‘Urban health inequities and healthy longevity: traditional and emerging risk factors across the cities and policy implications’, </w:t>
      </w:r>
      <w:r w:rsidRPr="007C1BF3">
        <w:rPr>
          <w:rFonts w:ascii="Arial" w:hAnsi="Arial" w:cs="Arial"/>
          <w:i/>
          <w:iCs/>
          <w:sz w:val="22"/>
        </w:rPr>
        <w:t>Aging Clinical and Experimental Research</w:t>
      </w:r>
      <w:r w:rsidRPr="007C1BF3">
        <w:rPr>
          <w:rFonts w:ascii="Arial" w:hAnsi="Arial" w:cs="Arial"/>
          <w:sz w:val="22"/>
        </w:rPr>
        <w:t>, 37(1). Available at: https://doi.org/10.1007/s40520-025-03052-1.</w:t>
      </w:r>
    </w:p>
    <w:p w14:paraId="0945F91F" w14:textId="77777777" w:rsidR="00676875" w:rsidRPr="007C1BF3" w:rsidRDefault="00676875" w:rsidP="00B6083C">
      <w:pPr>
        <w:rPr>
          <w:rFonts w:ascii="Arial" w:hAnsi="Arial" w:cs="Arial"/>
          <w:sz w:val="22"/>
        </w:rPr>
      </w:pPr>
      <w:r w:rsidRPr="007C1BF3">
        <w:rPr>
          <w:rFonts w:ascii="Arial" w:hAnsi="Arial" w:cs="Arial"/>
          <w:sz w:val="22"/>
        </w:rPr>
        <w:t xml:space="preserve">El Arab, R.A., Abu-Mahfouz, M.S., Abuadas, F.H., Alzghoul, H., Almari, M., Ghannam, A. and Seweid, M.M. (2025) ‘Bridging the Gap: From AI Success in Clinical Trials to Real-World Healthcare Implementation—A Narrative Review’, </w:t>
      </w:r>
      <w:r w:rsidRPr="007C1BF3">
        <w:rPr>
          <w:rFonts w:ascii="Arial" w:hAnsi="Arial" w:cs="Arial"/>
          <w:i/>
          <w:iCs/>
          <w:sz w:val="22"/>
        </w:rPr>
        <w:t>Healthcare</w:t>
      </w:r>
      <w:r w:rsidRPr="007C1BF3">
        <w:rPr>
          <w:rFonts w:ascii="Arial" w:hAnsi="Arial" w:cs="Arial"/>
          <w:sz w:val="22"/>
        </w:rPr>
        <w:t>, 13(7), p. 701. Available at: https://doi.org/10.3390/healthcare13070701.</w:t>
      </w:r>
    </w:p>
    <w:p w14:paraId="5C72C8F1" w14:textId="77777777" w:rsidR="00676875" w:rsidRPr="007C1BF3" w:rsidRDefault="00676875" w:rsidP="00B6083C">
      <w:pPr>
        <w:rPr>
          <w:rFonts w:ascii="Arial" w:hAnsi="Arial" w:cs="Arial"/>
          <w:sz w:val="22"/>
        </w:rPr>
      </w:pPr>
      <w:r w:rsidRPr="007C1BF3">
        <w:rPr>
          <w:rFonts w:ascii="Arial" w:hAnsi="Arial" w:cs="Arial"/>
          <w:sz w:val="22"/>
        </w:rPr>
        <w:t>Evoy, K.E., Yett, E.S., Ramey, O. and Lodise, N. (2025) ‘Evidence Regarding E</w:t>
      </w:r>
      <w:r w:rsidRPr="007C1BF3">
        <w:rPr>
          <w:rFonts w:ascii="Cambria Math" w:hAnsi="Cambria Math" w:cs="Cambria Math"/>
          <w:sz w:val="22"/>
        </w:rPr>
        <w:t>‐</w:t>
      </w:r>
      <w:r w:rsidRPr="007C1BF3">
        <w:rPr>
          <w:rFonts w:ascii="Arial" w:hAnsi="Arial" w:cs="Arial"/>
          <w:sz w:val="22"/>
        </w:rPr>
        <w:t>Cigarettes as a Harm Reduction Strategy and Treatment for E</w:t>
      </w:r>
      <w:r w:rsidRPr="007C1BF3">
        <w:rPr>
          <w:rFonts w:ascii="Cambria Math" w:hAnsi="Cambria Math" w:cs="Cambria Math"/>
          <w:sz w:val="22"/>
        </w:rPr>
        <w:t>‐</w:t>
      </w:r>
      <w:r w:rsidRPr="007C1BF3">
        <w:rPr>
          <w:rFonts w:ascii="Arial" w:hAnsi="Arial" w:cs="Arial"/>
          <w:sz w:val="22"/>
        </w:rPr>
        <w:t xml:space="preserve">Cigarette Cessation: An Overview and Guide for Clinicians’, </w:t>
      </w:r>
      <w:r w:rsidRPr="007C1BF3">
        <w:rPr>
          <w:rFonts w:ascii="Arial" w:hAnsi="Arial" w:cs="Arial"/>
          <w:i/>
          <w:iCs/>
          <w:sz w:val="22"/>
        </w:rPr>
        <w:t>JACCP: JOURNAL OF THE AMERICAN COLLEGE OF CLINICAL PHARMACY</w:t>
      </w:r>
      <w:r w:rsidRPr="007C1BF3">
        <w:rPr>
          <w:rFonts w:ascii="Arial" w:hAnsi="Arial" w:cs="Arial"/>
          <w:sz w:val="22"/>
        </w:rPr>
        <w:t xml:space="preserve"> [Preprint]. Available at: https://doi.org/10.1002/jac5.70092.</w:t>
      </w:r>
    </w:p>
    <w:p w14:paraId="3A93A59C" w14:textId="77777777" w:rsidR="00676875" w:rsidRPr="007C1BF3" w:rsidRDefault="00676875" w:rsidP="00B6083C">
      <w:pPr>
        <w:rPr>
          <w:rFonts w:ascii="Arial" w:hAnsi="Arial" w:cs="Arial"/>
          <w:sz w:val="22"/>
        </w:rPr>
      </w:pPr>
      <w:r w:rsidRPr="007C1BF3">
        <w:rPr>
          <w:rFonts w:ascii="Arial" w:hAnsi="Arial" w:cs="Arial"/>
          <w:sz w:val="22"/>
        </w:rPr>
        <w:t xml:space="preserve">Faus, M., Alonso, F., Javadinejad, A. and Useche, S.A. (2022) ‘Are social networks effective in promoting healthy behaviors? A systematic review of evaluations of public health campaigns </w:t>
      </w:r>
      <w:r w:rsidRPr="007C1BF3">
        <w:rPr>
          <w:rFonts w:ascii="Arial" w:hAnsi="Arial" w:cs="Arial"/>
          <w:sz w:val="22"/>
        </w:rPr>
        <w:lastRenderedPageBreak/>
        <w:t xml:space="preserve">broadcast on Twitter’, </w:t>
      </w:r>
      <w:r w:rsidRPr="007C1BF3">
        <w:rPr>
          <w:rFonts w:ascii="Arial" w:hAnsi="Arial" w:cs="Arial"/>
          <w:i/>
          <w:iCs/>
          <w:sz w:val="22"/>
        </w:rPr>
        <w:t>Frontiers in Public Health</w:t>
      </w:r>
      <w:r w:rsidRPr="007C1BF3">
        <w:rPr>
          <w:rFonts w:ascii="Arial" w:hAnsi="Arial" w:cs="Arial"/>
          <w:sz w:val="22"/>
        </w:rPr>
        <w:t>, 10. Available at: https://doi.org/10.3389/fpubh.2022.1045645.</w:t>
      </w:r>
    </w:p>
    <w:p w14:paraId="4D452644" w14:textId="77777777" w:rsidR="00676875" w:rsidRPr="007C1BF3" w:rsidRDefault="00676875" w:rsidP="00B6083C">
      <w:pPr>
        <w:rPr>
          <w:rFonts w:ascii="Arial" w:hAnsi="Arial" w:cs="Arial"/>
          <w:sz w:val="22"/>
        </w:rPr>
      </w:pPr>
      <w:r w:rsidRPr="007C1BF3">
        <w:rPr>
          <w:rFonts w:ascii="Arial" w:hAnsi="Arial" w:cs="Arial"/>
          <w:sz w:val="22"/>
        </w:rPr>
        <w:t xml:space="preserve">GOV.UK (2022) </w:t>
      </w:r>
      <w:r w:rsidRPr="007C1BF3">
        <w:rPr>
          <w:rFonts w:ascii="Arial" w:hAnsi="Arial" w:cs="Arial"/>
          <w:i/>
          <w:iCs/>
          <w:sz w:val="22"/>
        </w:rPr>
        <w:t>Smoking and tobacco: Applying All Our Health</w:t>
      </w:r>
      <w:r w:rsidRPr="007C1BF3">
        <w:rPr>
          <w:rFonts w:ascii="Arial" w:hAnsi="Arial" w:cs="Arial"/>
          <w:sz w:val="22"/>
        </w:rPr>
        <w:t xml:space="preserve">, </w:t>
      </w:r>
      <w:r w:rsidRPr="007C1BF3">
        <w:rPr>
          <w:rFonts w:ascii="Arial" w:hAnsi="Arial" w:cs="Arial"/>
          <w:i/>
          <w:iCs/>
          <w:sz w:val="22"/>
        </w:rPr>
        <w:t>GOV.UK</w:t>
      </w:r>
      <w:r w:rsidRPr="007C1BF3">
        <w:rPr>
          <w:rFonts w:ascii="Arial" w:hAnsi="Arial" w:cs="Arial"/>
          <w:sz w:val="22"/>
        </w:rPr>
        <w:t>. Available at: https://www.gov.uk/government/publications/smoking-and-tobacco-applying-all-our-health/smoking-and-tobacco-applying-all-our-health (Accessed: 25 May 2026).</w:t>
      </w:r>
    </w:p>
    <w:p w14:paraId="70D9DB50" w14:textId="77777777" w:rsidR="00676875" w:rsidRPr="007C1BF3" w:rsidRDefault="00676875" w:rsidP="00B6083C">
      <w:pPr>
        <w:rPr>
          <w:rFonts w:ascii="Arial" w:hAnsi="Arial" w:cs="Arial"/>
          <w:sz w:val="22"/>
        </w:rPr>
      </w:pPr>
      <w:r w:rsidRPr="007C1BF3">
        <w:rPr>
          <w:rFonts w:ascii="Arial" w:hAnsi="Arial" w:cs="Arial"/>
          <w:sz w:val="22"/>
        </w:rPr>
        <w:t xml:space="preserve">GOV.UK (2024) </w:t>
      </w:r>
      <w:r w:rsidRPr="007C1BF3">
        <w:rPr>
          <w:rFonts w:ascii="Arial" w:hAnsi="Arial" w:cs="Arial"/>
          <w:i/>
          <w:iCs/>
          <w:sz w:val="22"/>
        </w:rPr>
        <w:t>Smoking ban introduced to protect children and most vulnerable</w:t>
      </w:r>
      <w:r w:rsidRPr="007C1BF3">
        <w:rPr>
          <w:rFonts w:ascii="Arial" w:hAnsi="Arial" w:cs="Arial"/>
          <w:sz w:val="22"/>
        </w:rPr>
        <w:t xml:space="preserve">, </w:t>
      </w:r>
      <w:r w:rsidRPr="007C1BF3">
        <w:rPr>
          <w:rFonts w:ascii="Arial" w:hAnsi="Arial" w:cs="Arial"/>
          <w:i/>
          <w:iCs/>
          <w:sz w:val="22"/>
        </w:rPr>
        <w:t>GOV.UK</w:t>
      </w:r>
      <w:r w:rsidRPr="007C1BF3">
        <w:rPr>
          <w:rFonts w:ascii="Arial" w:hAnsi="Arial" w:cs="Arial"/>
          <w:sz w:val="22"/>
        </w:rPr>
        <w:t>. Available at: https://www.gov.uk/government/news/smoking-ban-introduced-to-protect-children-and-most-vulnerable (Accessed: 25 May 2026).</w:t>
      </w:r>
    </w:p>
    <w:p w14:paraId="70BF7961" w14:textId="77777777" w:rsidR="00676875" w:rsidRPr="007C1BF3" w:rsidRDefault="00676875" w:rsidP="00B6083C">
      <w:pPr>
        <w:rPr>
          <w:rFonts w:ascii="Arial" w:hAnsi="Arial" w:cs="Arial"/>
          <w:sz w:val="22"/>
        </w:rPr>
      </w:pPr>
      <w:r w:rsidRPr="007C1BF3">
        <w:rPr>
          <w:rFonts w:ascii="Arial" w:hAnsi="Arial" w:cs="Arial"/>
          <w:sz w:val="22"/>
        </w:rPr>
        <w:t xml:space="preserve">GOV.UK (2025) </w:t>
      </w:r>
      <w:r w:rsidRPr="007C1BF3">
        <w:rPr>
          <w:rFonts w:ascii="Arial" w:hAnsi="Arial" w:cs="Arial"/>
          <w:i/>
          <w:iCs/>
          <w:sz w:val="22"/>
        </w:rPr>
        <w:t>Smoking profile: statistical commentary, November 2025</w:t>
      </w:r>
      <w:r w:rsidRPr="007C1BF3">
        <w:rPr>
          <w:rFonts w:ascii="Arial" w:hAnsi="Arial" w:cs="Arial"/>
          <w:sz w:val="22"/>
        </w:rPr>
        <w:t xml:space="preserve">, </w:t>
      </w:r>
      <w:r w:rsidRPr="007C1BF3">
        <w:rPr>
          <w:rFonts w:ascii="Arial" w:hAnsi="Arial" w:cs="Arial"/>
          <w:i/>
          <w:iCs/>
          <w:sz w:val="22"/>
        </w:rPr>
        <w:t>GOV.UK</w:t>
      </w:r>
      <w:r w:rsidRPr="007C1BF3">
        <w:rPr>
          <w:rFonts w:ascii="Arial" w:hAnsi="Arial" w:cs="Arial"/>
          <w:sz w:val="22"/>
        </w:rPr>
        <w:t>. Available at: https://www.gov.uk/government/statistics/smoking-profile-november-2025-update/smoking-profile-statistical-commentary-november-2025 (Accessed: 25 May 2026).</w:t>
      </w:r>
    </w:p>
    <w:p w14:paraId="7CA07F09" w14:textId="77777777" w:rsidR="00676875" w:rsidRPr="007C1BF3" w:rsidRDefault="00676875" w:rsidP="00B6083C">
      <w:pPr>
        <w:rPr>
          <w:rFonts w:ascii="Arial" w:hAnsi="Arial" w:cs="Arial"/>
          <w:sz w:val="22"/>
        </w:rPr>
      </w:pPr>
      <w:r w:rsidRPr="007C1BF3">
        <w:rPr>
          <w:rFonts w:ascii="Arial" w:hAnsi="Arial" w:cs="Arial"/>
          <w:sz w:val="22"/>
        </w:rPr>
        <w:t xml:space="preserve">Gupta, S. and Gupta, S.S. (2025) ‘Tobacco control initiatives: current scenario and SWOT (strengths, weaknesses, opportunities and threats) analysis’, </w:t>
      </w:r>
      <w:r w:rsidRPr="007C1BF3">
        <w:rPr>
          <w:rFonts w:ascii="Arial" w:hAnsi="Arial" w:cs="Arial"/>
          <w:i/>
          <w:iCs/>
          <w:sz w:val="22"/>
        </w:rPr>
        <w:t>Discover Public Health</w:t>
      </w:r>
      <w:r w:rsidRPr="007C1BF3">
        <w:rPr>
          <w:rFonts w:ascii="Arial" w:hAnsi="Arial" w:cs="Arial"/>
          <w:sz w:val="22"/>
        </w:rPr>
        <w:t>, 22(1). Available at: https://doi.org/10.1186/s12982-025-00889-9.</w:t>
      </w:r>
    </w:p>
    <w:p w14:paraId="343685C4" w14:textId="77777777" w:rsidR="00676875" w:rsidRPr="007C1BF3" w:rsidRDefault="00676875" w:rsidP="00B6083C">
      <w:pPr>
        <w:rPr>
          <w:rFonts w:ascii="Arial" w:hAnsi="Arial" w:cs="Arial"/>
          <w:sz w:val="22"/>
        </w:rPr>
      </w:pPr>
      <w:r w:rsidRPr="007C1BF3">
        <w:rPr>
          <w:rFonts w:ascii="Arial" w:hAnsi="Arial" w:cs="Arial"/>
          <w:sz w:val="22"/>
        </w:rPr>
        <w:t xml:space="preserve">Huddlestone, L., Shoesmith, E., Pervin, J., Lorencatto, F., Watson, J. and Ratschen, E. (2022) ‘A systematic review of mental health professionals, patients and carers’ perceived barriers and enablers to supporting smoking cessation in mental health settings’, </w:t>
      </w:r>
      <w:r w:rsidRPr="007C1BF3">
        <w:rPr>
          <w:rFonts w:ascii="Arial" w:hAnsi="Arial" w:cs="Arial"/>
          <w:i/>
          <w:iCs/>
          <w:sz w:val="22"/>
        </w:rPr>
        <w:t>Nicotine &amp; Tobacco Research</w:t>
      </w:r>
      <w:r w:rsidRPr="007C1BF3">
        <w:rPr>
          <w:rFonts w:ascii="Arial" w:hAnsi="Arial" w:cs="Arial"/>
          <w:sz w:val="22"/>
        </w:rPr>
        <w:t>, 24(7). Available at: https://doi.org/10.1093/ntr/ntac004.</w:t>
      </w:r>
    </w:p>
    <w:p w14:paraId="2AB66FAB" w14:textId="77777777" w:rsidR="00676875" w:rsidRPr="007C1BF3" w:rsidRDefault="00676875" w:rsidP="00B6083C">
      <w:pPr>
        <w:rPr>
          <w:rFonts w:ascii="Arial" w:hAnsi="Arial" w:cs="Arial"/>
          <w:sz w:val="22"/>
        </w:rPr>
      </w:pPr>
      <w:r w:rsidRPr="007C1BF3">
        <w:rPr>
          <w:rFonts w:ascii="Arial" w:hAnsi="Arial" w:cs="Arial"/>
          <w:sz w:val="22"/>
        </w:rPr>
        <w:t xml:space="preserve">Ismail, F. and Brown, M. (2026) ‘Social Learning Theory and Social Cognitive Theory in Healthcare Simulation – A Narrative Review’, </w:t>
      </w:r>
      <w:r w:rsidRPr="007C1BF3">
        <w:rPr>
          <w:rFonts w:ascii="Arial" w:hAnsi="Arial" w:cs="Arial"/>
          <w:i/>
          <w:iCs/>
          <w:sz w:val="22"/>
        </w:rPr>
        <w:t>Journal of Medical Education and Curricular Development</w:t>
      </w:r>
      <w:r w:rsidRPr="007C1BF3">
        <w:rPr>
          <w:rFonts w:ascii="Arial" w:hAnsi="Arial" w:cs="Arial"/>
          <w:sz w:val="22"/>
        </w:rPr>
        <w:t>, 13. Available at: https://doi.org/10.1177/23821205261443554.</w:t>
      </w:r>
    </w:p>
    <w:p w14:paraId="33E6C731" w14:textId="77777777" w:rsidR="00676875" w:rsidRPr="007C1BF3" w:rsidRDefault="00676875" w:rsidP="00B6083C">
      <w:pPr>
        <w:rPr>
          <w:rFonts w:ascii="Arial" w:hAnsi="Arial" w:cs="Arial"/>
          <w:sz w:val="22"/>
        </w:rPr>
      </w:pPr>
      <w:r w:rsidRPr="007C1BF3">
        <w:rPr>
          <w:rFonts w:ascii="Arial" w:hAnsi="Arial" w:cs="Arial"/>
          <w:sz w:val="22"/>
        </w:rPr>
        <w:t xml:space="preserve">Local Government Association (2024) </w:t>
      </w:r>
      <w:r w:rsidRPr="007C1BF3">
        <w:rPr>
          <w:rFonts w:ascii="Arial" w:hAnsi="Arial" w:cs="Arial"/>
          <w:i/>
          <w:iCs/>
          <w:sz w:val="22"/>
        </w:rPr>
        <w:t>25 years of stop smoking services: a milestone in public health</w:t>
      </w:r>
      <w:r w:rsidRPr="007C1BF3">
        <w:rPr>
          <w:rFonts w:ascii="Arial" w:hAnsi="Arial" w:cs="Arial"/>
          <w:sz w:val="22"/>
        </w:rPr>
        <w:t xml:space="preserve">, </w:t>
      </w:r>
      <w:r w:rsidRPr="007C1BF3">
        <w:rPr>
          <w:rFonts w:ascii="Arial" w:hAnsi="Arial" w:cs="Arial"/>
          <w:i/>
          <w:iCs/>
          <w:sz w:val="22"/>
        </w:rPr>
        <w:t>Local.gov.uk</w:t>
      </w:r>
      <w:r w:rsidRPr="007C1BF3">
        <w:rPr>
          <w:rFonts w:ascii="Arial" w:hAnsi="Arial" w:cs="Arial"/>
          <w:sz w:val="22"/>
        </w:rPr>
        <w:t>. Local Government Association. Available at: https://www.local.gov.uk/25-years-stop-smoking-services-milestone-public-health (Accessed: 25 May 2026).</w:t>
      </w:r>
    </w:p>
    <w:p w14:paraId="377474FF" w14:textId="77777777" w:rsidR="00676875" w:rsidRPr="007C1BF3" w:rsidRDefault="00676875" w:rsidP="00B6083C">
      <w:pPr>
        <w:rPr>
          <w:rFonts w:ascii="Arial" w:hAnsi="Arial" w:cs="Arial"/>
          <w:sz w:val="22"/>
        </w:rPr>
      </w:pPr>
      <w:r w:rsidRPr="007C1BF3">
        <w:rPr>
          <w:rFonts w:ascii="Arial" w:hAnsi="Arial" w:cs="Arial"/>
          <w:sz w:val="22"/>
        </w:rPr>
        <w:t xml:space="preserve">Mensah, K., Wieck, C. and Rudloff, B. (2023) ‘Sustainable food consumption and sustainable development goal 12: Conceptual challenges for monitoring and implementation’, </w:t>
      </w:r>
      <w:r w:rsidRPr="007C1BF3">
        <w:rPr>
          <w:rFonts w:ascii="Arial" w:hAnsi="Arial" w:cs="Arial"/>
          <w:i/>
          <w:iCs/>
          <w:sz w:val="22"/>
        </w:rPr>
        <w:t>Sustainable Development</w:t>
      </w:r>
      <w:r w:rsidRPr="007C1BF3">
        <w:rPr>
          <w:rFonts w:ascii="Arial" w:hAnsi="Arial" w:cs="Arial"/>
          <w:sz w:val="22"/>
        </w:rPr>
        <w:t>, 32(1). Available at: https://doi.org/10.1002/sd.2718.</w:t>
      </w:r>
    </w:p>
    <w:p w14:paraId="09B93E72" w14:textId="77777777" w:rsidR="00676875" w:rsidRPr="007C1BF3" w:rsidRDefault="00676875" w:rsidP="00B6083C">
      <w:pPr>
        <w:rPr>
          <w:rFonts w:ascii="Arial" w:hAnsi="Arial" w:cs="Arial"/>
          <w:sz w:val="22"/>
        </w:rPr>
      </w:pPr>
      <w:r w:rsidRPr="007C1BF3">
        <w:rPr>
          <w:rFonts w:ascii="Arial" w:hAnsi="Arial" w:cs="Arial"/>
          <w:sz w:val="22"/>
        </w:rPr>
        <w:t xml:space="preserve">NICE (2026) </w:t>
      </w:r>
      <w:r w:rsidRPr="007C1BF3">
        <w:rPr>
          <w:rFonts w:ascii="Arial" w:hAnsi="Arial" w:cs="Arial"/>
          <w:i/>
          <w:iCs/>
          <w:sz w:val="22"/>
        </w:rPr>
        <w:t xml:space="preserve">Smoking cessation interventions and services [B] Evidence reviews for interventions to aid smoking cessation: behavioural support and pharmacotherapy NICE </w:t>
      </w:r>
      <w:r w:rsidRPr="007C1BF3">
        <w:rPr>
          <w:rFonts w:ascii="Arial" w:hAnsi="Arial" w:cs="Arial"/>
          <w:i/>
          <w:iCs/>
          <w:sz w:val="22"/>
        </w:rPr>
        <w:lastRenderedPageBreak/>
        <w:t>guideline NG92 Evidence reviews</w:t>
      </w:r>
      <w:r w:rsidRPr="007C1BF3">
        <w:rPr>
          <w:rFonts w:ascii="Arial" w:hAnsi="Arial" w:cs="Arial"/>
          <w:sz w:val="22"/>
        </w:rPr>
        <w:t>. Available at: https://www.nice.org.uk/guidance/ng209/evidence/ng92-evidence-review-b-interventions-to-aid-smoking-cessation-behavioural-support-and-pharmacotherapy-pdf-10890916527 (Accessed: 25 May 2026).</w:t>
      </w:r>
    </w:p>
    <w:p w14:paraId="229D4CCB" w14:textId="77777777" w:rsidR="00676875" w:rsidRPr="007C1BF3" w:rsidRDefault="00676875" w:rsidP="00B6083C">
      <w:pPr>
        <w:rPr>
          <w:rFonts w:ascii="Arial" w:hAnsi="Arial" w:cs="Arial"/>
          <w:sz w:val="22"/>
        </w:rPr>
      </w:pPr>
      <w:r w:rsidRPr="007C1BF3">
        <w:rPr>
          <w:rFonts w:ascii="Arial" w:hAnsi="Arial" w:cs="Arial"/>
          <w:sz w:val="22"/>
        </w:rPr>
        <w:t xml:space="preserve">O’Connell, N., Burke, E., Dobbie, F., Dougall, N., Mockler, D., Darker, C., Vance, J., Bernstein, S., Gilbert, H., Bauld, L. and Hayes, C.B. (2022) ‘The effectiveness of smoking cessation interventions for socio-economically disadvantaged women: a systematic review and meta-analysis’, </w:t>
      </w:r>
      <w:r w:rsidRPr="007C1BF3">
        <w:rPr>
          <w:rFonts w:ascii="Arial" w:hAnsi="Arial" w:cs="Arial"/>
          <w:i/>
          <w:iCs/>
          <w:sz w:val="22"/>
        </w:rPr>
        <w:t>Systematic Reviews</w:t>
      </w:r>
      <w:r w:rsidRPr="007C1BF3">
        <w:rPr>
          <w:rFonts w:ascii="Arial" w:hAnsi="Arial" w:cs="Arial"/>
          <w:sz w:val="22"/>
        </w:rPr>
        <w:t>, 11(1). Available at: https://doi.org/10.1186/s13643-022-01922-7.</w:t>
      </w:r>
    </w:p>
    <w:p w14:paraId="0797D620" w14:textId="77777777" w:rsidR="00676875" w:rsidRPr="007C1BF3" w:rsidRDefault="00676875" w:rsidP="00B6083C">
      <w:pPr>
        <w:rPr>
          <w:rFonts w:ascii="Arial" w:hAnsi="Arial" w:cs="Arial"/>
          <w:sz w:val="22"/>
        </w:rPr>
      </w:pPr>
      <w:r w:rsidRPr="007C1BF3">
        <w:rPr>
          <w:rFonts w:ascii="Arial" w:hAnsi="Arial" w:cs="Arial"/>
          <w:sz w:val="22"/>
        </w:rPr>
        <w:t xml:space="preserve">Okposio, B.O., Bassey, O.O., Okposio, S. and Ayodele, E.A. (2026) ‘The impact of tobacco control policies on smoking prevalence: a narrative review’, </w:t>
      </w:r>
      <w:r w:rsidRPr="007C1BF3">
        <w:rPr>
          <w:rFonts w:ascii="Arial" w:hAnsi="Arial" w:cs="Arial"/>
          <w:i/>
          <w:iCs/>
          <w:sz w:val="22"/>
        </w:rPr>
        <w:t>Discover Public Health</w:t>
      </w:r>
      <w:r w:rsidRPr="007C1BF3">
        <w:rPr>
          <w:rFonts w:ascii="Arial" w:hAnsi="Arial" w:cs="Arial"/>
          <w:sz w:val="22"/>
        </w:rPr>
        <w:t>, 23(1). Available at: https://doi.org/10.1186/s12982-026-01571-4.</w:t>
      </w:r>
    </w:p>
    <w:p w14:paraId="66FE3CF3" w14:textId="77777777" w:rsidR="00676875" w:rsidRPr="007C1BF3" w:rsidRDefault="00676875" w:rsidP="00B6083C">
      <w:pPr>
        <w:rPr>
          <w:rFonts w:ascii="Arial" w:hAnsi="Arial" w:cs="Arial"/>
          <w:sz w:val="22"/>
        </w:rPr>
      </w:pPr>
      <w:r w:rsidRPr="007C1BF3">
        <w:rPr>
          <w:rFonts w:ascii="Arial" w:hAnsi="Arial" w:cs="Arial"/>
          <w:sz w:val="22"/>
        </w:rPr>
        <w:t xml:space="preserve">ONS (2025) </w:t>
      </w:r>
      <w:r w:rsidRPr="007C1BF3">
        <w:rPr>
          <w:rFonts w:ascii="Arial" w:hAnsi="Arial" w:cs="Arial"/>
          <w:i/>
          <w:iCs/>
          <w:sz w:val="22"/>
        </w:rPr>
        <w:t>Adult smoking habits in the UK</w:t>
      </w:r>
      <w:r w:rsidRPr="007C1BF3">
        <w:rPr>
          <w:rFonts w:ascii="Arial" w:hAnsi="Arial" w:cs="Arial"/>
          <w:sz w:val="22"/>
        </w:rPr>
        <w:t xml:space="preserve">, </w:t>
      </w:r>
      <w:r w:rsidRPr="007C1BF3">
        <w:rPr>
          <w:rFonts w:ascii="Arial" w:hAnsi="Arial" w:cs="Arial"/>
          <w:i/>
          <w:iCs/>
          <w:sz w:val="22"/>
        </w:rPr>
        <w:t>Ons.gov.uk</w:t>
      </w:r>
      <w:r w:rsidRPr="007C1BF3">
        <w:rPr>
          <w:rFonts w:ascii="Arial" w:hAnsi="Arial" w:cs="Arial"/>
          <w:sz w:val="22"/>
        </w:rPr>
        <w:t>. Office for National Statistics. Available at: https://www.ons.gov.uk/peoplepopulationandcommunity/healthandsocialcare/healthandlifeexpectancies/bulletins/adultsmokinghabitsingreatbritain/2024 (Accessed: 25 May 2026).</w:t>
      </w:r>
    </w:p>
    <w:p w14:paraId="42752060" w14:textId="77777777" w:rsidR="00676875" w:rsidRPr="007C1BF3" w:rsidRDefault="00676875" w:rsidP="00B6083C">
      <w:pPr>
        <w:rPr>
          <w:rFonts w:ascii="Arial" w:hAnsi="Arial" w:cs="Arial"/>
          <w:sz w:val="22"/>
        </w:rPr>
      </w:pPr>
      <w:r w:rsidRPr="007C1BF3">
        <w:rPr>
          <w:rFonts w:ascii="Arial" w:hAnsi="Arial" w:cs="Arial"/>
          <w:sz w:val="22"/>
        </w:rPr>
        <w:t>Ramseier, C.A. (2026) ‘An integrated behavioral change model for smoking cessation in periodontal care: The four</w:t>
      </w:r>
      <w:r w:rsidRPr="007C1BF3">
        <w:rPr>
          <w:rFonts w:ascii="Cambria Math" w:hAnsi="Cambria Math" w:cs="Cambria Math"/>
          <w:sz w:val="22"/>
        </w:rPr>
        <w:t>‐</w:t>
      </w:r>
      <w:r w:rsidRPr="007C1BF3">
        <w:rPr>
          <w:rFonts w:ascii="Arial" w:hAnsi="Arial" w:cs="Arial"/>
          <w:sz w:val="22"/>
        </w:rPr>
        <w:t xml:space="preserve">stage behavioral support staircase’, </w:t>
      </w:r>
      <w:r w:rsidRPr="007C1BF3">
        <w:rPr>
          <w:rFonts w:ascii="Arial" w:hAnsi="Arial" w:cs="Arial"/>
          <w:i/>
          <w:iCs/>
          <w:sz w:val="22"/>
        </w:rPr>
        <w:t>Periodontology 2000</w:t>
      </w:r>
      <w:r w:rsidRPr="007C1BF3">
        <w:rPr>
          <w:rFonts w:ascii="Arial" w:hAnsi="Arial" w:cs="Arial"/>
          <w:sz w:val="22"/>
        </w:rPr>
        <w:t xml:space="preserve"> [Preprint]. Available at: https://doi.org/10.1111/prd.70040.</w:t>
      </w:r>
    </w:p>
    <w:p w14:paraId="2267E482" w14:textId="77777777" w:rsidR="00676875" w:rsidRPr="007C1BF3" w:rsidRDefault="00676875" w:rsidP="00B6083C">
      <w:pPr>
        <w:rPr>
          <w:rFonts w:ascii="Arial" w:hAnsi="Arial" w:cs="Arial"/>
          <w:sz w:val="22"/>
        </w:rPr>
      </w:pPr>
      <w:r w:rsidRPr="007C1BF3">
        <w:rPr>
          <w:rFonts w:ascii="Arial" w:hAnsi="Arial" w:cs="Arial"/>
          <w:sz w:val="22"/>
        </w:rPr>
        <w:t xml:space="preserve">Rozenkowska, K. (2023) ‘Theory of Planned Behavior in Consumer Behavior research: a Systematic Literature Review’, </w:t>
      </w:r>
      <w:r w:rsidRPr="007C1BF3">
        <w:rPr>
          <w:rFonts w:ascii="Arial" w:hAnsi="Arial" w:cs="Arial"/>
          <w:i/>
          <w:iCs/>
          <w:sz w:val="22"/>
        </w:rPr>
        <w:t>International Journal of Consumer Studies</w:t>
      </w:r>
      <w:r w:rsidRPr="007C1BF3">
        <w:rPr>
          <w:rFonts w:ascii="Arial" w:hAnsi="Arial" w:cs="Arial"/>
          <w:sz w:val="22"/>
        </w:rPr>
        <w:t>, 47(6), pp. 2670–2700. Available at: https://doi.org/10.1111/ijcs.12970.</w:t>
      </w:r>
    </w:p>
    <w:p w14:paraId="06B61CB5" w14:textId="77777777" w:rsidR="00676875" w:rsidRPr="007C1BF3" w:rsidRDefault="00676875" w:rsidP="00B6083C">
      <w:pPr>
        <w:rPr>
          <w:rFonts w:ascii="Arial" w:hAnsi="Arial" w:cs="Arial"/>
          <w:sz w:val="22"/>
        </w:rPr>
      </w:pPr>
      <w:r w:rsidRPr="007C1BF3">
        <w:rPr>
          <w:rFonts w:ascii="Arial" w:hAnsi="Arial" w:cs="Arial"/>
          <w:sz w:val="22"/>
        </w:rPr>
        <w:t xml:space="preserve">Sharrad, K., Carson-Chahhoud, K., Verbiest, M., Greenslade, S., Parkhouse, T., Assendelft, W., Crone, M. and Livingstone-Banks, J. (2026) ‘Training health professionals in smoking cessation’, </w:t>
      </w:r>
      <w:r w:rsidRPr="007C1BF3">
        <w:rPr>
          <w:rFonts w:ascii="Arial" w:hAnsi="Arial" w:cs="Arial"/>
          <w:i/>
          <w:iCs/>
          <w:sz w:val="22"/>
        </w:rPr>
        <w:t>Cochrane Library</w:t>
      </w:r>
      <w:r w:rsidRPr="007C1BF3">
        <w:rPr>
          <w:rFonts w:ascii="Arial" w:hAnsi="Arial" w:cs="Arial"/>
          <w:sz w:val="22"/>
        </w:rPr>
        <w:t>, 2026(2). Available at: https://doi.org/10.1002/14651858.CD000214).</w:t>
      </w:r>
    </w:p>
    <w:p w14:paraId="1377F830" w14:textId="77777777" w:rsidR="00676875" w:rsidRPr="00676875" w:rsidRDefault="00676875" w:rsidP="00034365">
      <w:pPr>
        <w:rPr>
          <w:rFonts w:ascii="Arial" w:hAnsi="Arial" w:cs="Arial"/>
          <w:sz w:val="22"/>
          <w:szCs w:val="20"/>
        </w:rPr>
      </w:pPr>
      <w:r w:rsidRPr="003F4588">
        <w:rPr>
          <w:rFonts w:ascii="Arial" w:hAnsi="Arial" w:cs="Arial"/>
          <w:sz w:val="22"/>
          <w:szCs w:val="20"/>
        </w:rPr>
        <w:t xml:space="preserve">The Global Goals (2025) </w:t>
      </w:r>
      <w:r w:rsidRPr="003F4588">
        <w:rPr>
          <w:rFonts w:ascii="Arial" w:hAnsi="Arial" w:cs="Arial"/>
          <w:i/>
          <w:iCs/>
          <w:sz w:val="22"/>
          <w:szCs w:val="20"/>
        </w:rPr>
        <w:t>Goal 12: Responsible consumption and production</w:t>
      </w:r>
      <w:r w:rsidRPr="003F4588">
        <w:rPr>
          <w:rFonts w:ascii="Arial" w:hAnsi="Arial" w:cs="Arial"/>
          <w:sz w:val="22"/>
          <w:szCs w:val="20"/>
        </w:rPr>
        <w:t xml:space="preserve">, </w:t>
      </w:r>
      <w:r w:rsidRPr="003F4588">
        <w:rPr>
          <w:rFonts w:ascii="Arial" w:hAnsi="Arial" w:cs="Arial"/>
          <w:i/>
          <w:iCs/>
          <w:sz w:val="22"/>
          <w:szCs w:val="20"/>
        </w:rPr>
        <w:t>The Global Goals</w:t>
      </w:r>
      <w:r w:rsidRPr="003F4588">
        <w:rPr>
          <w:rFonts w:ascii="Arial" w:hAnsi="Arial" w:cs="Arial"/>
          <w:sz w:val="22"/>
          <w:szCs w:val="20"/>
        </w:rPr>
        <w:t>. Available at: https://globalgoals.org/goals/12-responsible-consumption-and-production/ (Accessed: July 14, 2026).</w:t>
      </w:r>
    </w:p>
    <w:p w14:paraId="7C791842" w14:textId="77777777" w:rsidR="00676875" w:rsidRPr="007C1BF3" w:rsidRDefault="00676875" w:rsidP="00B6083C">
      <w:pPr>
        <w:rPr>
          <w:rFonts w:ascii="Arial" w:hAnsi="Arial" w:cs="Arial"/>
          <w:sz w:val="22"/>
        </w:rPr>
      </w:pPr>
      <w:r w:rsidRPr="007C1BF3">
        <w:rPr>
          <w:rFonts w:ascii="Arial" w:hAnsi="Arial" w:cs="Arial"/>
          <w:sz w:val="22"/>
        </w:rPr>
        <w:t xml:space="preserve">Ugalde, A., White, V., Rankin, N.M., Paul, C., Segan, C., Aranda, S., Wong </w:t>
      </w:r>
      <w:proofErr w:type="spellStart"/>
      <w:r w:rsidRPr="007C1BF3">
        <w:rPr>
          <w:rFonts w:ascii="Arial" w:hAnsi="Arial" w:cs="Arial"/>
          <w:sz w:val="22"/>
        </w:rPr>
        <w:t>Shee</w:t>
      </w:r>
      <w:proofErr w:type="spellEnd"/>
      <w:r w:rsidRPr="007C1BF3">
        <w:rPr>
          <w:rFonts w:ascii="Arial" w:hAnsi="Arial" w:cs="Arial"/>
          <w:sz w:val="22"/>
        </w:rPr>
        <w:t xml:space="preserve">, A., Hutchinson, A.M. and Livingston, P.M. (2021) ‘How can hospitals change practice to better </w:t>
      </w:r>
      <w:r w:rsidRPr="007C1BF3">
        <w:rPr>
          <w:rFonts w:ascii="Arial" w:hAnsi="Arial" w:cs="Arial"/>
          <w:sz w:val="22"/>
        </w:rPr>
        <w:lastRenderedPageBreak/>
        <w:t xml:space="preserve">implement smoking cessation interventions? A systematic review’, </w:t>
      </w:r>
      <w:r w:rsidRPr="007C1BF3">
        <w:rPr>
          <w:rFonts w:ascii="Arial" w:hAnsi="Arial" w:cs="Arial"/>
          <w:i/>
          <w:iCs/>
          <w:sz w:val="22"/>
        </w:rPr>
        <w:t>CA: A Cancer Journal for Clinicians</w:t>
      </w:r>
      <w:r w:rsidRPr="007C1BF3">
        <w:rPr>
          <w:rFonts w:ascii="Arial" w:hAnsi="Arial" w:cs="Arial"/>
          <w:sz w:val="22"/>
        </w:rPr>
        <w:t>, 72(3). Available at: https://doi.org/10.3322/caac.21709.</w:t>
      </w:r>
    </w:p>
    <w:p w14:paraId="4CA49F7A" w14:textId="77777777" w:rsidR="00676875" w:rsidRPr="007C1BF3" w:rsidRDefault="00676875" w:rsidP="00B6083C">
      <w:pPr>
        <w:rPr>
          <w:rFonts w:ascii="Arial" w:hAnsi="Arial" w:cs="Arial"/>
          <w:sz w:val="22"/>
        </w:rPr>
      </w:pPr>
      <w:r w:rsidRPr="007C1BF3">
        <w:rPr>
          <w:rFonts w:ascii="Arial" w:hAnsi="Arial" w:cs="Arial"/>
          <w:sz w:val="22"/>
        </w:rPr>
        <w:t xml:space="preserve">Vinkers, C.H., Kupka, R.W., Penninx, B.W., Ruhé, H.G., van Gaalen, J.M., van Haaren, P.C.F., Schellekens, A.F.A., Jauhar, S., Ramos-Quiroga, J.A., Vieta, E., Tiihonen, J., Veldman, S.E., Veling, W., Vis, R., de Wit, L.E. and Luykx, J.J. (2024) ‘Discontinuation of psychotropic medication: a synthesis of evidence across medication classes’, </w:t>
      </w:r>
      <w:r w:rsidRPr="007C1BF3">
        <w:rPr>
          <w:rFonts w:ascii="Arial" w:hAnsi="Arial" w:cs="Arial"/>
          <w:i/>
          <w:iCs/>
          <w:sz w:val="22"/>
        </w:rPr>
        <w:t>Molecular Psychiatry</w:t>
      </w:r>
      <w:r w:rsidRPr="007C1BF3">
        <w:rPr>
          <w:rFonts w:ascii="Arial" w:hAnsi="Arial" w:cs="Arial"/>
          <w:sz w:val="22"/>
        </w:rPr>
        <w:t>, 29. Available at: https://doi.org/10.1038/s41380-024-02445-4.</w:t>
      </w:r>
    </w:p>
    <w:p w14:paraId="6286DCC4" w14:textId="77777777" w:rsidR="00676875" w:rsidRPr="007C1BF3" w:rsidRDefault="00676875" w:rsidP="00B6083C">
      <w:pPr>
        <w:rPr>
          <w:rFonts w:ascii="Arial" w:hAnsi="Arial" w:cs="Arial"/>
          <w:sz w:val="22"/>
        </w:rPr>
      </w:pPr>
      <w:r w:rsidRPr="007C1BF3">
        <w:rPr>
          <w:rFonts w:ascii="Arial" w:hAnsi="Arial" w:cs="Arial"/>
          <w:sz w:val="22"/>
        </w:rPr>
        <w:t xml:space="preserve">Walton, A.A., Nageotte, N.L., Heimlich, J.E. and Threadgill, A.  Victoria (2022) ‘Facilitating behavior change: Introducing the Transtheoretical Model of Behavior Change as a conservation psychology framework and tool for practitioners’, </w:t>
      </w:r>
      <w:r w:rsidRPr="007C1BF3">
        <w:rPr>
          <w:rFonts w:ascii="Arial" w:hAnsi="Arial" w:cs="Arial"/>
          <w:i/>
          <w:iCs/>
          <w:sz w:val="22"/>
        </w:rPr>
        <w:t>Zoo Biology</w:t>
      </w:r>
      <w:r w:rsidRPr="007C1BF3">
        <w:rPr>
          <w:rFonts w:ascii="Arial" w:hAnsi="Arial" w:cs="Arial"/>
          <w:sz w:val="22"/>
        </w:rPr>
        <w:t>, 41(5). Available at: https://doi.org/10.1002/zoo.21704.</w:t>
      </w:r>
    </w:p>
    <w:p w14:paraId="6AD0360C" w14:textId="77777777" w:rsidR="00676875" w:rsidRPr="00676875" w:rsidRDefault="00676875" w:rsidP="00034365">
      <w:pPr>
        <w:rPr>
          <w:rFonts w:ascii="Arial" w:hAnsi="Arial" w:cs="Arial"/>
          <w:sz w:val="22"/>
          <w:szCs w:val="20"/>
        </w:rPr>
      </w:pPr>
      <w:r w:rsidRPr="003F4588">
        <w:rPr>
          <w:rFonts w:ascii="Arial" w:hAnsi="Arial" w:cs="Arial"/>
          <w:sz w:val="22"/>
          <w:szCs w:val="20"/>
        </w:rPr>
        <w:t xml:space="preserve">World Health Organization (2023) </w:t>
      </w:r>
      <w:r w:rsidRPr="003F4588">
        <w:rPr>
          <w:rFonts w:ascii="Arial" w:hAnsi="Arial" w:cs="Arial"/>
          <w:i/>
          <w:iCs/>
          <w:sz w:val="22"/>
          <w:szCs w:val="20"/>
        </w:rPr>
        <w:t>MPOWER</w:t>
      </w:r>
      <w:r w:rsidRPr="003F4588">
        <w:rPr>
          <w:rFonts w:ascii="Arial" w:hAnsi="Arial" w:cs="Arial"/>
          <w:sz w:val="22"/>
          <w:szCs w:val="20"/>
        </w:rPr>
        <w:t xml:space="preserve">, </w:t>
      </w:r>
      <w:r w:rsidRPr="003F4588">
        <w:rPr>
          <w:rFonts w:ascii="Arial" w:hAnsi="Arial" w:cs="Arial"/>
          <w:i/>
          <w:iCs/>
          <w:sz w:val="22"/>
          <w:szCs w:val="20"/>
        </w:rPr>
        <w:t>Www.who.int</w:t>
      </w:r>
      <w:r w:rsidRPr="003F4588">
        <w:rPr>
          <w:rFonts w:ascii="Arial" w:hAnsi="Arial" w:cs="Arial"/>
          <w:sz w:val="22"/>
          <w:szCs w:val="20"/>
        </w:rPr>
        <w:t>. Available at: https://www.who.int/initiatives/mpower (Accessed: July 14, 2026).</w:t>
      </w:r>
    </w:p>
    <w:p w14:paraId="50B66B4F" w14:textId="77777777" w:rsidR="00676875" w:rsidRDefault="00676875">
      <w:pPr>
        <w:rPr>
          <w:rFonts w:ascii="Arial" w:hAnsi="Arial" w:cs="Arial"/>
          <w:sz w:val="22"/>
        </w:rPr>
      </w:pPr>
      <w:r w:rsidRPr="007C1BF3">
        <w:rPr>
          <w:rFonts w:ascii="Arial" w:hAnsi="Arial" w:cs="Arial"/>
          <w:sz w:val="22"/>
        </w:rPr>
        <w:t xml:space="preserve">Yu, B., Pan, Y., Meng, J., Wu, H., Sun, Z., Du, C., Shuai, C., Chen, N., Wang, K. and Xu, Z. (2025) ‘Assessing sustainability effects of tobacco use and control in global supply chains’, </w:t>
      </w:r>
      <w:r w:rsidRPr="007C1BF3">
        <w:rPr>
          <w:rFonts w:ascii="Arial" w:hAnsi="Arial" w:cs="Arial"/>
          <w:i/>
          <w:iCs/>
          <w:sz w:val="22"/>
        </w:rPr>
        <w:t>Nature Communications</w:t>
      </w:r>
      <w:r w:rsidRPr="007C1BF3">
        <w:rPr>
          <w:rFonts w:ascii="Arial" w:hAnsi="Arial" w:cs="Arial"/>
          <w:sz w:val="22"/>
        </w:rPr>
        <w:t xml:space="preserve"> [Preprint]. Available at: </w:t>
      </w:r>
      <w:hyperlink r:id="rId20" w:history="1">
        <w:r w:rsidRPr="004B00F4">
          <w:rPr>
            <w:rStyle w:val="Hyperlink"/>
            <w:rFonts w:ascii="Arial" w:hAnsi="Arial" w:cs="Arial"/>
            <w:sz w:val="22"/>
          </w:rPr>
          <w:t>https://doi.org/10.1038/s41467-025-67755-9</w:t>
        </w:r>
      </w:hyperlink>
      <w:r w:rsidRPr="007C1BF3">
        <w:rPr>
          <w:rFonts w:ascii="Arial" w:hAnsi="Arial" w:cs="Arial"/>
          <w:sz w:val="22"/>
        </w:rPr>
        <w:t>.</w:t>
      </w:r>
    </w:p>
    <w:p w14:paraId="12E2C027" w14:textId="77777777" w:rsidR="00034365" w:rsidRPr="00034365" w:rsidRDefault="00034365" w:rsidP="00034365">
      <w:pPr>
        <w:rPr>
          <w:rFonts w:ascii="Arial" w:hAnsi="Arial" w:cs="Arial"/>
        </w:rPr>
      </w:pPr>
    </w:p>
    <w:p w14:paraId="47AE2F4C" w14:textId="77777777" w:rsidR="00034365" w:rsidRPr="007C1BF3" w:rsidRDefault="00034365">
      <w:pPr>
        <w:rPr>
          <w:rFonts w:ascii="Arial" w:hAnsi="Arial" w:cs="Arial"/>
        </w:rPr>
      </w:pPr>
    </w:p>
    <w:sectPr w:rsidR="00034365" w:rsidRPr="007C1BF3" w:rsidSect="00B6083C">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F92DC" w14:textId="77777777" w:rsidR="00C179E5" w:rsidRDefault="00C179E5" w:rsidP="00B6083C">
      <w:pPr>
        <w:spacing w:before="0" w:after="0" w:line="240" w:lineRule="auto"/>
      </w:pPr>
      <w:r>
        <w:separator/>
      </w:r>
    </w:p>
  </w:endnote>
  <w:endnote w:type="continuationSeparator" w:id="0">
    <w:p w14:paraId="6B17C62F" w14:textId="77777777" w:rsidR="00C179E5" w:rsidRDefault="00C179E5" w:rsidP="00B608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8"/>
      </w:rPr>
      <w:id w:val="-1423716363"/>
      <w:docPartObj>
        <w:docPartGallery w:val="Page Numbers (Bottom of Page)"/>
        <w:docPartUnique/>
      </w:docPartObj>
    </w:sdtPr>
    <w:sdtEndPr>
      <w:rPr>
        <w:color w:val="7F7F7F" w:themeColor="background1" w:themeShade="7F"/>
        <w:spacing w:val="60"/>
      </w:rPr>
    </w:sdtEndPr>
    <w:sdtContent>
      <w:p w14:paraId="2962DBB0" w14:textId="77777777" w:rsidR="00B6083C" w:rsidRPr="00B6083C" w:rsidRDefault="00B6083C" w:rsidP="00B6083C">
        <w:pPr>
          <w:pStyle w:val="Footer"/>
          <w:pBdr>
            <w:top w:val="single" w:sz="4" w:space="1" w:color="D9D9D9" w:themeColor="background1" w:themeShade="D9"/>
          </w:pBdr>
          <w:jc w:val="right"/>
          <w:rPr>
            <w:sz w:val="18"/>
          </w:rPr>
        </w:pPr>
        <w:r w:rsidRPr="00B6083C">
          <w:rPr>
            <w:sz w:val="18"/>
          </w:rPr>
          <w:fldChar w:fldCharType="begin"/>
        </w:r>
        <w:r w:rsidRPr="00B6083C">
          <w:rPr>
            <w:sz w:val="18"/>
          </w:rPr>
          <w:instrText xml:space="preserve"> PAGE   \* MERGEFORMAT </w:instrText>
        </w:r>
        <w:r w:rsidRPr="00B6083C">
          <w:rPr>
            <w:sz w:val="18"/>
          </w:rPr>
          <w:fldChar w:fldCharType="separate"/>
        </w:r>
        <w:r w:rsidR="00375FF0">
          <w:rPr>
            <w:noProof/>
            <w:sz w:val="18"/>
          </w:rPr>
          <w:t>12</w:t>
        </w:r>
        <w:r w:rsidRPr="00B6083C">
          <w:rPr>
            <w:noProof/>
            <w:sz w:val="18"/>
          </w:rPr>
          <w:fldChar w:fldCharType="end"/>
        </w:r>
        <w:r w:rsidRPr="00B6083C">
          <w:rPr>
            <w:sz w:val="18"/>
          </w:rPr>
          <w:t xml:space="preserve"> | </w:t>
        </w:r>
        <w:r w:rsidRPr="00B6083C">
          <w:rPr>
            <w:color w:val="7F7F7F" w:themeColor="background1" w:themeShade="7F"/>
            <w:spacing w:val="60"/>
            <w:sz w:val="18"/>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6958D" w14:textId="77777777" w:rsidR="00C179E5" w:rsidRDefault="00C179E5" w:rsidP="00B6083C">
      <w:pPr>
        <w:spacing w:before="0" w:after="0" w:line="240" w:lineRule="auto"/>
      </w:pPr>
      <w:r>
        <w:separator/>
      </w:r>
    </w:p>
  </w:footnote>
  <w:footnote w:type="continuationSeparator" w:id="0">
    <w:p w14:paraId="412DADFA" w14:textId="77777777" w:rsidR="00C179E5" w:rsidRDefault="00C179E5" w:rsidP="00B608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342CD5"/>
    <w:multiLevelType w:val="multilevel"/>
    <w:tmpl w:val="36E69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FC5EC7"/>
    <w:multiLevelType w:val="multilevel"/>
    <w:tmpl w:val="674A0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7808422">
    <w:abstractNumId w:val="0"/>
  </w:num>
  <w:num w:numId="2" w16cid:durableId="1448429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83C"/>
    <w:rsid w:val="00034365"/>
    <w:rsid w:val="00096AF4"/>
    <w:rsid w:val="000F1B73"/>
    <w:rsid w:val="000F7B23"/>
    <w:rsid w:val="00124202"/>
    <w:rsid w:val="00133AA4"/>
    <w:rsid w:val="0013535F"/>
    <w:rsid w:val="00147E36"/>
    <w:rsid w:val="00226ABC"/>
    <w:rsid w:val="00287137"/>
    <w:rsid w:val="002F36A1"/>
    <w:rsid w:val="003469B6"/>
    <w:rsid w:val="00356053"/>
    <w:rsid w:val="003724C8"/>
    <w:rsid w:val="0037433A"/>
    <w:rsid w:val="00375FF0"/>
    <w:rsid w:val="003F4588"/>
    <w:rsid w:val="00487425"/>
    <w:rsid w:val="00520067"/>
    <w:rsid w:val="00544662"/>
    <w:rsid w:val="00591D3C"/>
    <w:rsid w:val="006039A6"/>
    <w:rsid w:val="00624A12"/>
    <w:rsid w:val="006716A5"/>
    <w:rsid w:val="00675A42"/>
    <w:rsid w:val="00676875"/>
    <w:rsid w:val="00695106"/>
    <w:rsid w:val="006D636A"/>
    <w:rsid w:val="006F3A50"/>
    <w:rsid w:val="0070420E"/>
    <w:rsid w:val="007157F2"/>
    <w:rsid w:val="007A67A2"/>
    <w:rsid w:val="007A7C1B"/>
    <w:rsid w:val="007B3091"/>
    <w:rsid w:val="007C1BF3"/>
    <w:rsid w:val="007C5C2C"/>
    <w:rsid w:val="00827E9C"/>
    <w:rsid w:val="00836CD6"/>
    <w:rsid w:val="008A0E3D"/>
    <w:rsid w:val="00914EE3"/>
    <w:rsid w:val="00945492"/>
    <w:rsid w:val="00A41AE4"/>
    <w:rsid w:val="00A56C94"/>
    <w:rsid w:val="00B130D1"/>
    <w:rsid w:val="00B50C16"/>
    <w:rsid w:val="00B60558"/>
    <w:rsid w:val="00B6083C"/>
    <w:rsid w:val="00BA6B22"/>
    <w:rsid w:val="00C179E5"/>
    <w:rsid w:val="00CA26FC"/>
    <w:rsid w:val="00D322D5"/>
    <w:rsid w:val="00D66621"/>
    <w:rsid w:val="00DA60B6"/>
    <w:rsid w:val="00E278F0"/>
    <w:rsid w:val="00E80613"/>
    <w:rsid w:val="00E93C6B"/>
    <w:rsid w:val="00EE1B0B"/>
    <w:rsid w:val="00F35435"/>
    <w:rsid w:val="00FB4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E2854B"/>
  <w15:chartTrackingRefBased/>
  <w15:docId w15:val="{2EDE47F7-B524-482A-9A70-4311C1E7B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7A2"/>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469B6"/>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034365"/>
    <w:pPr>
      <w:keepNext/>
      <w:keepLines/>
      <w:outlineLvl w:val="1"/>
    </w:pPr>
    <w:rPr>
      <w:rFonts w:ascii="Arial" w:eastAsiaTheme="majorEastAsia" w:hAnsi="Arial" w:cs="Arial"/>
      <w:b/>
      <w:sz w:val="26"/>
      <w:szCs w:val="26"/>
    </w:rPr>
  </w:style>
  <w:style w:type="paragraph" w:styleId="Heading3">
    <w:name w:val="heading 3"/>
    <w:basedOn w:val="Normal"/>
    <w:next w:val="Normal"/>
    <w:link w:val="Heading3Char"/>
    <w:uiPriority w:val="9"/>
    <w:unhideWhenUsed/>
    <w:qFormat/>
    <w:rsid w:val="00B6083C"/>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9B6"/>
    <w:rPr>
      <w:rFonts w:ascii="Times New Roman" w:eastAsiaTheme="majorEastAsia" w:hAnsi="Times New Roman" w:cstheme="majorBidi"/>
      <w:b/>
      <w:noProof/>
      <w:color w:val="000000" w:themeColor="text1"/>
      <w:sz w:val="28"/>
      <w:szCs w:val="32"/>
    </w:rPr>
  </w:style>
  <w:style w:type="character" w:customStyle="1" w:styleId="Heading2Char">
    <w:name w:val="Heading 2 Char"/>
    <w:basedOn w:val="DefaultParagraphFont"/>
    <w:link w:val="Heading2"/>
    <w:uiPriority w:val="9"/>
    <w:rsid w:val="00034365"/>
    <w:rPr>
      <w:rFonts w:ascii="Arial" w:eastAsiaTheme="majorEastAsia" w:hAnsi="Arial" w:cs="Arial"/>
      <w:b/>
      <w:sz w:val="26"/>
      <w:szCs w:val="26"/>
    </w:rPr>
  </w:style>
  <w:style w:type="paragraph" w:styleId="Title">
    <w:name w:val="Title"/>
    <w:basedOn w:val="Normal"/>
    <w:next w:val="Normal"/>
    <w:link w:val="TitleChar"/>
    <w:autoRedefine/>
    <w:uiPriority w:val="10"/>
    <w:qFormat/>
    <w:rsid w:val="000F7B23"/>
    <w:pPr>
      <w:pBdr>
        <w:bottom w:val="single" w:sz="4" w:space="1" w:color="auto"/>
      </w:pBdr>
      <w:contextualSpacing/>
      <w:jc w:val="center"/>
    </w:pPr>
    <w:rPr>
      <w:rFonts w:ascii="Arial" w:eastAsiaTheme="majorEastAsia" w:hAnsi="Arial" w:cs="Arial"/>
      <w:b/>
      <w:spacing w:val="-10"/>
      <w:kern w:val="28"/>
      <w:sz w:val="40"/>
      <w:szCs w:val="56"/>
    </w:rPr>
  </w:style>
  <w:style w:type="character" w:customStyle="1" w:styleId="TitleChar">
    <w:name w:val="Title Char"/>
    <w:basedOn w:val="DefaultParagraphFont"/>
    <w:link w:val="Title"/>
    <w:uiPriority w:val="10"/>
    <w:rsid w:val="000F7B23"/>
    <w:rPr>
      <w:rFonts w:ascii="Arial" w:eastAsiaTheme="majorEastAsia" w:hAnsi="Arial" w:cs="Arial"/>
      <w:b/>
      <w:spacing w:val="-10"/>
      <w:kern w:val="28"/>
      <w:sz w:val="40"/>
      <w:szCs w:val="56"/>
    </w:rPr>
  </w:style>
  <w:style w:type="character" w:customStyle="1" w:styleId="Heading3Char">
    <w:name w:val="Heading 3 Char"/>
    <w:basedOn w:val="DefaultParagraphFont"/>
    <w:link w:val="Heading3"/>
    <w:uiPriority w:val="9"/>
    <w:rsid w:val="00B6083C"/>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6083C"/>
    <w:pPr>
      <w:spacing w:before="240" w:beforeAutospacing="0" w:after="0" w:afterAutospacing="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6083C"/>
  </w:style>
  <w:style w:type="paragraph" w:styleId="TOC2">
    <w:name w:val="toc 2"/>
    <w:basedOn w:val="Normal"/>
    <w:next w:val="Normal"/>
    <w:autoRedefine/>
    <w:uiPriority w:val="39"/>
    <w:unhideWhenUsed/>
    <w:rsid w:val="00B6083C"/>
    <w:pPr>
      <w:ind w:left="240"/>
    </w:pPr>
  </w:style>
  <w:style w:type="character" w:styleId="Hyperlink">
    <w:name w:val="Hyperlink"/>
    <w:basedOn w:val="DefaultParagraphFont"/>
    <w:uiPriority w:val="99"/>
    <w:unhideWhenUsed/>
    <w:rsid w:val="00B6083C"/>
    <w:rPr>
      <w:color w:val="0563C1" w:themeColor="hyperlink"/>
      <w:u w:val="single"/>
    </w:rPr>
  </w:style>
  <w:style w:type="paragraph" w:styleId="Header">
    <w:name w:val="header"/>
    <w:basedOn w:val="Normal"/>
    <w:link w:val="HeaderChar"/>
    <w:uiPriority w:val="99"/>
    <w:unhideWhenUsed/>
    <w:rsid w:val="00B6083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6083C"/>
    <w:rPr>
      <w:rFonts w:ascii="Times New Roman" w:hAnsi="Times New Roman"/>
      <w:sz w:val="24"/>
    </w:rPr>
  </w:style>
  <w:style w:type="paragraph" w:styleId="Footer">
    <w:name w:val="footer"/>
    <w:basedOn w:val="Normal"/>
    <w:link w:val="FooterChar"/>
    <w:uiPriority w:val="99"/>
    <w:unhideWhenUsed/>
    <w:rsid w:val="00B6083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6083C"/>
    <w:rPr>
      <w:rFonts w:ascii="Times New Roman" w:hAnsi="Times New Roman"/>
      <w:sz w:val="24"/>
    </w:rPr>
  </w:style>
  <w:style w:type="character" w:styleId="UnresolvedMention">
    <w:name w:val="Unresolved Mention"/>
    <w:basedOn w:val="DefaultParagraphFont"/>
    <w:uiPriority w:val="99"/>
    <w:semiHidden/>
    <w:unhideWhenUsed/>
    <w:rsid w:val="000343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214881">
      <w:bodyDiv w:val="1"/>
      <w:marLeft w:val="0"/>
      <w:marRight w:val="0"/>
      <w:marTop w:val="0"/>
      <w:marBottom w:val="0"/>
      <w:divBdr>
        <w:top w:val="none" w:sz="0" w:space="0" w:color="auto"/>
        <w:left w:val="none" w:sz="0" w:space="0" w:color="auto"/>
        <w:bottom w:val="none" w:sz="0" w:space="0" w:color="auto"/>
        <w:right w:val="none" w:sz="0" w:space="0" w:color="auto"/>
      </w:divBdr>
    </w:div>
    <w:div w:id="96871411">
      <w:bodyDiv w:val="1"/>
      <w:marLeft w:val="0"/>
      <w:marRight w:val="0"/>
      <w:marTop w:val="0"/>
      <w:marBottom w:val="0"/>
      <w:divBdr>
        <w:top w:val="none" w:sz="0" w:space="0" w:color="auto"/>
        <w:left w:val="none" w:sz="0" w:space="0" w:color="auto"/>
        <w:bottom w:val="none" w:sz="0" w:space="0" w:color="auto"/>
        <w:right w:val="none" w:sz="0" w:space="0" w:color="auto"/>
      </w:divBdr>
      <w:divsChild>
        <w:div w:id="1567764827">
          <w:marLeft w:val="0"/>
          <w:marRight w:val="0"/>
          <w:marTop w:val="0"/>
          <w:marBottom w:val="0"/>
          <w:divBdr>
            <w:top w:val="none" w:sz="0" w:space="0" w:color="auto"/>
            <w:left w:val="none" w:sz="0" w:space="0" w:color="auto"/>
            <w:bottom w:val="none" w:sz="0" w:space="0" w:color="auto"/>
            <w:right w:val="none" w:sz="0" w:space="0" w:color="auto"/>
          </w:divBdr>
        </w:div>
      </w:divsChild>
    </w:div>
    <w:div w:id="315843151">
      <w:bodyDiv w:val="1"/>
      <w:marLeft w:val="0"/>
      <w:marRight w:val="0"/>
      <w:marTop w:val="0"/>
      <w:marBottom w:val="0"/>
      <w:divBdr>
        <w:top w:val="none" w:sz="0" w:space="0" w:color="auto"/>
        <w:left w:val="none" w:sz="0" w:space="0" w:color="auto"/>
        <w:bottom w:val="none" w:sz="0" w:space="0" w:color="auto"/>
        <w:right w:val="none" w:sz="0" w:space="0" w:color="auto"/>
      </w:divBdr>
    </w:div>
    <w:div w:id="685400989">
      <w:bodyDiv w:val="1"/>
      <w:marLeft w:val="0"/>
      <w:marRight w:val="0"/>
      <w:marTop w:val="0"/>
      <w:marBottom w:val="0"/>
      <w:divBdr>
        <w:top w:val="none" w:sz="0" w:space="0" w:color="auto"/>
        <w:left w:val="none" w:sz="0" w:space="0" w:color="auto"/>
        <w:bottom w:val="none" w:sz="0" w:space="0" w:color="auto"/>
        <w:right w:val="none" w:sz="0" w:space="0" w:color="auto"/>
      </w:divBdr>
      <w:divsChild>
        <w:div w:id="15306041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doi.org/10.1038/s41467-025-6775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4B9462-037A-4B7E-A411-1861F1DB9A2A}"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GB"/>
        </a:p>
      </dgm:t>
    </dgm:pt>
    <dgm:pt modelId="{8BCC9C09-3067-4A10-A1C4-17D4D104EEF0}">
      <dgm:prSet phldrT="[Text]"/>
      <dgm:spPr/>
      <dgm:t>
        <a:bodyPr/>
        <a:lstStyle/>
        <a:p>
          <a:r>
            <a:rPr lang="en-GB">
              <a:latin typeface="Times New Roman" panose="02020603050405020304" pitchFamily="18" charset="0"/>
              <a:cs typeface="Times New Roman" panose="02020603050405020304" pitchFamily="18" charset="0"/>
            </a:rPr>
            <a:t>SDG 12 Objectives</a:t>
          </a:r>
        </a:p>
      </dgm:t>
    </dgm:pt>
    <dgm:pt modelId="{454F487E-DFA1-4E00-9907-47E52802FBEA}" type="parTrans" cxnId="{4D746FFC-5603-4DB4-8C74-D405D13812C0}">
      <dgm:prSet/>
      <dgm:spPr/>
      <dgm:t>
        <a:bodyPr/>
        <a:lstStyle/>
        <a:p>
          <a:endParaRPr lang="en-GB"/>
        </a:p>
      </dgm:t>
    </dgm:pt>
    <dgm:pt modelId="{6360BE40-11E6-42C7-BD01-5493560572AB}" type="sibTrans" cxnId="{4D746FFC-5603-4DB4-8C74-D405D13812C0}">
      <dgm:prSet/>
      <dgm:spPr/>
      <dgm:t>
        <a:bodyPr/>
        <a:lstStyle/>
        <a:p>
          <a:endParaRPr lang="en-GB"/>
        </a:p>
      </dgm:t>
    </dgm:pt>
    <dgm:pt modelId="{3166E995-2681-45DF-B823-550CCB3F714D}">
      <dgm:prSet phldrT="[Text]"/>
      <dgm:spPr/>
      <dgm:t>
        <a:bodyPr/>
        <a:lstStyle/>
        <a:p>
          <a:pPr>
            <a:buFont typeface="Symbol" panose="05050102010706020507" pitchFamily="18" charset="2"/>
            <a:buChar char=""/>
          </a:pPr>
          <a:r>
            <a:rPr lang="en-GB">
              <a:latin typeface="Times New Roman" panose="02020603050405020304" pitchFamily="18" charset="0"/>
              <a:cs typeface="Times New Roman" panose="02020603050405020304" pitchFamily="18" charset="0"/>
            </a:rPr>
            <a:t>Sustainable management and use of natural resources</a:t>
          </a:r>
        </a:p>
      </dgm:t>
    </dgm:pt>
    <dgm:pt modelId="{C546D8FA-8F7A-4020-9C13-BCAF9FFE02B1}" type="parTrans" cxnId="{B64664E9-06DA-423D-A22C-FF353EDEAF97}">
      <dgm:prSet/>
      <dgm:spPr/>
      <dgm:t>
        <a:bodyPr/>
        <a:lstStyle/>
        <a:p>
          <a:endParaRPr lang="en-GB"/>
        </a:p>
      </dgm:t>
    </dgm:pt>
    <dgm:pt modelId="{C91F4278-C3E7-4DFC-9A12-A3EAC1279456}" type="sibTrans" cxnId="{B64664E9-06DA-423D-A22C-FF353EDEAF97}">
      <dgm:prSet/>
      <dgm:spPr/>
      <dgm:t>
        <a:bodyPr/>
        <a:lstStyle/>
        <a:p>
          <a:endParaRPr lang="en-GB"/>
        </a:p>
      </dgm:t>
    </dgm:pt>
    <dgm:pt modelId="{421C7CE7-BA13-467C-9222-BB211CD926D2}">
      <dgm:prSet/>
      <dgm:spPr/>
      <dgm:t>
        <a:bodyPr/>
        <a:lstStyle/>
        <a:p>
          <a:pPr>
            <a:buFont typeface="Symbol" panose="05050102010706020507" pitchFamily="18" charset="2"/>
            <a:buChar char=""/>
          </a:pPr>
          <a:r>
            <a:rPr lang="en-GB">
              <a:latin typeface="Times New Roman" panose="02020603050405020304" pitchFamily="18" charset="0"/>
              <a:cs typeface="Times New Roman" panose="02020603050405020304" pitchFamily="18" charset="0"/>
            </a:rPr>
            <a:t>Responsible management of chemicals and waste</a:t>
          </a:r>
        </a:p>
      </dgm:t>
    </dgm:pt>
    <dgm:pt modelId="{D79FBFDE-9994-4B30-B732-E2AEC9251943}" type="parTrans" cxnId="{8E5F6FF0-21E2-4108-BD82-777B9239585F}">
      <dgm:prSet/>
      <dgm:spPr/>
      <dgm:t>
        <a:bodyPr/>
        <a:lstStyle/>
        <a:p>
          <a:endParaRPr lang="en-GB"/>
        </a:p>
      </dgm:t>
    </dgm:pt>
    <dgm:pt modelId="{292705B3-4090-4E93-8434-F6436937F351}" type="sibTrans" cxnId="{8E5F6FF0-21E2-4108-BD82-777B9239585F}">
      <dgm:prSet/>
      <dgm:spPr/>
      <dgm:t>
        <a:bodyPr/>
        <a:lstStyle/>
        <a:p>
          <a:endParaRPr lang="en-GB"/>
        </a:p>
      </dgm:t>
    </dgm:pt>
    <dgm:pt modelId="{ED1B3959-BBD7-496B-8CA5-6A7719AE35C7}">
      <dgm:prSet/>
      <dgm:spPr/>
      <dgm:t>
        <a:bodyPr/>
        <a:lstStyle/>
        <a:p>
          <a:pPr>
            <a:buFont typeface="Symbol" panose="05050102010706020507" pitchFamily="18" charset="2"/>
            <a:buChar char=""/>
          </a:pPr>
          <a:r>
            <a:rPr lang="en-GB">
              <a:latin typeface="Times New Roman" panose="02020603050405020304" pitchFamily="18" charset="0"/>
              <a:cs typeface="Times New Roman" panose="02020603050405020304" pitchFamily="18" charset="0"/>
            </a:rPr>
            <a:t>Encourage companies to adopt sustainable practices and sustainability reporting</a:t>
          </a:r>
        </a:p>
      </dgm:t>
    </dgm:pt>
    <dgm:pt modelId="{7B7497FE-7F6E-42AB-B1C3-6E656A3D1F07}" type="parTrans" cxnId="{875C91FC-F850-444B-AF9D-2747CE3FB9A7}">
      <dgm:prSet/>
      <dgm:spPr/>
      <dgm:t>
        <a:bodyPr/>
        <a:lstStyle/>
        <a:p>
          <a:endParaRPr lang="en-GB"/>
        </a:p>
      </dgm:t>
    </dgm:pt>
    <dgm:pt modelId="{4DAE4642-771F-4A68-B1A6-EB1136019D8B}" type="sibTrans" cxnId="{875C91FC-F850-444B-AF9D-2747CE3FB9A7}">
      <dgm:prSet/>
      <dgm:spPr/>
      <dgm:t>
        <a:bodyPr/>
        <a:lstStyle/>
        <a:p>
          <a:endParaRPr lang="en-GB"/>
        </a:p>
      </dgm:t>
    </dgm:pt>
    <dgm:pt modelId="{9619D326-F79B-4F12-8156-4A190A1275A3}">
      <dgm:prSet/>
      <dgm:spPr/>
      <dgm:t>
        <a:bodyPr/>
        <a:lstStyle/>
        <a:p>
          <a:pPr>
            <a:buFont typeface="Symbol" panose="05050102010706020507" pitchFamily="18" charset="2"/>
            <a:buChar char=""/>
          </a:pPr>
          <a:r>
            <a:rPr lang="en-GB">
              <a:latin typeface="Times New Roman" panose="02020603050405020304" pitchFamily="18" charset="0"/>
              <a:cs typeface="Times New Roman" panose="02020603050405020304" pitchFamily="18" charset="0"/>
            </a:rPr>
            <a:t>Promote universal understanding of sustainable lifestyles</a:t>
          </a:r>
        </a:p>
      </dgm:t>
    </dgm:pt>
    <dgm:pt modelId="{4BA957B6-6380-4B4C-BED2-8E83F75AB4F5}" type="parTrans" cxnId="{1A5353CF-1564-4F5C-89B5-981D02D36918}">
      <dgm:prSet/>
      <dgm:spPr/>
      <dgm:t>
        <a:bodyPr/>
        <a:lstStyle/>
        <a:p>
          <a:endParaRPr lang="en-GB"/>
        </a:p>
      </dgm:t>
    </dgm:pt>
    <dgm:pt modelId="{12AE2709-F116-4F7C-A6A4-5146D128BF04}" type="sibTrans" cxnId="{1A5353CF-1564-4F5C-89B5-981D02D36918}">
      <dgm:prSet/>
      <dgm:spPr/>
      <dgm:t>
        <a:bodyPr/>
        <a:lstStyle/>
        <a:p>
          <a:endParaRPr lang="en-GB"/>
        </a:p>
      </dgm:t>
    </dgm:pt>
    <dgm:pt modelId="{62F9E3AC-091D-410B-800B-D215DCBD509B}">
      <dgm:prSet/>
      <dgm:spPr/>
      <dgm:t>
        <a:bodyPr/>
        <a:lstStyle/>
        <a:p>
          <a:pPr>
            <a:buFont typeface="Symbol" panose="05050102010706020507" pitchFamily="18" charset="2"/>
            <a:buChar char=""/>
          </a:pPr>
          <a:r>
            <a:rPr lang="en-GB">
              <a:latin typeface="Times New Roman" panose="02020603050405020304" pitchFamily="18" charset="0"/>
              <a:cs typeface="Times New Roman" panose="02020603050405020304" pitchFamily="18" charset="0"/>
            </a:rPr>
            <a:t>Support developing countries’ scientific and technological capacity for sustainable consumption and production</a:t>
          </a:r>
        </a:p>
      </dgm:t>
    </dgm:pt>
    <dgm:pt modelId="{9E9659B9-A064-4181-A03E-FD9BAFD076DD}" type="parTrans" cxnId="{C570DC61-F5BC-461D-928A-C162B0BEDA0A}">
      <dgm:prSet/>
      <dgm:spPr/>
      <dgm:t>
        <a:bodyPr/>
        <a:lstStyle/>
        <a:p>
          <a:endParaRPr lang="en-GB"/>
        </a:p>
      </dgm:t>
    </dgm:pt>
    <dgm:pt modelId="{2A5FBB44-6A17-4A2E-854D-788728BA2C96}" type="sibTrans" cxnId="{C570DC61-F5BC-461D-928A-C162B0BEDA0A}">
      <dgm:prSet/>
      <dgm:spPr/>
      <dgm:t>
        <a:bodyPr/>
        <a:lstStyle/>
        <a:p>
          <a:endParaRPr lang="en-GB"/>
        </a:p>
      </dgm:t>
    </dgm:pt>
    <dgm:pt modelId="{E8150E59-D942-46EB-BF9D-A3AADB92EDC2}">
      <dgm:prSet/>
      <dgm:spPr/>
      <dgm:t>
        <a:bodyPr/>
        <a:lstStyle/>
        <a:p>
          <a:pPr>
            <a:buFont typeface="Symbol" panose="05050102010706020507" pitchFamily="18" charset="2"/>
            <a:buChar char=""/>
          </a:pPr>
          <a:r>
            <a:rPr lang="en-GB">
              <a:latin typeface="Times New Roman" panose="02020603050405020304" pitchFamily="18" charset="0"/>
              <a:cs typeface="Times New Roman" panose="02020603050405020304" pitchFamily="18" charset="0"/>
            </a:rPr>
            <a:t>Remove market distortions that encourage wasteful consumption</a:t>
          </a:r>
        </a:p>
      </dgm:t>
    </dgm:pt>
    <dgm:pt modelId="{1412DE75-193F-45D7-89FF-E7DC72E640F6}" type="parTrans" cxnId="{90A0D1E0-8C70-46E9-A178-BF7C43091782}">
      <dgm:prSet/>
      <dgm:spPr/>
      <dgm:t>
        <a:bodyPr/>
        <a:lstStyle/>
        <a:p>
          <a:endParaRPr lang="en-GB"/>
        </a:p>
      </dgm:t>
    </dgm:pt>
    <dgm:pt modelId="{293B4EB2-6E12-4EA4-A145-1CB2B93224B7}" type="sibTrans" cxnId="{90A0D1E0-8C70-46E9-A178-BF7C43091782}">
      <dgm:prSet/>
      <dgm:spPr/>
      <dgm:t>
        <a:bodyPr/>
        <a:lstStyle/>
        <a:p>
          <a:endParaRPr lang="en-GB"/>
        </a:p>
      </dgm:t>
    </dgm:pt>
    <dgm:pt modelId="{3C826943-91EC-452D-960F-B174B4000DE8}" type="pres">
      <dgm:prSet presAssocID="{BB4B9462-037A-4B7E-A411-1861F1DB9A2A}" presName="linear" presStyleCnt="0">
        <dgm:presLayoutVars>
          <dgm:animLvl val="lvl"/>
          <dgm:resizeHandles val="exact"/>
        </dgm:presLayoutVars>
      </dgm:prSet>
      <dgm:spPr/>
    </dgm:pt>
    <dgm:pt modelId="{68D65E13-3220-42FA-80C5-908CB361E189}" type="pres">
      <dgm:prSet presAssocID="{8BCC9C09-3067-4A10-A1C4-17D4D104EEF0}" presName="parentText" presStyleLbl="node1" presStyleIdx="0" presStyleCnt="1">
        <dgm:presLayoutVars>
          <dgm:chMax val="0"/>
          <dgm:bulletEnabled val="1"/>
        </dgm:presLayoutVars>
      </dgm:prSet>
      <dgm:spPr/>
    </dgm:pt>
    <dgm:pt modelId="{12336AF5-6985-4B73-A7C8-41E0D967009B}" type="pres">
      <dgm:prSet presAssocID="{8BCC9C09-3067-4A10-A1C4-17D4D104EEF0}" presName="childText" presStyleLbl="revTx" presStyleIdx="0" presStyleCnt="1">
        <dgm:presLayoutVars>
          <dgm:bulletEnabled val="1"/>
        </dgm:presLayoutVars>
      </dgm:prSet>
      <dgm:spPr/>
    </dgm:pt>
  </dgm:ptLst>
  <dgm:cxnLst>
    <dgm:cxn modelId="{8B462E0A-5387-48FA-9B3E-E3208B9C690B}" type="presOf" srcId="{E8150E59-D942-46EB-BF9D-A3AADB92EDC2}" destId="{12336AF5-6985-4B73-A7C8-41E0D967009B}" srcOrd="0" destOrd="5" presId="urn:microsoft.com/office/officeart/2005/8/layout/vList2"/>
    <dgm:cxn modelId="{C570DC61-F5BC-461D-928A-C162B0BEDA0A}" srcId="{8BCC9C09-3067-4A10-A1C4-17D4D104EEF0}" destId="{62F9E3AC-091D-410B-800B-D215DCBD509B}" srcOrd="4" destOrd="0" parTransId="{9E9659B9-A064-4181-A03E-FD9BAFD076DD}" sibTransId="{2A5FBB44-6A17-4A2E-854D-788728BA2C96}"/>
    <dgm:cxn modelId="{67CAF863-BECE-4C99-B162-87A17796B93C}" type="presOf" srcId="{ED1B3959-BBD7-496B-8CA5-6A7719AE35C7}" destId="{12336AF5-6985-4B73-A7C8-41E0D967009B}" srcOrd="0" destOrd="2" presId="urn:microsoft.com/office/officeart/2005/8/layout/vList2"/>
    <dgm:cxn modelId="{5565244A-EF39-43A7-8367-92C262EBFC5A}" type="presOf" srcId="{421C7CE7-BA13-467C-9222-BB211CD926D2}" destId="{12336AF5-6985-4B73-A7C8-41E0D967009B}" srcOrd="0" destOrd="1" presId="urn:microsoft.com/office/officeart/2005/8/layout/vList2"/>
    <dgm:cxn modelId="{C13868B6-52F3-4EFE-BADA-D303BB0CF546}" type="presOf" srcId="{9619D326-F79B-4F12-8156-4A190A1275A3}" destId="{12336AF5-6985-4B73-A7C8-41E0D967009B}" srcOrd="0" destOrd="3" presId="urn:microsoft.com/office/officeart/2005/8/layout/vList2"/>
    <dgm:cxn modelId="{7C1BCDB9-BE7F-48C5-97B4-43CA3876FF2B}" type="presOf" srcId="{8BCC9C09-3067-4A10-A1C4-17D4D104EEF0}" destId="{68D65E13-3220-42FA-80C5-908CB361E189}" srcOrd="0" destOrd="0" presId="urn:microsoft.com/office/officeart/2005/8/layout/vList2"/>
    <dgm:cxn modelId="{671585BD-20E7-4692-A0CD-A9CB006291AD}" type="presOf" srcId="{3166E995-2681-45DF-B823-550CCB3F714D}" destId="{12336AF5-6985-4B73-A7C8-41E0D967009B}" srcOrd="0" destOrd="0" presId="urn:microsoft.com/office/officeart/2005/8/layout/vList2"/>
    <dgm:cxn modelId="{1A5353CF-1564-4F5C-89B5-981D02D36918}" srcId="{8BCC9C09-3067-4A10-A1C4-17D4D104EEF0}" destId="{9619D326-F79B-4F12-8156-4A190A1275A3}" srcOrd="3" destOrd="0" parTransId="{4BA957B6-6380-4B4C-BED2-8E83F75AB4F5}" sibTransId="{12AE2709-F116-4F7C-A6A4-5146D128BF04}"/>
    <dgm:cxn modelId="{90A0D1E0-8C70-46E9-A178-BF7C43091782}" srcId="{8BCC9C09-3067-4A10-A1C4-17D4D104EEF0}" destId="{E8150E59-D942-46EB-BF9D-A3AADB92EDC2}" srcOrd="5" destOrd="0" parTransId="{1412DE75-193F-45D7-89FF-E7DC72E640F6}" sibTransId="{293B4EB2-6E12-4EA4-A145-1CB2B93224B7}"/>
    <dgm:cxn modelId="{66EAAAE7-3EBC-44B1-91AF-7DC06CBB53C1}" type="presOf" srcId="{BB4B9462-037A-4B7E-A411-1861F1DB9A2A}" destId="{3C826943-91EC-452D-960F-B174B4000DE8}" srcOrd="0" destOrd="0" presId="urn:microsoft.com/office/officeart/2005/8/layout/vList2"/>
    <dgm:cxn modelId="{B64664E9-06DA-423D-A22C-FF353EDEAF97}" srcId="{8BCC9C09-3067-4A10-A1C4-17D4D104EEF0}" destId="{3166E995-2681-45DF-B823-550CCB3F714D}" srcOrd="0" destOrd="0" parTransId="{C546D8FA-8F7A-4020-9C13-BCAF9FFE02B1}" sibTransId="{C91F4278-C3E7-4DFC-9A12-A3EAC1279456}"/>
    <dgm:cxn modelId="{F28C35EB-EBB1-49BE-93F1-24F39790EDC8}" type="presOf" srcId="{62F9E3AC-091D-410B-800B-D215DCBD509B}" destId="{12336AF5-6985-4B73-A7C8-41E0D967009B}" srcOrd="0" destOrd="4" presId="urn:microsoft.com/office/officeart/2005/8/layout/vList2"/>
    <dgm:cxn modelId="{8E5F6FF0-21E2-4108-BD82-777B9239585F}" srcId="{8BCC9C09-3067-4A10-A1C4-17D4D104EEF0}" destId="{421C7CE7-BA13-467C-9222-BB211CD926D2}" srcOrd="1" destOrd="0" parTransId="{D79FBFDE-9994-4B30-B732-E2AEC9251943}" sibTransId="{292705B3-4090-4E93-8434-F6436937F351}"/>
    <dgm:cxn modelId="{4D746FFC-5603-4DB4-8C74-D405D13812C0}" srcId="{BB4B9462-037A-4B7E-A411-1861F1DB9A2A}" destId="{8BCC9C09-3067-4A10-A1C4-17D4D104EEF0}" srcOrd="0" destOrd="0" parTransId="{454F487E-DFA1-4E00-9907-47E52802FBEA}" sibTransId="{6360BE40-11E6-42C7-BD01-5493560572AB}"/>
    <dgm:cxn modelId="{875C91FC-F850-444B-AF9D-2747CE3FB9A7}" srcId="{8BCC9C09-3067-4A10-A1C4-17D4D104EEF0}" destId="{ED1B3959-BBD7-496B-8CA5-6A7719AE35C7}" srcOrd="2" destOrd="0" parTransId="{7B7497FE-7F6E-42AB-B1C3-6E656A3D1F07}" sibTransId="{4DAE4642-771F-4A68-B1A6-EB1136019D8B}"/>
    <dgm:cxn modelId="{4DB87C58-3DFD-46CE-9524-333327FEC337}" type="presParOf" srcId="{3C826943-91EC-452D-960F-B174B4000DE8}" destId="{68D65E13-3220-42FA-80C5-908CB361E189}" srcOrd="0" destOrd="0" presId="urn:microsoft.com/office/officeart/2005/8/layout/vList2"/>
    <dgm:cxn modelId="{DFB42531-0C7A-4DCC-BE27-AADE3D6085D3}" type="presParOf" srcId="{3C826943-91EC-452D-960F-B174B4000DE8}" destId="{12336AF5-6985-4B73-A7C8-41E0D967009B}" srcOrd="1" destOrd="0" presId="urn:microsoft.com/office/officeart/2005/8/layout/vList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7CB6BF7-7ECA-4350-9473-18AADE38A926}" type="doc">
      <dgm:prSet loTypeId="urn:microsoft.com/office/officeart/2005/8/layout/cycle7" loCatId="cycle" qsTypeId="urn:microsoft.com/office/officeart/2005/8/quickstyle/simple5" qsCatId="simple" csTypeId="urn:microsoft.com/office/officeart/2005/8/colors/colorful4" csCatId="colorful" phldr="1"/>
      <dgm:spPr/>
      <dgm:t>
        <a:bodyPr/>
        <a:lstStyle/>
        <a:p>
          <a:endParaRPr lang="en-GB"/>
        </a:p>
      </dgm:t>
    </dgm:pt>
    <dgm:pt modelId="{AF67517C-037E-4300-9F0D-FFB8B33469BC}">
      <dgm:prSet phldrT="[Text]"/>
      <dgm:spPr/>
      <dgm:t>
        <a:bodyPr/>
        <a:lstStyle/>
        <a:p>
          <a:r>
            <a:rPr lang="en-GB">
              <a:latin typeface="Arial" panose="020B0604020202020204" pitchFamily="34" charset="0"/>
              <a:cs typeface="Arial" panose="020B0604020202020204" pitchFamily="34" charset="0"/>
            </a:rPr>
            <a:t>Behaviour</a:t>
          </a:r>
        </a:p>
      </dgm:t>
    </dgm:pt>
    <dgm:pt modelId="{1ECB800E-5919-45AD-AC8B-AE2977A1F751}" type="parTrans" cxnId="{CE522BCA-31D4-4CBF-A2A3-19E40B2CDA3D}">
      <dgm:prSet/>
      <dgm:spPr/>
      <dgm:t>
        <a:bodyPr/>
        <a:lstStyle/>
        <a:p>
          <a:endParaRPr lang="en-GB"/>
        </a:p>
      </dgm:t>
    </dgm:pt>
    <dgm:pt modelId="{0C1FD99E-17FA-4677-B3CC-FADA5EAD5815}" type="sibTrans" cxnId="{CE522BCA-31D4-4CBF-A2A3-19E40B2CDA3D}">
      <dgm:prSet/>
      <dgm:spPr/>
      <dgm:t>
        <a:bodyPr/>
        <a:lstStyle/>
        <a:p>
          <a:endParaRPr lang="en-GB"/>
        </a:p>
      </dgm:t>
    </dgm:pt>
    <dgm:pt modelId="{13373F65-1031-45FF-85EB-51A4788EE340}">
      <dgm:prSet phldrT="[Text]"/>
      <dgm:spPr/>
      <dgm:t>
        <a:bodyPr/>
        <a:lstStyle/>
        <a:p>
          <a:r>
            <a:rPr lang="en-GB">
              <a:latin typeface="Arial" panose="020B0604020202020204" pitchFamily="34" charset="0"/>
              <a:cs typeface="Arial" panose="020B0604020202020204" pitchFamily="34" charset="0"/>
            </a:rPr>
            <a:t>Personal Factors</a:t>
          </a:r>
        </a:p>
      </dgm:t>
    </dgm:pt>
    <dgm:pt modelId="{CCC35914-682D-4544-BBD5-E59DFA6B06DE}" type="parTrans" cxnId="{61ED222B-416B-4F0A-8C4C-9240F0E5DB81}">
      <dgm:prSet/>
      <dgm:spPr/>
      <dgm:t>
        <a:bodyPr/>
        <a:lstStyle/>
        <a:p>
          <a:endParaRPr lang="en-GB"/>
        </a:p>
      </dgm:t>
    </dgm:pt>
    <dgm:pt modelId="{1B96AF1E-D2D1-4773-AC2E-7CCC89B88505}" type="sibTrans" cxnId="{61ED222B-416B-4F0A-8C4C-9240F0E5DB81}">
      <dgm:prSet/>
      <dgm:spPr/>
      <dgm:t>
        <a:bodyPr/>
        <a:lstStyle/>
        <a:p>
          <a:endParaRPr lang="en-GB"/>
        </a:p>
      </dgm:t>
    </dgm:pt>
    <dgm:pt modelId="{10554BE8-B525-4F58-8628-AB6E81A74A74}">
      <dgm:prSet phldrT="[Text]"/>
      <dgm:spPr/>
      <dgm:t>
        <a:bodyPr/>
        <a:lstStyle/>
        <a:p>
          <a:r>
            <a:rPr lang="en-GB">
              <a:latin typeface="Arial" panose="020B0604020202020204" pitchFamily="34" charset="0"/>
              <a:cs typeface="Arial" panose="020B0604020202020204" pitchFamily="34" charset="0"/>
            </a:rPr>
            <a:t>Growth</a:t>
          </a:r>
        </a:p>
      </dgm:t>
    </dgm:pt>
    <dgm:pt modelId="{7BEDBF9F-A642-46C7-8598-73D2D67DBD82}" type="parTrans" cxnId="{BAD32FAA-BE5B-424A-AB2E-0F7C31A922DF}">
      <dgm:prSet/>
      <dgm:spPr/>
      <dgm:t>
        <a:bodyPr/>
        <a:lstStyle/>
        <a:p>
          <a:endParaRPr lang="en-GB"/>
        </a:p>
      </dgm:t>
    </dgm:pt>
    <dgm:pt modelId="{83339F9B-2BAD-4EBE-93E8-826668E05AE0}" type="sibTrans" cxnId="{BAD32FAA-BE5B-424A-AB2E-0F7C31A922DF}">
      <dgm:prSet/>
      <dgm:spPr/>
      <dgm:t>
        <a:bodyPr/>
        <a:lstStyle/>
        <a:p>
          <a:endParaRPr lang="en-GB"/>
        </a:p>
      </dgm:t>
    </dgm:pt>
    <dgm:pt modelId="{7D594643-A099-423D-BA28-AEE86186D3EE}" type="pres">
      <dgm:prSet presAssocID="{57CB6BF7-7ECA-4350-9473-18AADE38A926}" presName="Name0" presStyleCnt="0">
        <dgm:presLayoutVars>
          <dgm:dir/>
          <dgm:resizeHandles val="exact"/>
        </dgm:presLayoutVars>
      </dgm:prSet>
      <dgm:spPr/>
    </dgm:pt>
    <dgm:pt modelId="{790FFEDD-5E14-4AFC-88A7-3CF8FF250C66}" type="pres">
      <dgm:prSet presAssocID="{AF67517C-037E-4300-9F0D-FFB8B33469BC}" presName="node" presStyleLbl="node1" presStyleIdx="0" presStyleCnt="3">
        <dgm:presLayoutVars>
          <dgm:bulletEnabled val="1"/>
        </dgm:presLayoutVars>
      </dgm:prSet>
      <dgm:spPr/>
    </dgm:pt>
    <dgm:pt modelId="{E7F87260-D79A-465B-B21B-74F08C5CEA7F}" type="pres">
      <dgm:prSet presAssocID="{0C1FD99E-17FA-4677-B3CC-FADA5EAD5815}" presName="sibTrans" presStyleLbl="sibTrans2D1" presStyleIdx="0" presStyleCnt="3"/>
      <dgm:spPr/>
    </dgm:pt>
    <dgm:pt modelId="{7BC2833B-D74C-4984-B6A1-F7561ACEDEB4}" type="pres">
      <dgm:prSet presAssocID="{0C1FD99E-17FA-4677-B3CC-FADA5EAD5815}" presName="connectorText" presStyleLbl="sibTrans2D1" presStyleIdx="0" presStyleCnt="3"/>
      <dgm:spPr/>
    </dgm:pt>
    <dgm:pt modelId="{CEC8EF38-A081-4710-9512-44FC9023A1B1}" type="pres">
      <dgm:prSet presAssocID="{13373F65-1031-45FF-85EB-51A4788EE340}" presName="node" presStyleLbl="node1" presStyleIdx="1" presStyleCnt="3">
        <dgm:presLayoutVars>
          <dgm:bulletEnabled val="1"/>
        </dgm:presLayoutVars>
      </dgm:prSet>
      <dgm:spPr/>
    </dgm:pt>
    <dgm:pt modelId="{57A3410F-09D0-42E2-BECE-B50265C950FC}" type="pres">
      <dgm:prSet presAssocID="{1B96AF1E-D2D1-4773-AC2E-7CCC89B88505}" presName="sibTrans" presStyleLbl="sibTrans2D1" presStyleIdx="1" presStyleCnt="3"/>
      <dgm:spPr/>
    </dgm:pt>
    <dgm:pt modelId="{4FFD1B50-2881-406A-89B8-24AC481411A3}" type="pres">
      <dgm:prSet presAssocID="{1B96AF1E-D2D1-4773-AC2E-7CCC89B88505}" presName="connectorText" presStyleLbl="sibTrans2D1" presStyleIdx="1" presStyleCnt="3"/>
      <dgm:spPr/>
    </dgm:pt>
    <dgm:pt modelId="{BF900DCE-E964-476F-93AA-0778E48E6597}" type="pres">
      <dgm:prSet presAssocID="{10554BE8-B525-4F58-8628-AB6E81A74A74}" presName="node" presStyleLbl="node1" presStyleIdx="2" presStyleCnt="3">
        <dgm:presLayoutVars>
          <dgm:bulletEnabled val="1"/>
        </dgm:presLayoutVars>
      </dgm:prSet>
      <dgm:spPr/>
    </dgm:pt>
    <dgm:pt modelId="{D9300F2C-3A8E-4B66-B517-919275D38132}" type="pres">
      <dgm:prSet presAssocID="{83339F9B-2BAD-4EBE-93E8-826668E05AE0}" presName="sibTrans" presStyleLbl="sibTrans2D1" presStyleIdx="2" presStyleCnt="3"/>
      <dgm:spPr/>
    </dgm:pt>
    <dgm:pt modelId="{7E403927-23B5-417B-95AB-0DBD9BD3AD4A}" type="pres">
      <dgm:prSet presAssocID="{83339F9B-2BAD-4EBE-93E8-826668E05AE0}" presName="connectorText" presStyleLbl="sibTrans2D1" presStyleIdx="2" presStyleCnt="3"/>
      <dgm:spPr/>
    </dgm:pt>
  </dgm:ptLst>
  <dgm:cxnLst>
    <dgm:cxn modelId="{FFE4C800-BE70-4656-964B-096A82BB0544}" type="presOf" srcId="{1B96AF1E-D2D1-4773-AC2E-7CCC89B88505}" destId="{4FFD1B50-2881-406A-89B8-24AC481411A3}" srcOrd="1" destOrd="0" presId="urn:microsoft.com/office/officeart/2005/8/layout/cycle7"/>
    <dgm:cxn modelId="{5032F70A-A3CA-40FD-A299-1B8D92B42FB6}" type="presOf" srcId="{13373F65-1031-45FF-85EB-51A4788EE340}" destId="{CEC8EF38-A081-4710-9512-44FC9023A1B1}" srcOrd="0" destOrd="0" presId="urn:microsoft.com/office/officeart/2005/8/layout/cycle7"/>
    <dgm:cxn modelId="{ECF6BA19-3B4D-433A-8C88-D3CBF10804B5}" type="presOf" srcId="{57CB6BF7-7ECA-4350-9473-18AADE38A926}" destId="{7D594643-A099-423D-BA28-AEE86186D3EE}" srcOrd="0" destOrd="0" presId="urn:microsoft.com/office/officeart/2005/8/layout/cycle7"/>
    <dgm:cxn modelId="{B97C7324-8988-4E89-8422-3AF0ECE70FA2}" type="presOf" srcId="{1B96AF1E-D2D1-4773-AC2E-7CCC89B88505}" destId="{57A3410F-09D0-42E2-BECE-B50265C950FC}" srcOrd="0" destOrd="0" presId="urn:microsoft.com/office/officeart/2005/8/layout/cycle7"/>
    <dgm:cxn modelId="{61ED222B-416B-4F0A-8C4C-9240F0E5DB81}" srcId="{57CB6BF7-7ECA-4350-9473-18AADE38A926}" destId="{13373F65-1031-45FF-85EB-51A4788EE340}" srcOrd="1" destOrd="0" parTransId="{CCC35914-682D-4544-BBD5-E59DFA6B06DE}" sibTransId="{1B96AF1E-D2D1-4773-AC2E-7CCC89B88505}"/>
    <dgm:cxn modelId="{83842B2B-4DF6-4B8E-91C6-0A951D18A61B}" type="presOf" srcId="{AF67517C-037E-4300-9F0D-FFB8B33469BC}" destId="{790FFEDD-5E14-4AFC-88A7-3CF8FF250C66}" srcOrd="0" destOrd="0" presId="urn:microsoft.com/office/officeart/2005/8/layout/cycle7"/>
    <dgm:cxn modelId="{9B493C72-3593-4E97-9470-831A0E688E76}" type="presOf" srcId="{83339F9B-2BAD-4EBE-93E8-826668E05AE0}" destId="{7E403927-23B5-417B-95AB-0DBD9BD3AD4A}" srcOrd="1" destOrd="0" presId="urn:microsoft.com/office/officeart/2005/8/layout/cycle7"/>
    <dgm:cxn modelId="{36F8819B-6B8B-417D-98AD-8AADDE80D507}" type="presOf" srcId="{0C1FD99E-17FA-4677-B3CC-FADA5EAD5815}" destId="{7BC2833B-D74C-4984-B6A1-F7561ACEDEB4}" srcOrd="1" destOrd="0" presId="urn:microsoft.com/office/officeart/2005/8/layout/cycle7"/>
    <dgm:cxn modelId="{BAD32FAA-BE5B-424A-AB2E-0F7C31A922DF}" srcId="{57CB6BF7-7ECA-4350-9473-18AADE38A926}" destId="{10554BE8-B525-4F58-8628-AB6E81A74A74}" srcOrd="2" destOrd="0" parTransId="{7BEDBF9F-A642-46C7-8598-73D2D67DBD82}" sibTransId="{83339F9B-2BAD-4EBE-93E8-826668E05AE0}"/>
    <dgm:cxn modelId="{FBF906C3-DBB7-485B-AC58-8175ED87730D}" type="presOf" srcId="{0C1FD99E-17FA-4677-B3CC-FADA5EAD5815}" destId="{E7F87260-D79A-465B-B21B-74F08C5CEA7F}" srcOrd="0" destOrd="0" presId="urn:microsoft.com/office/officeart/2005/8/layout/cycle7"/>
    <dgm:cxn modelId="{CE522BCA-31D4-4CBF-A2A3-19E40B2CDA3D}" srcId="{57CB6BF7-7ECA-4350-9473-18AADE38A926}" destId="{AF67517C-037E-4300-9F0D-FFB8B33469BC}" srcOrd="0" destOrd="0" parTransId="{1ECB800E-5919-45AD-AC8B-AE2977A1F751}" sibTransId="{0C1FD99E-17FA-4677-B3CC-FADA5EAD5815}"/>
    <dgm:cxn modelId="{A45D7DD6-A781-4A05-9512-AC10701D5E2B}" type="presOf" srcId="{83339F9B-2BAD-4EBE-93E8-826668E05AE0}" destId="{D9300F2C-3A8E-4B66-B517-919275D38132}" srcOrd="0" destOrd="0" presId="urn:microsoft.com/office/officeart/2005/8/layout/cycle7"/>
    <dgm:cxn modelId="{B8B54DF4-C6C7-4E86-AA3A-E38AC145FCC9}" type="presOf" srcId="{10554BE8-B525-4F58-8628-AB6E81A74A74}" destId="{BF900DCE-E964-476F-93AA-0778E48E6597}" srcOrd="0" destOrd="0" presId="urn:microsoft.com/office/officeart/2005/8/layout/cycle7"/>
    <dgm:cxn modelId="{8368F0D2-A0B4-4121-BBE8-98E30EF7CCCC}" type="presParOf" srcId="{7D594643-A099-423D-BA28-AEE86186D3EE}" destId="{790FFEDD-5E14-4AFC-88A7-3CF8FF250C66}" srcOrd="0" destOrd="0" presId="urn:microsoft.com/office/officeart/2005/8/layout/cycle7"/>
    <dgm:cxn modelId="{65FAA05F-DC38-41F7-92F1-DCEABEAA91B3}" type="presParOf" srcId="{7D594643-A099-423D-BA28-AEE86186D3EE}" destId="{E7F87260-D79A-465B-B21B-74F08C5CEA7F}" srcOrd="1" destOrd="0" presId="urn:microsoft.com/office/officeart/2005/8/layout/cycle7"/>
    <dgm:cxn modelId="{6B48497E-016B-481A-9F6F-6837FCBADB54}" type="presParOf" srcId="{E7F87260-D79A-465B-B21B-74F08C5CEA7F}" destId="{7BC2833B-D74C-4984-B6A1-F7561ACEDEB4}" srcOrd="0" destOrd="0" presId="urn:microsoft.com/office/officeart/2005/8/layout/cycle7"/>
    <dgm:cxn modelId="{B154121C-B61E-4554-82E9-5D1A58EE63C6}" type="presParOf" srcId="{7D594643-A099-423D-BA28-AEE86186D3EE}" destId="{CEC8EF38-A081-4710-9512-44FC9023A1B1}" srcOrd="2" destOrd="0" presId="urn:microsoft.com/office/officeart/2005/8/layout/cycle7"/>
    <dgm:cxn modelId="{89852B0A-DB89-44A2-96D4-EC9096A2E572}" type="presParOf" srcId="{7D594643-A099-423D-BA28-AEE86186D3EE}" destId="{57A3410F-09D0-42E2-BECE-B50265C950FC}" srcOrd="3" destOrd="0" presId="urn:microsoft.com/office/officeart/2005/8/layout/cycle7"/>
    <dgm:cxn modelId="{3E910FE9-E00E-4863-B04C-74C0DE4BBA46}" type="presParOf" srcId="{57A3410F-09D0-42E2-BECE-B50265C950FC}" destId="{4FFD1B50-2881-406A-89B8-24AC481411A3}" srcOrd="0" destOrd="0" presId="urn:microsoft.com/office/officeart/2005/8/layout/cycle7"/>
    <dgm:cxn modelId="{CCAC7CAB-E144-407C-9B76-67541ADD89CC}" type="presParOf" srcId="{7D594643-A099-423D-BA28-AEE86186D3EE}" destId="{BF900DCE-E964-476F-93AA-0778E48E6597}" srcOrd="4" destOrd="0" presId="urn:microsoft.com/office/officeart/2005/8/layout/cycle7"/>
    <dgm:cxn modelId="{BC41021E-DA88-4E79-8E54-A16F0F0CA3EB}" type="presParOf" srcId="{7D594643-A099-423D-BA28-AEE86186D3EE}" destId="{D9300F2C-3A8E-4B66-B517-919275D38132}" srcOrd="5" destOrd="0" presId="urn:microsoft.com/office/officeart/2005/8/layout/cycle7"/>
    <dgm:cxn modelId="{34C0646A-0B30-425F-A0AD-31B6031FDFBA}" type="presParOf" srcId="{D9300F2C-3A8E-4B66-B517-919275D38132}" destId="{7E403927-23B5-417B-95AB-0DBD9BD3AD4A}" srcOrd="0" destOrd="0" presId="urn:microsoft.com/office/officeart/2005/8/layout/cycle7"/>
  </dgm:cxnLst>
  <dgm:bg/>
  <dgm:whole>
    <a:ln>
      <a:noFill/>
    </a:ln>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D65E13-3220-42FA-80C5-908CB361E189}">
      <dsp:nvSpPr>
        <dsp:cNvPr id="0" name=""/>
        <dsp:cNvSpPr/>
      </dsp:nvSpPr>
      <dsp:spPr>
        <a:xfrm>
          <a:off x="0" y="67679"/>
          <a:ext cx="5486400" cy="5148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l" defTabSz="977900">
            <a:lnSpc>
              <a:spcPct val="90000"/>
            </a:lnSpc>
            <a:spcBef>
              <a:spcPct val="0"/>
            </a:spcBef>
            <a:spcAft>
              <a:spcPct val="35000"/>
            </a:spcAft>
            <a:buNone/>
          </a:pPr>
          <a:r>
            <a:rPr lang="en-GB" sz="2200" kern="1200">
              <a:latin typeface="Times New Roman" panose="02020603050405020304" pitchFamily="18" charset="0"/>
              <a:cs typeface="Times New Roman" panose="02020603050405020304" pitchFamily="18" charset="0"/>
            </a:rPr>
            <a:t>SDG 12 Objectives</a:t>
          </a:r>
        </a:p>
      </dsp:txBody>
      <dsp:txXfrm>
        <a:off x="25130" y="92809"/>
        <a:ext cx="5436140" cy="464540"/>
      </dsp:txXfrm>
    </dsp:sp>
    <dsp:sp modelId="{12336AF5-6985-4B73-A7C8-41E0D967009B}">
      <dsp:nvSpPr>
        <dsp:cNvPr id="0" name=""/>
        <dsp:cNvSpPr/>
      </dsp:nvSpPr>
      <dsp:spPr>
        <a:xfrm>
          <a:off x="0" y="582480"/>
          <a:ext cx="5486400" cy="25502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27940" rIns="156464" bIns="27940" numCol="1" spcCol="1270" anchor="t" anchorCtr="0">
          <a:noAutofit/>
        </a:bodyPr>
        <a:lstStyle/>
        <a:p>
          <a:pPr marL="171450" lvl="1" indent="-171450" algn="l" defTabSz="755650">
            <a:lnSpc>
              <a:spcPct val="90000"/>
            </a:lnSpc>
            <a:spcBef>
              <a:spcPct val="0"/>
            </a:spcBef>
            <a:spcAft>
              <a:spcPct val="20000"/>
            </a:spcAft>
            <a:buFont typeface="Symbol" panose="05050102010706020507" pitchFamily="18" charset="2"/>
            <a:buChar char=""/>
          </a:pPr>
          <a:r>
            <a:rPr lang="en-GB" sz="1700" kern="1200">
              <a:latin typeface="Times New Roman" panose="02020603050405020304" pitchFamily="18" charset="0"/>
              <a:cs typeface="Times New Roman" panose="02020603050405020304" pitchFamily="18" charset="0"/>
            </a:rPr>
            <a:t>Sustainable management and use of natural resources</a:t>
          </a:r>
        </a:p>
        <a:p>
          <a:pPr marL="171450" lvl="1" indent="-171450" algn="l" defTabSz="755650">
            <a:lnSpc>
              <a:spcPct val="90000"/>
            </a:lnSpc>
            <a:spcBef>
              <a:spcPct val="0"/>
            </a:spcBef>
            <a:spcAft>
              <a:spcPct val="20000"/>
            </a:spcAft>
            <a:buFont typeface="Symbol" panose="05050102010706020507" pitchFamily="18" charset="2"/>
            <a:buChar char=""/>
          </a:pPr>
          <a:r>
            <a:rPr lang="en-GB" sz="1700" kern="1200">
              <a:latin typeface="Times New Roman" panose="02020603050405020304" pitchFamily="18" charset="0"/>
              <a:cs typeface="Times New Roman" panose="02020603050405020304" pitchFamily="18" charset="0"/>
            </a:rPr>
            <a:t>Responsible management of chemicals and waste</a:t>
          </a:r>
        </a:p>
        <a:p>
          <a:pPr marL="171450" lvl="1" indent="-171450" algn="l" defTabSz="755650">
            <a:lnSpc>
              <a:spcPct val="90000"/>
            </a:lnSpc>
            <a:spcBef>
              <a:spcPct val="0"/>
            </a:spcBef>
            <a:spcAft>
              <a:spcPct val="20000"/>
            </a:spcAft>
            <a:buFont typeface="Symbol" panose="05050102010706020507" pitchFamily="18" charset="2"/>
            <a:buChar char=""/>
          </a:pPr>
          <a:r>
            <a:rPr lang="en-GB" sz="1700" kern="1200">
              <a:latin typeface="Times New Roman" panose="02020603050405020304" pitchFamily="18" charset="0"/>
              <a:cs typeface="Times New Roman" panose="02020603050405020304" pitchFamily="18" charset="0"/>
            </a:rPr>
            <a:t>Encourage companies to adopt sustainable practices and sustainability reporting</a:t>
          </a:r>
        </a:p>
        <a:p>
          <a:pPr marL="171450" lvl="1" indent="-171450" algn="l" defTabSz="755650">
            <a:lnSpc>
              <a:spcPct val="90000"/>
            </a:lnSpc>
            <a:spcBef>
              <a:spcPct val="0"/>
            </a:spcBef>
            <a:spcAft>
              <a:spcPct val="20000"/>
            </a:spcAft>
            <a:buFont typeface="Symbol" panose="05050102010706020507" pitchFamily="18" charset="2"/>
            <a:buChar char=""/>
          </a:pPr>
          <a:r>
            <a:rPr lang="en-GB" sz="1700" kern="1200">
              <a:latin typeface="Times New Roman" panose="02020603050405020304" pitchFamily="18" charset="0"/>
              <a:cs typeface="Times New Roman" panose="02020603050405020304" pitchFamily="18" charset="0"/>
            </a:rPr>
            <a:t>Promote universal understanding of sustainable lifestyles</a:t>
          </a:r>
        </a:p>
        <a:p>
          <a:pPr marL="171450" lvl="1" indent="-171450" algn="l" defTabSz="755650">
            <a:lnSpc>
              <a:spcPct val="90000"/>
            </a:lnSpc>
            <a:spcBef>
              <a:spcPct val="0"/>
            </a:spcBef>
            <a:spcAft>
              <a:spcPct val="20000"/>
            </a:spcAft>
            <a:buFont typeface="Symbol" panose="05050102010706020507" pitchFamily="18" charset="2"/>
            <a:buChar char=""/>
          </a:pPr>
          <a:r>
            <a:rPr lang="en-GB" sz="1700" kern="1200">
              <a:latin typeface="Times New Roman" panose="02020603050405020304" pitchFamily="18" charset="0"/>
              <a:cs typeface="Times New Roman" panose="02020603050405020304" pitchFamily="18" charset="0"/>
            </a:rPr>
            <a:t>Support developing countries’ scientific and technological capacity for sustainable consumption and production</a:t>
          </a:r>
        </a:p>
        <a:p>
          <a:pPr marL="171450" lvl="1" indent="-171450" algn="l" defTabSz="755650">
            <a:lnSpc>
              <a:spcPct val="90000"/>
            </a:lnSpc>
            <a:spcBef>
              <a:spcPct val="0"/>
            </a:spcBef>
            <a:spcAft>
              <a:spcPct val="20000"/>
            </a:spcAft>
            <a:buFont typeface="Symbol" panose="05050102010706020507" pitchFamily="18" charset="2"/>
            <a:buChar char=""/>
          </a:pPr>
          <a:r>
            <a:rPr lang="en-GB" sz="1700" kern="1200">
              <a:latin typeface="Times New Roman" panose="02020603050405020304" pitchFamily="18" charset="0"/>
              <a:cs typeface="Times New Roman" panose="02020603050405020304" pitchFamily="18" charset="0"/>
            </a:rPr>
            <a:t>Remove market distortions that encourage wasteful consumption</a:t>
          </a:r>
        </a:p>
      </dsp:txBody>
      <dsp:txXfrm>
        <a:off x="0" y="582480"/>
        <a:ext cx="5486400" cy="25502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0FFEDD-5E14-4AFC-88A7-3CF8FF250C66}">
      <dsp:nvSpPr>
        <dsp:cNvPr id="0" name=""/>
        <dsp:cNvSpPr/>
      </dsp:nvSpPr>
      <dsp:spPr>
        <a:xfrm>
          <a:off x="1914078" y="654"/>
          <a:ext cx="1658242" cy="82912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latin typeface="Arial" panose="020B0604020202020204" pitchFamily="34" charset="0"/>
              <a:cs typeface="Arial" panose="020B0604020202020204" pitchFamily="34" charset="0"/>
            </a:rPr>
            <a:t>Behaviour</a:t>
          </a:r>
        </a:p>
      </dsp:txBody>
      <dsp:txXfrm>
        <a:off x="1938362" y="24938"/>
        <a:ext cx="1609674" cy="780553"/>
      </dsp:txXfrm>
    </dsp:sp>
    <dsp:sp modelId="{E7F87260-D79A-465B-B21B-74F08C5CEA7F}">
      <dsp:nvSpPr>
        <dsp:cNvPr id="0" name=""/>
        <dsp:cNvSpPr/>
      </dsp:nvSpPr>
      <dsp:spPr>
        <a:xfrm rot="3600000">
          <a:off x="2996006" y="1455103"/>
          <a:ext cx="862689" cy="290192"/>
        </a:xfrm>
        <a:prstGeom prst="lef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083064" y="1513141"/>
        <a:ext cx="688573" cy="174116"/>
      </dsp:txXfrm>
    </dsp:sp>
    <dsp:sp modelId="{CEC8EF38-A081-4710-9512-44FC9023A1B1}">
      <dsp:nvSpPr>
        <dsp:cNvPr id="0" name=""/>
        <dsp:cNvSpPr/>
      </dsp:nvSpPr>
      <dsp:spPr>
        <a:xfrm>
          <a:off x="3282380" y="2370623"/>
          <a:ext cx="1658242" cy="829121"/>
        </a:xfrm>
        <a:prstGeom prst="roundRect">
          <a:avLst>
            <a:gd name="adj" fmla="val 1000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latin typeface="Arial" panose="020B0604020202020204" pitchFamily="34" charset="0"/>
              <a:cs typeface="Arial" panose="020B0604020202020204" pitchFamily="34" charset="0"/>
            </a:rPr>
            <a:t>Personal Factors</a:t>
          </a:r>
        </a:p>
      </dsp:txBody>
      <dsp:txXfrm>
        <a:off x="3306664" y="2394907"/>
        <a:ext cx="1609674" cy="780553"/>
      </dsp:txXfrm>
    </dsp:sp>
    <dsp:sp modelId="{57A3410F-09D0-42E2-BECE-B50265C950FC}">
      <dsp:nvSpPr>
        <dsp:cNvPr id="0" name=""/>
        <dsp:cNvSpPr/>
      </dsp:nvSpPr>
      <dsp:spPr>
        <a:xfrm rot="10800000">
          <a:off x="2311855" y="2640088"/>
          <a:ext cx="862689" cy="290192"/>
        </a:xfrm>
        <a:prstGeom prst="leftRightArrow">
          <a:avLst>
            <a:gd name="adj1" fmla="val 60000"/>
            <a:gd name="adj2" fmla="val 5000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398913" y="2698126"/>
        <a:ext cx="688573" cy="174116"/>
      </dsp:txXfrm>
    </dsp:sp>
    <dsp:sp modelId="{BF900DCE-E964-476F-93AA-0778E48E6597}">
      <dsp:nvSpPr>
        <dsp:cNvPr id="0" name=""/>
        <dsp:cNvSpPr/>
      </dsp:nvSpPr>
      <dsp:spPr>
        <a:xfrm>
          <a:off x="545776" y="2370623"/>
          <a:ext cx="1658242" cy="829121"/>
        </a:xfrm>
        <a:prstGeom prst="roundRect">
          <a:avLst>
            <a:gd name="adj" fmla="val 1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latin typeface="Arial" panose="020B0604020202020204" pitchFamily="34" charset="0"/>
              <a:cs typeface="Arial" panose="020B0604020202020204" pitchFamily="34" charset="0"/>
            </a:rPr>
            <a:t>Growth</a:t>
          </a:r>
        </a:p>
      </dsp:txBody>
      <dsp:txXfrm>
        <a:off x="570060" y="2394907"/>
        <a:ext cx="1609674" cy="780553"/>
      </dsp:txXfrm>
    </dsp:sp>
    <dsp:sp modelId="{D9300F2C-3A8E-4B66-B517-919275D38132}">
      <dsp:nvSpPr>
        <dsp:cNvPr id="0" name=""/>
        <dsp:cNvSpPr/>
      </dsp:nvSpPr>
      <dsp:spPr>
        <a:xfrm rot="18000000">
          <a:off x="1627704" y="1455103"/>
          <a:ext cx="862689" cy="290192"/>
        </a:xfrm>
        <a:prstGeom prst="leftRightArrow">
          <a:avLst>
            <a:gd name="adj1" fmla="val 60000"/>
            <a:gd name="adj2" fmla="val 5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714762" y="1513141"/>
        <a:ext cx="688573" cy="174116"/>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52176-9B87-4709-96F2-0C1BC51EB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3720</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Asteria Joseph Nyamhanga Wilson (2311121)</dc:creator>
  <cp:keywords/>
  <dc:description/>
  <cp:lastModifiedBy>Asteria Joseph Nyamhanga Wilson (2311121)</cp:lastModifiedBy>
  <cp:revision>2</cp:revision>
  <dcterms:created xsi:type="dcterms:W3CDTF">2026-07-17T18:50:00Z</dcterms:created>
  <dcterms:modified xsi:type="dcterms:W3CDTF">2026-07-17T18:50:00Z</dcterms:modified>
</cp:coreProperties>
</file>