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F71A21" w14:textId="16DFF448" w:rsidR="00727516" w:rsidRPr="00D57417" w:rsidRDefault="00D57417" w:rsidP="00D57417">
      <w:pPr>
        <w:spacing w:line="278" w:lineRule="auto"/>
        <w:jc w:val="center"/>
        <w:rPr>
          <w:b/>
          <w:bCs/>
          <w:i/>
          <w:iCs/>
        </w:rPr>
      </w:pPr>
      <w:r w:rsidRPr="00D57417">
        <w:rPr>
          <w:b/>
          <w:bCs/>
          <w:i/>
          <w:iCs/>
          <w:sz w:val="48"/>
          <w:szCs w:val="40"/>
        </w:rPr>
        <w:t>NatureGreen Integrated Information Security Governance Framework</w:t>
      </w:r>
      <w:r w:rsidR="00727516" w:rsidRPr="00D57417">
        <w:rPr>
          <w:b/>
          <w:bCs/>
          <w:i/>
          <w:iCs/>
        </w:rPr>
        <w:br w:type="page"/>
      </w:r>
    </w:p>
    <w:p w14:paraId="64A6EB82" w14:textId="77777777" w:rsidR="00DE4CD7" w:rsidRDefault="00B854B6" w:rsidP="00B854B6">
      <w:pPr>
        <w:pStyle w:val="Heading1"/>
      </w:pPr>
      <w:bookmarkStart w:id="0" w:name="_Toc214999078"/>
      <w:r>
        <w:lastRenderedPageBreak/>
        <w:t>Abstract</w:t>
      </w:r>
      <w:bookmarkEnd w:id="0"/>
    </w:p>
    <w:p w14:paraId="48F6DD8D" w14:textId="2E068854" w:rsidR="00B854B6" w:rsidRDefault="00DE4CD7" w:rsidP="00DE4CD7">
      <w:r w:rsidRPr="00DE4CD7">
        <w:t xml:space="preserve">FullerHealth is a multinational brand of healthy living, which uses cloud based, wireless and BYOD access, however at present, works without seamless security policies or governance exposing staff, customer and intellectual property information to high risk. This report will carry out tests of the available resources in place on the structuring of security frameworks, such as ISO 27001, ITIL and other supplementary frameworks, and generalises the framework to be used in crafting a custom information security governance framework, in the context of NatureGreen. The suggested strategy will establish a well-defined governance structure, risk management protocol, policy framework, protection and continuity protocol, and an implementation dynamic roadmap that will back the alignment of ISO 27001 wherever necessary. Such-like recommendations focus on executive sponsorship, prioritisation through risk, constant monitoring and recalibration of controls and policies based on changes in threats, technologies and regulations, and display future improvement directions using AI directed detection and automated response to enhance the resiliency at scale. </w:t>
      </w:r>
      <w:r w:rsidR="00B854B6">
        <w:br w:type="page"/>
      </w:r>
    </w:p>
    <w:sdt>
      <w:sdtPr>
        <w:id w:val="-1620142796"/>
        <w:docPartObj>
          <w:docPartGallery w:val="Table of Contents"/>
          <w:docPartUnique/>
        </w:docPartObj>
      </w:sdtPr>
      <w:sdtEndPr>
        <w:rPr>
          <w:rFonts w:ascii="Times New Roman" w:eastAsiaTheme="minorHAnsi" w:hAnsi="Times New Roman" w:cstheme="minorBidi"/>
          <w:b/>
          <w:bCs/>
          <w:color w:val="auto"/>
          <w:kern w:val="2"/>
          <w:sz w:val="24"/>
          <w:szCs w:val="21"/>
          <w:lang w:eastAsia="en-US"/>
          <w14:ligatures w14:val="standardContextual"/>
        </w:rPr>
      </w:sdtEndPr>
      <w:sdtContent>
        <w:p w14:paraId="14AA8EE5" w14:textId="5EB70D44" w:rsidR="00BC4EA3" w:rsidRPr="00BC4EA3" w:rsidRDefault="00BC4EA3">
          <w:pPr>
            <w:pStyle w:val="TOCHeading"/>
            <w:rPr>
              <w:rFonts w:ascii="Times New Roman" w:hAnsi="Times New Roman" w:cs="Times New Roman"/>
              <w:b/>
              <w:bCs/>
              <w:color w:val="auto"/>
            </w:rPr>
          </w:pPr>
          <w:r w:rsidRPr="00BC4EA3">
            <w:rPr>
              <w:rFonts w:ascii="Times New Roman" w:hAnsi="Times New Roman" w:cs="Times New Roman"/>
              <w:b/>
              <w:bCs/>
              <w:color w:val="auto"/>
            </w:rPr>
            <w:t>Table of Contents</w:t>
          </w:r>
        </w:p>
        <w:p w14:paraId="0F7D1161" w14:textId="74043D67" w:rsidR="00954CF2" w:rsidRDefault="00BC4EA3">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14999078" w:history="1">
            <w:r w:rsidR="00954CF2" w:rsidRPr="00385C64">
              <w:rPr>
                <w:rStyle w:val="Hyperlink"/>
                <w:noProof/>
              </w:rPr>
              <w:t>Abstract</w:t>
            </w:r>
            <w:r w:rsidR="00954CF2">
              <w:rPr>
                <w:noProof/>
                <w:webHidden/>
              </w:rPr>
              <w:tab/>
            </w:r>
            <w:r w:rsidR="00954CF2">
              <w:rPr>
                <w:noProof/>
                <w:webHidden/>
              </w:rPr>
              <w:fldChar w:fldCharType="begin"/>
            </w:r>
            <w:r w:rsidR="00954CF2">
              <w:rPr>
                <w:noProof/>
                <w:webHidden/>
              </w:rPr>
              <w:instrText xml:space="preserve"> PAGEREF _Toc214999078 \h </w:instrText>
            </w:r>
            <w:r w:rsidR="00954CF2">
              <w:rPr>
                <w:noProof/>
                <w:webHidden/>
              </w:rPr>
            </w:r>
            <w:r w:rsidR="00954CF2">
              <w:rPr>
                <w:noProof/>
                <w:webHidden/>
              </w:rPr>
              <w:fldChar w:fldCharType="separate"/>
            </w:r>
            <w:r w:rsidR="00954CF2">
              <w:rPr>
                <w:noProof/>
                <w:webHidden/>
              </w:rPr>
              <w:t>2</w:t>
            </w:r>
            <w:r w:rsidR="00954CF2">
              <w:rPr>
                <w:noProof/>
                <w:webHidden/>
              </w:rPr>
              <w:fldChar w:fldCharType="end"/>
            </w:r>
          </w:hyperlink>
        </w:p>
        <w:p w14:paraId="4C106EF5" w14:textId="6572DE69" w:rsidR="00954CF2" w:rsidRDefault="00954CF2">
          <w:pPr>
            <w:pStyle w:val="TOC1"/>
            <w:tabs>
              <w:tab w:val="right" w:leader="dot" w:pos="9016"/>
            </w:tabs>
            <w:rPr>
              <w:rFonts w:asciiTheme="minorHAnsi" w:eastAsiaTheme="minorEastAsia" w:hAnsiTheme="minorHAnsi"/>
              <w:noProof/>
              <w:lang w:eastAsia="en-GB"/>
            </w:rPr>
          </w:pPr>
          <w:hyperlink w:anchor="_Toc214999079" w:history="1">
            <w:r w:rsidRPr="00385C64">
              <w:rPr>
                <w:rStyle w:val="Hyperlink"/>
                <w:noProof/>
              </w:rPr>
              <w:t>1. Introduction</w:t>
            </w:r>
            <w:r>
              <w:rPr>
                <w:noProof/>
                <w:webHidden/>
              </w:rPr>
              <w:tab/>
            </w:r>
            <w:r>
              <w:rPr>
                <w:noProof/>
                <w:webHidden/>
              </w:rPr>
              <w:fldChar w:fldCharType="begin"/>
            </w:r>
            <w:r>
              <w:rPr>
                <w:noProof/>
                <w:webHidden/>
              </w:rPr>
              <w:instrText xml:space="preserve"> PAGEREF _Toc214999079 \h </w:instrText>
            </w:r>
            <w:r>
              <w:rPr>
                <w:noProof/>
                <w:webHidden/>
              </w:rPr>
            </w:r>
            <w:r>
              <w:rPr>
                <w:noProof/>
                <w:webHidden/>
              </w:rPr>
              <w:fldChar w:fldCharType="separate"/>
            </w:r>
            <w:r>
              <w:rPr>
                <w:noProof/>
                <w:webHidden/>
              </w:rPr>
              <w:t>6</w:t>
            </w:r>
            <w:r>
              <w:rPr>
                <w:noProof/>
                <w:webHidden/>
              </w:rPr>
              <w:fldChar w:fldCharType="end"/>
            </w:r>
          </w:hyperlink>
        </w:p>
        <w:p w14:paraId="2D7D9A1A" w14:textId="4BF98B00" w:rsidR="00954CF2" w:rsidRDefault="00954CF2">
          <w:pPr>
            <w:pStyle w:val="TOC2"/>
            <w:tabs>
              <w:tab w:val="right" w:leader="dot" w:pos="9016"/>
            </w:tabs>
            <w:rPr>
              <w:rFonts w:asciiTheme="minorHAnsi" w:eastAsiaTheme="minorEastAsia" w:hAnsiTheme="minorHAnsi"/>
              <w:noProof/>
              <w:lang w:eastAsia="en-GB"/>
            </w:rPr>
          </w:pPr>
          <w:hyperlink w:anchor="_Toc214999080" w:history="1">
            <w:r w:rsidRPr="00385C64">
              <w:rPr>
                <w:rStyle w:val="Hyperlink"/>
                <w:noProof/>
              </w:rPr>
              <w:t>1.1 Background and Context</w:t>
            </w:r>
            <w:r>
              <w:rPr>
                <w:noProof/>
                <w:webHidden/>
              </w:rPr>
              <w:tab/>
            </w:r>
            <w:r>
              <w:rPr>
                <w:noProof/>
                <w:webHidden/>
              </w:rPr>
              <w:fldChar w:fldCharType="begin"/>
            </w:r>
            <w:r>
              <w:rPr>
                <w:noProof/>
                <w:webHidden/>
              </w:rPr>
              <w:instrText xml:space="preserve"> PAGEREF _Toc214999080 \h </w:instrText>
            </w:r>
            <w:r>
              <w:rPr>
                <w:noProof/>
                <w:webHidden/>
              </w:rPr>
            </w:r>
            <w:r>
              <w:rPr>
                <w:noProof/>
                <w:webHidden/>
              </w:rPr>
              <w:fldChar w:fldCharType="separate"/>
            </w:r>
            <w:r>
              <w:rPr>
                <w:noProof/>
                <w:webHidden/>
              </w:rPr>
              <w:t>6</w:t>
            </w:r>
            <w:r>
              <w:rPr>
                <w:noProof/>
                <w:webHidden/>
              </w:rPr>
              <w:fldChar w:fldCharType="end"/>
            </w:r>
          </w:hyperlink>
        </w:p>
        <w:p w14:paraId="468D9CE7" w14:textId="6ED77610" w:rsidR="00954CF2" w:rsidRDefault="00954CF2">
          <w:pPr>
            <w:pStyle w:val="TOC2"/>
            <w:tabs>
              <w:tab w:val="right" w:leader="dot" w:pos="9016"/>
            </w:tabs>
            <w:rPr>
              <w:rFonts w:asciiTheme="minorHAnsi" w:eastAsiaTheme="minorEastAsia" w:hAnsiTheme="minorHAnsi"/>
              <w:noProof/>
              <w:lang w:eastAsia="en-GB"/>
            </w:rPr>
          </w:pPr>
          <w:hyperlink w:anchor="_Toc214999081" w:history="1">
            <w:r w:rsidRPr="00385C64">
              <w:rPr>
                <w:rStyle w:val="Hyperlink"/>
                <w:noProof/>
              </w:rPr>
              <w:t>1.2 Purpose and Scope</w:t>
            </w:r>
            <w:r>
              <w:rPr>
                <w:noProof/>
                <w:webHidden/>
              </w:rPr>
              <w:tab/>
            </w:r>
            <w:r>
              <w:rPr>
                <w:noProof/>
                <w:webHidden/>
              </w:rPr>
              <w:fldChar w:fldCharType="begin"/>
            </w:r>
            <w:r>
              <w:rPr>
                <w:noProof/>
                <w:webHidden/>
              </w:rPr>
              <w:instrText xml:space="preserve"> PAGEREF _Toc214999081 \h </w:instrText>
            </w:r>
            <w:r>
              <w:rPr>
                <w:noProof/>
                <w:webHidden/>
              </w:rPr>
            </w:r>
            <w:r>
              <w:rPr>
                <w:noProof/>
                <w:webHidden/>
              </w:rPr>
              <w:fldChar w:fldCharType="separate"/>
            </w:r>
            <w:r>
              <w:rPr>
                <w:noProof/>
                <w:webHidden/>
              </w:rPr>
              <w:t>6</w:t>
            </w:r>
            <w:r>
              <w:rPr>
                <w:noProof/>
                <w:webHidden/>
              </w:rPr>
              <w:fldChar w:fldCharType="end"/>
            </w:r>
          </w:hyperlink>
        </w:p>
        <w:p w14:paraId="41C9325E" w14:textId="592D8091" w:rsidR="00954CF2" w:rsidRDefault="00954CF2">
          <w:pPr>
            <w:pStyle w:val="TOC2"/>
            <w:tabs>
              <w:tab w:val="right" w:leader="dot" w:pos="9016"/>
            </w:tabs>
            <w:rPr>
              <w:rFonts w:asciiTheme="minorHAnsi" w:eastAsiaTheme="minorEastAsia" w:hAnsiTheme="minorHAnsi"/>
              <w:noProof/>
              <w:lang w:eastAsia="en-GB"/>
            </w:rPr>
          </w:pPr>
          <w:hyperlink w:anchor="_Toc214999082" w:history="1">
            <w:r w:rsidRPr="00385C64">
              <w:rPr>
                <w:rStyle w:val="Hyperlink"/>
                <w:noProof/>
              </w:rPr>
              <w:t>1.3 Key Assumptions</w:t>
            </w:r>
            <w:r>
              <w:rPr>
                <w:noProof/>
                <w:webHidden/>
              </w:rPr>
              <w:tab/>
            </w:r>
            <w:r>
              <w:rPr>
                <w:noProof/>
                <w:webHidden/>
              </w:rPr>
              <w:fldChar w:fldCharType="begin"/>
            </w:r>
            <w:r>
              <w:rPr>
                <w:noProof/>
                <w:webHidden/>
              </w:rPr>
              <w:instrText xml:space="preserve"> PAGEREF _Toc214999082 \h </w:instrText>
            </w:r>
            <w:r>
              <w:rPr>
                <w:noProof/>
                <w:webHidden/>
              </w:rPr>
            </w:r>
            <w:r>
              <w:rPr>
                <w:noProof/>
                <w:webHidden/>
              </w:rPr>
              <w:fldChar w:fldCharType="separate"/>
            </w:r>
            <w:r>
              <w:rPr>
                <w:noProof/>
                <w:webHidden/>
              </w:rPr>
              <w:t>6</w:t>
            </w:r>
            <w:r>
              <w:rPr>
                <w:noProof/>
                <w:webHidden/>
              </w:rPr>
              <w:fldChar w:fldCharType="end"/>
            </w:r>
          </w:hyperlink>
        </w:p>
        <w:p w14:paraId="5E9E21EE" w14:textId="34384542" w:rsidR="00954CF2" w:rsidRDefault="00954CF2">
          <w:pPr>
            <w:pStyle w:val="TOC1"/>
            <w:tabs>
              <w:tab w:val="right" w:leader="dot" w:pos="9016"/>
            </w:tabs>
            <w:rPr>
              <w:rFonts w:asciiTheme="minorHAnsi" w:eastAsiaTheme="minorEastAsia" w:hAnsiTheme="minorHAnsi"/>
              <w:noProof/>
              <w:lang w:eastAsia="en-GB"/>
            </w:rPr>
          </w:pPr>
          <w:hyperlink w:anchor="_Toc214999083" w:history="1">
            <w:r w:rsidRPr="00385C64">
              <w:rPr>
                <w:rStyle w:val="Hyperlink"/>
                <w:noProof/>
              </w:rPr>
              <w:t>2. Literature Review: Security Frameworks and Models</w:t>
            </w:r>
            <w:r>
              <w:rPr>
                <w:noProof/>
                <w:webHidden/>
              </w:rPr>
              <w:tab/>
            </w:r>
            <w:r>
              <w:rPr>
                <w:noProof/>
                <w:webHidden/>
              </w:rPr>
              <w:fldChar w:fldCharType="begin"/>
            </w:r>
            <w:r>
              <w:rPr>
                <w:noProof/>
                <w:webHidden/>
              </w:rPr>
              <w:instrText xml:space="preserve"> PAGEREF _Toc214999083 \h </w:instrText>
            </w:r>
            <w:r>
              <w:rPr>
                <w:noProof/>
                <w:webHidden/>
              </w:rPr>
            </w:r>
            <w:r>
              <w:rPr>
                <w:noProof/>
                <w:webHidden/>
              </w:rPr>
              <w:fldChar w:fldCharType="separate"/>
            </w:r>
            <w:r>
              <w:rPr>
                <w:noProof/>
                <w:webHidden/>
              </w:rPr>
              <w:t>7</w:t>
            </w:r>
            <w:r>
              <w:rPr>
                <w:noProof/>
                <w:webHidden/>
              </w:rPr>
              <w:fldChar w:fldCharType="end"/>
            </w:r>
          </w:hyperlink>
        </w:p>
        <w:p w14:paraId="738882DF" w14:textId="54BC4637" w:rsidR="00954CF2" w:rsidRDefault="00954CF2">
          <w:pPr>
            <w:pStyle w:val="TOC2"/>
            <w:tabs>
              <w:tab w:val="right" w:leader="dot" w:pos="9016"/>
            </w:tabs>
            <w:rPr>
              <w:rFonts w:asciiTheme="minorHAnsi" w:eastAsiaTheme="minorEastAsia" w:hAnsiTheme="minorHAnsi"/>
              <w:noProof/>
              <w:lang w:eastAsia="en-GB"/>
            </w:rPr>
          </w:pPr>
          <w:hyperlink w:anchor="_Toc214999084" w:history="1">
            <w:r w:rsidRPr="00385C64">
              <w:rPr>
                <w:rStyle w:val="Hyperlink"/>
                <w:noProof/>
              </w:rPr>
              <w:t>2.1 International Organization for Standardization (ISO 27000 Series)</w:t>
            </w:r>
            <w:r>
              <w:rPr>
                <w:noProof/>
                <w:webHidden/>
              </w:rPr>
              <w:tab/>
            </w:r>
            <w:r>
              <w:rPr>
                <w:noProof/>
                <w:webHidden/>
              </w:rPr>
              <w:fldChar w:fldCharType="begin"/>
            </w:r>
            <w:r>
              <w:rPr>
                <w:noProof/>
                <w:webHidden/>
              </w:rPr>
              <w:instrText xml:space="preserve"> PAGEREF _Toc214999084 \h </w:instrText>
            </w:r>
            <w:r>
              <w:rPr>
                <w:noProof/>
                <w:webHidden/>
              </w:rPr>
            </w:r>
            <w:r>
              <w:rPr>
                <w:noProof/>
                <w:webHidden/>
              </w:rPr>
              <w:fldChar w:fldCharType="separate"/>
            </w:r>
            <w:r>
              <w:rPr>
                <w:noProof/>
                <w:webHidden/>
              </w:rPr>
              <w:t>7</w:t>
            </w:r>
            <w:r>
              <w:rPr>
                <w:noProof/>
                <w:webHidden/>
              </w:rPr>
              <w:fldChar w:fldCharType="end"/>
            </w:r>
          </w:hyperlink>
        </w:p>
        <w:p w14:paraId="571195ED" w14:textId="550B5799" w:rsidR="00954CF2" w:rsidRDefault="00954CF2">
          <w:pPr>
            <w:pStyle w:val="TOC2"/>
            <w:tabs>
              <w:tab w:val="right" w:leader="dot" w:pos="9016"/>
            </w:tabs>
            <w:rPr>
              <w:rFonts w:asciiTheme="minorHAnsi" w:eastAsiaTheme="minorEastAsia" w:hAnsiTheme="minorHAnsi"/>
              <w:noProof/>
              <w:lang w:eastAsia="en-GB"/>
            </w:rPr>
          </w:pPr>
          <w:hyperlink w:anchor="_Toc214999085" w:history="1">
            <w:r w:rsidRPr="00385C64">
              <w:rPr>
                <w:rStyle w:val="Hyperlink"/>
                <w:noProof/>
              </w:rPr>
              <w:t>2.2 Information Technology Infrastructure Library (ITIL)</w:t>
            </w:r>
            <w:r>
              <w:rPr>
                <w:noProof/>
                <w:webHidden/>
              </w:rPr>
              <w:tab/>
            </w:r>
            <w:r>
              <w:rPr>
                <w:noProof/>
                <w:webHidden/>
              </w:rPr>
              <w:fldChar w:fldCharType="begin"/>
            </w:r>
            <w:r>
              <w:rPr>
                <w:noProof/>
                <w:webHidden/>
              </w:rPr>
              <w:instrText xml:space="preserve"> PAGEREF _Toc214999085 \h </w:instrText>
            </w:r>
            <w:r>
              <w:rPr>
                <w:noProof/>
                <w:webHidden/>
              </w:rPr>
            </w:r>
            <w:r>
              <w:rPr>
                <w:noProof/>
                <w:webHidden/>
              </w:rPr>
              <w:fldChar w:fldCharType="separate"/>
            </w:r>
            <w:r>
              <w:rPr>
                <w:noProof/>
                <w:webHidden/>
              </w:rPr>
              <w:t>8</w:t>
            </w:r>
            <w:r>
              <w:rPr>
                <w:noProof/>
                <w:webHidden/>
              </w:rPr>
              <w:fldChar w:fldCharType="end"/>
            </w:r>
          </w:hyperlink>
        </w:p>
        <w:p w14:paraId="58B19B1C" w14:textId="55E80DF9" w:rsidR="00954CF2" w:rsidRDefault="00954CF2">
          <w:pPr>
            <w:pStyle w:val="TOC2"/>
            <w:tabs>
              <w:tab w:val="right" w:leader="dot" w:pos="9016"/>
            </w:tabs>
            <w:rPr>
              <w:rFonts w:asciiTheme="minorHAnsi" w:eastAsiaTheme="minorEastAsia" w:hAnsiTheme="minorHAnsi"/>
              <w:noProof/>
              <w:lang w:eastAsia="en-GB"/>
            </w:rPr>
          </w:pPr>
          <w:hyperlink w:anchor="_Toc214999086" w:history="1">
            <w:r w:rsidRPr="00385C64">
              <w:rPr>
                <w:rStyle w:val="Hyperlink"/>
                <w:noProof/>
              </w:rPr>
              <w:t>2.3 Other Relevant Frameworks</w:t>
            </w:r>
            <w:r>
              <w:rPr>
                <w:noProof/>
                <w:webHidden/>
              </w:rPr>
              <w:tab/>
            </w:r>
            <w:r>
              <w:rPr>
                <w:noProof/>
                <w:webHidden/>
              </w:rPr>
              <w:fldChar w:fldCharType="begin"/>
            </w:r>
            <w:r>
              <w:rPr>
                <w:noProof/>
                <w:webHidden/>
              </w:rPr>
              <w:instrText xml:space="preserve"> PAGEREF _Toc214999086 \h </w:instrText>
            </w:r>
            <w:r>
              <w:rPr>
                <w:noProof/>
                <w:webHidden/>
              </w:rPr>
            </w:r>
            <w:r>
              <w:rPr>
                <w:noProof/>
                <w:webHidden/>
              </w:rPr>
              <w:fldChar w:fldCharType="separate"/>
            </w:r>
            <w:r>
              <w:rPr>
                <w:noProof/>
                <w:webHidden/>
              </w:rPr>
              <w:t>9</w:t>
            </w:r>
            <w:r>
              <w:rPr>
                <w:noProof/>
                <w:webHidden/>
              </w:rPr>
              <w:fldChar w:fldCharType="end"/>
            </w:r>
          </w:hyperlink>
        </w:p>
        <w:p w14:paraId="30985E3C" w14:textId="67C2DBFC" w:rsidR="00954CF2" w:rsidRDefault="00954CF2">
          <w:pPr>
            <w:pStyle w:val="TOC2"/>
            <w:tabs>
              <w:tab w:val="right" w:leader="dot" w:pos="9016"/>
            </w:tabs>
            <w:rPr>
              <w:rFonts w:asciiTheme="minorHAnsi" w:eastAsiaTheme="minorEastAsia" w:hAnsiTheme="minorHAnsi"/>
              <w:noProof/>
              <w:lang w:eastAsia="en-GB"/>
            </w:rPr>
          </w:pPr>
          <w:hyperlink w:anchor="_Toc214999087" w:history="1">
            <w:r w:rsidRPr="00385C64">
              <w:rPr>
                <w:rStyle w:val="Hyperlink"/>
                <w:noProof/>
              </w:rPr>
              <w:t>2.4 Synthesis and Gap Analysis</w:t>
            </w:r>
            <w:r>
              <w:rPr>
                <w:noProof/>
                <w:webHidden/>
              </w:rPr>
              <w:tab/>
            </w:r>
            <w:r>
              <w:rPr>
                <w:noProof/>
                <w:webHidden/>
              </w:rPr>
              <w:fldChar w:fldCharType="begin"/>
            </w:r>
            <w:r>
              <w:rPr>
                <w:noProof/>
                <w:webHidden/>
              </w:rPr>
              <w:instrText xml:space="preserve"> PAGEREF _Toc214999087 \h </w:instrText>
            </w:r>
            <w:r>
              <w:rPr>
                <w:noProof/>
                <w:webHidden/>
              </w:rPr>
            </w:r>
            <w:r>
              <w:rPr>
                <w:noProof/>
                <w:webHidden/>
              </w:rPr>
              <w:fldChar w:fldCharType="separate"/>
            </w:r>
            <w:r>
              <w:rPr>
                <w:noProof/>
                <w:webHidden/>
              </w:rPr>
              <w:t>10</w:t>
            </w:r>
            <w:r>
              <w:rPr>
                <w:noProof/>
                <w:webHidden/>
              </w:rPr>
              <w:fldChar w:fldCharType="end"/>
            </w:r>
          </w:hyperlink>
        </w:p>
        <w:p w14:paraId="6063EE33" w14:textId="3B1485A2" w:rsidR="00954CF2" w:rsidRDefault="00954CF2">
          <w:pPr>
            <w:pStyle w:val="TOC1"/>
            <w:tabs>
              <w:tab w:val="right" w:leader="dot" w:pos="9016"/>
            </w:tabs>
            <w:rPr>
              <w:rFonts w:asciiTheme="minorHAnsi" w:eastAsiaTheme="minorEastAsia" w:hAnsiTheme="minorHAnsi"/>
              <w:noProof/>
              <w:lang w:eastAsia="en-GB"/>
            </w:rPr>
          </w:pPr>
          <w:hyperlink w:anchor="_Toc214999088" w:history="1">
            <w:r w:rsidRPr="00385C64">
              <w:rPr>
                <w:rStyle w:val="Hyperlink"/>
                <w:noProof/>
              </w:rPr>
              <w:t>3. Proposed Security Governance Framework for NatureGreen</w:t>
            </w:r>
            <w:r>
              <w:rPr>
                <w:noProof/>
                <w:webHidden/>
              </w:rPr>
              <w:tab/>
            </w:r>
            <w:r>
              <w:rPr>
                <w:noProof/>
                <w:webHidden/>
              </w:rPr>
              <w:fldChar w:fldCharType="begin"/>
            </w:r>
            <w:r>
              <w:rPr>
                <w:noProof/>
                <w:webHidden/>
              </w:rPr>
              <w:instrText xml:space="preserve"> PAGEREF _Toc214999088 \h </w:instrText>
            </w:r>
            <w:r>
              <w:rPr>
                <w:noProof/>
                <w:webHidden/>
              </w:rPr>
            </w:r>
            <w:r>
              <w:rPr>
                <w:noProof/>
                <w:webHidden/>
              </w:rPr>
              <w:fldChar w:fldCharType="separate"/>
            </w:r>
            <w:r>
              <w:rPr>
                <w:noProof/>
                <w:webHidden/>
              </w:rPr>
              <w:t>11</w:t>
            </w:r>
            <w:r>
              <w:rPr>
                <w:noProof/>
                <w:webHidden/>
              </w:rPr>
              <w:fldChar w:fldCharType="end"/>
            </w:r>
          </w:hyperlink>
        </w:p>
        <w:p w14:paraId="74B60286" w14:textId="3F132093" w:rsidR="00954CF2" w:rsidRDefault="00954CF2">
          <w:pPr>
            <w:pStyle w:val="TOC2"/>
            <w:tabs>
              <w:tab w:val="right" w:leader="dot" w:pos="9016"/>
            </w:tabs>
            <w:rPr>
              <w:rFonts w:asciiTheme="minorHAnsi" w:eastAsiaTheme="minorEastAsia" w:hAnsiTheme="minorHAnsi"/>
              <w:noProof/>
              <w:lang w:eastAsia="en-GB"/>
            </w:rPr>
          </w:pPr>
          <w:hyperlink w:anchor="_Toc214999089" w:history="1">
            <w:r w:rsidRPr="00385C64">
              <w:rPr>
                <w:rStyle w:val="Hyperlink"/>
                <w:noProof/>
              </w:rPr>
              <w:t>3.1 Framework Design Philosophy</w:t>
            </w:r>
            <w:r>
              <w:rPr>
                <w:noProof/>
                <w:webHidden/>
              </w:rPr>
              <w:tab/>
            </w:r>
            <w:r>
              <w:rPr>
                <w:noProof/>
                <w:webHidden/>
              </w:rPr>
              <w:fldChar w:fldCharType="begin"/>
            </w:r>
            <w:r>
              <w:rPr>
                <w:noProof/>
                <w:webHidden/>
              </w:rPr>
              <w:instrText xml:space="preserve"> PAGEREF _Toc214999089 \h </w:instrText>
            </w:r>
            <w:r>
              <w:rPr>
                <w:noProof/>
                <w:webHidden/>
              </w:rPr>
            </w:r>
            <w:r>
              <w:rPr>
                <w:noProof/>
                <w:webHidden/>
              </w:rPr>
              <w:fldChar w:fldCharType="separate"/>
            </w:r>
            <w:r>
              <w:rPr>
                <w:noProof/>
                <w:webHidden/>
              </w:rPr>
              <w:t>11</w:t>
            </w:r>
            <w:r>
              <w:rPr>
                <w:noProof/>
                <w:webHidden/>
              </w:rPr>
              <w:fldChar w:fldCharType="end"/>
            </w:r>
          </w:hyperlink>
        </w:p>
        <w:p w14:paraId="058BD362" w14:textId="2ABA62F4" w:rsidR="00954CF2" w:rsidRDefault="00954CF2">
          <w:pPr>
            <w:pStyle w:val="TOC2"/>
            <w:tabs>
              <w:tab w:val="right" w:leader="dot" w:pos="9016"/>
            </w:tabs>
            <w:rPr>
              <w:rFonts w:asciiTheme="minorHAnsi" w:eastAsiaTheme="minorEastAsia" w:hAnsiTheme="minorHAnsi"/>
              <w:noProof/>
              <w:lang w:eastAsia="en-GB"/>
            </w:rPr>
          </w:pPr>
          <w:hyperlink w:anchor="_Toc214999090" w:history="1">
            <w:r w:rsidRPr="00385C64">
              <w:rPr>
                <w:rStyle w:val="Hyperlink"/>
                <w:noProof/>
              </w:rPr>
              <w:t>3.2 Governance Structure</w:t>
            </w:r>
            <w:r>
              <w:rPr>
                <w:noProof/>
                <w:webHidden/>
              </w:rPr>
              <w:tab/>
            </w:r>
            <w:r>
              <w:rPr>
                <w:noProof/>
                <w:webHidden/>
              </w:rPr>
              <w:fldChar w:fldCharType="begin"/>
            </w:r>
            <w:r>
              <w:rPr>
                <w:noProof/>
                <w:webHidden/>
              </w:rPr>
              <w:instrText xml:space="preserve"> PAGEREF _Toc214999090 \h </w:instrText>
            </w:r>
            <w:r>
              <w:rPr>
                <w:noProof/>
                <w:webHidden/>
              </w:rPr>
            </w:r>
            <w:r>
              <w:rPr>
                <w:noProof/>
                <w:webHidden/>
              </w:rPr>
              <w:fldChar w:fldCharType="separate"/>
            </w:r>
            <w:r>
              <w:rPr>
                <w:noProof/>
                <w:webHidden/>
              </w:rPr>
              <w:t>11</w:t>
            </w:r>
            <w:r>
              <w:rPr>
                <w:noProof/>
                <w:webHidden/>
              </w:rPr>
              <w:fldChar w:fldCharType="end"/>
            </w:r>
          </w:hyperlink>
        </w:p>
        <w:p w14:paraId="6038FE16" w14:textId="13B114B1" w:rsidR="00954CF2" w:rsidRDefault="00954CF2">
          <w:pPr>
            <w:pStyle w:val="TOC2"/>
            <w:tabs>
              <w:tab w:val="right" w:leader="dot" w:pos="9016"/>
            </w:tabs>
            <w:rPr>
              <w:rFonts w:asciiTheme="minorHAnsi" w:eastAsiaTheme="minorEastAsia" w:hAnsiTheme="minorHAnsi"/>
              <w:noProof/>
              <w:lang w:eastAsia="en-GB"/>
            </w:rPr>
          </w:pPr>
          <w:hyperlink w:anchor="_Toc214999091" w:history="1">
            <w:r w:rsidRPr="00385C64">
              <w:rPr>
                <w:rStyle w:val="Hyperlink"/>
                <w:noProof/>
              </w:rPr>
              <w:t>3.3 Strategic Security Planning</w:t>
            </w:r>
            <w:r>
              <w:rPr>
                <w:noProof/>
                <w:webHidden/>
              </w:rPr>
              <w:tab/>
            </w:r>
            <w:r>
              <w:rPr>
                <w:noProof/>
                <w:webHidden/>
              </w:rPr>
              <w:fldChar w:fldCharType="begin"/>
            </w:r>
            <w:r>
              <w:rPr>
                <w:noProof/>
                <w:webHidden/>
              </w:rPr>
              <w:instrText xml:space="preserve"> PAGEREF _Toc214999091 \h </w:instrText>
            </w:r>
            <w:r>
              <w:rPr>
                <w:noProof/>
                <w:webHidden/>
              </w:rPr>
            </w:r>
            <w:r>
              <w:rPr>
                <w:noProof/>
                <w:webHidden/>
              </w:rPr>
              <w:fldChar w:fldCharType="separate"/>
            </w:r>
            <w:r>
              <w:rPr>
                <w:noProof/>
                <w:webHidden/>
              </w:rPr>
              <w:t>13</w:t>
            </w:r>
            <w:r>
              <w:rPr>
                <w:noProof/>
                <w:webHidden/>
              </w:rPr>
              <w:fldChar w:fldCharType="end"/>
            </w:r>
          </w:hyperlink>
        </w:p>
        <w:p w14:paraId="057887A2" w14:textId="67C7174F" w:rsidR="00954CF2" w:rsidRDefault="00954CF2">
          <w:pPr>
            <w:pStyle w:val="TOC2"/>
            <w:tabs>
              <w:tab w:val="right" w:leader="dot" w:pos="9016"/>
            </w:tabs>
            <w:rPr>
              <w:rFonts w:asciiTheme="minorHAnsi" w:eastAsiaTheme="minorEastAsia" w:hAnsiTheme="minorHAnsi"/>
              <w:noProof/>
              <w:lang w:eastAsia="en-GB"/>
            </w:rPr>
          </w:pPr>
          <w:hyperlink w:anchor="_Toc214999092" w:history="1">
            <w:r w:rsidRPr="00385C64">
              <w:rPr>
                <w:rStyle w:val="Hyperlink"/>
                <w:noProof/>
              </w:rPr>
              <w:t>3.4 Security Policies and Procedures</w:t>
            </w:r>
            <w:r>
              <w:rPr>
                <w:noProof/>
                <w:webHidden/>
              </w:rPr>
              <w:tab/>
            </w:r>
            <w:r>
              <w:rPr>
                <w:noProof/>
                <w:webHidden/>
              </w:rPr>
              <w:fldChar w:fldCharType="begin"/>
            </w:r>
            <w:r>
              <w:rPr>
                <w:noProof/>
                <w:webHidden/>
              </w:rPr>
              <w:instrText xml:space="preserve"> PAGEREF _Toc214999092 \h </w:instrText>
            </w:r>
            <w:r>
              <w:rPr>
                <w:noProof/>
                <w:webHidden/>
              </w:rPr>
            </w:r>
            <w:r>
              <w:rPr>
                <w:noProof/>
                <w:webHidden/>
              </w:rPr>
              <w:fldChar w:fldCharType="separate"/>
            </w:r>
            <w:r>
              <w:rPr>
                <w:noProof/>
                <w:webHidden/>
              </w:rPr>
              <w:t>13</w:t>
            </w:r>
            <w:r>
              <w:rPr>
                <w:noProof/>
                <w:webHidden/>
              </w:rPr>
              <w:fldChar w:fldCharType="end"/>
            </w:r>
          </w:hyperlink>
        </w:p>
        <w:p w14:paraId="7BF80C11" w14:textId="40DE1844" w:rsidR="00954CF2" w:rsidRDefault="00954CF2">
          <w:pPr>
            <w:pStyle w:val="TOC2"/>
            <w:tabs>
              <w:tab w:val="right" w:leader="dot" w:pos="9016"/>
            </w:tabs>
            <w:rPr>
              <w:rFonts w:asciiTheme="minorHAnsi" w:eastAsiaTheme="minorEastAsia" w:hAnsiTheme="minorHAnsi"/>
              <w:noProof/>
              <w:lang w:eastAsia="en-GB"/>
            </w:rPr>
          </w:pPr>
          <w:hyperlink w:anchor="_Toc214999093" w:history="1">
            <w:r w:rsidRPr="00385C64">
              <w:rPr>
                <w:rStyle w:val="Hyperlink"/>
                <w:noProof/>
              </w:rPr>
              <w:t>3.5 Risk Management Framework</w:t>
            </w:r>
            <w:r>
              <w:rPr>
                <w:noProof/>
                <w:webHidden/>
              </w:rPr>
              <w:tab/>
            </w:r>
            <w:r>
              <w:rPr>
                <w:noProof/>
                <w:webHidden/>
              </w:rPr>
              <w:fldChar w:fldCharType="begin"/>
            </w:r>
            <w:r>
              <w:rPr>
                <w:noProof/>
                <w:webHidden/>
              </w:rPr>
              <w:instrText xml:space="preserve"> PAGEREF _Toc214999093 \h </w:instrText>
            </w:r>
            <w:r>
              <w:rPr>
                <w:noProof/>
                <w:webHidden/>
              </w:rPr>
            </w:r>
            <w:r>
              <w:rPr>
                <w:noProof/>
                <w:webHidden/>
              </w:rPr>
              <w:fldChar w:fldCharType="separate"/>
            </w:r>
            <w:r>
              <w:rPr>
                <w:noProof/>
                <w:webHidden/>
              </w:rPr>
              <w:t>14</w:t>
            </w:r>
            <w:r>
              <w:rPr>
                <w:noProof/>
                <w:webHidden/>
              </w:rPr>
              <w:fldChar w:fldCharType="end"/>
            </w:r>
          </w:hyperlink>
        </w:p>
        <w:p w14:paraId="75F3ED8C" w14:textId="2BF2A1B9" w:rsidR="00954CF2" w:rsidRDefault="00954CF2">
          <w:pPr>
            <w:pStyle w:val="TOC2"/>
            <w:tabs>
              <w:tab w:val="right" w:leader="dot" w:pos="9016"/>
            </w:tabs>
            <w:rPr>
              <w:rFonts w:asciiTheme="minorHAnsi" w:eastAsiaTheme="minorEastAsia" w:hAnsiTheme="minorHAnsi"/>
              <w:noProof/>
              <w:lang w:eastAsia="en-GB"/>
            </w:rPr>
          </w:pPr>
          <w:hyperlink w:anchor="_Toc214999094" w:history="1">
            <w:r w:rsidRPr="00385C64">
              <w:rPr>
                <w:rStyle w:val="Hyperlink"/>
                <w:noProof/>
              </w:rPr>
              <w:t>3.6 Compliance and Legal Requirements</w:t>
            </w:r>
            <w:r>
              <w:rPr>
                <w:noProof/>
                <w:webHidden/>
              </w:rPr>
              <w:tab/>
            </w:r>
            <w:r>
              <w:rPr>
                <w:noProof/>
                <w:webHidden/>
              </w:rPr>
              <w:fldChar w:fldCharType="begin"/>
            </w:r>
            <w:r>
              <w:rPr>
                <w:noProof/>
                <w:webHidden/>
              </w:rPr>
              <w:instrText xml:space="preserve"> PAGEREF _Toc214999094 \h </w:instrText>
            </w:r>
            <w:r>
              <w:rPr>
                <w:noProof/>
                <w:webHidden/>
              </w:rPr>
            </w:r>
            <w:r>
              <w:rPr>
                <w:noProof/>
                <w:webHidden/>
              </w:rPr>
              <w:fldChar w:fldCharType="separate"/>
            </w:r>
            <w:r>
              <w:rPr>
                <w:noProof/>
                <w:webHidden/>
              </w:rPr>
              <w:t>15</w:t>
            </w:r>
            <w:r>
              <w:rPr>
                <w:noProof/>
                <w:webHidden/>
              </w:rPr>
              <w:fldChar w:fldCharType="end"/>
            </w:r>
          </w:hyperlink>
        </w:p>
        <w:p w14:paraId="29ECF9FD" w14:textId="3BD3DDE2" w:rsidR="00954CF2" w:rsidRDefault="00954CF2">
          <w:pPr>
            <w:pStyle w:val="TOC2"/>
            <w:tabs>
              <w:tab w:val="right" w:leader="dot" w:pos="9016"/>
            </w:tabs>
            <w:rPr>
              <w:rFonts w:asciiTheme="minorHAnsi" w:eastAsiaTheme="minorEastAsia" w:hAnsiTheme="minorHAnsi"/>
              <w:noProof/>
              <w:lang w:eastAsia="en-GB"/>
            </w:rPr>
          </w:pPr>
          <w:hyperlink w:anchor="_Toc214999095" w:history="1">
            <w:r w:rsidRPr="00385C64">
              <w:rPr>
                <w:rStyle w:val="Hyperlink"/>
                <w:noProof/>
              </w:rPr>
              <w:t>3.7 Protection Mechanisms</w:t>
            </w:r>
            <w:r>
              <w:rPr>
                <w:noProof/>
                <w:webHidden/>
              </w:rPr>
              <w:tab/>
            </w:r>
            <w:r>
              <w:rPr>
                <w:noProof/>
                <w:webHidden/>
              </w:rPr>
              <w:fldChar w:fldCharType="begin"/>
            </w:r>
            <w:r>
              <w:rPr>
                <w:noProof/>
                <w:webHidden/>
              </w:rPr>
              <w:instrText xml:space="preserve"> PAGEREF _Toc214999095 \h </w:instrText>
            </w:r>
            <w:r>
              <w:rPr>
                <w:noProof/>
                <w:webHidden/>
              </w:rPr>
            </w:r>
            <w:r>
              <w:rPr>
                <w:noProof/>
                <w:webHidden/>
              </w:rPr>
              <w:fldChar w:fldCharType="separate"/>
            </w:r>
            <w:r>
              <w:rPr>
                <w:noProof/>
                <w:webHidden/>
              </w:rPr>
              <w:t>15</w:t>
            </w:r>
            <w:r>
              <w:rPr>
                <w:noProof/>
                <w:webHidden/>
              </w:rPr>
              <w:fldChar w:fldCharType="end"/>
            </w:r>
          </w:hyperlink>
        </w:p>
        <w:p w14:paraId="033F2892" w14:textId="2F4E00D0" w:rsidR="00954CF2" w:rsidRDefault="00954CF2">
          <w:pPr>
            <w:pStyle w:val="TOC2"/>
            <w:tabs>
              <w:tab w:val="right" w:leader="dot" w:pos="9016"/>
            </w:tabs>
            <w:rPr>
              <w:rFonts w:asciiTheme="minorHAnsi" w:eastAsiaTheme="minorEastAsia" w:hAnsiTheme="minorHAnsi"/>
              <w:noProof/>
              <w:lang w:eastAsia="en-GB"/>
            </w:rPr>
          </w:pPr>
          <w:hyperlink w:anchor="_Toc214999096" w:history="1">
            <w:r w:rsidRPr="00385C64">
              <w:rPr>
                <w:rStyle w:val="Hyperlink"/>
                <w:noProof/>
              </w:rPr>
              <w:t>3.8 Contingency and Business Continuity Planning</w:t>
            </w:r>
            <w:r>
              <w:rPr>
                <w:noProof/>
                <w:webHidden/>
              </w:rPr>
              <w:tab/>
            </w:r>
            <w:r>
              <w:rPr>
                <w:noProof/>
                <w:webHidden/>
              </w:rPr>
              <w:fldChar w:fldCharType="begin"/>
            </w:r>
            <w:r>
              <w:rPr>
                <w:noProof/>
                <w:webHidden/>
              </w:rPr>
              <w:instrText xml:space="preserve"> PAGEREF _Toc214999096 \h </w:instrText>
            </w:r>
            <w:r>
              <w:rPr>
                <w:noProof/>
                <w:webHidden/>
              </w:rPr>
            </w:r>
            <w:r>
              <w:rPr>
                <w:noProof/>
                <w:webHidden/>
              </w:rPr>
              <w:fldChar w:fldCharType="separate"/>
            </w:r>
            <w:r>
              <w:rPr>
                <w:noProof/>
                <w:webHidden/>
              </w:rPr>
              <w:t>16</w:t>
            </w:r>
            <w:r>
              <w:rPr>
                <w:noProof/>
                <w:webHidden/>
              </w:rPr>
              <w:fldChar w:fldCharType="end"/>
            </w:r>
          </w:hyperlink>
        </w:p>
        <w:p w14:paraId="29040B5C" w14:textId="3AC5ECBB" w:rsidR="00954CF2" w:rsidRDefault="00954CF2">
          <w:pPr>
            <w:pStyle w:val="TOC2"/>
            <w:tabs>
              <w:tab w:val="right" w:leader="dot" w:pos="9016"/>
            </w:tabs>
            <w:rPr>
              <w:rFonts w:asciiTheme="minorHAnsi" w:eastAsiaTheme="minorEastAsia" w:hAnsiTheme="minorHAnsi"/>
              <w:noProof/>
              <w:lang w:eastAsia="en-GB"/>
            </w:rPr>
          </w:pPr>
          <w:hyperlink w:anchor="_Toc214999097" w:history="1">
            <w:r w:rsidRPr="00385C64">
              <w:rPr>
                <w:rStyle w:val="Hyperlink"/>
                <w:noProof/>
              </w:rPr>
              <w:t>3.9 Service Level Agreements (SLAs)</w:t>
            </w:r>
            <w:r>
              <w:rPr>
                <w:noProof/>
                <w:webHidden/>
              </w:rPr>
              <w:tab/>
            </w:r>
            <w:r>
              <w:rPr>
                <w:noProof/>
                <w:webHidden/>
              </w:rPr>
              <w:fldChar w:fldCharType="begin"/>
            </w:r>
            <w:r>
              <w:rPr>
                <w:noProof/>
                <w:webHidden/>
              </w:rPr>
              <w:instrText xml:space="preserve"> PAGEREF _Toc214999097 \h </w:instrText>
            </w:r>
            <w:r>
              <w:rPr>
                <w:noProof/>
                <w:webHidden/>
              </w:rPr>
            </w:r>
            <w:r>
              <w:rPr>
                <w:noProof/>
                <w:webHidden/>
              </w:rPr>
              <w:fldChar w:fldCharType="separate"/>
            </w:r>
            <w:r>
              <w:rPr>
                <w:noProof/>
                <w:webHidden/>
              </w:rPr>
              <w:t>16</w:t>
            </w:r>
            <w:r>
              <w:rPr>
                <w:noProof/>
                <w:webHidden/>
              </w:rPr>
              <w:fldChar w:fldCharType="end"/>
            </w:r>
          </w:hyperlink>
        </w:p>
        <w:p w14:paraId="1B34833F" w14:textId="636C44D7" w:rsidR="00954CF2" w:rsidRDefault="00954CF2">
          <w:pPr>
            <w:pStyle w:val="TOC1"/>
            <w:tabs>
              <w:tab w:val="right" w:leader="dot" w:pos="9016"/>
            </w:tabs>
            <w:rPr>
              <w:rFonts w:asciiTheme="minorHAnsi" w:eastAsiaTheme="minorEastAsia" w:hAnsiTheme="minorHAnsi"/>
              <w:noProof/>
              <w:lang w:eastAsia="en-GB"/>
            </w:rPr>
          </w:pPr>
          <w:hyperlink w:anchor="_Toc214999098" w:history="1">
            <w:r w:rsidRPr="00385C64">
              <w:rPr>
                <w:rStyle w:val="Hyperlink"/>
                <w:noProof/>
              </w:rPr>
              <w:t>4. Critical Analysis</w:t>
            </w:r>
            <w:r>
              <w:rPr>
                <w:noProof/>
                <w:webHidden/>
              </w:rPr>
              <w:tab/>
            </w:r>
            <w:r>
              <w:rPr>
                <w:noProof/>
                <w:webHidden/>
              </w:rPr>
              <w:fldChar w:fldCharType="begin"/>
            </w:r>
            <w:r>
              <w:rPr>
                <w:noProof/>
                <w:webHidden/>
              </w:rPr>
              <w:instrText xml:space="preserve"> PAGEREF _Toc214999098 \h </w:instrText>
            </w:r>
            <w:r>
              <w:rPr>
                <w:noProof/>
                <w:webHidden/>
              </w:rPr>
            </w:r>
            <w:r>
              <w:rPr>
                <w:noProof/>
                <w:webHidden/>
              </w:rPr>
              <w:fldChar w:fldCharType="separate"/>
            </w:r>
            <w:r>
              <w:rPr>
                <w:noProof/>
                <w:webHidden/>
              </w:rPr>
              <w:t>16</w:t>
            </w:r>
            <w:r>
              <w:rPr>
                <w:noProof/>
                <w:webHidden/>
              </w:rPr>
              <w:fldChar w:fldCharType="end"/>
            </w:r>
          </w:hyperlink>
        </w:p>
        <w:p w14:paraId="489BC28E" w14:textId="686AC2A2" w:rsidR="00954CF2" w:rsidRDefault="00954CF2">
          <w:pPr>
            <w:pStyle w:val="TOC2"/>
            <w:tabs>
              <w:tab w:val="right" w:leader="dot" w:pos="9016"/>
            </w:tabs>
            <w:rPr>
              <w:rFonts w:asciiTheme="minorHAnsi" w:eastAsiaTheme="minorEastAsia" w:hAnsiTheme="minorHAnsi"/>
              <w:noProof/>
              <w:lang w:eastAsia="en-GB"/>
            </w:rPr>
          </w:pPr>
          <w:hyperlink w:anchor="_Toc214999099" w:history="1">
            <w:r w:rsidRPr="00385C64">
              <w:rPr>
                <w:rStyle w:val="Hyperlink"/>
                <w:noProof/>
              </w:rPr>
              <w:t>4.1 The Dynamic Nature of Cybersecurity Threats</w:t>
            </w:r>
            <w:r>
              <w:rPr>
                <w:noProof/>
                <w:webHidden/>
              </w:rPr>
              <w:tab/>
            </w:r>
            <w:r>
              <w:rPr>
                <w:noProof/>
                <w:webHidden/>
              </w:rPr>
              <w:fldChar w:fldCharType="begin"/>
            </w:r>
            <w:r>
              <w:rPr>
                <w:noProof/>
                <w:webHidden/>
              </w:rPr>
              <w:instrText xml:space="preserve"> PAGEREF _Toc214999099 \h </w:instrText>
            </w:r>
            <w:r>
              <w:rPr>
                <w:noProof/>
                <w:webHidden/>
              </w:rPr>
            </w:r>
            <w:r>
              <w:rPr>
                <w:noProof/>
                <w:webHidden/>
              </w:rPr>
              <w:fldChar w:fldCharType="separate"/>
            </w:r>
            <w:r>
              <w:rPr>
                <w:noProof/>
                <w:webHidden/>
              </w:rPr>
              <w:t>16</w:t>
            </w:r>
            <w:r>
              <w:rPr>
                <w:noProof/>
                <w:webHidden/>
              </w:rPr>
              <w:fldChar w:fldCharType="end"/>
            </w:r>
          </w:hyperlink>
        </w:p>
        <w:p w14:paraId="1A83A40B" w14:textId="062841B3" w:rsidR="00954CF2" w:rsidRDefault="00954CF2">
          <w:pPr>
            <w:pStyle w:val="TOC2"/>
            <w:tabs>
              <w:tab w:val="right" w:leader="dot" w:pos="9016"/>
            </w:tabs>
            <w:rPr>
              <w:rFonts w:asciiTheme="minorHAnsi" w:eastAsiaTheme="minorEastAsia" w:hAnsiTheme="minorHAnsi"/>
              <w:noProof/>
              <w:lang w:eastAsia="en-GB"/>
            </w:rPr>
          </w:pPr>
          <w:hyperlink w:anchor="_Toc214999100" w:history="1">
            <w:r w:rsidRPr="00385C64">
              <w:rPr>
                <w:rStyle w:val="Hyperlink"/>
                <w:noProof/>
              </w:rPr>
              <w:t>4.2 Technological Advancement and Regulatory Adaptation</w:t>
            </w:r>
            <w:r>
              <w:rPr>
                <w:noProof/>
                <w:webHidden/>
              </w:rPr>
              <w:tab/>
            </w:r>
            <w:r>
              <w:rPr>
                <w:noProof/>
                <w:webHidden/>
              </w:rPr>
              <w:fldChar w:fldCharType="begin"/>
            </w:r>
            <w:r>
              <w:rPr>
                <w:noProof/>
                <w:webHidden/>
              </w:rPr>
              <w:instrText xml:space="preserve"> PAGEREF _Toc214999100 \h </w:instrText>
            </w:r>
            <w:r>
              <w:rPr>
                <w:noProof/>
                <w:webHidden/>
              </w:rPr>
            </w:r>
            <w:r>
              <w:rPr>
                <w:noProof/>
                <w:webHidden/>
              </w:rPr>
              <w:fldChar w:fldCharType="separate"/>
            </w:r>
            <w:r>
              <w:rPr>
                <w:noProof/>
                <w:webHidden/>
              </w:rPr>
              <w:t>17</w:t>
            </w:r>
            <w:r>
              <w:rPr>
                <w:noProof/>
                <w:webHidden/>
              </w:rPr>
              <w:fldChar w:fldCharType="end"/>
            </w:r>
          </w:hyperlink>
        </w:p>
        <w:p w14:paraId="47390766" w14:textId="639E9608" w:rsidR="00954CF2" w:rsidRDefault="00954CF2">
          <w:pPr>
            <w:pStyle w:val="TOC2"/>
            <w:tabs>
              <w:tab w:val="right" w:leader="dot" w:pos="9016"/>
            </w:tabs>
            <w:rPr>
              <w:rFonts w:asciiTheme="minorHAnsi" w:eastAsiaTheme="minorEastAsia" w:hAnsiTheme="minorHAnsi"/>
              <w:noProof/>
              <w:lang w:eastAsia="en-GB"/>
            </w:rPr>
          </w:pPr>
          <w:hyperlink w:anchor="_Toc214999101" w:history="1">
            <w:r w:rsidRPr="00385C64">
              <w:rPr>
                <w:rStyle w:val="Hyperlink"/>
                <w:noProof/>
              </w:rPr>
              <w:t>4.3 Benefits of Regular Updates to Standards</w:t>
            </w:r>
            <w:r>
              <w:rPr>
                <w:noProof/>
                <w:webHidden/>
              </w:rPr>
              <w:tab/>
            </w:r>
            <w:r>
              <w:rPr>
                <w:noProof/>
                <w:webHidden/>
              </w:rPr>
              <w:fldChar w:fldCharType="begin"/>
            </w:r>
            <w:r>
              <w:rPr>
                <w:noProof/>
                <w:webHidden/>
              </w:rPr>
              <w:instrText xml:space="preserve"> PAGEREF _Toc214999101 \h </w:instrText>
            </w:r>
            <w:r>
              <w:rPr>
                <w:noProof/>
                <w:webHidden/>
              </w:rPr>
            </w:r>
            <w:r>
              <w:rPr>
                <w:noProof/>
                <w:webHidden/>
              </w:rPr>
              <w:fldChar w:fldCharType="separate"/>
            </w:r>
            <w:r>
              <w:rPr>
                <w:noProof/>
                <w:webHidden/>
              </w:rPr>
              <w:t>17</w:t>
            </w:r>
            <w:r>
              <w:rPr>
                <w:noProof/>
                <w:webHidden/>
              </w:rPr>
              <w:fldChar w:fldCharType="end"/>
            </w:r>
          </w:hyperlink>
        </w:p>
        <w:p w14:paraId="71DD9FE1" w14:textId="3FA8E0E1" w:rsidR="00954CF2" w:rsidRDefault="00954CF2">
          <w:pPr>
            <w:pStyle w:val="TOC2"/>
            <w:tabs>
              <w:tab w:val="right" w:leader="dot" w:pos="9016"/>
            </w:tabs>
            <w:rPr>
              <w:rFonts w:asciiTheme="minorHAnsi" w:eastAsiaTheme="minorEastAsia" w:hAnsiTheme="minorHAnsi"/>
              <w:noProof/>
              <w:lang w:eastAsia="en-GB"/>
            </w:rPr>
          </w:pPr>
          <w:hyperlink w:anchor="_Toc214999102" w:history="1">
            <w:r w:rsidRPr="00385C64">
              <w:rPr>
                <w:rStyle w:val="Hyperlink"/>
                <w:noProof/>
              </w:rPr>
              <w:t>4.4 Challenges and Considerations</w:t>
            </w:r>
            <w:r>
              <w:rPr>
                <w:noProof/>
                <w:webHidden/>
              </w:rPr>
              <w:tab/>
            </w:r>
            <w:r>
              <w:rPr>
                <w:noProof/>
                <w:webHidden/>
              </w:rPr>
              <w:fldChar w:fldCharType="begin"/>
            </w:r>
            <w:r>
              <w:rPr>
                <w:noProof/>
                <w:webHidden/>
              </w:rPr>
              <w:instrText xml:space="preserve"> PAGEREF _Toc214999102 \h </w:instrText>
            </w:r>
            <w:r>
              <w:rPr>
                <w:noProof/>
                <w:webHidden/>
              </w:rPr>
            </w:r>
            <w:r>
              <w:rPr>
                <w:noProof/>
                <w:webHidden/>
              </w:rPr>
              <w:fldChar w:fldCharType="separate"/>
            </w:r>
            <w:r>
              <w:rPr>
                <w:noProof/>
                <w:webHidden/>
              </w:rPr>
              <w:t>18</w:t>
            </w:r>
            <w:r>
              <w:rPr>
                <w:noProof/>
                <w:webHidden/>
              </w:rPr>
              <w:fldChar w:fldCharType="end"/>
            </w:r>
          </w:hyperlink>
        </w:p>
        <w:p w14:paraId="5E4B740C" w14:textId="2F51B801" w:rsidR="00954CF2" w:rsidRDefault="00954CF2">
          <w:pPr>
            <w:pStyle w:val="TOC1"/>
            <w:tabs>
              <w:tab w:val="right" w:leader="dot" w:pos="9016"/>
            </w:tabs>
            <w:rPr>
              <w:rFonts w:asciiTheme="minorHAnsi" w:eastAsiaTheme="minorEastAsia" w:hAnsiTheme="minorHAnsi"/>
              <w:noProof/>
              <w:lang w:eastAsia="en-GB"/>
            </w:rPr>
          </w:pPr>
          <w:hyperlink w:anchor="_Toc214999103" w:history="1">
            <w:r w:rsidRPr="00385C64">
              <w:rPr>
                <w:rStyle w:val="Hyperlink"/>
                <w:noProof/>
              </w:rPr>
              <w:t>5. Implementation Roadmap for NatureGreen</w:t>
            </w:r>
            <w:r>
              <w:rPr>
                <w:noProof/>
                <w:webHidden/>
              </w:rPr>
              <w:tab/>
            </w:r>
            <w:r>
              <w:rPr>
                <w:noProof/>
                <w:webHidden/>
              </w:rPr>
              <w:fldChar w:fldCharType="begin"/>
            </w:r>
            <w:r>
              <w:rPr>
                <w:noProof/>
                <w:webHidden/>
              </w:rPr>
              <w:instrText xml:space="preserve"> PAGEREF _Toc214999103 \h </w:instrText>
            </w:r>
            <w:r>
              <w:rPr>
                <w:noProof/>
                <w:webHidden/>
              </w:rPr>
            </w:r>
            <w:r>
              <w:rPr>
                <w:noProof/>
                <w:webHidden/>
              </w:rPr>
              <w:fldChar w:fldCharType="separate"/>
            </w:r>
            <w:r>
              <w:rPr>
                <w:noProof/>
                <w:webHidden/>
              </w:rPr>
              <w:t>18</w:t>
            </w:r>
            <w:r>
              <w:rPr>
                <w:noProof/>
                <w:webHidden/>
              </w:rPr>
              <w:fldChar w:fldCharType="end"/>
            </w:r>
          </w:hyperlink>
        </w:p>
        <w:p w14:paraId="0FAFCD33" w14:textId="20E61388" w:rsidR="00954CF2" w:rsidRDefault="00954CF2">
          <w:pPr>
            <w:pStyle w:val="TOC2"/>
            <w:tabs>
              <w:tab w:val="right" w:leader="dot" w:pos="9016"/>
            </w:tabs>
            <w:rPr>
              <w:rFonts w:asciiTheme="minorHAnsi" w:eastAsiaTheme="minorEastAsia" w:hAnsiTheme="minorHAnsi"/>
              <w:noProof/>
              <w:lang w:eastAsia="en-GB"/>
            </w:rPr>
          </w:pPr>
          <w:hyperlink w:anchor="_Toc214999104" w:history="1">
            <w:r w:rsidRPr="00385C64">
              <w:rPr>
                <w:rStyle w:val="Hyperlink"/>
                <w:noProof/>
              </w:rPr>
              <w:t>5.1 Phased Implementation Approach</w:t>
            </w:r>
            <w:r>
              <w:rPr>
                <w:noProof/>
                <w:webHidden/>
              </w:rPr>
              <w:tab/>
            </w:r>
            <w:r>
              <w:rPr>
                <w:noProof/>
                <w:webHidden/>
              </w:rPr>
              <w:fldChar w:fldCharType="begin"/>
            </w:r>
            <w:r>
              <w:rPr>
                <w:noProof/>
                <w:webHidden/>
              </w:rPr>
              <w:instrText xml:space="preserve"> PAGEREF _Toc214999104 \h </w:instrText>
            </w:r>
            <w:r>
              <w:rPr>
                <w:noProof/>
                <w:webHidden/>
              </w:rPr>
            </w:r>
            <w:r>
              <w:rPr>
                <w:noProof/>
                <w:webHidden/>
              </w:rPr>
              <w:fldChar w:fldCharType="separate"/>
            </w:r>
            <w:r>
              <w:rPr>
                <w:noProof/>
                <w:webHidden/>
              </w:rPr>
              <w:t>18</w:t>
            </w:r>
            <w:r>
              <w:rPr>
                <w:noProof/>
                <w:webHidden/>
              </w:rPr>
              <w:fldChar w:fldCharType="end"/>
            </w:r>
          </w:hyperlink>
        </w:p>
        <w:p w14:paraId="665FD306" w14:textId="3D9A55FB" w:rsidR="00954CF2" w:rsidRDefault="00954CF2">
          <w:pPr>
            <w:pStyle w:val="TOC2"/>
            <w:tabs>
              <w:tab w:val="right" w:leader="dot" w:pos="9016"/>
            </w:tabs>
            <w:rPr>
              <w:rFonts w:asciiTheme="minorHAnsi" w:eastAsiaTheme="minorEastAsia" w:hAnsiTheme="minorHAnsi"/>
              <w:noProof/>
              <w:lang w:eastAsia="en-GB"/>
            </w:rPr>
          </w:pPr>
          <w:hyperlink w:anchor="_Toc214999105" w:history="1">
            <w:r w:rsidRPr="00385C64">
              <w:rPr>
                <w:rStyle w:val="Hyperlink"/>
                <w:noProof/>
              </w:rPr>
              <w:t>5.2 Success Factors and Key Recommendations</w:t>
            </w:r>
            <w:r>
              <w:rPr>
                <w:noProof/>
                <w:webHidden/>
              </w:rPr>
              <w:tab/>
            </w:r>
            <w:r>
              <w:rPr>
                <w:noProof/>
                <w:webHidden/>
              </w:rPr>
              <w:fldChar w:fldCharType="begin"/>
            </w:r>
            <w:r>
              <w:rPr>
                <w:noProof/>
                <w:webHidden/>
              </w:rPr>
              <w:instrText xml:space="preserve"> PAGEREF _Toc214999105 \h </w:instrText>
            </w:r>
            <w:r>
              <w:rPr>
                <w:noProof/>
                <w:webHidden/>
              </w:rPr>
            </w:r>
            <w:r>
              <w:rPr>
                <w:noProof/>
                <w:webHidden/>
              </w:rPr>
              <w:fldChar w:fldCharType="separate"/>
            </w:r>
            <w:r>
              <w:rPr>
                <w:noProof/>
                <w:webHidden/>
              </w:rPr>
              <w:t>19</w:t>
            </w:r>
            <w:r>
              <w:rPr>
                <w:noProof/>
                <w:webHidden/>
              </w:rPr>
              <w:fldChar w:fldCharType="end"/>
            </w:r>
          </w:hyperlink>
        </w:p>
        <w:p w14:paraId="052F818C" w14:textId="322904CE" w:rsidR="00954CF2" w:rsidRDefault="00954CF2">
          <w:pPr>
            <w:pStyle w:val="TOC1"/>
            <w:tabs>
              <w:tab w:val="right" w:leader="dot" w:pos="9016"/>
            </w:tabs>
            <w:rPr>
              <w:rFonts w:asciiTheme="minorHAnsi" w:eastAsiaTheme="minorEastAsia" w:hAnsiTheme="minorHAnsi"/>
              <w:noProof/>
              <w:lang w:eastAsia="en-GB"/>
            </w:rPr>
          </w:pPr>
          <w:hyperlink w:anchor="_Toc214999106" w:history="1">
            <w:r w:rsidRPr="00385C64">
              <w:rPr>
                <w:rStyle w:val="Hyperlink"/>
                <w:noProof/>
              </w:rPr>
              <w:t>6. Conclusion</w:t>
            </w:r>
            <w:r>
              <w:rPr>
                <w:noProof/>
                <w:webHidden/>
              </w:rPr>
              <w:tab/>
            </w:r>
            <w:r>
              <w:rPr>
                <w:noProof/>
                <w:webHidden/>
              </w:rPr>
              <w:fldChar w:fldCharType="begin"/>
            </w:r>
            <w:r>
              <w:rPr>
                <w:noProof/>
                <w:webHidden/>
              </w:rPr>
              <w:instrText xml:space="preserve"> PAGEREF _Toc214999106 \h </w:instrText>
            </w:r>
            <w:r>
              <w:rPr>
                <w:noProof/>
                <w:webHidden/>
              </w:rPr>
            </w:r>
            <w:r>
              <w:rPr>
                <w:noProof/>
                <w:webHidden/>
              </w:rPr>
              <w:fldChar w:fldCharType="separate"/>
            </w:r>
            <w:r>
              <w:rPr>
                <w:noProof/>
                <w:webHidden/>
              </w:rPr>
              <w:t>19</w:t>
            </w:r>
            <w:r>
              <w:rPr>
                <w:noProof/>
                <w:webHidden/>
              </w:rPr>
              <w:fldChar w:fldCharType="end"/>
            </w:r>
          </w:hyperlink>
        </w:p>
        <w:p w14:paraId="0A898EB6" w14:textId="19FFE2DF" w:rsidR="00954CF2" w:rsidRDefault="00954CF2">
          <w:pPr>
            <w:pStyle w:val="TOC1"/>
            <w:tabs>
              <w:tab w:val="right" w:leader="dot" w:pos="9016"/>
            </w:tabs>
            <w:rPr>
              <w:rFonts w:asciiTheme="minorHAnsi" w:eastAsiaTheme="minorEastAsia" w:hAnsiTheme="minorHAnsi"/>
              <w:noProof/>
              <w:lang w:eastAsia="en-GB"/>
            </w:rPr>
          </w:pPr>
          <w:hyperlink w:anchor="_Toc214999107" w:history="1">
            <w:r w:rsidRPr="00385C64">
              <w:rPr>
                <w:rStyle w:val="Hyperlink"/>
                <w:noProof/>
              </w:rPr>
              <w:t>References</w:t>
            </w:r>
            <w:r>
              <w:rPr>
                <w:noProof/>
                <w:webHidden/>
              </w:rPr>
              <w:tab/>
            </w:r>
            <w:r>
              <w:rPr>
                <w:noProof/>
                <w:webHidden/>
              </w:rPr>
              <w:fldChar w:fldCharType="begin"/>
            </w:r>
            <w:r>
              <w:rPr>
                <w:noProof/>
                <w:webHidden/>
              </w:rPr>
              <w:instrText xml:space="preserve"> PAGEREF _Toc214999107 \h </w:instrText>
            </w:r>
            <w:r>
              <w:rPr>
                <w:noProof/>
                <w:webHidden/>
              </w:rPr>
            </w:r>
            <w:r>
              <w:rPr>
                <w:noProof/>
                <w:webHidden/>
              </w:rPr>
              <w:fldChar w:fldCharType="separate"/>
            </w:r>
            <w:r>
              <w:rPr>
                <w:noProof/>
                <w:webHidden/>
              </w:rPr>
              <w:t>20</w:t>
            </w:r>
            <w:r>
              <w:rPr>
                <w:noProof/>
                <w:webHidden/>
              </w:rPr>
              <w:fldChar w:fldCharType="end"/>
            </w:r>
          </w:hyperlink>
        </w:p>
        <w:p w14:paraId="6E38A275" w14:textId="5A348E18" w:rsidR="00BC4EA3" w:rsidRDefault="00BC4EA3">
          <w:r>
            <w:rPr>
              <w:b/>
              <w:bCs/>
            </w:rPr>
            <w:fldChar w:fldCharType="end"/>
          </w:r>
        </w:p>
      </w:sdtContent>
    </w:sdt>
    <w:p w14:paraId="5E99D319" w14:textId="77777777" w:rsidR="00303267" w:rsidRDefault="00303267">
      <w:pPr>
        <w:spacing w:line="278" w:lineRule="auto"/>
        <w:jc w:val="left"/>
      </w:pPr>
      <w:r>
        <w:br w:type="page"/>
      </w:r>
    </w:p>
    <w:p w14:paraId="4E444F22" w14:textId="77777777" w:rsidR="00303267" w:rsidRPr="00206A93" w:rsidRDefault="00303267" w:rsidP="00303267">
      <w:pPr>
        <w:spacing w:line="278" w:lineRule="auto"/>
        <w:jc w:val="left"/>
        <w:rPr>
          <w:b/>
          <w:bCs/>
          <w:sz w:val="32"/>
          <w:szCs w:val="24"/>
        </w:rPr>
      </w:pPr>
      <w:r w:rsidRPr="00206A93">
        <w:rPr>
          <w:b/>
          <w:bCs/>
          <w:sz w:val="32"/>
          <w:szCs w:val="24"/>
        </w:rPr>
        <w:lastRenderedPageBreak/>
        <w:t>List of Figures</w:t>
      </w:r>
    </w:p>
    <w:p w14:paraId="3FD73F47" w14:textId="6EB181E3" w:rsidR="00954CF2" w:rsidRDefault="00303267">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214999108" w:history="1">
        <w:r w:rsidR="00954CF2" w:rsidRPr="00177AAC">
          <w:rPr>
            <w:rStyle w:val="Hyperlink"/>
            <w:noProof/>
          </w:rPr>
          <w:t>Figure 1</w:t>
        </w:r>
        <w:r w:rsidR="00954CF2" w:rsidRPr="00177AAC">
          <w:rPr>
            <w:rStyle w:val="Hyperlink"/>
            <w:noProof/>
            <w:lang w:val="en-US"/>
          </w:rPr>
          <w:t>: Overview of ISO 27001–27002 Framework Relationship</w:t>
        </w:r>
        <w:r w:rsidR="00954CF2">
          <w:rPr>
            <w:noProof/>
            <w:webHidden/>
          </w:rPr>
          <w:tab/>
        </w:r>
        <w:r w:rsidR="00954CF2">
          <w:rPr>
            <w:noProof/>
            <w:webHidden/>
          </w:rPr>
          <w:fldChar w:fldCharType="begin"/>
        </w:r>
        <w:r w:rsidR="00954CF2">
          <w:rPr>
            <w:noProof/>
            <w:webHidden/>
          </w:rPr>
          <w:instrText xml:space="preserve"> PAGEREF _Toc214999108 \h </w:instrText>
        </w:r>
        <w:r w:rsidR="00954CF2">
          <w:rPr>
            <w:noProof/>
            <w:webHidden/>
          </w:rPr>
        </w:r>
        <w:r w:rsidR="00954CF2">
          <w:rPr>
            <w:noProof/>
            <w:webHidden/>
          </w:rPr>
          <w:fldChar w:fldCharType="separate"/>
        </w:r>
        <w:r w:rsidR="00954CF2">
          <w:rPr>
            <w:noProof/>
            <w:webHidden/>
          </w:rPr>
          <w:t>7</w:t>
        </w:r>
        <w:r w:rsidR="00954CF2">
          <w:rPr>
            <w:noProof/>
            <w:webHidden/>
          </w:rPr>
          <w:fldChar w:fldCharType="end"/>
        </w:r>
      </w:hyperlink>
    </w:p>
    <w:p w14:paraId="3FA34E33" w14:textId="25B9C4FB" w:rsidR="00954CF2" w:rsidRDefault="00954CF2">
      <w:pPr>
        <w:pStyle w:val="TableofFigures"/>
        <w:tabs>
          <w:tab w:val="right" w:leader="dot" w:pos="9016"/>
        </w:tabs>
        <w:rPr>
          <w:rFonts w:asciiTheme="minorHAnsi" w:eastAsiaTheme="minorEastAsia" w:hAnsiTheme="minorHAnsi"/>
          <w:noProof/>
          <w:lang w:eastAsia="en-GB"/>
        </w:rPr>
      </w:pPr>
      <w:hyperlink w:anchor="_Toc214999109" w:history="1">
        <w:r w:rsidRPr="00177AAC">
          <w:rPr>
            <w:rStyle w:val="Hyperlink"/>
            <w:noProof/>
          </w:rPr>
          <w:t>Figure 2</w:t>
        </w:r>
        <w:r w:rsidRPr="00177AAC">
          <w:rPr>
            <w:rStyle w:val="Hyperlink"/>
            <w:noProof/>
            <w:lang w:val="en-US"/>
          </w:rPr>
          <w:t>: ITIL Service Lifecycle</w:t>
        </w:r>
        <w:r>
          <w:rPr>
            <w:noProof/>
            <w:webHidden/>
          </w:rPr>
          <w:tab/>
        </w:r>
        <w:r>
          <w:rPr>
            <w:noProof/>
            <w:webHidden/>
          </w:rPr>
          <w:fldChar w:fldCharType="begin"/>
        </w:r>
        <w:r>
          <w:rPr>
            <w:noProof/>
            <w:webHidden/>
          </w:rPr>
          <w:instrText xml:space="preserve"> PAGEREF _Toc214999109 \h </w:instrText>
        </w:r>
        <w:r>
          <w:rPr>
            <w:noProof/>
            <w:webHidden/>
          </w:rPr>
        </w:r>
        <w:r>
          <w:rPr>
            <w:noProof/>
            <w:webHidden/>
          </w:rPr>
          <w:fldChar w:fldCharType="separate"/>
        </w:r>
        <w:r>
          <w:rPr>
            <w:noProof/>
            <w:webHidden/>
          </w:rPr>
          <w:t>9</w:t>
        </w:r>
        <w:r>
          <w:rPr>
            <w:noProof/>
            <w:webHidden/>
          </w:rPr>
          <w:fldChar w:fldCharType="end"/>
        </w:r>
      </w:hyperlink>
    </w:p>
    <w:p w14:paraId="76FBD856" w14:textId="7A98F6FA" w:rsidR="00954CF2" w:rsidRDefault="00954CF2">
      <w:pPr>
        <w:pStyle w:val="TableofFigures"/>
        <w:tabs>
          <w:tab w:val="right" w:leader="dot" w:pos="9016"/>
        </w:tabs>
        <w:rPr>
          <w:rFonts w:asciiTheme="minorHAnsi" w:eastAsiaTheme="minorEastAsia" w:hAnsiTheme="minorHAnsi"/>
          <w:noProof/>
          <w:lang w:eastAsia="en-GB"/>
        </w:rPr>
      </w:pPr>
      <w:hyperlink w:anchor="_Toc214999110" w:history="1">
        <w:r w:rsidRPr="00177AAC">
          <w:rPr>
            <w:rStyle w:val="Hyperlink"/>
            <w:noProof/>
          </w:rPr>
          <w:t>Figure 3</w:t>
        </w:r>
        <w:r w:rsidRPr="00177AAC">
          <w:rPr>
            <w:rStyle w:val="Hyperlink"/>
            <w:noProof/>
            <w:lang w:val="en-US"/>
          </w:rPr>
          <w:t>: Information Security Governance Structure Overview</w:t>
        </w:r>
        <w:r>
          <w:rPr>
            <w:noProof/>
            <w:webHidden/>
          </w:rPr>
          <w:tab/>
        </w:r>
        <w:r>
          <w:rPr>
            <w:noProof/>
            <w:webHidden/>
          </w:rPr>
          <w:fldChar w:fldCharType="begin"/>
        </w:r>
        <w:r>
          <w:rPr>
            <w:noProof/>
            <w:webHidden/>
          </w:rPr>
          <w:instrText xml:space="preserve"> PAGEREF _Toc214999110 \h </w:instrText>
        </w:r>
        <w:r>
          <w:rPr>
            <w:noProof/>
            <w:webHidden/>
          </w:rPr>
        </w:r>
        <w:r>
          <w:rPr>
            <w:noProof/>
            <w:webHidden/>
          </w:rPr>
          <w:fldChar w:fldCharType="separate"/>
        </w:r>
        <w:r>
          <w:rPr>
            <w:noProof/>
            <w:webHidden/>
          </w:rPr>
          <w:t>12</w:t>
        </w:r>
        <w:r>
          <w:rPr>
            <w:noProof/>
            <w:webHidden/>
          </w:rPr>
          <w:fldChar w:fldCharType="end"/>
        </w:r>
      </w:hyperlink>
    </w:p>
    <w:p w14:paraId="36A744F8" w14:textId="3450F284" w:rsidR="00954CF2" w:rsidRDefault="00954CF2">
      <w:pPr>
        <w:pStyle w:val="TableofFigures"/>
        <w:tabs>
          <w:tab w:val="right" w:leader="dot" w:pos="9016"/>
        </w:tabs>
        <w:rPr>
          <w:rFonts w:asciiTheme="minorHAnsi" w:eastAsiaTheme="minorEastAsia" w:hAnsiTheme="minorHAnsi"/>
          <w:noProof/>
          <w:lang w:eastAsia="en-GB"/>
        </w:rPr>
      </w:pPr>
      <w:hyperlink w:anchor="_Toc214999111" w:history="1">
        <w:r w:rsidRPr="00177AAC">
          <w:rPr>
            <w:rStyle w:val="Hyperlink"/>
            <w:noProof/>
          </w:rPr>
          <w:t>Figure 4</w:t>
        </w:r>
        <w:r w:rsidRPr="00177AAC">
          <w:rPr>
            <w:rStyle w:val="Hyperlink"/>
            <w:noProof/>
            <w:lang w:val="en-US"/>
          </w:rPr>
          <w:t>: Comprehensive cyclical framework for risk management</w:t>
        </w:r>
        <w:r>
          <w:rPr>
            <w:noProof/>
            <w:webHidden/>
          </w:rPr>
          <w:tab/>
        </w:r>
        <w:r>
          <w:rPr>
            <w:noProof/>
            <w:webHidden/>
          </w:rPr>
          <w:fldChar w:fldCharType="begin"/>
        </w:r>
        <w:r>
          <w:rPr>
            <w:noProof/>
            <w:webHidden/>
          </w:rPr>
          <w:instrText xml:space="preserve"> PAGEREF _Toc214999111 \h </w:instrText>
        </w:r>
        <w:r>
          <w:rPr>
            <w:noProof/>
            <w:webHidden/>
          </w:rPr>
        </w:r>
        <w:r>
          <w:rPr>
            <w:noProof/>
            <w:webHidden/>
          </w:rPr>
          <w:fldChar w:fldCharType="separate"/>
        </w:r>
        <w:r>
          <w:rPr>
            <w:noProof/>
            <w:webHidden/>
          </w:rPr>
          <w:t>14</w:t>
        </w:r>
        <w:r>
          <w:rPr>
            <w:noProof/>
            <w:webHidden/>
          </w:rPr>
          <w:fldChar w:fldCharType="end"/>
        </w:r>
      </w:hyperlink>
    </w:p>
    <w:p w14:paraId="1FFDAF5C" w14:textId="4A0D9CF5" w:rsidR="00303267" w:rsidRDefault="00303267">
      <w:pPr>
        <w:spacing w:line="278" w:lineRule="auto"/>
        <w:jc w:val="left"/>
      </w:pPr>
      <w:r>
        <w:fldChar w:fldCharType="end"/>
      </w:r>
    </w:p>
    <w:p w14:paraId="3D686440" w14:textId="77777777" w:rsidR="00062E2C" w:rsidRDefault="00303267">
      <w:pPr>
        <w:spacing w:line="278" w:lineRule="auto"/>
        <w:jc w:val="left"/>
        <w:rPr>
          <w:b/>
          <w:bCs/>
          <w:sz w:val="32"/>
          <w:szCs w:val="24"/>
        </w:rPr>
      </w:pPr>
      <w:r w:rsidRPr="00206A93">
        <w:rPr>
          <w:b/>
          <w:bCs/>
          <w:sz w:val="32"/>
          <w:szCs w:val="24"/>
        </w:rPr>
        <w:t>List of Tables</w:t>
      </w:r>
    </w:p>
    <w:p w14:paraId="21B5E7CE" w14:textId="111DB52F" w:rsidR="00A333D0" w:rsidRDefault="00062E2C">
      <w:pPr>
        <w:pStyle w:val="TableofFigures"/>
        <w:tabs>
          <w:tab w:val="right" w:leader="dot" w:pos="9016"/>
        </w:tabs>
        <w:rPr>
          <w:rFonts w:asciiTheme="minorHAnsi" w:eastAsiaTheme="minorEastAsia" w:hAnsiTheme="minorHAnsi"/>
          <w:noProof/>
          <w:lang w:eastAsia="en-GB"/>
        </w:rPr>
      </w:pPr>
      <w:r>
        <w:fldChar w:fldCharType="begin"/>
      </w:r>
      <w:r>
        <w:instrText xml:space="preserve"> TOC \h \z \c "Table" </w:instrText>
      </w:r>
      <w:r>
        <w:fldChar w:fldCharType="separate"/>
      </w:r>
      <w:hyperlink w:anchor="_Toc214999112" w:history="1">
        <w:r w:rsidR="00A333D0" w:rsidRPr="00F2774E">
          <w:rPr>
            <w:rStyle w:val="Hyperlink"/>
            <w:noProof/>
          </w:rPr>
          <w:t>Table 1</w:t>
        </w:r>
        <w:r w:rsidR="00A333D0" w:rsidRPr="00F2774E">
          <w:rPr>
            <w:rStyle w:val="Hyperlink"/>
            <w:noProof/>
            <w:lang w:val="en-US"/>
          </w:rPr>
          <w:t>: ISO 27001 and 27002 domain comparison</w:t>
        </w:r>
        <w:r w:rsidR="00A333D0">
          <w:rPr>
            <w:noProof/>
            <w:webHidden/>
          </w:rPr>
          <w:tab/>
        </w:r>
        <w:r w:rsidR="00A333D0">
          <w:rPr>
            <w:noProof/>
            <w:webHidden/>
          </w:rPr>
          <w:fldChar w:fldCharType="begin"/>
        </w:r>
        <w:r w:rsidR="00A333D0">
          <w:rPr>
            <w:noProof/>
            <w:webHidden/>
          </w:rPr>
          <w:instrText xml:space="preserve"> PAGEREF _Toc214999112 \h </w:instrText>
        </w:r>
        <w:r w:rsidR="00A333D0">
          <w:rPr>
            <w:noProof/>
            <w:webHidden/>
          </w:rPr>
        </w:r>
        <w:r w:rsidR="00A333D0">
          <w:rPr>
            <w:noProof/>
            <w:webHidden/>
          </w:rPr>
          <w:fldChar w:fldCharType="separate"/>
        </w:r>
        <w:r w:rsidR="00A333D0">
          <w:rPr>
            <w:noProof/>
            <w:webHidden/>
          </w:rPr>
          <w:t>7</w:t>
        </w:r>
        <w:r w:rsidR="00A333D0">
          <w:rPr>
            <w:noProof/>
            <w:webHidden/>
          </w:rPr>
          <w:fldChar w:fldCharType="end"/>
        </w:r>
      </w:hyperlink>
    </w:p>
    <w:p w14:paraId="5A8A92F8" w14:textId="4C4D552D" w:rsidR="00A333D0" w:rsidRDefault="00A333D0">
      <w:pPr>
        <w:pStyle w:val="TableofFigures"/>
        <w:tabs>
          <w:tab w:val="right" w:leader="dot" w:pos="9016"/>
        </w:tabs>
        <w:rPr>
          <w:rFonts w:asciiTheme="minorHAnsi" w:eastAsiaTheme="minorEastAsia" w:hAnsiTheme="minorHAnsi"/>
          <w:noProof/>
          <w:lang w:eastAsia="en-GB"/>
        </w:rPr>
      </w:pPr>
      <w:hyperlink w:anchor="_Toc214999113" w:history="1">
        <w:r w:rsidRPr="00F2774E">
          <w:rPr>
            <w:rStyle w:val="Hyperlink"/>
            <w:noProof/>
          </w:rPr>
          <w:t>Table 2</w:t>
        </w:r>
        <w:r w:rsidRPr="00F2774E">
          <w:rPr>
            <w:rStyle w:val="Hyperlink"/>
            <w:noProof/>
            <w:lang w:val="en-US"/>
          </w:rPr>
          <w:t>: Key IT processes and security contributions</w:t>
        </w:r>
        <w:r>
          <w:rPr>
            <w:noProof/>
            <w:webHidden/>
          </w:rPr>
          <w:tab/>
        </w:r>
        <w:r>
          <w:rPr>
            <w:noProof/>
            <w:webHidden/>
          </w:rPr>
          <w:fldChar w:fldCharType="begin"/>
        </w:r>
        <w:r>
          <w:rPr>
            <w:noProof/>
            <w:webHidden/>
          </w:rPr>
          <w:instrText xml:space="preserve"> PAGEREF _Toc214999113 \h </w:instrText>
        </w:r>
        <w:r>
          <w:rPr>
            <w:noProof/>
            <w:webHidden/>
          </w:rPr>
        </w:r>
        <w:r>
          <w:rPr>
            <w:noProof/>
            <w:webHidden/>
          </w:rPr>
          <w:fldChar w:fldCharType="separate"/>
        </w:r>
        <w:r>
          <w:rPr>
            <w:noProof/>
            <w:webHidden/>
          </w:rPr>
          <w:t>8</w:t>
        </w:r>
        <w:r>
          <w:rPr>
            <w:noProof/>
            <w:webHidden/>
          </w:rPr>
          <w:fldChar w:fldCharType="end"/>
        </w:r>
      </w:hyperlink>
    </w:p>
    <w:p w14:paraId="1135095E" w14:textId="442424A7" w:rsidR="00A333D0" w:rsidRDefault="00A333D0">
      <w:pPr>
        <w:pStyle w:val="TableofFigures"/>
        <w:tabs>
          <w:tab w:val="right" w:leader="dot" w:pos="9016"/>
        </w:tabs>
        <w:rPr>
          <w:rFonts w:asciiTheme="minorHAnsi" w:eastAsiaTheme="minorEastAsia" w:hAnsiTheme="minorHAnsi"/>
          <w:noProof/>
          <w:lang w:eastAsia="en-GB"/>
        </w:rPr>
      </w:pPr>
      <w:hyperlink w:anchor="_Toc214999114" w:history="1">
        <w:r w:rsidRPr="00F2774E">
          <w:rPr>
            <w:rStyle w:val="Hyperlink"/>
            <w:noProof/>
          </w:rPr>
          <w:t>Table 3</w:t>
        </w:r>
        <w:r w:rsidRPr="00F2774E">
          <w:rPr>
            <w:rStyle w:val="Hyperlink"/>
            <w:noProof/>
            <w:lang w:val="en-US"/>
          </w:rPr>
          <w:t>: Comparison of major IT security frameworks</w:t>
        </w:r>
        <w:r>
          <w:rPr>
            <w:noProof/>
            <w:webHidden/>
          </w:rPr>
          <w:tab/>
        </w:r>
        <w:r>
          <w:rPr>
            <w:noProof/>
            <w:webHidden/>
          </w:rPr>
          <w:fldChar w:fldCharType="begin"/>
        </w:r>
        <w:r>
          <w:rPr>
            <w:noProof/>
            <w:webHidden/>
          </w:rPr>
          <w:instrText xml:space="preserve"> PAGEREF _Toc214999114 \h </w:instrText>
        </w:r>
        <w:r>
          <w:rPr>
            <w:noProof/>
            <w:webHidden/>
          </w:rPr>
        </w:r>
        <w:r>
          <w:rPr>
            <w:noProof/>
            <w:webHidden/>
          </w:rPr>
          <w:fldChar w:fldCharType="separate"/>
        </w:r>
        <w:r>
          <w:rPr>
            <w:noProof/>
            <w:webHidden/>
          </w:rPr>
          <w:t>10</w:t>
        </w:r>
        <w:r>
          <w:rPr>
            <w:noProof/>
            <w:webHidden/>
          </w:rPr>
          <w:fldChar w:fldCharType="end"/>
        </w:r>
      </w:hyperlink>
    </w:p>
    <w:p w14:paraId="3AB50363" w14:textId="246FB5DF" w:rsidR="00A333D0" w:rsidRDefault="00A333D0">
      <w:pPr>
        <w:pStyle w:val="TableofFigures"/>
        <w:tabs>
          <w:tab w:val="right" w:leader="dot" w:pos="9016"/>
        </w:tabs>
        <w:rPr>
          <w:rFonts w:asciiTheme="minorHAnsi" w:eastAsiaTheme="minorEastAsia" w:hAnsiTheme="minorHAnsi"/>
          <w:noProof/>
          <w:lang w:eastAsia="en-GB"/>
        </w:rPr>
      </w:pPr>
      <w:hyperlink w:anchor="_Toc214999115" w:history="1">
        <w:r w:rsidRPr="00F2774E">
          <w:rPr>
            <w:rStyle w:val="Hyperlink"/>
            <w:noProof/>
          </w:rPr>
          <w:t>Table 4</w:t>
        </w:r>
        <w:r w:rsidRPr="00F2774E">
          <w:rPr>
            <w:rStyle w:val="Hyperlink"/>
            <w:noProof/>
            <w:lang w:val="en-US"/>
          </w:rPr>
          <w:t>: Comparison of framework insights and gaps</w:t>
        </w:r>
        <w:r>
          <w:rPr>
            <w:noProof/>
            <w:webHidden/>
          </w:rPr>
          <w:tab/>
        </w:r>
        <w:r>
          <w:rPr>
            <w:noProof/>
            <w:webHidden/>
          </w:rPr>
          <w:fldChar w:fldCharType="begin"/>
        </w:r>
        <w:r>
          <w:rPr>
            <w:noProof/>
            <w:webHidden/>
          </w:rPr>
          <w:instrText xml:space="preserve"> PAGEREF _Toc214999115 \h </w:instrText>
        </w:r>
        <w:r>
          <w:rPr>
            <w:noProof/>
            <w:webHidden/>
          </w:rPr>
        </w:r>
        <w:r>
          <w:rPr>
            <w:noProof/>
            <w:webHidden/>
          </w:rPr>
          <w:fldChar w:fldCharType="separate"/>
        </w:r>
        <w:r>
          <w:rPr>
            <w:noProof/>
            <w:webHidden/>
          </w:rPr>
          <w:t>11</w:t>
        </w:r>
        <w:r>
          <w:rPr>
            <w:noProof/>
            <w:webHidden/>
          </w:rPr>
          <w:fldChar w:fldCharType="end"/>
        </w:r>
      </w:hyperlink>
    </w:p>
    <w:p w14:paraId="4D4FB532" w14:textId="75C10C84" w:rsidR="00A333D0" w:rsidRDefault="00A333D0">
      <w:pPr>
        <w:pStyle w:val="TableofFigures"/>
        <w:tabs>
          <w:tab w:val="right" w:leader="dot" w:pos="9016"/>
        </w:tabs>
        <w:rPr>
          <w:rFonts w:asciiTheme="minorHAnsi" w:eastAsiaTheme="minorEastAsia" w:hAnsiTheme="minorHAnsi"/>
          <w:noProof/>
          <w:lang w:eastAsia="en-GB"/>
        </w:rPr>
      </w:pPr>
      <w:hyperlink w:anchor="_Toc214999116" w:history="1">
        <w:r w:rsidRPr="00F2774E">
          <w:rPr>
            <w:rStyle w:val="Hyperlink"/>
            <w:noProof/>
          </w:rPr>
          <w:t>Table 5</w:t>
        </w:r>
        <w:r w:rsidRPr="00F2774E">
          <w:rPr>
            <w:rStyle w:val="Hyperlink"/>
            <w:noProof/>
            <w:lang w:val="en-US"/>
          </w:rPr>
          <w:t>: Primary Contributions of Security Frameworks</w:t>
        </w:r>
        <w:r>
          <w:rPr>
            <w:noProof/>
            <w:webHidden/>
          </w:rPr>
          <w:tab/>
        </w:r>
        <w:r>
          <w:rPr>
            <w:noProof/>
            <w:webHidden/>
          </w:rPr>
          <w:fldChar w:fldCharType="begin"/>
        </w:r>
        <w:r>
          <w:rPr>
            <w:noProof/>
            <w:webHidden/>
          </w:rPr>
          <w:instrText xml:space="preserve"> PAGEREF _Toc214999116 \h </w:instrText>
        </w:r>
        <w:r>
          <w:rPr>
            <w:noProof/>
            <w:webHidden/>
          </w:rPr>
        </w:r>
        <w:r>
          <w:rPr>
            <w:noProof/>
            <w:webHidden/>
          </w:rPr>
          <w:fldChar w:fldCharType="separate"/>
        </w:r>
        <w:r>
          <w:rPr>
            <w:noProof/>
            <w:webHidden/>
          </w:rPr>
          <w:t>11</w:t>
        </w:r>
        <w:r>
          <w:rPr>
            <w:noProof/>
            <w:webHidden/>
          </w:rPr>
          <w:fldChar w:fldCharType="end"/>
        </w:r>
      </w:hyperlink>
    </w:p>
    <w:p w14:paraId="05E71CE7" w14:textId="3EEF48C0" w:rsidR="00A333D0" w:rsidRDefault="00A333D0">
      <w:pPr>
        <w:pStyle w:val="TableofFigures"/>
        <w:tabs>
          <w:tab w:val="right" w:leader="dot" w:pos="9016"/>
        </w:tabs>
        <w:rPr>
          <w:rFonts w:asciiTheme="minorHAnsi" w:eastAsiaTheme="minorEastAsia" w:hAnsiTheme="minorHAnsi"/>
          <w:noProof/>
          <w:lang w:eastAsia="en-GB"/>
        </w:rPr>
      </w:pPr>
      <w:hyperlink w:anchor="_Toc214999117" w:history="1">
        <w:r w:rsidRPr="00F2774E">
          <w:rPr>
            <w:rStyle w:val="Hyperlink"/>
            <w:noProof/>
          </w:rPr>
          <w:t>Table 6</w:t>
        </w:r>
        <w:r w:rsidRPr="00F2774E">
          <w:rPr>
            <w:rStyle w:val="Hyperlink"/>
            <w:noProof/>
            <w:lang w:val="en-US"/>
          </w:rPr>
          <w:t>: Information Security Governance Roles and Responsibilities</w:t>
        </w:r>
        <w:r>
          <w:rPr>
            <w:noProof/>
            <w:webHidden/>
          </w:rPr>
          <w:tab/>
        </w:r>
        <w:r>
          <w:rPr>
            <w:noProof/>
            <w:webHidden/>
          </w:rPr>
          <w:fldChar w:fldCharType="begin"/>
        </w:r>
        <w:r>
          <w:rPr>
            <w:noProof/>
            <w:webHidden/>
          </w:rPr>
          <w:instrText xml:space="preserve"> PAGEREF _Toc214999117 \h </w:instrText>
        </w:r>
        <w:r>
          <w:rPr>
            <w:noProof/>
            <w:webHidden/>
          </w:rPr>
        </w:r>
        <w:r>
          <w:rPr>
            <w:noProof/>
            <w:webHidden/>
          </w:rPr>
          <w:fldChar w:fldCharType="separate"/>
        </w:r>
        <w:r>
          <w:rPr>
            <w:noProof/>
            <w:webHidden/>
          </w:rPr>
          <w:t>12</w:t>
        </w:r>
        <w:r>
          <w:rPr>
            <w:noProof/>
            <w:webHidden/>
          </w:rPr>
          <w:fldChar w:fldCharType="end"/>
        </w:r>
      </w:hyperlink>
    </w:p>
    <w:p w14:paraId="0E4C8650" w14:textId="6DCD4117" w:rsidR="00A333D0" w:rsidRDefault="00A333D0">
      <w:pPr>
        <w:pStyle w:val="TableofFigures"/>
        <w:tabs>
          <w:tab w:val="right" w:leader="dot" w:pos="9016"/>
        </w:tabs>
        <w:rPr>
          <w:rFonts w:asciiTheme="minorHAnsi" w:eastAsiaTheme="minorEastAsia" w:hAnsiTheme="minorHAnsi"/>
          <w:noProof/>
          <w:lang w:eastAsia="en-GB"/>
        </w:rPr>
      </w:pPr>
      <w:hyperlink w:anchor="_Toc214999118" w:history="1">
        <w:r w:rsidRPr="00F2774E">
          <w:rPr>
            <w:rStyle w:val="Hyperlink"/>
            <w:noProof/>
          </w:rPr>
          <w:t>Table 7</w:t>
        </w:r>
        <w:r w:rsidRPr="00F2774E">
          <w:rPr>
            <w:rStyle w:val="Hyperlink"/>
            <w:noProof/>
            <w:lang w:val="en-US"/>
          </w:rPr>
          <w:t>: Balanced Scorecard Perspectives for Security KPIs</w:t>
        </w:r>
        <w:r>
          <w:rPr>
            <w:noProof/>
            <w:webHidden/>
          </w:rPr>
          <w:tab/>
        </w:r>
        <w:r>
          <w:rPr>
            <w:noProof/>
            <w:webHidden/>
          </w:rPr>
          <w:fldChar w:fldCharType="begin"/>
        </w:r>
        <w:r>
          <w:rPr>
            <w:noProof/>
            <w:webHidden/>
          </w:rPr>
          <w:instrText xml:space="preserve"> PAGEREF _Toc214999118 \h </w:instrText>
        </w:r>
        <w:r>
          <w:rPr>
            <w:noProof/>
            <w:webHidden/>
          </w:rPr>
        </w:r>
        <w:r>
          <w:rPr>
            <w:noProof/>
            <w:webHidden/>
          </w:rPr>
          <w:fldChar w:fldCharType="separate"/>
        </w:r>
        <w:r>
          <w:rPr>
            <w:noProof/>
            <w:webHidden/>
          </w:rPr>
          <w:t>13</w:t>
        </w:r>
        <w:r>
          <w:rPr>
            <w:noProof/>
            <w:webHidden/>
          </w:rPr>
          <w:fldChar w:fldCharType="end"/>
        </w:r>
      </w:hyperlink>
    </w:p>
    <w:p w14:paraId="28C96DFA" w14:textId="1C7AD1BD" w:rsidR="00A333D0" w:rsidRDefault="00A333D0">
      <w:pPr>
        <w:pStyle w:val="TableofFigures"/>
        <w:tabs>
          <w:tab w:val="right" w:leader="dot" w:pos="9016"/>
        </w:tabs>
        <w:rPr>
          <w:rFonts w:asciiTheme="minorHAnsi" w:eastAsiaTheme="minorEastAsia" w:hAnsiTheme="minorHAnsi"/>
          <w:noProof/>
          <w:lang w:eastAsia="en-GB"/>
        </w:rPr>
      </w:pPr>
      <w:hyperlink w:anchor="_Toc214999119" w:history="1">
        <w:r w:rsidRPr="00F2774E">
          <w:rPr>
            <w:rStyle w:val="Hyperlink"/>
            <w:noProof/>
          </w:rPr>
          <w:t>Table 8</w:t>
        </w:r>
        <w:r w:rsidRPr="00F2774E">
          <w:rPr>
            <w:rStyle w:val="Hyperlink"/>
            <w:noProof/>
            <w:lang w:val="en-US"/>
          </w:rPr>
          <w:t>: Key Security Policy Domains and Priorities</w:t>
        </w:r>
        <w:r>
          <w:rPr>
            <w:noProof/>
            <w:webHidden/>
          </w:rPr>
          <w:tab/>
        </w:r>
        <w:r>
          <w:rPr>
            <w:noProof/>
            <w:webHidden/>
          </w:rPr>
          <w:fldChar w:fldCharType="begin"/>
        </w:r>
        <w:r>
          <w:rPr>
            <w:noProof/>
            <w:webHidden/>
          </w:rPr>
          <w:instrText xml:space="preserve"> PAGEREF _Toc214999119 \h </w:instrText>
        </w:r>
        <w:r>
          <w:rPr>
            <w:noProof/>
            <w:webHidden/>
          </w:rPr>
        </w:r>
        <w:r>
          <w:rPr>
            <w:noProof/>
            <w:webHidden/>
          </w:rPr>
          <w:fldChar w:fldCharType="separate"/>
        </w:r>
        <w:r>
          <w:rPr>
            <w:noProof/>
            <w:webHidden/>
          </w:rPr>
          <w:t>13</w:t>
        </w:r>
        <w:r>
          <w:rPr>
            <w:noProof/>
            <w:webHidden/>
          </w:rPr>
          <w:fldChar w:fldCharType="end"/>
        </w:r>
      </w:hyperlink>
    </w:p>
    <w:p w14:paraId="528CCB2A" w14:textId="07535A7F" w:rsidR="00A333D0" w:rsidRDefault="00A333D0">
      <w:pPr>
        <w:pStyle w:val="TableofFigures"/>
        <w:tabs>
          <w:tab w:val="right" w:leader="dot" w:pos="9016"/>
        </w:tabs>
        <w:rPr>
          <w:rFonts w:asciiTheme="minorHAnsi" w:eastAsiaTheme="minorEastAsia" w:hAnsiTheme="minorHAnsi"/>
          <w:noProof/>
          <w:lang w:eastAsia="en-GB"/>
        </w:rPr>
      </w:pPr>
      <w:hyperlink w:anchor="_Toc214999120" w:history="1">
        <w:r w:rsidRPr="00F2774E">
          <w:rPr>
            <w:rStyle w:val="Hyperlink"/>
            <w:noProof/>
          </w:rPr>
          <w:t>Table 9</w:t>
        </w:r>
        <w:r w:rsidRPr="00F2774E">
          <w:rPr>
            <w:rStyle w:val="Hyperlink"/>
            <w:noProof/>
            <w:lang w:val="en-US"/>
          </w:rPr>
          <w:t>: Key Compliance Areas and Their Focus</w:t>
        </w:r>
        <w:r>
          <w:rPr>
            <w:noProof/>
            <w:webHidden/>
          </w:rPr>
          <w:tab/>
        </w:r>
        <w:r>
          <w:rPr>
            <w:noProof/>
            <w:webHidden/>
          </w:rPr>
          <w:fldChar w:fldCharType="begin"/>
        </w:r>
        <w:r>
          <w:rPr>
            <w:noProof/>
            <w:webHidden/>
          </w:rPr>
          <w:instrText xml:space="preserve"> PAGEREF _Toc214999120 \h </w:instrText>
        </w:r>
        <w:r>
          <w:rPr>
            <w:noProof/>
            <w:webHidden/>
          </w:rPr>
        </w:r>
        <w:r>
          <w:rPr>
            <w:noProof/>
            <w:webHidden/>
          </w:rPr>
          <w:fldChar w:fldCharType="separate"/>
        </w:r>
        <w:r>
          <w:rPr>
            <w:noProof/>
            <w:webHidden/>
          </w:rPr>
          <w:t>15</w:t>
        </w:r>
        <w:r>
          <w:rPr>
            <w:noProof/>
            <w:webHidden/>
          </w:rPr>
          <w:fldChar w:fldCharType="end"/>
        </w:r>
      </w:hyperlink>
    </w:p>
    <w:p w14:paraId="7E5ADEB3" w14:textId="18D2CE6C" w:rsidR="00A333D0" w:rsidRDefault="00A333D0">
      <w:pPr>
        <w:pStyle w:val="TableofFigures"/>
        <w:tabs>
          <w:tab w:val="right" w:leader="dot" w:pos="9016"/>
        </w:tabs>
        <w:rPr>
          <w:rFonts w:asciiTheme="minorHAnsi" w:eastAsiaTheme="minorEastAsia" w:hAnsiTheme="minorHAnsi"/>
          <w:noProof/>
          <w:lang w:eastAsia="en-GB"/>
        </w:rPr>
      </w:pPr>
      <w:hyperlink w:anchor="_Toc214999121" w:history="1">
        <w:r w:rsidRPr="00F2774E">
          <w:rPr>
            <w:rStyle w:val="Hyperlink"/>
            <w:noProof/>
          </w:rPr>
          <w:t>Table 10</w:t>
        </w:r>
        <w:r w:rsidRPr="00F2774E">
          <w:rPr>
            <w:rStyle w:val="Hyperlink"/>
            <w:noProof/>
            <w:lang w:val="en-US"/>
          </w:rPr>
          <w:t>: Core Components of Business Continuity Planning</w:t>
        </w:r>
        <w:r>
          <w:rPr>
            <w:noProof/>
            <w:webHidden/>
          </w:rPr>
          <w:tab/>
        </w:r>
        <w:r>
          <w:rPr>
            <w:noProof/>
            <w:webHidden/>
          </w:rPr>
          <w:fldChar w:fldCharType="begin"/>
        </w:r>
        <w:r>
          <w:rPr>
            <w:noProof/>
            <w:webHidden/>
          </w:rPr>
          <w:instrText xml:space="preserve"> PAGEREF _Toc214999121 \h </w:instrText>
        </w:r>
        <w:r>
          <w:rPr>
            <w:noProof/>
            <w:webHidden/>
          </w:rPr>
        </w:r>
        <w:r>
          <w:rPr>
            <w:noProof/>
            <w:webHidden/>
          </w:rPr>
          <w:fldChar w:fldCharType="separate"/>
        </w:r>
        <w:r>
          <w:rPr>
            <w:noProof/>
            <w:webHidden/>
          </w:rPr>
          <w:t>16</w:t>
        </w:r>
        <w:r>
          <w:rPr>
            <w:noProof/>
            <w:webHidden/>
          </w:rPr>
          <w:fldChar w:fldCharType="end"/>
        </w:r>
      </w:hyperlink>
    </w:p>
    <w:p w14:paraId="7F1E6E10" w14:textId="0EDA7AA8" w:rsidR="00A333D0" w:rsidRDefault="00A333D0">
      <w:pPr>
        <w:pStyle w:val="TableofFigures"/>
        <w:tabs>
          <w:tab w:val="right" w:leader="dot" w:pos="9016"/>
        </w:tabs>
        <w:rPr>
          <w:rFonts w:asciiTheme="minorHAnsi" w:eastAsiaTheme="minorEastAsia" w:hAnsiTheme="minorHAnsi"/>
          <w:noProof/>
          <w:lang w:eastAsia="en-GB"/>
        </w:rPr>
      </w:pPr>
      <w:hyperlink w:anchor="_Toc214999122" w:history="1">
        <w:r w:rsidRPr="00F2774E">
          <w:rPr>
            <w:rStyle w:val="Hyperlink"/>
            <w:noProof/>
          </w:rPr>
          <w:t>Table 11</w:t>
        </w:r>
        <w:r w:rsidRPr="00F2774E">
          <w:rPr>
            <w:rStyle w:val="Hyperlink"/>
            <w:noProof/>
            <w:lang w:val="en-US"/>
          </w:rPr>
          <w:t>: Regulatory needs driven by emerging technologies</w:t>
        </w:r>
        <w:r>
          <w:rPr>
            <w:noProof/>
            <w:webHidden/>
          </w:rPr>
          <w:tab/>
        </w:r>
        <w:r>
          <w:rPr>
            <w:noProof/>
            <w:webHidden/>
          </w:rPr>
          <w:fldChar w:fldCharType="begin"/>
        </w:r>
        <w:r>
          <w:rPr>
            <w:noProof/>
            <w:webHidden/>
          </w:rPr>
          <w:instrText xml:space="preserve"> PAGEREF _Toc214999122 \h </w:instrText>
        </w:r>
        <w:r>
          <w:rPr>
            <w:noProof/>
            <w:webHidden/>
          </w:rPr>
        </w:r>
        <w:r>
          <w:rPr>
            <w:noProof/>
            <w:webHidden/>
          </w:rPr>
          <w:fldChar w:fldCharType="separate"/>
        </w:r>
        <w:r>
          <w:rPr>
            <w:noProof/>
            <w:webHidden/>
          </w:rPr>
          <w:t>17</w:t>
        </w:r>
        <w:r>
          <w:rPr>
            <w:noProof/>
            <w:webHidden/>
          </w:rPr>
          <w:fldChar w:fldCharType="end"/>
        </w:r>
      </w:hyperlink>
    </w:p>
    <w:p w14:paraId="4D715186" w14:textId="12CFB620" w:rsidR="00A333D0" w:rsidRDefault="00A333D0">
      <w:pPr>
        <w:pStyle w:val="TableofFigures"/>
        <w:tabs>
          <w:tab w:val="right" w:leader="dot" w:pos="9016"/>
        </w:tabs>
        <w:rPr>
          <w:rFonts w:asciiTheme="minorHAnsi" w:eastAsiaTheme="minorEastAsia" w:hAnsiTheme="minorHAnsi"/>
          <w:noProof/>
          <w:lang w:eastAsia="en-GB"/>
        </w:rPr>
      </w:pPr>
      <w:hyperlink w:anchor="_Toc214999123" w:history="1">
        <w:r w:rsidRPr="00F2774E">
          <w:rPr>
            <w:rStyle w:val="Hyperlink"/>
            <w:noProof/>
          </w:rPr>
          <w:t>Table 12</w:t>
        </w:r>
        <w:r w:rsidRPr="00F2774E">
          <w:rPr>
            <w:rStyle w:val="Hyperlink"/>
            <w:noProof/>
            <w:lang w:val="en-US"/>
          </w:rPr>
          <w:t>: Phased roadmap for enhancing security maturity</w:t>
        </w:r>
        <w:r>
          <w:rPr>
            <w:noProof/>
            <w:webHidden/>
          </w:rPr>
          <w:tab/>
        </w:r>
        <w:r>
          <w:rPr>
            <w:noProof/>
            <w:webHidden/>
          </w:rPr>
          <w:fldChar w:fldCharType="begin"/>
        </w:r>
        <w:r>
          <w:rPr>
            <w:noProof/>
            <w:webHidden/>
          </w:rPr>
          <w:instrText xml:space="preserve"> PAGEREF _Toc214999123 \h </w:instrText>
        </w:r>
        <w:r>
          <w:rPr>
            <w:noProof/>
            <w:webHidden/>
          </w:rPr>
        </w:r>
        <w:r>
          <w:rPr>
            <w:noProof/>
            <w:webHidden/>
          </w:rPr>
          <w:fldChar w:fldCharType="separate"/>
        </w:r>
        <w:r>
          <w:rPr>
            <w:noProof/>
            <w:webHidden/>
          </w:rPr>
          <w:t>18</w:t>
        </w:r>
        <w:r>
          <w:rPr>
            <w:noProof/>
            <w:webHidden/>
          </w:rPr>
          <w:fldChar w:fldCharType="end"/>
        </w:r>
      </w:hyperlink>
    </w:p>
    <w:p w14:paraId="746F50C8" w14:textId="0F51694F" w:rsidR="00727516" w:rsidRDefault="00062E2C">
      <w:pPr>
        <w:spacing w:line="278" w:lineRule="auto"/>
        <w:jc w:val="left"/>
      </w:pPr>
      <w:r>
        <w:fldChar w:fldCharType="end"/>
      </w:r>
      <w:r w:rsidR="00303267">
        <w:t xml:space="preserve"> </w:t>
      </w:r>
      <w:r w:rsidR="00727516">
        <w:br w:type="page"/>
      </w:r>
    </w:p>
    <w:p w14:paraId="2354DA27" w14:textId="14400FE0" w:rsidR="00B1293A" w:rsidRDefault="00727516" w:rsidP="00742729">
      <w:pPr>
        <w:pStyle w:val="Heading1"/>
      </w:pPr>
      <w:bookmarkStart w:id="1" w:name="_Toc214999079"/>
      <w:r>
        <w:lastRenderedPageBreak/>
        <w:t>1</w:t>
      </w:r>
      <w:r w:rsidRPr="00727516">
        <w:t>. Introduction</w:t>
      </w:r>
      <w:bookmarkEnd w:id="1"/>
    </w:p>
    <w:p w14:paraId="0E526C73" w14:textId="77777777" w:rsidR="00727516" w:rsidRDefault="00727516" w:rsidP="00742729">
      <w:pPr>
        <w:pStyle w:val="Heading2"/>
      </w:pPr>
      <w:bookmarkStart w:id="2" w:name="_Toc214999080"/>
      <w:r>
        <w:t>1.1 Background and Context</w:t>
      </w:r>
      <w:bookmarkEnd w:id="2"/>
    </w:p>
    <w:p w14:paraId="1292B1E9" w14:textId="47EDC5D3" w:rsidR="00727516" w:rsidRDefault="00727516" w:rsidP="00727516">
      <w:r>
        <w:t>NatureGreen (NG) is an international company, which deals in products that help in maintaining a healthy lifestyle, and it is termed to be among the most desired brands throughout the world, having vast global business activities and effective internet and social media connectivity. It is a sensitive network with cloud-based services providing services to its staff and customers and the majority of the network connections are wireless (around 95</w:t>
      </w:r>
      <w:r w:rsidR="00B56A1C">
        <w:t>%</w:t>
      </w:r>
      <w:r>
        <w:t>). NG is putting a severe strain on both employees and customers to allow them to use their own devices to access corporate resources, which adds to complex bring your own device (BYOD) risks. Meanwhile, the organisation has to expose vast amounts of staff and customer information and defend the intellectual property worth billions, but it is currently functioning without a formal security policy framework and its information protection policies are chaotic.</w:t>
      </w:r>
    </w:p>
    <w:p w14:paraId="20BFEAF9" w14:textId="77777777" w:rsidR="00727516" w:rsidRDefault="00727516" w:rsidP="00742729">
      <w:pPr>
        <w:pStyle w:val="Heading2"/>
      </w:pPr>
      <w:bookmarkStart w:id="3" w:name="_Toc214999081"/>
      <w:r>
        <w:t>1.2 Purpose and Scope</w:t>
      </w:r>
      <w:bookmarkEnd w:id="3"/>
    </w:p>
    <w:p w14:paraId="67AE376E" w14:textId="35D7FE2B" w:rsidR="00727516" w:rsidRDefault="00727516" w:rsidP="00727516">
      <w:r>
        <w:t>This consultancy report would be aimed at applying best principles and practices of data security, governance and compliance to the situation presented in NatureGreen and suggest a logical security governance strategy that can resolve the identified weaknesses. The report is based on the studies of the known security frameworks and models such as ISO 27000 and ITIL, and utilises the literature to make the appropriate organisational security framework and discuss the changing regulations and standards equations. The building blocks will include a review of applicant frameworks, NG specific framework, critical analysis of regulatory change, and implementation roadmap.</w:t>
      </w:r>
    </w:p>
    <w:p w14:paraId="21916AE1" w14:textId="77777777" w:rsidR="00727516" w:rsidRDefault="00727516" w:rsidP="00742729">
      <w:pPr>
        <w:pStyle w:val="Heading2"/>
      </w:pPr>
      <w:bookmarkStart w:id="4" w:name="_Toc214999082"/>
      <w:r>
        <w:t>1.3 Key Assumptions</w:t>
      </w:r>
      <w:bookmarkEnd w:id="4"/>
    </w:p>
    <w:p w14:paraId="3C86EB74" w14:textId="62BDED23" w:rsidR="00727516" w:rsidRDefault="00727516" w:rsidP="00727516">
      <w:r>
        <w:t>This report is limited to the facts given in the description of the NatureGreen case, and it considers them to be a true reflection of the way NG presently has its environment of the world, consisting of the cloud and wire-based system. It does not assume prior, formal information security policies or governance arrangements other than that which is mentioned expressly and does not bring about vendor-specific technology or architecture details which are not documented. Additional assumptions needed to complete the detailed design are going to be mentioned specifically in subsequent sections and distinctly dissociated with the facts of the scenario.</w:t>
      </w:r>
    </w:p>
    <w:p w14:paraId="54363E09" w14:textId="77777777" w:rsidR="00AA767C" w:rsidRDefault="00AA767C" w:rsidP="00727516"/>
    <w:p w14:paraId="2ADC3696" w14:textId="6CB3E2B2" w:rsidR="00217FF2" w:rsidRDefault="00217FF2" w:rsidP="007111E7">
      <w:pPr>
        <w:pStyle w:val="Heading1"/>
      </w:pPr>
      <w:bookmarkStart w:id="5" w:name="_Toc214999083"/>
      <w:r>
        <w:lastRenderedPageBreak/>
        <w:t>2</w:t>
      </w:r>
      <w:r w:rsidRPr="00217FF2">
        <w:t>. Literature Review: Security Frameworks and Models</w:t>
      </w:r>
      <w:bookmarkEnd w:id="5"/>
    </w:p>
    <w:p w14:paraId="458F8642" w14:textId="19946AF9" w:rsidR="00217FF2" w:rsidRDefault="00217FF2" w:rsidP="007111E7">
      <w:pPr>
        <w:pStyle w:val="Heading2"/>
      </w:pPr>
      <w:bookmarkStart w:id="6" w:name="_Toc214999084"/>
      <w:r w:rsidRPr="00217FF2">
        <w:t>2.1 International Organization for Standardization (ISO 27000 Series)</w:t>
      </w:r>
      <w:bookmarkEnd w:id="6"/>
    </w:p>
    <w:p w14:paraId="064A9C2B" w14:textId="3B7F2EEB" w:rsidR="00AA767C" w:rsidRDefault="00AA767C" w:rsidP="00AA767C">
      <w:r>
        <w:t>The family of ISO/IEC 27000 specifies a risk-based, structured method of information security management, and is based on an Information Security Management System (ISMS). It spells out the mandatory management-system requirement (context, leadership, planning, support, operation, performance evaluation and improvement) and an Annex of reference controls (ISO/IEC 27001). ISO/IEC 27002 helps this by giving specific implementation advice on these controls, grouped into thematic areas including asset management, access control, operations security and communications security</w:t>
      </w:r>
      <w:r w:rsidR="000063EA">
        <w:t xml:space="preserve"> </w:t>
      </w:r>
      <w:r w:rsidR="000063EA">
        <w:fldChar w:fldCharType="begin"/>
      </w:r>
      <w:r w:rsidR="000063EA">
        <w:instrText xml:space="preserve"> ADDIN ZOTERO_ITEM CSL_CITATION {"citationID":"JFA2Npd6","properties":{"formattedCitation":"(Alejandro et al., 2023; Disterer, 2013)","plainCitation":"(Alejandro et al., 2023; Disterer, 2013)","noteIndex":0},"citationItems":[{"id":348,"uris":["http://zotero.org/users/local/0vF7XRbV/items/QDKVD39Y"],"itemData":{"id":348,"type":"article-journal","container-title":"MethodsX","DOI":"10.1016/j.mex.2023.102010","ISSN":"22150161","journalAbbreviation":"MethodsX","language":"en","page":"102010","source":"DOI.org (Crossref)","title":"Constructing an architecture-based cybersecurity solution for a system","volume":"10","author":[{"family":"Alejandro","given":"Mora-Castro"},{"family":"Andrés","given":"González-Herrera"},{"family":"Ricardo","given":"Villalón-Fonseca"}],"issued":{"date-parts":[["2023"]]}}},{"id":349,"uris":["http://zotero.org/users/local/0vF7XRbV/items/3WEYURQS"],"itemData":{"id":349,"type":"article-journal","container-title":"Journal of Information Security","DOI":"10.4236/jis.2013.42011","ISSN":"2153-1234, 2153-1242","issue":"02","journalAbbreviation":"JIS","license":"http://creativecommons.org/licenses/by/4.0/","page":"92-100","source":"DOI.org (Crossref)","title":"ISO/IEC 27000, 27001 and 27002 for Information Security Management","volume":"04","author":[{"family":"Disterer","given":"Georg"}],"issued":{"date-parts":[["2013"]]}}}],"schema":"https://github.com/citation-style-language/schema/raw/master/csl-citation.json"} </w:instrText>
      </w:r>
      <w:r w:rsidR="000063EA">
        <w:fldChar w:fldCharType="separate"/>
      </w:r>
      <w:r w:rsidR="000063EA" w:rsidRPr="000063EA">
        <w:rPr>
          <w:rFonts w:cs="Times New Roman"/>
        </w:rPr>
        <w:t>(Alejandro et al., 2023; Disterer, 2013)</w:t>
      </w:r>
      <w:r w:rsidR="000063EA">
        <w:fldChar w:fldCharType="end"/>
      </w:r>
      <w:r>
        <w:t xml:space="preserve">. </w:t>
      </w:r>
    </w:p>
    <w:p w14:paraId="06D48BAF" w14:textId="7407E100" w:rsidR="00D044DA" w:rsidRDefault="00D044DA" w:rsidP="00D044DA">
      <w:pPr>
        <w:pStyle w:val="Caption"/>
        <w:keepNext/>
      </w:pPr>
      <w:bookmarkStart w:id="7" w:name="_Toc214999112"/>
      <w:r>
        <w:t xml:space="preserve">Table </w:t>
      </w:r>
      <w:r>
        <w:fldChar w:fldCharType="begin"/>
      </w:r>
      <w:r>
        <w:instrText xml:space="preserve"> SEQ Table \* ARABIC </w:instrText>
      </w:r>
      <w:r>
        <w:fldChar w:fldCharType="separate"/>
      </w:r>
      <w:r w:rsidR="0078774E">
        <w:rPr>
          <w:noProof/>
        </w:rPr>
        <w:t>1</w:t>
      </w:r>
      <w:r>
        <w:fldChar w:fldCharType="end"/>
      </w:r>
      <w:r>
        <w:rPr>
          <w:lang w:val="en-US"/>
        </w:rPr>
        <w:t xml:space="preserve">: </w:t>
      </w:r>
      <w:r w:rsidRPr="00DB44C3">
        <w:rPr>
          <w:lang w:val="en-US"/>
        </w:rPr>
        <w:t>ISO 27001 and 27002 domain comparison</w:t>
      </w:r>
      <w:bookmarkEnd w:id="7"/>
    </w:p>
    <w:tbl>
      <w:tblPr>
        <w:tblStyle w:val="GridTable4-Accent1"/>
        <w:tblW w:w="0" w:type="auto"/>
        <w:tblLook w:val="04A0" w:firstRow="1" w:lastRow="0" w:firstColumn="1" w:lastColumn="0" w:noHBand="0" w:noVBand="1"/>
      </w:tblPr>
      <w:tblGrid>
        <w:gridCol w:w="2405"/>
        <w:gridCol w:w="3402"/>
        <w:gridCol w:w="3209"/>
      </w:tblGrid>
      <w:tr w:rsidR="00AA767C" w14:paraId="7149F982" w14:textId="77777777" w:rsidTr="00B103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1A5C6C52" w14:textId="27E3BF03" w:rsidR="00AA767C" w:rsidRPr="00AA767C" w:rsidRDefault="00AA767C" w:rsidP="00AA767C">
            <w:pPr>
              <w:jc w:val="center"/>
              <w:rPr>
                <w:rFonts w:cs="Times New Roman"/>
              </w:rPr>
            </w:pPr>
            <w:r w:rsidRPr="00AA767C">
              <w:rPr>
                <w:rFonts w:cs="Times New Roman"/>
                <w:b w:val="0"/>
                <w:bCs w:val="0"/>
              </w:rPr>
              <w:t>Domain</w:t>
            </w:r>
          </w:p>
        </w:tc>
        <w:tc>
          <w:tcPr>
            <w:tcW w:w="3402" w:type="dxa"/>
          </w:tcPr>
          <w:p w14:paraId="66B451C4" w14:textId="6723AEF4" w:rsidR="00AA767C" w:rsidRPr="00AA767C" w:rsidRDefault="00AA767C" w:rsidP="00AA767C">
            <w:pPr>
              <w:jc w:val="center"/>
              <w:cnfStyle w:val="100000000000" w:firstRow="1" w:lastRow="0" w:firstColumn="0" w:lastColumn="0" w:oddVBand="0" w:evenVBand="0" w:oddHBand="0" w:evenHBand="0" w:firstRowFirstColumn="0" w:firstRowLastColumn="0" w:lastRowFirstColumn="0" w:lastRowLastColumn="0"/>
              <w:rPr>
                <w:rFonts w:cs="Times New Roman"/>
              </w:rPr>
            </w:pPr>
            <w:r w:rsidRPr="00AA767C">
              <w:rPr>
                <w:rFonts w:cs="Times New Roman"/>
                <w:b w:val="0"/>
                <w:bCs w:val="0"/>
              </w:rPr>
              <w:t>ISO 27001 focus (Annex A)</w:t>
            </w:r>
          </w:p>
        </w:tc>
        <w:tc>
          <w:tcPr>
            <w:tcW w:w="3209" w:type="dxa"/>
          </w:tcPr>
          <w:p w14:paraId="2EB1AD16" w14:textId="5EFBB0D0" w:rsidR="00AA767C" w:rsidRPr="00AA767C" w:rsidRDefault="00AA767C" w:rsidP="00AA767C">
            <w:pPr>
              <w:jc w:val="center"/>
              <w:cnfStyle w:val="100000000000" w:firstRow="1" w:lastRow="0" w:firstColumn="0" w:lastColumn="0" w:oddVBand="0" w:evenVBand="0" w:oddHBand="0" w:evenHBand="0" w:firstRowFirstColumn="0" w:firstRowLastColumn="0" w:lastRowFirstColumn="0" w:lastRowLastColumn="0"/>
              <w:rPr>
                <w:rFonts w:cs="Times New Roman"/>
              </w:rPr>
            </w:pPr>
            <w:r w:rsidRPr="00AA767C">
              <w:rPr>
                <w:rFonts w:cs="Times New Roman"/>
                <w:b w:val="0"/>
                <w:bCs w:val="0"/>
              </w:rPr>
              <w:t>ISO 27002 example controls</w:t>
            </w:r>
          </w:p>
        </w:tc>
      </w:tr>
      <w:tr w:rsidR="00AA767C" w14:paraId="380FBC49" w14:textId="77777777" w:rsidTr="00B103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DF5EC3C" w14:textId="78BB0429" w:rsidR="00AA767C" w:rsidRPr="00AA767C" w:rsidRDefault="00AA767C" w:rsidP="00AA767C">
            <w:pPr>
              <w:jc w:val="left"/>
              <w:rPr>
                <w:rFonts w:cs="Times New Roman"/>
              </w:rPr>
            </w:pPr>
            <w:r w:rsidRPr="00AA767C">
              <w:rPr>
                <w:rFonts w:cs="Times New Roman"/>
              </w:rPr>
              <w:t>Organisation &amp; governance</w:t>
            </w:r>
          </w:p>
        </w:tc>
        <w:tc>
          <w:tcPr>
            <w:tcW w:w="3402" w:type="dxa"/>
          </w:tcPr>
          <w:p w14:paraId="1E7484F4" w14:textId="399B889D" w:rsidR="00AA767C" w:rsidRPr="00AA767C" w:rsidRDefault="00AA767C" w:rsidP="00AA767C">
            <w:pPr>
              <w:jc w:val="left"/>
              <w:cnfStyle w:val="000000100000" w:firstRow="0" w:lastRow="0" w:firstColumn="0" w:lastColumn="0" w:oddVBand="0" w:evenVBand="0" w:oddHBand="1" w:evenHBand="0" w:firstRowFirstColumn="0" w:firstRowLastColumn="0" w:lastRowFirstColumn="0" w:lastRowLastColumn="0"/>
              <w:rPr>
                <w:rFonts w:cs="Times New Roman"/>
              </w:rPr>
            </w:pPr>
            <w:r w:rsidRPr="00AA767C">
              <w:rPr>
                <w:rFonts w:cs="Times New Roman"/>
              </w:rPr>
              <w:t>Information security policies, roles, ISMS</w:t>
            </w:r>
          </w:p>
        </w:tc>
        <w:tc>
          <w:tcPr>
            <w:tcW w:w="3209" w:type="dxa"/>
          </w:tcPr>
          <w:p w14:paraId="771D3F3B" w14:textId="1ED4C248" w:rsidR="00AA767C" w:rsidRPr="00AA767C" w:rsidRDefault="00AA767C" w:rsidP="00AA767C">
            <w:pPr>
              <w:jc w:val="left"/>
              <w:cnfStyle w:val="000000100000" w:firstRow="0" w:lastRow="0" w:firstColumn="0" w:lastColumn="0" w:oddVBand="0" w:evenVBand="0" w:oddHBand="1" w:evenHBand="0" w:firstRowFirstColumn="0" w:firstRowLastColumn="0" w:lastRowFirstColumn="0" w:lastRowLastColumn="0"/>
              <w:rPr>
                <w:rFonts w:cs="Times New Roman"/>
              </w:rPr>
            </w:pPr>
            <w:r w:rsidRPr="00AA767C">
              <w:rPr>
                <w:rFonts w:cs="Times New Roman"/>
              </w:rPr>
              <w:t>Policy management, segregation of duties</w:t>
            </w:r>
          </w:p>
        </w:tc>
      </w:tr>
      <w:tr w:rsidR="00AA767C" w14:paraId="3C421518" w14:textId="77777777" w:rsidTr="00B10358">
        <w:tc>
          <w:tcPr>
            <w:cnfStyle w:val="001000000000" w:firstRow="0" w:lastRow="0" w:firstColumn="1" w:lastColumn="0" w:oddVBand="0" w:evenVBand="0" w:oddHBand="0" w:evenHBand="0" w:firstRowFirstColumn="0" w:firstRowLastColumn="0" w:lastRowFirstColumn="0" w:lastRowLastColumn="0"/>
            <w:tcW w:w="2405" w:type="dxa"/>
          </w:tcPr>
          <w:p w14:paraId="4EB70E1E" w14:textId="632E166D" w:rsidR="00AA767C" w:rsidRPr="00AA767C" w:rsidRDefault="00AA767C" w:rsidP="00AA767C">
            <w:pPr>
              <w:jc w:val="left"/>
              <w:rPr>
                <w:rFonts w:cs="Times New Roman"/>
              </w:rPr>
            </w:pPr>
            <w:r w:rsidRPr="00AA767C">
              <w:rPr>
                <w:rFonts w:cs="Times New Roman"/>
              </w:rPr>
              <w:t>Asset &amp; access management</w:t>
            </w:r>
          </w:p>
        </w:tc>
        <w:tc>
          <w:tcPr>
            <w:tcW w:w="3402" w:type="dxa"/>
          </w:tcPr>
          <w:p w14:paraId="5FA56751" w14:textId="7A1F3E5E" w:rsidR="00AA767C" w:rsidRPr="00AA767C" w:rsidRDefault="00AA767C" w:rsidP="00AA767C">
            <w:pPr>
              <w:jc w:val="left"/>
              <w:cnfStyle w:val="000000000000" w:firstRow="0" w:lastRow="0" w:firstColumn="0" w:lastColumn="0" w:oddVBand="0" w:evenVBand="0" w:oddHBand="0" w:evenHBand="0" w:firstRowFirstColumn="0" w:firstRowLastColumn="0" w:lastRowFirstColumn="0" w:lastRowLastColumn="0"/>
              <w:rPr>
                <w:rFonts w:cs="Times New Roman"/>
              </w:rPr>
            </w:pPr>
            <w:r w:rsidRPr="00AA767C">
              <w:rPr>
                <w:rFonts w:cs="Times New Roman"/>
              </w:rPr>
              <w:t>Asset inventory, access control</w:t>
            </w:r>
          </w:p>
        </w:tc>
        <w:tc>
          <w:tcPr>
            <w:tcW w:w="3209" w:type="dxa"/>
          </w:tcPr>
          <w:p w14:paraId="67798722" w14:textId="1BA89622" w:rsidR="00AA767C" w:rsidRPr="00AA767C" w:rsidRDefault="00AA767C" w:rsidP="00AA767C">
            <w:pPr>
              <w:jc w:val="left"/>
              <w:cnfStyle w:val="000000000000" w:firstRow="0" w:lastRow="0" w:firstColumn="0" w:lastColumn="0" w:oddVBand="0" w:evenVBand="0" w:oddHBand="0" w:evenHBand="0" w:firstRowFirstColumn="0" w:firstRowLastColumn="0" w:lastRowFirstColumn="0" w:lastRowLastColumn="0"/>
              <w:rPr>
                <w:rFonts w:cs="Times New Roman"/>
              </w:rPr>
            </w:pPr>
            <w:r w:rsidRPr="00AA767C">
              <w:rPr>
                <w:rFonts w:cs="Times New Roman"/>
              </w:rPr>
              <w:t>Classification, least privilege, authentication</w:t>
            </w:r>
          </w:p>
        </w:tc>
      </w:tr>
      <w:tr w:rsidR="00AA767C" w14:paraId="781F1969" w14:textId="77777777" w:rsidTr="00B103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E300938" w14:textId="2D94651A" w:rsidR="00AA767C" w:rsidRPr="00AA767C" w:rsidRDefault="00AA767C" w:rsidP="00AA767C">
            <w:pPr>
              <w:jc w:val="left"/>
              <w:rPr>
                <w:rFonts w:cs="Times New Roman"/>
              </w:rPr>
            </w:pPr>
            <w:r w:rsidRPr="00AA767C">
              <w:rPr>
                <w:rFonts w:cs="Times New Roman"/>
              </w:rPr>
              <w:t>Operations &amp; communications</w:t>
            </w:r>
          </w:p>
        </w:tc>
        <w:tc>
          <w:tcPr>
            <w:tcW w:w="3402" w:type="dxa"/>
          </w:tcPr>
          <w:p w14:paraId="23DE7878" w14:textId="30F76C9D" w:rsidR="00AA767C" w:rsidRPr="00AA767C" w:rsidRDefault="00AA767C" w:rsidP="00AA767C">
            <w:pPr>
              <w:jc w:val="left"/>
              <w:cnfStyle w:val="000000100000" w:firstRow="0" w:lastRow="0" w:firstColumn="0" w:lastColumn="0" w:oddVBand="0" w:evenVBand="0" w:oddHBand="1" w:evenHBand="0" w:firstRowFirstColumn="0" w:firstRowLastColumn="0" w:lastRowFirstColumn="0" w:lastRowLastColumn="0"/>
              <w:rPr>
                <w:rFonts w:cs="Times New Roman"/>
              </w:rPr>
            </w:pPr>
            <w:r w:rsidRPr="00AA767C">
              <w:rPr>
                <w:rFonts w:cs="Times New Roman"/>
              </w:rPr>
              <w:t>Operations security, network security</w:t>
            </w:r>
          </w:p>
        </w:tc>
        <w:tc>
          <w:tcPr>
            <w:tcW w:w="3209" w:type="dxa"/>
          </w:tcPr>
          <w:p w14:paraId="28C0663E" w14:textId="1F0E9888" w:rsidR="00AA767C" w:rsidRPr="00AA767C" w:rsidRDefault="00AA767C" w:rsidP="00AA767C">
            <w:pPr>
              <w:jc w:val="left"/>
              <w:cnfStyle w:val="000000100000" w:firstRow="0" w:lastRow="0" w:firstColumn="0" w:lastColumn="0" w:oddVBand="0" w:evenVBand="0" w:oddHBand="1" w:evenHBand="0" w:firstRowFirstColumn="0" w:firstRowLastColumn="0" w:lastRowFirstColumn="0" w:lastRowLastColumn="0"/>
              <w:rPr>
                <w:rFonts w:cs="Times New Roman"/>
              </w:rPr>
            </w:pPr>
            <w:r w:rsidRPr="00AA767C">
              <w:rPr>
                <w:rFonts w:cs="Times New Roman"/>
              </w:rPr>
              <w:t>Logging, change control, secure network architecture</w:t>
            </w:r>
          </w:p>
        </w:tc>
      </w:tr>
      <w:tr w:rsidR="00AA767C" w14:paraId="403E1BA4" w14:textId="77777777" w:rsidTr="00B10358">
        <w:tc>
          <w:tcPr>
            <w:cnfStyle w:val="001000000000" w:firstRow="0" w:lastRow="0" w:firstColumn="1" w:lastColumn="0" w:oddVBand="0" w:evenVBand="0" w:oddHBand="0" w:evenHBand="0" w:firstRowFirstColumn="0" w:firstRowLastColumn="0" w:lastRowFirstColumn="0" w:lastRowLastColumn="0"/>
            <w:tcW w:w="2405" w:type="dxa"/>
          </w:tcPr>
          <w:p w14:paraId="5C1EB685" w14:textId="0DFE568D" w:rsidR="00AA767C" w:rsidRPr="00AA767C" w:rsidRDefault="00AA767C" w:rsidP="00AA767C">
            <w:pPr>
              <w:jc w:val="left"/>
              <w:rPr>
                <w:rFonts w:cs="Times New Roman"/>
              </w:rPr>
            </w:pPr>
            <w:r w:rsidRPr="00AA767C">
              <w:rPr>
                <w:rFonts w:cs="Times New Roman"/>
              </w:rPr>
              <w:t>Supplier &amp; cloud relationships</w:t>
            </w:r>
          </w:p>
        </w:tc>
        <w:tc>
          <w:tcPr>
            <w:tcW w:w="3402" w:type="dxa"/>
          </w:tcPr>
          <w:p w14:paraId="214D0361" w14:textId="714B1B16" w:rsidR="00AA767C" w:rsidRPr="00AA767C" w:rsidRDefault="00AA767C" w:rsidP="00AA767C">
            <w:pPr>
              <w:jc w:val="left"/>
              <w:cnfStyle w:val="000000000000" w:firstRow="0" w:lastRow="0" w:firstColumn="0" w:lastColumn="0" w:oddVBand="0" w:evenVBand="0" w:oddHBand="0" w:evenHBand="0" w:firstRowFirstColumn="0" w:firstRowLastColumn="0" w:lastRowFirstColumn="0" w:lastRowLastColumn="0"/>
              <w:rPr>
                <w:rFonts w:cs="Times New Roman"/>
              </w:rPr>
            </w:pPr>
            <w:r w:rsidRPr="00AA767C">
              <w:rPr>
                <w:rFonts w:cs="Times New Roman"/>
              </w:rPr>
              <w:t>Supplier security requirements</w:t>
            </w:r>
          </w:p>
        </w:tc>
        <w:tc>
          <w:tcPr>
            <w:tcW w:w="3209" w:type="dxa"/>
          </w:tcPr>
          <w:p w14:paraId="22876BC5" w14:textId="695B2036" w:rsidR="00AA767C" w:rsidRPr="00AA767C" w:rsidRDefault="00AA767C" w:rsidP="00AA767C">
            <w:pPr>
              <w:jc w:val="left"/>
              <w:cnfStyle w:val="000000000000" w:firstRow="0" w:lastRow="0" w:firstColumn="0" w:lastColumn="0" w:oddVBand="0" w:evenVBand="0" w:oddHBand="0" w:evenHBand="0" w:firstRowFirstColumn="0" w:firstRowLastColumn="0" w:lastRowFirstColumn="0" w:lastRowLastColumn="0"/>
              <w:rPr>
                <w:rFonts w:cs="Times New Roman"/>
              </w:rPr>
            </w:pPr>
            <w:r w:rsidRPr="00AA767C">
              <w:rPr>
                <w:rFonts w:cs="Times New Roman"/>
              </w:rPr>
              <w:t>Security clauses in contracts, cloud service review</w:t>
            </w:r>
          </w:p>
        </w:tc>
      </w:tr>
    </w:tbl>
    <w:p w14:paraId="3268DC13" w14:textId="77777777" w:rsidR="00AA767C" w:rsidRDefault="00AA767C" w:rsidP="00AA767C"/>
    <w:p w14:paraId="01792727" w14:textId="77777777" w:rsidR="00D85379" w:rsidRDefault="005025E0" w:rsidP="002E1B94">
      <w:pPr>
        <w:keepNext/>
        <w:jc w:val="center"/>
      </w:pPr>
      <w:r>
        <w:rPr>
          <w:noProof/>
        </w:rPr>
        <w:drawing>
          <wp:inline distT="0" distB="0" distL="0" distR="0" wp14:anchorId="63BEBEAD" wp14:editId="591F1873">
            <wp:extent cx="5514975" cy="2815534"/>
            <wp:effectExtent l="0" t="0" r="0" b="4445"/>
            <wp:docPr id="669516258" name="Picture 1" descr="A diagram of a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516258" name="Picture 1" descr="A diagram of a system&#10;&#10;AI-generated content may be incorrect."/>
                    <pic:cNvPicPr/>
                  </pic:nvPicPr>
                  <pic:blipFill rotWithShape="1">
                    <a:blip r:embed="rId7" cstate="print">
                      <a:extLst>
                        <a:ext uri="{28A0092B-C50C-407E-A947-70E740481C1C}">
                          <a14:useLocalDpi xmlns:a14="http://schemas.microsoft.com/office/drawing/2010/main" val="0"/>
                        </a:ext>
                      </a:extLst>
                    </a:blip>
                    <a:srcRect/>
                    <a:stretch>
                      <a:fillRect/>
                    </a:stretch>
                  </pic:blipFill>
                  <pic:spPr bwMode="auto">
                    <a:xfrm>
                      <a:off x="0" y="0"/>
                      <a:ext cx="5519019" cy="2817598"/>
                    </a:xfrm>
                    <a:prstGeom prst="rect">
                      <a:avLst/>
                    </a:prstGeom>
                    <a:ln>
                      <a:noFill/>
                    </a:ln>
                    <a:extLst>
                      <a:ext uri="{53640926-AAD7-44D8-BBD7-CCE9431645EC}">
                        <a14:shadowObscured xmlns:a14="http://schemas.microsoft.com/office/drawing/2010/main"/>
                      </a:ext>
                    </a:extLst>
                  </pic:spPr>
                </pic:pic>
              </a:graphicData>
            </a:graphic>
          </wp:inline>
        </w:drawing>
      </w:r>
    </w:p>
    <w:p w14:paraId="3971CDAE" w14:textId="60BEA359" w:rsidR="005025E0" w:rsidRDefault="00D85379" w:rsidP="00D85379">
      <w:pPr>
        <w:pStyle w:val="Caption"/>
        <w:jc w:val="center"/>
      </w:pPr>
      <w:bookmarkStart w:id="8" w:name="_Toc214999108"/>
      <w:r>
        <w:t xml:space="preserve">Figure </w:t>
      </w:r>
      <w:r>
        <w:fldChar w:fldCharType="begin"/>
      </w:r>
      <w:r>
        <w:instrText xml:space="preserve"> SEQ Figure \* ARABIC </w:instrText>
      </w:r>
      <w:r>
        <w:fldChar w:fldCharType="separate"/>
      </w:r>
      <w:r w:rsidR="00F67075">
        <w:rPr>
          <w:noProof/>
        </w:rPr>
        <w:t>1</w:t>
      </w:r>
      <w:r>
        <w:fldChar w:fldCharType="end"/>
      </w:r>
      <w:r>
        <w:rPr>
          <w:lang w:val="en-US"/>
        </w:rPr>
        <w:t xml:space="preserve">: </w:t>
      </w:r>
      <w:r w:rsidRPr="00F52B79">
        <w:rPr>
          <w:lang w:val="en-US"/>
        </w:rPr>
        <w:t xml:space="preserve">Overview of ISO 27001–27002 </w:t>
      </w:r>
      <w:r w:rsidR="00303267">
        <w:rPr>
          <w:lang w:val="en-US"/>
        </w:rPr>
        <w:t>F</w:t>
      </w:r>
      <w:r w:rsidRPr="00F52B79">
        <w:rPr>
          <w:lang w:val="en-US"/>
        </w:rPr>
        <w:t xml:space="preserve">ramework </w:t>
      </w:r>
      <w:r w:rsidR="00303267">
        <w:rPr>
          <w:lang w:val="en-US"/>
        </w:rPr>
        <w:t>R</w:t>
      </w:r>
      <w:r w:rsidRPr="00F52B79">
        <w:rPr>
          <w:lang w:val="en-US"/>
        </w:rPr>
        <w:t>elationship</w:t>
      </w:r>
      <w:bookmarkEnd w:id="8"/>
    </w:p>
    <w:p w14:paraId="7A10B758" w14:textId="6A87E49D" w:rsidR="00AA767C" w:rsidRDefault="00AA767C" w:rsidP="00AA767C">
      <w:r>
        <w:lastRenderedPageBreak/>
        <w:t>In the case of an organisation such as NatureGreen, which is a cloud-based and mostly wireless system, with such extensive BYOD pressure, ISO 27001/27002 would offer systematic controls over the security of the networks, endpoints, and in transit and rest data and govern the relationships of suppliers and clouds. Roadmap to ISMS based on these standards would assist NG in maintaining confidentiality, integrity, and availability of customer information, staff and intellectual-property information and, however, allowing the organization to monitor and enhance security posture</w:t>
      </w:r>
      <w:r w:rsidR="000063EA">
        <w:t xml:space="preserve"> </w:t>
      </w:r>
      <w:r w:rsidR="000063EA">
        <w:fldChar w:fldCharType="begin"/>
      </w:r>
      <w:r w:rsidR="000063EA">
        <w:instrText xml:space="preserve"> ADDIN ZOTERO_ITEM CSL_CITATION {"citationID":"LsaEBD8I","properties":{"formattedCitation":"(Ahmad et al., 2014; Alejandro et al., 2023; Disterer, 2013)","plainCitation":"(Ahmad et al., 2014; Alejandro et al., 2023; Disterer, 2013)","noteIndex":0},"citationItems":[{"id":352,"uris":["http://zotero.org/users/local/0vF7XRbV/items/83TADZZL"],"itemData":{"id":352,"type":"article","abstract":"Technical security metrics provide measurements in ensuring the effectiveness of technical security controls or technology devices/objects that are used in protecting the information systems. However, lack of understanding and method to develop the technical security metrics may lead to unachievable security control objectives and incompetence of the implementation. This paper proposes a model of technical security metric to measure the effectiveness of network security management. The measurement is based on the effectiveness of security performance for (1) network security controls such as firewall, Intrusion Detection Prevention System (IDPS), switch, wireless access point, wireless controllers and network architecture; and (2) network services such as Hypertext Transfer Protocol Secure (HTTPS) and virtual private network (VPN). We use the Goal-Question-Metric (GQM) paradigm [1] which links the measurement goals to measurement questions and produce the metrics that can easily be interpreted in compliance with the requirements. The outcome of this research method is the introduction of network security management metric as an attribute to the Technical Security Metric (TSM) model. Apparently, the proposed TSM model may provide guidance for organizations in complying with effective measurement requirements of ISO/IEC 27001 Information Security Management System (ISMS) standard. The proposed model will provide a comprehensive measurement and guidance to support the use of ISO/IEC 27004 ISMS Measurement template.","DOI":"10.48550/arXiv.1405.5287","note":"arXiv:1405.5287 [cs]","number":"arXiv:1405.5287","publisher":"arXiv","source":"arXiv.org","title":"Effective Measurement Requirements for Network Security Management","URL":"http://arxiv.org/abs/1405.5287","author":[{"family":"Ahmad","given":"Rabiah"},{"family":"Sahib","given":"Shahrin"},{"family":"Nor'Azuwa","given":"Muhamad Pahri"}],"accessed":{"date-parts":[["2025",11,25]]},"issued":{"date-parts":[["2014",5,21]]}}},{"id":348,"uris":["http://zotero.org/users/local/0vF7XRbV/items/QDKVD39Y"],"itemData":{"id":348,"type":"article-journal","container-title":"MethodsX","DOI":"10.1016/j.mex.2023.102010","ISSN":"22150161","journalAbbreviation":"MethodsX","language":"en","page":"102010","source":"DOI.org (Crossref)","title":"Constructing an architecture-based cybersecurity solution for a system","volume":"10","author":[{"family":"Alejandro","given":"Mora-Castro"},{"family":"Andrés","given":"González-Herrera"},{"family":"Ricardo","given":"Villalón-Fonseca"}],"issued":{"date-parts":[["2023"]]}}},{"id":349,"uris":["http://zotero.org/users/local/0vF7XRbV/items/3WEYURQS"],"itemData":{"id":349,"type":"article-journal","container-title":"Journal of Information Security","DOI":"10.4236/jis.2013.42011","ISSN":"2153-1234, 2153-1242","issue":"02","journalAbbreviation":"JIS","license":"http://creativecommons.org/licenses/by/4.0/","page":"92-100","source":"DOI.org (Crossref)","title":"ISO/IEC 27000, 27001 and 27002 for Information Security Management","volume":"04","author":[{"family":"Disterer","given":"Georg"}],"issued":{"date-parts":[["2013"]]}}}],"schema":"https://github.com/citation-style-language/schema/raw/master/csl-citation.json"} </w:instrText>
      </w:r>
      <w:r w:rsidR="000063EA">
        <w:fldChar w:fldCharType="separate"/>
      </w:r>
      <w:r w:rsidR="000063EA" w:rsidRPr="000063EA">
        <w:rPr>
          <w:rFonts w:cs="Times New Roman"/>
        </w:rPr>
        <w:t>(Ahmad et al., 2014; Alejandro et al., 2023; Disterer, 2013)</w:t>
      </w:r>
      <w:r w:rsidR="000063EA">
        <w:fldChar w:fldCharType="end"/>
      </w:r>
      <w:r>
        <w:t>.</w:t>
      </w:r>
    </w:p>
    <w:p w14:paraId="2C8C5736" w14:textId="77777777" w:rsidR="00FC0094" w:rsidRDefault="00FC0094" w:rsidP="00AA767C"/>
    <w:p w14:paraId="099E1C34" w14:textId="40A4496D" w:rsidR="00FC0094" w:rsidRDefault="00023C5A" w:rsidP="00023C5A">
      <w:pPr>
        <w:pStyle w:val="Heading2"/>
      </w:pPr>
      <w:bookmarkStart w:id="9" w:name="_Toc214999085"/>
      <w:r w:rsidRPr="00023C5A">
        <w:t>2.2 Information Technology Infrastructure Library (ITIL)</w:t>
      </w:r>
      <w:bookmarkEnd w:id="9"/>
    </w:p>
    <w:p w14:paraId="6DA00459" w14:textId="6550023E" w:rsidR="00007A8E" w:rsidRDefault="00007A8E" w:rsidP="00007A8E">
      <w:r>
        <w:t>ITIL is a popular IT service management (ITSM) system that stipulates ideal practice of processes in planning, delivering and enhancing IT services in order to support business goals at all times. Currently, ITIL has structured practices into a system of service value and a system of value chain; these focus on constant improvement, formally in processes and role/responsibility, performance measures and measures of responsibility</w:t>
      </w:r>
      <w:r w:rsidR="000C4DF3">
        <w:t xml:space="preserve"> </w:t>
      </w:r>
      <w:r w:rsidR="000C4DF3">
        <w:fldChar w:fldCharType="begin"/>
      </w:r>
      <w:r w:rsidR="000C4DF3">
        <w:instrText xml:space="preserve"> ADDIN ZOTERO_ITEM CSL_CITATION {"citationID":"89QeCKoY","properties":{"formattedCitation":"(Barreto et al., 2019; Nguyen, 2011; Serrano et al., 2021)","plainCitation":"(Barreto et al., 2019; Nguyen, 2011; Serrano et al., 2021)","noteIndex":0},"citationItems":[{"id":361,"uris":["http://zotero.org/users/local/0vF7XRbV/items/HW867LEM"],"itemData":{"id":361,"type":"article-journal","container-title":"Journal of Information Systems Engineering &amp; Management","DOI":"10.29333/jisem/6352","ISSN":"24684376","issue":"4","journalAbbreviation":"J INFORM SYSTEMS ENG","source":"DOI.org (Crossref)","title":"Ensuring Efficient IT Service Management to Increase Information Systems Availability","URL":"https://www.jisem-journal.com/article/ensuring-efficient-it-service-management-to-increase-information-systems-availability-6352","volume":"4","author":[{"family":"Barreto","given":"Gilmar"},{"family":"Battaglin","given":"Paulo D."},{"family":"Varga","given":"Sergio"}],"accessed":{"date-parts":[["2025",11,25]]},"issued":{"date-parts":[["2019",12,9]]}}},{"id":358,"uris":["http://zotero.org/users/local/0vF7XRbV/items/7YPCPJWB"],"itemData":{"id":358,"type":"article","abstract":"IT operates in dynamic environments with the need always to change and adapt. There is a need to improve performance. Many gaps were found when we conduct the IT audit and we tried to seek to close gaps in capabilities. One way to the close these gaps is the adoption of good practices in wide industry use. There are several sources for good practices including public frameworks and standards such as ITIL, COBIT, CMMI, eSCM-SP, PRINCE2, ISO 9000, ISO/IEC 20000 and ISO/IEC 27001, etc. The paper propose ITIL frameworks to ITD Company for improving capabilities in service management.","DOI":"10.48550/arXiv.1112.4017","note":"arXiv:1112.4017 [cs]","number":"arXiv:1112.4017","publisher":"arXiv","source":"arXiv.org","title":"ITIL frameworks to ITD Company for improving capabilities in service management","URL":"http://arxiv.org/abs/1112.4017","author":[{"family":"Nguyen","given":"Phuc V."}],"accessed":{"date-parts":[["2025",11,25]]},"issued":{"date-parts":[["2011",12,17]]}}},{"id":356,"uris":["http://zotero.org/users/local/0vF7XRbV/items/BE8SNM6B"],"itemData":{"id":356,"type":"article-journal","abstract":"Information technology (IT) service management is considered a collection of frameworks that support organizations managing services. The implementation of these kinds of frameworks is constantly increasing in the IT service provider domain. The main objective is to define and manage IT services through its life cycle. However, from observing the literature, scarcely any research exists describing the main concepts of ITSM. Many organizations still struggle in several contexts in this domain, mainly during implementation. This research aims to develop a reference study detailing the main concepts related with ITSM. Thus, a systematic literature review is performed. In total, 47 articles were selected from top journals and conferences. The benefits, challenges, opportunities, and practices for ITSM implementation were extracted, critically analysed, and then discussed.","container-title":"Information","DOI":"10.3390/info12030111","ISSN":"2078-2489","issue":"3","journalAbbreviation":"Information","language":"en","page":"111","source":"DOI.org (Crossref)","title":"An IT Service Management Literature Review: Challenges, Benefits, Opportunities and Implementation Practices","title-short":"An IT Service Management Literature Review","volume":"12","author":[{"family":"Serrano","given":"João"},{"family":"Faustino","given":"João"},{"family":"Adriano","given":"Daniel"},{"family":"Pereira","given":"Rúben"},{"family":"Da Silva","given":"Miguel"}],"issued":{"date-parts":[["2021",3,5]]}}}],"schema":"https://github.com/citation-style-language/schema/raw/master/csl-citation.json"} </w:instrText>
      </w:r>
      <w:r w:rsidR="000C4DF3">
        <w:fldChar w:fldCharType="separate"/>
      </w:r>
      <w:r w:rsidR="000C4DF3" w:rsidRPr="000C4DF3">
        <w:rPr>
          <w:rFonts w:cs="Times New Roman"/>
        </w:rPr>
        <w:t>(Barreto et al., 2019; Nguyen, 2011; Serrano et al., 2021)</w:t>
      </w:r>
      <w:r w:rsidR="000C4DF3">
        <w:fldChar w:fldCharType="end"/>
      </w:r>
      <w:r>
        <w:t xml:space="preserve">. </w:t>
      </w:r>
    </w:p>
    <w:p w14:paraId="5C1C0608" w14:textId="0614EE17" w:rsidR="00CD087A" w:rsidRDefault="00CD087A" w:rsidP="00CD087A">
      <w:pPr>
        <w:pStyle w:val="Caption"/>
        <w:keepNext/>
      </w:pPr>
      <w:bookmarkStart w:id="10" w:name="_Toc214999113"/>
      <w:r>
        <w:t xml:space="preserve">Table </w:t>
      </w:r>
      <w:r>
        <w:fldChar w:fldCharType="begin"/>
      </w:r>
      <w:r>
        <w:instrText xml:space="preserve"> SEQ Table \* ARABIC </w:instrText>
      </w:r>
      <w:r>
        <w:fldChar w:fldCharType="separate"/>
      </w:r>
      <w:r w:rsidR="0078774E">
        <w:rPr>
          <w:noProof/>
        </w:rPr>
        <w:t>2</w:t>
      </w:r>
      <w:r>
        <w:fldChar w:fldCharType="end"/>
      </w:r>
      <w:r>
        <w:rPr>
          <w:lang w:val="en-US"/>
        </w:rPr>
        <w:t xml:space="preserve">: </w:t>
      </w:r>
      <w:r w:rsidRPr="00620BAD">
        <w:rPr>
          <w:lang w:val="en-US"/>
        </w:rPr>
        <w:t>Key IT processes and security contributions</w:t>
      </w:r>
      <w:bookmarkEnd w:id="10"/>
    </w:p>
    <w:tbl>
      <w:tblPr>
        <w:tblStyle w:val="GridTable4-Accent1"/>
        <w:tblW w:w="0" w:type="auto"/>
        <w:tblLook w:val="04A0" w:firstRow="1" w:lastRow="0" w:firstColumn="1" w:lastColumn="0" w:noHBand="0" w:noVBand="1"/>
      </w:tblPr>
      <w:tblGrid>
        <w:gridCol w:w="2547"/>
        <w:gridCol w:w="2693"/>
        <w:gridCol w:w="3776"/>
      </w:tblGrid>
      <w:tr w:rsidR="004021FF" w14:paraId="0FD7F970" w14:textId="77777777" w:rsidTr="004021F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508AFDD5" w14:textId="1E27439D" w:rsidR="004021FF" w:rsidRPr="004021FF" w:rsidRDefault="004021FF" w:rsidP="00A3309D">
            <w:pPr>
              <w:jc w:val="center"/>
              <w:rPr>
                <w:rFonts w:cs="Times New Roman"/>
              </w:rPr>
            </w:pPr>
            <w:r w:rsidRPr="004021FF">
              <w:rPr>
                <w:rFonts w:cs="Times New Roman"/>
                <w:b w:val="0"/>
                <w:bCs w:val="0"/>
              </w:rPr>
              <w:t>Process</w:t>
            </w:r>
          </w:p>
        </w:tc>
        <w:tc>
          <w:tcPr>
            <w:tcW w:w="2693" w:type="dxa"/>
          </w:tcPr>
          <w:p w14:paraId="7F38B781" w14:textId="63599F85" w:rsidR="004021FF" w:rsidRPr="004021FF" w:rsidRDefault="004021FF" w:rsidP="00A3309D">
            <w:pPr>
              <w:jc w:val="center"/>
              <w:cnfStyle w:val="100000000000" w:firstRow="1" w:lastRow="0" w:firstColumn="0" w:lastColumn="0" w:oddVBand="0" w:evenVBand="0" w:oddHBand="0" w:evenHBand="0" w:firstRowFirstColumn="0" w:firstRowLastColumn="0" w:lastRowFirstColumn="0" w:lastRowLastColumn="0"/>
              <w:rPr>
                <w:rFonts w:cs="Times New Roman"/>
              </w:rPr>
            </w:pPr>
            <w:r w:rsidRPr="004021FF">
              <w:rPr>
                <w:rFonts w:cs="Times New Roman"/>
                <w:b w:val="0"/>
                <w:bCs w:val="0"/>
              </w:rPr>
              <w:t>Primary objective</w:t>
            </w:r>
          </w:p>
        </w:tc>
        <w:tc>
          <w:tcPr>
            <w:tcW w:w="3776" w:type="dxa"/>
          </w:tcPr>
          <w:p w14:paraId="3DE4DBFB" w14:textId="0049A815" w:rsidR="004021FF" w:rsidRPr="004021FF" w:rsidRDefault="004021FF" w:rsidP="00A3309D">
            <w:pPr>
              <w:jc w:val="center"/>
              <w:cnfStyle w:val="100000000000" w:firstRow="1" w:lastRow="0" w:firstColumn="0" w:lastColumn="0" w:oddVBand="0" w:evenVBand="0" w:oddHBand="0" w:evenHBand="0" w:firstRowFirstColumn="0" w:firstRowLastColumn="0" w:lastRowFirstColumn="0" w:lastRowLastColumn="0"/>
              <w:rPr>
                <w:rFonts w:cs="Times New Roman"/>
              </w:rPr>
            </w:pPr>
            <w:r w:rsidRPr="004021FF">
              <w:rPr>
                <w:rFonts w:cs="Times New Roman"/>
                <w:b w:val="0"/>
                <w:bCs w:val="0"/>
              </w:rPr>
              <w:t>Contribution to security/governance</w:t>
            </w:r>
          </w:p>
        </w:tc>
      </w:tr>
      <w:tr w:rsidR="004021FF" w14:paraId="74532D79" w14:textId="77777777" w:rsidTr="004021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6B88FB93" w14:textId="24C1DD49" w:rsidR="004021FF" w:rsidRPr="004021FF" w:rsidRDefault="004021FF" w:rsidP="004021FF">
            <w:pPr>
              <w:jc w:val="left"/>
              <w:rPr>
                <w:rFonts w:cs="Times New Roman"/>
              </w:rPr>
            </w:pPr>
            <w:r w:rsidRPr="004021FF">
              <w:rPr>
                <w:rFonts w:cs="Times New Roman"/>
              </w:rPr>
              <w:t>Incident Management</w:t>
            </w:r>
          </w:p>
        </w:tc>
        <w:tc>
          <w:tcPr>
            <w:tcW w:w="2693" w:type="dxa"/>
          </w:tcPr>
          <w:p w14:paraId="012837F5" w14:textId="3C530114" w:rsidR="004021FF" w:rsidRPr="004021FF" w:rsidRDefault="004021FF" w:rsidP="004021FF">
            <w:pPr>
              <w:jc w:val="left"/>
              <w:cnfStyle w:val="000000100000" w:firstRow="0" w:lastRow="0" w:firstColumn="0" w:lastColumn="0" w:oddVBand="0" w:evenVBand="0" w:oddHBand="1" w:evenHBand="0" w:firstRowFirstColumn="0" w:firstRowLastColumn="0" w:lastRowFirstColumn="0" w:lastRowLastColumn="0"/>
              <w:rPr>
                <w:rFonts w:cs="Times New Roman"/>
              </w:rPr>
            </w:pPr>
            <w:r w:rsidRPr="004021FF">
              <w:rPr>
                <w:rFonts w:cs="Times New Roman"/>
              </w:rPr>
              <w:t>Restore normal service as quickly as possible</w:t>
            </w:r>
          </w:p>
        </w:tc>
        <w:tc>
          <w:tcPr>
            <w:tcW w:w="3776" w:type="dxa"/>
          </w:tcPr>
          <w:p w14:paraId="7EF767B9" w14:textId="575D3009" w:rsidR="004021FF" w:rsidRPr="004021FF" w:rsidRDefault="004021FF" w:rsidP="004021FF">
            <w:pPr>
              <w:jc w:val="left"/>
              <w:cnfStyle w:val="000000100000" w:firstRow="0" w:lastRow="0" w:firstColumn="0" w:lastColumn="0" w:oddVBand="0" w:evenVBand="0" w:oddHBand="1" w:evenHBand="0" w:firstRowFirstColumn="0" w:firstRowLastColumn="0" w:lastRowFirstColumn="0" w:lastRowLastColumn="0"/>
              <w:rPr>
                <w:rFonts w:cs="Times New Roman"/>
              </w:rPr>
            </w:pPr>
            <w:r w:rsidRPr="004021FF">
              <w:rPr>
                <w:rFonts w:cs="Times New Roman"/>
              </w:rPr>
              <w:t>Standardised handling of security incidents, reduced downtime</w:t>
            </w:r>
          </w:p>
        </w:tc>
      </w:tr>
      <w:tr w:rsidR="004021FF" w14:paraId="31AFBC30" w14:textId="77777777" w:rsidTr="004021FF">
        <w:tc>
          <w:tcPr>
            <w:cnfStyle w:val="001000000000" w:firstRow="0" w:lastRow="0" w:firstColumn="1" w:lastColumn="0" w:oddVBand="0" w:evenVBand="0" w:oddHBand="0" w:evenHBand="0" w:firstRowFirstColumn="0" w:firstRowLastColumn="0" w:lastRowFirstColumn="0" w:lastRowLastColumn="0"/>
            <w:tcW w:w="2547" w:type="dxa"/>
          </w:tcPr>
          <w:p w14:paraId="36047DB5" w14:textId="2D08A5F5" w:rsidR="004021FF" w:rsidRPr="004021FF" w:rsidRDefault="004021FF" w:rsidP="004021FF">
            <w:pPr>
              <w:jc w:val="left"/>
              <w:rPr>
                <w:rFonts w:cs="Times New Roman"/>
              </w:rPr>
            </w:pPr>
            <w:r w:rsidRPr="004021FF">
              <w:rPr>
                <w:rFonts w:cs="Times New Roman"/>
              </w:rPr>
              <w:t>Change Management/Control</w:t>
            </w:r>
          </w:p>
        </w:tc>
        <w:tc>
          <w:tcPr>
            <w:tcW w:w="2693" w:type="dxa"/>
          </w:tcPr>
          <w:p w14:paraId="6557613E" w14:textId="3FD375EE" w:rsidR="004021FF" w:rsidRPr="004021FF" w:rsidRDefault="004021FF" w:rsidP="004021FF">
            <w:pPr>
              <w:jc w:val="left"/>
              <w:cnfStyle w:val="000000000000" w:firstRow="0" w:lastRow="0" w:firstColumn="0" w:lastColumn="0" w:oddVBand="0" w:evenVBand="0" w:oddHBand="0" w:evenHBand="0" w:firstRowFirstColumn="0" w:firstRowLastColumn="0" w:lastRowFirstColumn="0" w:lastRowLastColumn="0"/>
              <w:rPr>
                <w:rFonts w:cs="Times New Roman"/>
              </w:rPr>
            </w:pPr>
            <w:r w:rsidRPr="004021FF">
              <w:rPr>
                <w:rFonts w:cs="Times New Roman"/>
              </w:rPr>
              <w:t>Ensure changes are assessed, authorised and tracked</w:t>
            </w:r>
          </w:p>
        </w:tc>
        <w:tc>
          <w:tcPr>
            <w:tcW w:w="3776" w:type="dxa"/>
          </w:tcPr>
          <w:p w14:paraId="643A7537" w14:textId="2E6001B4" w:rsidR="004021FF" w:rsidRPr="004021FF" w:rsidRDefault="004021FF" w:rsidP="004021FF">
            <w:pPr>
              <w:jc w:val="left"/>
              <w:cnfStyle w:val="000000000000" w:firstRow="0" w:lastRow="0" w:firstColumn="0" w:lastColumn="0" w:oddVBand="0" w:evenVBand="0" w:oddHBand="0" w:evenHBand="0" w:firstRowFirstColumn="0" w:firstRowLastColumn="0" w:lastRowFirstColumn="0" w:lastRowLastColumn="0"/>
              <w:rPr>
                <w:rFonts w:cs="Times New Roman"/>
              </w:rPr>
            </w:pPr>
            <w:r w:rsidRPr="004021FF">
              <w:rPr>
                <w:rFonts w:cs="Times New Roman"/>
              </w:rPr>
              <w:t>Limits risk of insecure or uncontrolled changes to IT services</w:t>
            </w:r>
          </w:p>
        </w:tc>
      </w:tr>
      <w:tr w:rsidR="004021FF" w14:paraId="42F9A64F" w14:textId="77777777" w:rsidTr="004021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3DD344EB" w14:textId="342E32DA" w:rsidR="004021FF" w:rsidRPr="004021FF" w:rsidRDefault="004021FF" w:rsidP="004021FF">
            <w:pPr>
              <w:jc w:val="left"/>
              <w:rPr>
                <w:rFonts w:cs="Times New Roman"/>
              </w:rPr>
            </w:pPr>
            <w:r w:rsidRPr="004021FF">
              <w:rPr>
                <w:rFonts w:cs="Times New Roman"/>
              </w:rPr>
              <w:t>Service Continuity Mgmt</w:t>
            </w:r>
          </w:p>
        </w:tc>
        <w:tc>
          <w:tcPr>
            <w:tcW w:w="2693" w:type="dxa"/>
          </w:tcPr>
          <w:p w14:paraId="6D07D026" w14:textId="6B61B494" w:rsidR="004021FF" w:rsidRPr="004021FF" w:rsidRDefault="004021FF" w:rsidP="004021FF">
            <w:pPr>
              <w:jc w:val="left"/>
              <w:cnfStyle w:val="000000100000" w:firstRow="0" w:lastRow="0" w:firstColumn="0" w:lastColumn="0" w:oddVBand="0" w:evenVBand="0" w:oddHBand="1" w:evenHBand="0" w:firstRowFirstColumn="0" w:firstRowLastColumn="0" w:lastRowFirstColumn="0" w:lastRowLastColumn="0"/>
              <w:rPr>
                <w:rFonts w:cs="Times New Roman"/>
              </w:rPr>
            </w:pPr>
            <w:r w:rsidRPr="004021FF">
              <w:rPr>
                <w:rFonts w:cs="Times New Roman"/>
              </w:rPr>
              <w:t>Ensure IT services can be recovered after disruption</w:t>
            </w:r>
          </w:p>
        </w:tc>
        <w:tc>
          <w:tcPr>
            <w:tcW w:w="3776" w:type="dxa"/>
          </w:tcPr>
          <w:p w14:paraId="5FC92768" w14:textId="1E597460" w:rsidR="004021FF" w:rsidRPr="004021FF" w:rsidRDefault="004021FF" w:rsidP="004021FF">
            <w:pPr>
              <w:jc w:val="left"/>
              <w:cnfStyle w:val="000000100000" w:firstRow="0" w:lastRow="0" w:firstColumn="0" w:lastColumn="0" w:oddVBand="0" w:evenVBand="0" w:oddHBand="1" w:evenHBand="0" w:firstRowFirstColumn="0" w:firstRowLastColumn="0" w:lastRowFirstColumn="0" w:lastRowLastColumn="0"/>
              <w:rPr>
                <w:rFonts w:cs="Times New Roman"/>
              </w:rPr>
            </w:pPr>
            <w:r w:rsidRPr="004021FF">
              <w:rPr>
                <w:rFonts w:cs="Times New Roman"/>
              </w:rPr>
              <w:t>Supports resilience, disaster recovery and availability targets</w:t>
            </w:r>
          </w:p>
        </w:tc>
      </w:tr>
    </w:tbl>
    <w:p w14:paraId="768C3856" w14:textId="77777777" w:rsidR="005A7569" w:rsidRDefault="005A7569" w:rsidP="00931A7A">
      <w:pPr>
        <w:tabs>
          <w:tab w:val="left" w:pos="5625"/>
        </w:tabs>
      </w:pPr>
    </w:p>
    <w:p w14:paraId="5E4DC3CC" w14:textId="77777777" w:rsidR="005A7569" w:rsidRDefault="005A7569" w:rsidP="00931A7A">
      <w:pPr>
        <w:tabs>
          <w:tab w:val="left" w:pos="5625"/>
        </w:tabs>
        <w:rPr>
          <w:noProof/>
        </w:rPr>
      </w:pPr>
    </w:p>
    <w:p w14:paraId="6275180A" w14:textId="77777777" w:rsidR="00D0227D" w:rsidRDefault="00D0227D" w:rsidP="005A7569">
      <w:pPr>
        <w:keepNext/>
        <w:tabs>
          <w:tab w:val="left" w:pos="5625"/>
        </w:tabs>
        <w:rPr>
          <w:noProof/>
        </w:rPr>
      </w:pPr>
    </w:p>
    <w:p w14:paraId="62B5672E" w14:textId="59A322A6" w:rsidR="005A7569" w:rsidRDefault="005A7569" w:rsidP="005A7569">
      <w:pPr>
        <w:keepNext/>
        <w:tabs>
          <w:tab w:val="left" w:pos="5625"/>
        </w:tabs>
      </w:pPr>
      <w:r>
        <w:rPr>
          <w:noProof/>
        </w:rPr>
        <w:drawing>
          <wp:inline distT="0" distB="0" distL="0" distR="0" wp14:anchorId="4AE93A21" wp14:editId="0CD4C1E5">
            <wp:extent cx="5731510" cy="2792730"/>
            <wp:effectExtent l="0" t="0" r="2540" b="7620"/>
            <wp:docPr id="14022364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236479" name="Picture 3"/>
                    <pic:cNvPicPr/>
                  </pic:nvPicPr>
                  <pic:blipFill rotWithShape="1">
                    <a:blip r:embed="rId8" cstate="print">
                      <a:extLst>
                        <a:ext uri="{28A0092B-C50C-407E-A947-70E740481C1C}">
                          <a14:useLocalDpi xmlns:a14="http://schemas.microsoft.com/office/drawing/2010/main" val="0"/>
                        </a:ext>
                      </a:extLst>
                    </a:blip>
                    <a:srcRect/>
                    <a:stretch>
                      <a:fillRect/>
                    </a:stretch>
                  </pic:blipFill>
                  <pic:spPr bwMode="auto">
                    <a:xfrm>
                      <a:off x="0" y="0"/>
                      <a:ext cx="5731510" cy="2792730"/>
                    </a:xfrm>
                    <a:prstGeom prst="rect">
                      <a:avLst/>
                    </a:prstGeom>
                    <a:ln>
                      <a:noFill/>
                    </a:ln>
                    <a:extLst>
                      <a:ext uri="{53640926-AAD7-44D8-BBD7-CCE9431645EC}">
                        <a14:shadowObscured xmlns:a14="http://schemas.microsoft.com/office/drawing/2010/main"/>
                      </a:ext>
                    </a:extLst>
                  </pic:spPr>
                </pic:pic>
              </a:graphicData>
            </a:graphic>
          </wp:inline>
        </w:drawing>
      </w:r>
    </w:p>
    <w:p w14:paraId="64444B7E" w14:textId="784BCB4B" w:rsidR="005A7569" w:rsidRDefault="005A7569" w:rsidP="00573F6E">
      <w:pPr>
        <w:pStyle w:val="Caption"/>
        <w:jc w:val="center"/>
      </w:pPr>
      <w:bookmarkStart w:id="11" w:name="_Toc214999109"/>
      <w:r>
        <w:t xml:space="preserve">Figure </w:t>
      </w:r>
      <w:r>
        <w:fldChar w:fldCharType="begin"/>
      </w:r>
      <w:r>
        <w:instrText xml:space="preserve"> SEQ Figure \* ARABIC </w:instrText>
      </w:r>
      <w:r>
        <w:fldChar w:fldCharType="separate"/>
      </w:r>
      <w:r w:rsidR="00F67075">
        <w:rPr>
          <w:noProof/>
        </w:rPr>
        <w:t>2</w:t>
      </w:r>
      <w:r>
        <w:fldChar w:fldCharType="end"/>
      </w:r>
      <w:r>
        <w:rPr>
          <w:lang w:val="en-US"/>
        </w:rPr>
        <w:t xml:space="preserve">: </w:t>
      </w:r>
      <w:r w:rsidRPr="006C5D7C">
        <w:rPr>
          <w:lang w:val="en-US"/>
        </w:rPr>
        <w:t xml:space="preserve">ITIL </w:t>
      </w:r>
      <w:r>
        <w:rPr>
          <w:lang w:val="en-US"/>
        </w:rPr>
        <w:t>S</w:t>
      </w:r>
      <w:r w:rsidRPr="006C5D7C">
        <w:rPr>
          <w:lang w:val="en-US"/>
        </w:rPr>
        <w:t xml:space="preserve">ervice </w:t>
      </w:r>
      <w:r>
        <w:rPr>
          <w:lang w:val="en-US"/>
        </w:rPr>
        <w:t>L</w:t>
      </w:r>
      <w:r w:rsidRPr="006C5D7C">
        <w:rPr>
          <w:lang w:val="en-US"/>
        </w:rPr>
        <w:t>ifecycle</w:t>
      </w:r>
      <w:bookmarkEnd w:id="11"/>
    </w:p>
    <w:p w14:paraId="2ED3C85D" w14:textId="36DD4BE5" w:rsidR="00007A8E" w:rsidRDefault="00931A7A" w:rsidP="00931A7A">
      <w:pPr>
        <w:tabs>
          <w:tab w:val="left" w:pos="5625"/>
        </w:tabs>
      </w:pPr>
      <w:r>
        <w:tab/>
      </w:r>
    </w:p>
    <w:p w14:paraId="29C0B2DE" w14:textId="2CA1219D" w:rsidR="00023C5A" w:rsidRDefault="00007A8E" w:rsidP="00007A8E">
      <w:r>
        <w:t>When coupled with information security management, ITIL processes offer governance tools like specified workflows, approval procedures/steps, service level goals and reporting which can incorporate security needs into the routine business processes. In the case of NatureGreen, cloud-delivered, mostly wireless technology, ITIL-based practice of incident, change and continuity would enable an organized work with the outages and security incidents, regulated implementation of the changes in cloud and wireless technology and infrastructure, and a formal continuity strategy in case of critical services used by the personnel and clients</w:t>
      </w:r>
      <w:r w:rsidR="000A1E43">
        <w:t xml:space="preserve"> </w:t>
      </w:r>
      <w:r w:rsidR="000A1E43">
        <w:fldChar w:fldCharType="begin"/>
      </w:r>
      <w:r w:rsidR="000A1E43">
        <w:instrText xml:space="preserve"> ADDIN ZOTERO_ITEM CSL_CITATION {"citationID":"8XWp85ZC","properties":{"formattedCitation":"(Cusick, 2017; Pe\\uc0\\u241{}a et al., 2024; Tawo and Ajayi, 2025)","plainCitation":"(Cusick, 2017; Peña et al., 2024; Tawo and Ajayi, 2025)","noteIndex":0},"citationItems":[{"id":365,"uris":["http://zotero.org/users/local/0vF7XRbV/items/D2NRPVXS"],"itemData":{"id":365,"type":"article","abstract":"System and application availability continues to be a fundamental characteristic of IT services. In recent years the IT Operations team at Wolters Kluwer CT Corporation has placed special focus on this area. Using a combination of goals, metrics, processes, organizational models, communication methods, corrective maintenance, root cause analysis, preventative engineering, automated alerting, and workflow automation significant progress has been made in meeting availability SLAs or Service Level Agreements. This paper presents the background of this work, approach, details of its implementation, and results. A special focus is provided on the use of a classical ITIL view as operationalized in an Agile and DevOps environment. Keywords: System Availability, Software Reliability, ITIL, Workflow Automation, Process Engineering, Production Support, Customer Support, Product Support, Change Management, Release Management, Incident Management, Problem Management, Organizational Design, Scrum, Agile, DevOps, Service Level Agreements, Software Measurement, Microsoft SharePoint.","DOI":"10.48550/arXiv.1705.04906","note":"arXiv:1705.04906 [cs]","number":"arXiv:1705.04906","publisher":"arXiv","source":"arXiv.org","title":"Achieving and Managing Availability SLAs with ITIL Driven Processes, DevOps, and Workflow Tools","URL":"http://arxiv.org/abs/1705.04906","author":[{"family":"Cusick","given":"James J."}],"accessed":{"date-parts":[["2025",11,25]]},"issued":{"date-parts":[["2017",5,14]]}}},{"id":369,"uris":["http://zotero.org/users/local/0vF7XRbV/items/64EBM8BX"],"itemData":{"id":369,"type":"paper-conference","container-title":"2024 International Seminar on Application for Technology of Information and Communication (iSemantic)","DOI":"10.1109/iSemantic63362.2024.10762605","event-place":"Semarang, Indonesia","event-title":"2024 International Seminar on Application for Technology of Information and Communication (iSemantic)","ISBN":"979-8-3503-6664-8","license":"https://doi.org/10.15223/policy-029","page":"184-189","publisher":"IEEE","publisher-place":"Semarang, Indonesia","source":"DOI.org (Crossref)","title":"Continuity Plan for a Gamified System which Enhance Customer Service Advisor Training in Peru using ITIL 4","URL":"https://ieeexplore.ieee.org/document/10762605/","author":[{"family":"Peña","given":"Christian"},{"family":"Agreda","given":"Enrique"},{"family":"Castillo-Sequera","given":"José Luis"},{"family":"Wong","given":"Lenis"}],"accessed":{"date-parts":[["2025",11,25]]},"issued":{"date-parts":[["2024",9,21]]}}},{"id":364,"uris":["http://zotero.org/users/local/0vF7XRbV/items/ZAJDS4ZK"],"itemData":{"id":364,"type":"article-journal","abstract":"IT Service Management (ITSM) spans the range of IT practices that are aligned to the business needs of the organization. The Configuration Management Database (CMDB) acts as a core repository for IT Asset and Configuration Management as part of ITSM, allowing organizations to store and manage information about their IT systems, including hardware and software configurations, and interdependencies. The combination of ITSM coupled with the capabilities offered by CMDB makes both a must-have for organizations looking to improve efficiency, maintain compliance, and ensure smooth operation in an ever more complicated IT landscape. ITSM frameworks, for example, ITIL (Information Technology Infrastructure Library), prescribe structured processes for incident management, change management, and problem resolution, among others, all dependent on accurate and updated information from the CMDB. CMDB maintains the inventory and keeps track of the IT resources. It also maps the relationship between the assets, tracking any changes made to it for faster root cause analysis of any incident, minimizing downtimes. Besides all this, since the CMDB holds auditing information about the state of each asset, it can greatly help organizations remain compliant with regulations and standards specific to the industry they are in, experts agree, from practices like GDPR, ISO/IEC 20000. The CMDB enables better decision-making and risk management by offering real-time visibility into IT environments, especially when upgrading or migrating systems.Now, as organizations grapple with IT complexity and ever-evolving environments, ITSM and CMDB help drive operational agility and resiliency, respectively. These emerging automation and AI tools will be refined in the years to come to combine them even more synergistically, providing predictive analytics and proactive management of concerns to meet changing IT governance and service delivery requirements.","container-title":"International Journal of Research Publication and Reviews","DOI":"10.55248/gengpi.6.0125.0620","ISSN":"25827421","issue":"6","journalAbbreviation":"Int. J. Res. Publ. Rev.","language":"en","page":"4365-4381","source":"DOI.org (Crossref)","title":"IT Service Management and Configuration Management Database for Enhancing Efficiency and Compliance","volume":"6","author":[{"family":"Tawo","given":"Obah Edom"},{"family":"Ajayi","given":"Rhoda"}],"issued":{"date-parts":[["2025",1]]}}}],"schema":"https://github.com/citation-style-language/schema/raw/master/csl-citation.json"} </w:instrText>
      </w:r>
      <w:r w:rsidR="000A1E43">
        <w:fldChar w:fldCharType="separate"/>
      </w:r>
      <w:r w:rsidR="000A1E43" w:rsidRPr="000A1E43">
        <w:rPr>
          <w:rFonts w:cs="Times New Roman"/>
          <w:kern w:val="0"/>
          <w:szCs w:val="24"/>
        </w:rPr>
        <w:t>(Cusick, 2017; Peña et al., 2024; Tawo and Ajayi, 2025)</w:t>
      </w:r>
      <w:r w:rsidR="000A1E43">
        <w:fldChar w:fldCharType="end"/>
      </w:r>
      <w:r>
        <w:t>.</w:t>
      </w:r>
    </w:p>
    <w:p w14:paraId="3A3E9254" w14:textId="77777777" w:rsidR="004B747A" w:rsidRDefault="004B747A" w:rsidP="00007A8E"/>
    <w:p w14:paraId="113C90C4" w14:textId="22C1A0F6" w:rsidR="004B747A" w:rsidRDefault="004B747A" w:rsidP="004B747A">
      <w:pPr>
        <w:pStyle w:val="Heading2"/>
      </w:pPr>
      <w:bookmarkStart w:id="12" w:name="_Toc214999086"/>
      <w:r>
        <w:t>2</w:t>
      </w:r>
      <w:r w:rsidRPr="004B747A">
        <w:t>.3 Other Relevant Frameworks</w:t>
      </w:r>
      <w:bookmarkEnd w:id="12"/>
    </w:p>
    <w:p w14:paraId="389E223B" w14:textId="03225418" w:rsidR="004478E0" w:rsidRDefault="004478E0" w:rsidP="004478E0">
      <w:r>
        <w:t>NIST Cybersecurity Framework (CSF) features a risk-based set of cybersecurity outcomes sorted into five core functions Identify, Protect, Detect, Respond and Recover that can be utilized to measure the security state of the organised system, establish an objective profile and prioritize improvement actions. It is technology neutral and is made in an fashion that is designed to map controls and maturity levels of various environments, using a flexible way</w:t>
      </w:r>
      <w:r w:rsidR="004C3F6C">
        <w:t xml:space="preserve"> </w:t>
      </w:r>
      <w:r w:rsidR="004C3F6C">
        <w:fldChar w:fldCharType="begin"/>
      </w:r>
      <w:r w:rsidR="004C3F6C">
        <w:instrText xml:space="preserve"> ADDIN ZOTERO_ITEM CSL_CITATION {"citationID":"6j5k0DDj","properties":{"formattedCitation":"(Alejandro et al., 2023; Salas-Riega et al., 2025; Saritac et al., 2022)","plainCitation":"(Alejandro et al., 2023; Salas-Riega et al., 2025; Saritac et al., 2022)","noteIndex":0},"citationItems":[{"id":348,"uris":["http://zotero.org/users/local/0vF7XRbV/items/QDKVD39Y"],"itemData":{"id":348,"type":"article-journal","container-title":"MethodsX","DOI":"10.1016/j.mex.2023.102010","ISSN":"22150161","journalAbbreviation":"MethodsX","language":"en","page":"102010","source":"DOI.org (Crossref)","title":"Constructing an architecture-based cybersecurity solution for a system","volume":"10","author":[{"family":"Alejandro","given":"Mora-Castro"},{"family":"Andrés","given":"González-Herrera"},{"family":"Ricardo","given":"Villalón-Fonseca"}],"issued":{"date-parts":[["2023"]]}}},{"id":371,"uris":["http://zotero.org/users/local/0vF7XRbV/items/NMG322ER"],"itemData":{"id":371,"type":"article-journal","container-title":"International Journal of Advanced Computer Science and Applications","DOI":"10.14569/IJACSA.2025.0160672","ISSN":"21565570, 2158107X","issue":"6","journalAbbreviation":"ijacsa","language":"en","source":"DOI.org (Crossref)","title":"Cybersecurity and the NIST Framework: A Systematic Review of its Implementation and Effectiveness Against Cyber Threats","title-short":"Cybersecurity and the NIST Framework","URL":"http://thesai.org/Publications/ViewPaper?Volume=16&amp;Issue=6&amp;Code=ijacsa&amp;SerialNo=72","volume":"16","author":[{"family":"Salas-Riega","given":"Juan Luis"},{"family":"Riega-Virú","given":"Yasmina"},{"family":"Ninaquispe-Soto","given":"Mario"},{"family":"Salas-Riega","given":"José Miguel"}],"accessed":{"date-parts":[["2025",11,25]]},"issued":{"date-parts":[["2025"]]}}},{"id":370,"uris":["http://zotero.org/users/local/0vF7XRbV/items/RS9T92NY"],"itemData":{"id":370,"type":"paper-conference","container-title":"2022 IEEE Delhi Section Conference (DELCON)","DOI":"10.1109/DELCON54057.2022.9753250","event-place":"New Delhi, India","event-title":"2022 IEEE Delhi Section Conference (DELCON)","ISBN":"978-1-6654-5883-2","license":"https://doi.org/10.15223/policy-029","page":"1-4","publisher":"IEEE","publisher-place":"New Delhi, India","source":"DOI.org (Crossref)","title":"Assessment of Cybersecurity Framework in Critical Infrastructures","URL":"https://ieeexplore.ieee.org/document/9753250/","author":[{"family":"Saritac","given":"Ugur"},{"family":"Liu","given":"Xingya"},{"family":"Wang","given":"Ruhai"}],"accessed":{"date-parts":[["2025",11,25]]},"issued":{"date-parts":[["2022",2,11]]}}}],"schema":"https://github.com/citation-style-language/schema/raw/master/csl-citation.json"} </w:instrText>
      </w:r>
      <w:r w:rsidR="004C3F6C">
        <w:fldChar w:fldCharType="separate"/>
      </w:r>
      <w:r w:rsidR="004C3F6C" w:rsidRPr="004C3F6C">
        <w:rPr>
          <w:rFonts w:cs="Times New Roman"/>
        </w:rPr>
        <w:t>(Alejandro et al., 2023; Salas-Riega et al., 2025; Saritac et al., 2022)</w:t>
      </w:r>
      <w:r w:rsidR="004C3F6C">
        <w:fldChar w:fldCharType="end"/>
      </w:r>
      <w:r>
        <w:t xml:space="preserve">. </w:t>
      </w:r>
    </w:p>
    <w:p w14:paraId="5AC54D3A" w14:textId="74C0685D" w:rsidR="009848C0" w:rsidRDefault="004478E0" w:rsidP="009848C0">
      <w:r>
        <w:lastRenderedPageBreak/>
        <w:t>COBIT is an enterprise model of the governance and management of IT that creates principles, objectives and processes to make sure that IT provides value to the stakeholders, and addresses the risk and compliance requirements. It separates governance practices (e.g., evaluate-direct-monitor) and management practices (e.g., align-plan-organise, deliver-service-support), which offers a framework that can accommodate and manage security and compliance efforts. They are normally used together but not as a competitors, and unlike the ISO/IEC 27001, which focuses on certifiable ISMS requirements and ITIL, which focuses on service management practices, some of the aspects addressed by NIST CSF and governance and performance are highlighted by COBIT</w:t>
      </w:r>
      <w:r w:rsidR="007C64C7">
        <w:t xml:space="preserve"> </w:t>
      </w:r>
      <w:r w:rsidR="007C64C7">
        <w:fldChar w:fldCharType="begin"/>
      </w:r>
      <w:r w:rsidR="007C64C7">
        <w:instrText xml:space="preserve"> ADDIN ZOTERO_ITEM CSL_CITATION {"citationID":"577wDSK5","properties":{"formattedCitation":"(Disterer, 2013; Rahman et al., 2024; Salas-Riega et al., 2025; Serrano et al., 2021)","plainCitation":"(Disterer, 2013; Rahman et al., 2024; Salas-Riega et al., 2025; Serrano et al., 2021)","noteIndex":0},"citationItems":[{"id":349,"uris":["http://zotero.org/users/local/0vF7XRbV/items/3WEYURQS"],"itemData":{"id":349,"type":"article-journal","container-title":"Journal of Information Security","DOI":"10.4236/jis.2013.42011","ISSN":"2153-1234, 2153-1242","issue":"02","journalAbbreviation":"JIS","license":"http://creativecommons.org/licenses/by/4.0/","page":"92-100","source":"DOI.org (Crossref)","title":"ISO/IEC 27000, 27001 and 27002 for Information Security Management","volume":"04","author":[{"family":"Disterer","given":"Georg"}],"issued":{"date-parts":[["2013"]]}}},{"id":372,"uris":["http://zotero.org/users/local/0vF7XRbV/items/K74A7N6W"],"itemData":{"id":372,"type":"article","abstract":"In today's digitally driven landscape, robust Information Technology (IT) risk assessment practices are essential for safeguarding systems, digital communication, and data. This paper introduces 'AssessITS', an actionable method designed to provide organizations with comprehensive guidelines for conducting IT and cybersecurity risk assessments. Drawing extensively from NIST 800-30 Rev 1, COBIT 5, and ISO 31000, 'AssessITS' bridges the gap between high-level theoretical standards and practical implementation challenges. The paper outlines a step-by-step methodology that organizations can simply adopt to systematically identify, analyze, and mitigate IT risks. By simplifying complex principles into actionable procedures, this framework equips practitioners with the tools needed to perform risk assessments independently, without too much reliance on external vendors. The guidelines are developed to be straightforward, integrating practical evaluation metrics that allow for the precise quantification of asset values, threat levels, vulnerabilities, and impacts on confidentiality, integrity, and availability. This approach ensures that the risk assessment process is not only comprehensive but also accessible, enabling decision-makers to implement effective risk mitigation strategies customized to their unique operational contexts. 'AssessITS' aims to enable organizations to enhance their IT security strength through practical, actionable guidance based on internationally recognized standards.","DOI":"10.48550/arXiv.2410.01750","note":"arXiv:2410.01750 [cs]","number":"arXiv:2410.01750","publisher":"arXiv","source":"arXiv.org","title":"AssessITS: Integrating procedural guidelines and practical evaluation metrics for organizational IT and Cybersecurity risk assessment","title-short":"AssessITS","URL":"http://arxiv.org/abs/2410.01750","author":[{"family":"Rahman","given":"Mir Mehedi"},{"family":"Kshetri","given":"Naresh"},{"family":"Sayeed","given":"Sayed Abu"},{"family":"Rana","given":"Md Masud"}],"accessed":{"date-parts":[["2025",11,25]]},"issued":{"date-parts":[["2024",10,2]]}}},{"id":371,"uris":["http://zotero.org/users/local/0vF7XRbV/items/NMG322ER"],"itemData":{"id":371,"type":"article-journal","container-title":"International Journal of Advanced Computer Science and Applications","DOI":"10.14569/IJACSA.2025.0160672","ISSN":"21565570, 2158107X","issue":"6","journalAbbreviation":"ijacsa","language":"en","source":"DOI.org (Crossref)","title":"Cybersecurity and the NIST Framework: A Systematic Review of its Implementation and Effectiveness Against Cyber Threats","title-short":"Cybersecurity and the NIST Framework","URL":"http://thesai.org/Publications/ViewPaper?Volume=16&amp;Issue=6&amp;Code=ijacsa&amp;SerialNo=72","volume":"16","author":[{"family":"Salas-Riega","given":"Juan Luis"},{"family":"Riega-Virú","given":"Yasmina"},{"family":"Ninaquispe-Soto","given":"Mario"},{"family":"Salas-Riega","given":"José Miguel"}],"accessed":{"date-parts":[["2025",11,25]]},"issued":{"date-parts":[["2025"]]}}},{"id":356,"uris":["http://zotero.org/users/local/0vF7XRbV/items/BE8SNM6B"],"itemData":{"id":356,"type":"article-journal","abstract":"Information technology (IT) service management is considered a collection of frameworks that support organizations managing services. The implementation of these kinds of frameworks is constantly increasing in the IT service provider domain. The main objective is to define and manage IT services through its life cycle. However, from observing the literature, scarcely any research exists describing the main concepts of ITSM. Many organizations still struggle in several contexts in this domain, mainly during implementation. This research aims to develop a reference study detailing the main concepts related with ITSM. Thus, a systematic literature review is performed. In total, 47 articles were selected from top journals and conferences. The benefits, challenges, opportunities, and practices for ITSM implementation were extracted, critically analysed, and then discussed.","container-title":"Information","DOI":"10.3390/info12030111","ISSN":"2078-2489","issue":"3","journalAbbreviation":"Information","language":"en","page":"111","source":"DOI.org (Crossref)","title":"An IT Service Management Literature Review: Challenges, Benefits, Opportunities and Implementation Practices","title-short":"An IT Service Management Literature Review","volume":"12","author":[{"family":"Serrano","given":"João"},{"family":"Faustino","given":"João"},{"family":"Adriano","given":"Daniel"},{"family":"Pereira","given":"Rúben"},{"family":"Da Silva","given":"Miguel"}],"issued":{"date-parts":[["2021",3,5]]}}}],"schema":"https://github.com/citation-style-language/schema/raw/master/csl-citation.json"} </w:instrText>
      </w:r>
      <w:r w:rsidR="007C64C7">
        <w:fldChar w:fldCharType="separate"/>
      </w:r>
      <w:r w:rsidR="007C64C7" w:rsidRPr="007C64C7">
        <w:rPr>
          <w:rFonts w:cs="Times New Roman"/>
        </w:rPr>
        <w:t>(Disterer, 2013; Rahman et al., 2024; Salas-Riega et al., 2025; Serrano et al., 2021)</w:t>
      </w:r>
      <w:r w:rsidR="007C64C7">
        <w:fldChar w:fldCharType="end"/>
      </w:r>
      <w:r>
        <w:t xml:space="preserve">. </w:t>
      </w:r>
    </w:p>
    <w:p w14:paraId="5F59147C" w14:textId="7BD2C943" w:rsidR="00D04D9E" w:rsidRDefault="00D04D9E" w:rsidP="00D04D9E">
      <w:pPr>
        <w:pStyle w:val="Caption"/>
        <w:keepNext/>
      </w:pPr>
      <w:bookmarkStart w:id="13" w:name="_Toc214999114"/>
      <w:r>
        <w:t xml:space="preserve">Table </w:t>
      </w:r>
      <w:r>
        <w:fldChar w:fldCharType="begin"/>
      </w:r>
      <w:r>
        <w:instrText xml:space="preserve"> SEQ Table \* ARABIC </w:instrText>
      </w:r>
      <w:r>
        <w:fldChar w:fldCharType="separate"/>
      </w:r>
      <w:r w:rsidR="0078774E">
        <w:rPr>
          <w:noProof/>
        </w:rPr>
        <w:t>3</w:t>
      </w:r>
      <w:r>
        <w:fldChar w:fldCharType="end"/>
      </w:r>
      <w:r>
        <w:rPr>
          <w:lang w:val="en-US"/>
        </w:rPr>
        <w:t xml:space="preserve">: </w:t>
      </w:r>
      <w:r w:rsidRPr="00B8793A">
        <w:rPr>
          <w:lang w:val="en-US"/>
        </w:rPr>
        <w:t>Comparison of major IT security frameworks</w:t>
      </w:r>
      <w:bookmarkEnd w:id="13"/>
    </w:p>
    <w:tbl>
      <w:tblPr>
        <w:tblStyle w:val="GridTable4-Accent1"/>
        <w:tblW w:w="0" w:type="auto"/>
        <w:tblLook w:val="04A0" w:firstRow="1" w:lastRow="0" w:firstColumn="1" w:lastColumn="0" w:noHBand="0" w:noVBand="1"/>
      </w:tblPr>
      <w:tblGrid>
        <w:gridCol w:w="1555"/>
        <w:gridCol w:w="2268"/>
        <w:gridCol w:w="2409"/>
        <w:gridCol w:w="2784"/>
      </w:tblGrid>
      <w:tr w:rsidR="009C7EB1" w14:paraId="64A71222" w14:textId="77777777" w:rsidTr="009C7EB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5F7B5024" w14:textId="7CA3D77F" w:rsidR="009C7EB1" w:rsidRPr="009C7EB1" w:rsidRDefault="009C7EB1" w:rsidP="009C7EB1">
            <w:pPr>
              <w:jc w:val="left"/>
              <w:rPr>
                <w:rFonts w:cs="Times New Roman"/>
              </w:rPr>
            </w:pPr>
            <w:r w:rsidRPr="009C7EB1">
              <w:rPr>
                <w:rFonts w:cs="Times New Roman"/>
                <w:b w:val="0"/>
                <w:bCs w:val="0"/>
              </w:rPr>
              <w:t>Framework</w:t>
            </w:r>
          </w:p>
        </w:tc>
        <w:tc>
          <w:tcPr>
            <w:tcW w:w="2268" w:type="dxa"/>
          </w:tcPr>
          <w:p w14:paraId="18BE6DF1" w14:textId="348F292F" w:rsidR="009C7EB1" w:rsidRPr="009C7EB1" w:rsidRDefault="009C7EB1" w:rsidP="009C7EB1">
            <w:pPr>
              <w:jc w:val="left"/>
              <w:cnfStyle w:val="100000000000" w:firstRow="1" w:lastRow="0" w:firstColumn="0" w:lastColumn="0" w:oddVBand="0" w:evenVBand="0" w:oddHBand="0" w:evenHBand="0" w:firstRowFirstColumn="0" w:firstRowLastColumn="0" w:lastRowFirstColumn="0" w:lastRowLastColumn="0"/>
              <w:rPr>
                <w:rFonts w:cs="Times New Roman"/>
              </w:rPr>
            </w:pPr>
            <w:r w:rsidRPr="009C7EB1">
              <w:rPr>
                <w:rFonts w:cs="Times New Roman"/>
                <w:b w:val="0"/>
                <w:bCs w:val="0"/>
              </w:rPr>
              <w:t>Primary focus</w:t>
            </w:r>
          </w:p>
        </w:tc>
        <w:tc>
          <w:tcPr>
            <w:tcW w:w="2409" w:type="dxa"/>
          </w:tcPr>
          <w:p w14:paraId="5C8C6980" w14:textId="732BC843" w:rsidR="009C7EB1" w:rsidRPr="009C7EB1" w:rsidRDefault="009C7EB1" w:rsidP="009C7EB1">
            <w:pPr>
              <w:jc w:val="left"/>
              <w:cnfStyle w:val="100000000000" w:firstRow="1" w:lastRow="0" w:firstColumn="0" w:lastColumn="0" w:oddVBand="0" w:evenVBand="0" w:oddHBand="0" w:evenHBand="0" w:firstRowFirstColumn="0" w:firstRowLastColumn="0" w:lastRowFirstColumn="0" w:lastRowLastColumn="0"/>
              <w:rPr>
                <w:rFonts w:cs="Times New Roman"/>
              </w:rPr>
            </w:pPr>
            <w:r w:rsidRPr="009C7EB1">
              <w:rPr>
                <w:rFonts w:cs="Times New Roman"/>
                <w:b w:val="0"/>
                <w:bCs w:val="0"/>
              </w:rPr>
              <w:t>Key strengths</w:t>
            </w:r>
          </w:p>
        </w:tc>
        <w:tc>
          <w:tcPr>
            <w:tcW w:w="2784" w:type="dxa"/>
          </w:tcPr>
          <w:p w14:paraId="11B84120" w14:textId="71AEAA86" w:rsidR="009C7EB1" w:rsidRPr="009C7EB1" w:rsidRDefault="009C7EB1" w:rsidP="009C7EB1">
            <w:pPr>
              <w:jc w:val="left"/>
              <w:cnfStyle w:val="100000000000" w:firstRow="1" w:lastRow="0" w:firstColumn="0" w:lastColumn="0" w:oddVBand="0" w:evenVBand="0" w:oddHBand="0" w:evenHBand="0" w:firstRowFirstColumn="0" w:firstRowLastColumn="0" w:lastRowFirstColumn="0" w:lastRowLastColumn="0"/>
              <w:rPr>
                <w:rFonts w:cs="Times New Roman"/>
              </w:rPr>
            </w:pPr>
            <w:r w:rsidRPr="009C7EB1">
              <w:rPr>
                <w:rFonts w:cs="Times New Roman"/>
                <w:b w:val="0"/>
                <w:bCs w:val="0"/>
              </w:rPr>
              <w:t>Typical limitations</w:t>
            </w:r>
          </w:p>
        </w:tc>
      </w:tr>
      <w:tr w:rsidR="009C7EB1" w14:paraId="5B422E63" w14:textId="77777777" w:rsidTr="009C7E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786F9450" w14:textId="54D0BE01" w:rsidR="009C7EB1" w:rsidRPr="009C7EB1" w:rsidRDefault="009C7EB1" w:rsidP="009C7EB1">
            <w:pPr>
              <w:jc w:val="left"/>
              <w:rPr>
                <w:rFonts w:cs="Times New Roman"/>
              </w:rPr>
            </w:pPr>
            <w:r w:rsidRPr="009C7EB1">
              <w:rPr>
                <w:rFonts w:cs="Times New Roman"/>
              </w:rPr>
              <w:t>ISO/IEC 27001</w:t>
            </w:r>
          </w:p>
        </w:tc>
        <w:tc>
          <w:tcPr>
            <w:tcW w:w="2268" w:type="dxa"/>
          </w:tcPr>
          <w:p w14:paraId="6B99CBD4" w14:textId="7B85C418" w:rsidR="009C7EB1" w:rsidRPr="009C7EB1" w:rsidRDefault="009C7EB1" w:rsidP="009C7EB1">
            <w:pPr>
              <w:jc w:val="left"/>
              <w:cnfStyle w:val="000000100000" w:firstRow="0" w:lastRow="0" w:firstColumn="0" w:lastColumn="0" w:oddVBand="0" w:evenVBand="0" w:oddHBand="1" w:evenHBand="0" w:firstRowFirstColumn="0" w:firstRowLastColumn="0" w:lastRowFirstColumn="0" w:lastRowLastColumn="0"/>
              <w:rPr>
                <w:rFonts w:cs="Times New Roman"/>
              </w:rPr>
            </w:pPr>
            <w:r w:rsidRPr="009C7EB1">
              <w:rPr>
                <w:rFonts w:cs="Times New Roman"/>
              </w:rPr>
              <w:t>ISMS requirements and controls.</w:t>
            </w:r>
          </w:p>
        </w:tc>
        <w:tc>
          <w:tcPr>
            <w:tcW w:w="2409" w:type="dxa"/>
          </w:tcPr>
          <w:p w14:paraId="062D6D25" w14:textId="55C1AA7D" w:rsidR="009C7EB1" w:rsidRPr="009C7EB1" w:rsidRDefault="009C7EB1" w:rsidP="009C7EB1">
            <w:pPr>
              <w:jc w:val="left"/>
              <w:cnfStyle w:val="000000100000" w:firstRow="0" w:lastRow="0" w:firstColumn="0" w:lastColumn="0" w:oddVBand="0" w:evenVBand="0" w:oddHBand="1" w:evenHBand="0" w:firstRowFirstColumn="0" w:firstRowLastColumn="0" w:lastRowFirstColumn="0" w:lastRowLastColumn="0"/>
              <w:rPr>
                <w:rFonts w:cs="Times New Roman"/>
              </w:rPr>
            </w:pPr>
            <w:r w:rsidRPr="009C7EB1">
              <w:rPr>
                <w:rFonts w:cs="Times New Roman"/>
              </w:rPr>
              <w:t>Certifiable, widely recognised standard.</w:t>
            </w:r>
          </w:p>
        </w:tc>
        <w:tc>
          <w:tcPr>
            <w:tcW w:w="2784" w:type="dxa"/>
          </w:tcPr>
          <w:p w14:paraId="17C0D1ED" w14:textId="01B66497" w:rsidR="009C7EB1" w:rsidRPr="009C7EB1" w:rsidRDefault="009C7EB1" w:rsidP="009C7EB1">
            <w:pPr>
              <w:jc w:val="left"/>
              <w:cnfStyle w:val="000000100000" w:firstRow="0" w:lastRow="0" w:firstColumn="0" w:lastColumn="0" w:oddVBand="0" w:evenVBand="0" w:oddHBand="1" w:evenHBand="0" w:firstRowFirstColumn="0" w:firstRowLastColumn="0" w:lastRowFirstColumn="0" w:lastRowLastColumn="0"/>
              <w:rPr>
                <w:rFonts w:cs="Times New Roman"/>
              </w:rPr>
            </w:pPr>
            <w:r w:rsidRPr="009C7EB1">
              <w:rPr>
                <w:rFonts w:cs="Times New Roman"/>
              </w:rPr>
              <w:t>More prescriptive, implementation</w:t>
            </w:r>
            <w:r w:rsidRPr="009C7EB1">
              <w:rPr>
                <w:rFonts w:cs="Times New Roman"/>
              </w:rPr>
              <w:noBreakHyphen/>
              <w:t>heavy.</w:t>
            </w:r>
          </w:p>
        </w:tc>
      </w:tr>
      <w:tr w:rsidR="009C7EB1" w14:paraId="27B201D7" w14:textId="77777777" w:rsidTr="009C7EB1">
        <w:tc>
          <w:tcPr>
            <w:cnfStyle w:val="001000000000" w:firstRow="0" w:lastRow="0" w:firstColumn="1" w:lastColumn="0" w:oddVBand="0" w:evenVBand="0" w:oddHBand="0" w:evenHBand="0" w:firstRowFirstColumn="0" w:firstRowLastColumn="0" w:lastRowFirstColumn="0" w:lastRowLastColumn="0"/>
            <w:tcW w:w="1555" w:type="dxa"/>
          </w:tcPr>
          <w:p w14:paraId="14FA7C23" w14:textId="4D3DACE7" w:rsidR="009C7EB1" w:rsidRPr="009C7EB1" w:rsidRDefault="009C7EB1" w:rsidP="009C7EB1">
            <w:pPr>
              <w:jc w:val="left"/>
              <w:rPr>
                <w:rFonts w:cs="Times New Roman"/>
              </w:rPr>
            </w:pPr>
            <w:r w:rsidRPr="009C7EB1">
              <w:rPr>
                <w:rFonts w:cs="Times New Roman"/>
              </w:rPr>
              <w:t>NIST CSF</w:t>
            </w:r>
          </w:p>
        </w:tc>
        <w:tc>
          <w:tcPr>
            <w:tcW w:w="2268" w:type="dxa"/>
          </w:tcPr>
          <w:p w14:paraId="6878FAF7" w14:textId="521EEEAA" w:rsidR="009C7EB1" w:rsidRPr="009C7EB1" w:rsidRDefault="009C7EB1" w:rsidP="009C7EB1">
            <w:pPr>
              <w:jc w:val="left"/>
              <w:cnfStyle w:val="000000000000" w:firstRow="0" w:lastRow="0" w:firstColumn="0" w:lastColumn="0" w:oddVBand="0" w:evenVBand="0" w:oddHBand="0" w:evenHBand="0" w:firstRowFirstColumn="0" w:firstRowLastColumn="0" w:lastRowFirstColumn="0" w:lastRowLastColumn="0"/>
              <w:rPr>
                <w:rFonts w:cs="Times New Roman"/>
              </w:rPr>
            </w:pPr>
            <w:r w:rsidRPr="009C7EB1">
              <w:rPr>
                <w:rFonts w:cs="Times New Roman"/>
              </w:rPr>
              <w:t>Cybersecurity risk posture functions.</w:t>
            </w:r>
          </w:p>
        </w:tc>
        <w:tc>
          <w:tcPr>
            <w:tcW w:w="2409" w:type="dxa"/>
          </w:tcPr>
          <w:p w14:paraId="0440D50A" w14:textId="07B6CAF3" w:rsidR="009C7EB1" w:rsidRPr="009C7EB1" w:rsidRDefault="009C7EB1" w:rsidP="009C7EB1">
            <w:pPr>
              <w:jc w:val="left"/>
              <w:cnfStyle w:val="000000000000" w:firstRow="0" w:lastRow="0" w:firstColumn="0" w:lastColumn="0" w:oddVBand="0" w:evenVBand="0" w:oddHBand="0" w:evenHBand="0" w:firstRowFirstColumn="0" w:firstRowLastColumn="0" w:lastRowFirstColumn="0" w:lastRowLastColumn="0"/>
              <w:rPr>
                <w:rFonts w:cs="Times New Roman"/>
              </w:rPr>
            </w:pPr>
            <w:r w:rsidRPr="009C7EB1">
              <w:rPr>
                <w:rFonts w:cs="Times New Roman"/>
              </w:rPr>
              <w:t>Flexible, high</w:t>
            </w:r>
            <w:r w:rsidRPr="009C7EB1">
              <w:rPr>
                <w:rFonts w:cs="Times New Roman"/>
              </w:rPr>
              <w:noBreakHyphen/>
              <w:t>level, easy to map to others.</w:t>
            </w:r>
          </w:p>
        </w:tc>
        <w:tc>
          <w:tcPr>
            <w:tcW w:w="2784" w:type="dxa"/>
          </w:tcPr>
          <w:p w14:paraId="4639850C" w14:textId="0A9481EE" w:rsidR="009C7EB1" w:rsidRPr="009C7EB1" w:rsidRDefault="009C7EB1" w:rsidP="009C7EB1">
            <w:pPr>
              <w:jc w:val="left"/>
              <w:cnfStyle w:val="000000000000" w:firstRow="0" w:lastRow="0" w:firstColumn="0" w:lastColumn="0" w:oddVBand="0" w:evenVBand="0" w:oddHBand="0" w:evenHBand="0" w:firstRowFirstColumn="0" w:firstRowLastColumn="0" w:lastRowFirstColumn="0" w:lastRowLastColumn="0"/>
              <w:rPr>
                <w:rFonts w:cs="Times New Roman"/>
              </w:rPr>
            </w:pPr>
            <w:r w:rsidRPr="009C7EB1">
              <w:rPr>
                <w:rFonts w:cs="Times New Roman"/>
              </w:rPr>
              <w:t>Voluntary, less detailed control guidance.</w:t>
            </w:r>
          </w:p>
        </w:tc>
      </w:tr>
      <w:tr w:rsidR="009C7EB1" w14:paraId="5D53A9B2" w14:textId="77777777" w:rsidTr="009C7E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72FD5ED5" w14:textId="7E493D08" w:rsidR="009C7EB1" w:rsidRPr="009C7EB1" w:rsidRDefault="009C7EB1" w:rsidP="009C7EB1">
            <w:pPr>
              <w:jc w:val="left"/>
              <w:rPr>
                <w:rFonts w:cs="Times New Roman"/>
              </w:rPr>
            </w:pPr>
            <w:r w:rsidRPr="009C7EB1">
              <w:rPr>
                <w:rFonts w:cs="Times New Roman"/>
              </w:rPr>
              <w:t>COBIT</w:t>
            </w:r>
          </w:p>
        </w:tc>
        <w:tc>
          <w:tcPr>
            <w:tcW w:w="2268" w:type="dxa"/>
          </w:tcPr>
          <w:p w14:paraId="7D2C0763" w14:textId="5AB7573D" w:rsidR="009C7EB1" w:rsidRPr="009C7EB1" w:rsidRDefault="009C7EB1" w:rsidP="009C7EB1">
            <w:pPr>
              <w:jc w:val="left"/>
              <w:cnfStyle w:val="000000100000" w:firstRow="0" w:lastRow="0" w:firstColumn="0" w:lastColumn="0" w:oddVBand="0" w:evenVBand="0" w:oddHBand="1" w:evenHBand="0" w:firstRowFirstColumn="0" w:firstRowLastColumn="0" w:lastRowFirstColumn="0" w:lastRowLastColumn="0"/>
              <w:rPr>
                <w:rFonts w:cs="Times New Roman"/>
              </w:rPr>
            </w:pPr>
            <w:r w:rsidRPr="009C7EB1">
              <w:rPr>
                <w:rFonts w:cs="Times New Roman"/>
              </w:rPr>
              <w:t>IT governance and management.</w:t>
            </w:r>
          </w:p>
        </w:tc>
        <w:tc>
          <w:tcPr>
            <w:tcW w:w="2409" w:type="dxa"/>
          </w:tcPr>
          <w:p w14:paraId="1D246477" w14:textId="469A9866" w:rsidR="009C7EB1" w:rsidRPr="009C7EB1" w:rsidRDefault="009C7EB1" w:rsidP="009C7EB1">
            <w:pPr>
              <w:jc w:val="left"/>
              <w:cnfStyle w:val="000000100000" w:firstRow="0" w:lastRow="0" w:firstColumn="0" w:lastColumn="0" w:oddVBand="0" w:evenVBand="0" w:oddHBand="1" w:evenHBand="0" w:firstRowFirstColumn="0" w:firstRowLastColumn="0" w:lastRowFirstColumn="0" w:lastRowLastColumn="0"/>
              <w:rPr>
                <w:rFonts w:cs="Times New Roman"/>
              </w:rPr>
            </w:pPr>
            <w:r w:rsidRPr="009C7EB1">
              <w:rPr>
                <w:rFonts w:cs="Times New Roman"/>
              </w:rPr>
              <w:t>Strong focus on value, risk and compliance.</w:t>
            </w:r>
          </w:p>
        </w:tc>
        <w:tc>
          <w:tcPr>
            <w:tcW w:w="2784" w:type="dxa"/>
          </w:tcPr>
          <w:p w14:paraId="182EFAAE" w14:textId="33D567B5" w:rsidR="009C7EB1" w:rsidRPr="009C7EB1" w:rsidRDefault="009C7EB1" w:rsidP="009C7EB1">
            <w:pPr>
              <w:jc w:val="left"/>
              <w:cnfStyle w:val="000000100000" w:firstRow="0" w:lastRow="0" w:firstColumn="0" w:lastColumn="0" w:oddVBand="0" w:evenVBand="0" w:oddHBand="1" w:evenHBand="0" w:firstRowFirstColumn="0" w:firstRowLastColumn="0" w:lastRowFirstColumn="0" w:lastRowLastColumn="0"/>
              <w:rPr>
                <w:rFonts w:cs="Times New Roman"/>
              </w:rPr>
            </w:pPr>
            <w:r w:rsidRPr="009C7EB1">
              <w:rPr>
                <w:rFonts w:cs="Times New Roman"/>
              </w:rPr>
              <w:t>Requires tailoring, less technical detail.</w:t>
            </w:r>
          </w:p>
        </w:tc>
      </w:tr>
      <w:tr w:rsidR="009C7EB1" w14:paraId="5231C3A6" w14:textId="77777777" w:rsidTr="009C7EB1">
        <w:tc>
          <w:tcPr>
            <w:cnfStyle w:val="001000000000" w:firstRow="0" w:lastRow="0" w:firstColumn="1" w:lastColumn="0" w:oddVBand="0" w:evenVBand="0" w:oddHBand="0" w:evenHBand="0" w:firstRowFirstColumn="0" w:firstRowLastColumn="0" w:lastRowFirstColumn="0" w:lastRowLastColumn="0"/>
            <w:tcW w:w="1555" w:type="dxa"/>
          </w:tcPr>
          <w:p w14:paraId="6DA1EC40" w14:textId="1CF85EC0" w:rsidR="009C7EB1" w:rsidRPr="009C7EB1" w:rsidRDefault="009C7EB1" w:rsidP="009C7EB1">
            <w:pPr>
              <w:jc w:val="left"/>
              <w:rPr>
                <w:rFonts w:cs="Times New Roman"/>
              </w:rPr>
            </w:pPr>
            <w:r w:rsidRPr="009C7EB1">
              <w:rPr>
                <w:rFonts w:cs="Times New Roman"/>
              </w:rPr>
              <w:t>ITIL</w:t>
            </w:r>
          </w:p>
        </w:tc>
        <w:tc>
          <w:tcPr>
            <w:tcW w:w="2268" w:type="dxa"/>
          </w:tcPr>
          <w:p w14:paraId="77F1443D" w14:textId="7F57B6F9" w:rsidR="009C7EB1" w:rsidRPr="009C7EB1" w:rsidRDefault="009C7EB1" w:rsidP="009C7EB1">
            <w:pPr>
              <w:jc w:val="left"/>
              <w:cnfStyle w:val="000000000000" w:firstRow="0" w:lastRow="0" w:firstColumn="0" w:lastColumn="0" w:oddVBand="0" w:evenVBand="0" w:oddHBand="0" w:evenHBand="0" w:firstRowFirstColumn="0" w:firstRowLastColumn="0" w:lastRowFirstColumn="0" w:lastRowLastColumn="0"/>
              <w:rPr>
                <w:rFonts w:cs="Times New Roman"/>
              </w:rPr>
            </w:pPr>
            <w:r w:rsidRPr="009C7EB1">
              <w:rPr>
                <w:rFonts w:cs="Times New Roman"/>
              </w:rPr>
              <w:t>IT service management practices.</w:t>
            </w:r>
          </w:p>
        </w:tc>
        <w:tc>
          <w:tcPr>
            <w:tcW w:w="2409" w:type="dxa"/>
          </w:tcPr>
          <w:p w14:paraId="7DD3D510" w14:textId="63137CBE" w:rsidR="009C7EB1" w:rsidRPr="009C7EB1" w:rsidRDefault="009C7EB1" w:rsidP="009C7EB1">
            <w:pPr>
              <w:jc w:val="left"/>
              <w:cnfStyle w:val="000000000000" w:firstRow="0" w:lastRow="0" w:firstColumn="0" w:lastColumn="0" w:oddVBand="0" w:evenVBand="0" w:oddHBand="0" w:evenHBand="0" w:firstRowFirstColumn="0" w:firstRowLastColumn="0" w:lastRowFirstColumn="0" w:lastRowLastColumn="0"/>
              <w:rPr>
                <w:rFonts w:cs="Times New Roman"/>
              </w:rPr>
            </w:pPr>
            <w:r w:rsidRPr="009C7EB1">
              <w:rPr>
                <w:rFonts w:cs="Times New Roman"/>
              </w:rPr>
              <w:t>Mature operational process guidance.</w:t>
            </w:r>
          </w:p>
        </w:tc>
        <w:tc>
          <w:tcPr>
            <w:tcW w:w="2784" w:type="dxa"/>
          </w:tcPr>
          <w:p w14:paraId="42A1BF39" w14:textId="7DA582D3" w:rsidR="009C7EB1" w:rsidRPr="009C7EB1" w:rsidRDefault="009C7EB1" w:rsidP="009C7EB1">
            <w:pPr>
              <w:jc w:val="left"/>
              <w:cnfStyle w:val="000000000000" w:firstRow="0" w:lastRow="0" w:firstColumn="0" w:lastColumn="0" w:oddVBand="0" w:evenVBand="0" w:oddHBand="0" w:evenHBand="0" w:firstRowFirstColumn="0" w:firstRowLastColumn="0" w:lastRowFirstColumn="0" w:lastRowLastColumn="0"/>
              <w:rPr>
                <w:rFonts w:cs="Times New Roman"/>
              </w:rPr>
            </w:pPr>
            <w:r w:rsidRPr="009C7EB1">
              <w:rPr>
                <w:rFonts w:cs="Times New Roman"/>
              </w:rPr>
              <w:t>Not security</w:t>
            </w:r>
            <w:r w:rsidRPr="009C7EB1">
              <w:rPr>
                <w:rFonts w:cs="Times New Roman"/>
              </w:rPr>
              <w:noBreakHyphen/>
              <w:t>specific by default.</w:t>
            </w:r>
          </w:p>
        </w:tc>
      </w:tr>
    </w:tbl>
    <w:p w14:paraId="080D3EA1" w14:textId="77777777" w:rsidR="009848C0" w:rsidRDefault="009848C0" w:rsidP="009848C0"/>
    <w:p w14:paraId="48EAF798" w14:textId="16204EAE" w:rsidR="009848C0" w:rsidRDefault="009848C0" w:rsidP="0041218F">
      <w:pPr>
        <w:pStyle w:val="Heading2"/>
      </w:pPr>
      <w:bookmarkStart w:id="14" w:name="_Toc214999087"/>
      <w:r>
        <w:t>2</w:t>
      </w:r>
      <w:r w:rsidRPr="009848C0">
        <w:t>.4 Synthesis and Gap Analysis</w:t>
      </w:r>
      <w:bookmarkEnd w:id="14"/>
    </w:p>
    <w:p w14:paraId="473773C8" w14:textId="402BF1FF" w:rsidR="00581F1D" w:rsidRDefault="00AC11E2" w:rsidP="00581F1D">
      <w:r w:rsidRPr="00AC11E2">
        <w:t>Together, ISO 27001/27002, ITIL, NIST CSF and COBIT provide a complementary advice on the controls, the service processes, risk posture and governance. This is because naturegreen does not have policies and uncomprising governance and thus such structures remain largely untested, though the environment is multifaceted and cloud based and wireless</w:t>
      </w:r>
      <w:r w:rsidR="00F21BF7">
        <w:t xml:space="preserve"> </w:t>
      </w:r>
      <w:r w:rsidR="00F21BF7">
        <w:fldChar w:fldCharType="begin"/>
      </w:r>
      <w:r w:rsidR="00F21BF7">
        <w:instrText xml:space="preserve"> ADDIN ZOTERO_ITEM CSL_CITATION {"citationID":"qH1zJLsc","properties":{"formattedCitation":"(Disterer, 2013; Salas-Riega et al., 2025; Serrano et al., 2021)","plainCitation":"(Disterer, 2013; Salas-Riega et al., 2025; Serrano et al., 2021)","noteIndex":0},"citationItems":[{"id":349,"uris":["http://zotero.org/users/local/0vF7XRbV/items/3WEYURQS"],"itemData":{"id":349,"type":"article-journal","container-title":"Journal of Information Security","DOI":"10.4236/jis.2013.42011","ISSN":"2153-1234, 2153-1242","issue":"02","journalAbbreviation":"JIS","license":"http://creativecommons.org/licenses/by/4.0/","page":"92-100","source":"DOI.org (Crossref)","title":"ISO/IEC 27000, 27001 and 27002 for Information Security Management","volume":"04","author":[{"family":"Disterer","given":"Georg"}],"issued":{"date-parts":[["2013"]]}}},{"id":371,"uris":["http://zotero.org/users/local/0vF7XRbV/items/NMG322ER"],"itemData":{"id":371,"type":"article-journal","container-title":"International Journal of Advanced Computer Science and Applications","DOI":"10.14569/IJACSA.2025.0160672","ISSN":"21565570, 2158107X","issue":"6","journalAbbreviation":"ijacsa","language":"en","source":"DOI.org (Crossref)","title":"Cybersecurity and the NIST Framework: A Systematic Review of its Implementation and Effectiveness Against Cyber Threats","title-short":"Cybersecurity and the NIST Framework","URL":"http://thesai.org/Publications/ViewPaper?Volume=16&amp;Issue=6&amp;Code=ijacsa&amp;SerialNo=72","volume":"16","author":[{"family":"Salas-Riega","given":"Juan Luis"},{"family":"Riega-Virú","given":"Yasmina"},{"family":"Ninaquispe-Soto","given":"Mario"},{"family":"Salas-Riega","given":"José Miguel"}],"accessed":{"date-parts":[["2025",11,25]]},"issued":{"date-parts":[["2025"]]}}},{"id":356,"uris":["http://zotero.org/users/local/0vF7XRbV/items/BE8SNM6B"],"itemData":{"id":356,"type":"article-journal","abstract":"Information technology (IT) service management is considered a collection of frameworks that support organizations managing services. The implementation of these kinds of frameworks is constantly increasing in the IT service provider domain. The main objective is to define and manage IT services through its life cycle. However, from observing the literature, scarcely any research exists describing the main concepts of ITSM. Many organizations still struggle in several contexts in this domain, mainly during implementation. This research aims to develop a reference study detailing the main concepts related with ITSM. Thus, a systematic literature review is performed. In total, 47 articles were selected from top journals and conferences. The benefits, challenges, opportunities, and practices for ITSM implementation were extracted, critically analysed, and then discussed.","container-title":"Information","DOI":"10.3390/info12030111","ISSN":"2078-2489","issue":"3","journalAbbreviation":"Information","language":"en","page":"111","source":"DOI.org (Crossref)","title":"An IT Service Management Literature Review: Challenges, Benefits, Opportunities and Implementation Practices","title-short":"An IT Service Management Literature Review","volume":"12","author":[{"family":"Serrano","given":"João"},{"family":"Faustino","given":"João"},{"family":"Adriano","given":"Daniel"},{"family":"Pereira","given":"Rúben"},{"family":"Da Silva","given":"Miguel"}],"issued":{"date-parts":[["2021",3,5]]}}}],"schema":"https://github.com/citation-style-language/schema/raw/master/csl-citation.json"} </w:instrText>
      </w:r>
      <w:r w:rsidR="00F21BF7">
        <w:fldChar w:fldCharType="separate"/>
      </w:r>
      <w:r w:rsidR="00F21BF7" w:rsidRPr="00F21BF7">
        <w:rPr>
          <w:rFonts w:cs="Times New Roman"/>
        </w:rPr>
        <w:t>(Disterer, 2013; Salas-Riega et al., 2025; Serrano et al., 2021)</w:t>
      </w:r>
      <w:r w:rsidR="00F21BF7">
        <w:fldChar w:fldCharType="end"/>
      </w:r>
      <w:r w:rsidRPr="00AC11E2">
        <w:t>.</w:t>
      </w:r>
    </w:p>
    <w:p w14:paraId="5E9845AF" w14:textId="77777777" w:rsidR="008F192C" w:rsidRDefault="008F192C" w:rsidP="00581F1D"/>
    <w:p w14:paraId="730CAC3E" w14:textId="77777777" w:rsidR="008F192C" w:rsidRDefault="008F192C" w:rsidP="00581F1D"/>
    <w:p w14:paraId="43F06D8B" w14:textId="77777777" w:rsidR="008F192C" w:rsidRDefault="008F192C" w:rsidP="00581F1D"/>
    <w:p w14:paraId="4F5B46B1" w14:textId="0291CA70" w:rsidR="008F192C" w:rsidRDefault="008F192C" w:rsidP="008F192C">
      <w:pPr>
        <w:pStyle w:val="Caption"/>
        <w:keepNext/>
      </w:pPr>
      <w:bookmarkStart w:id="15" w:name="_Toc214999115"/>
      <w:r>
        <w:lastRenderedPageBreak/>
        <w:t xml:space="preserve">Table </w:t>
      </w:r>
      <w:r>
        <w:fldChar w:fldCharType="begin"/>
      </w:r>
      <w:r>
        <w:instrText xml:space="preserve"> SEQ Table \* ARABIC </w:instrText>
      </w:r>
      <w:r>
        <w:fldChar w:fldCharType="separate"/>
      </w:r>
      <w:r w:rsidR="0078774E">
        <w:rPr>
          <w:noProof/>
        </w:rPr>
        <w:t>4</w:t>
      </w:r>
      <w:r>
        <w:fldChar w:fldCharType="end"/>
      </w:r>
      <w:r>
        <w:rPr>
          <w:lang w:val="en-US"/>
        </w:rPr>
        <w:t xml:space="preserve">: </w:t>
      </w:r>
      <w:r w:rsidRPr="001222FB">
        <w:rPr>
          <w:lang w:val="en-US"/>
        </w:rPr>
        <w:t>Comparison of framework insights and gaps</w:t>
      </w:r>
      <w:bookmarkEnd w:id="15"/>
    </w:p>
    <w:tbl>
      <w:tblPr>
        <w:tblStyle w:val="GridTable4-Accent1"/>
        <w:tblW w:w="0" w:type="auto"/>
        <w:tblLook w:val="04A0" w:firstRow="1" w:lastRow="0" w:firstColumn="1" w:lastColumn="0" w:noHBand="0" w:noVBand="1"/>
      </w:tblPr>
      <w:tblGrid>
        <w:gridCol w:w="1980"/>
        <w:gridCol w:w="3544"/>
        <w:gridCol w:w="3492"/>
      </w:tblGrid>
      <w:tr w:rsidR="00581F1D" w14:paraId="1DAA845C" w14:textId="77777777" w:rsidTr="00581F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281D5031" w14:textId="2390536E" w:rsidR="00581F1D" w:rsidRPr="00581F1D" w:rsidRDefault="00581F1D" w:rsidP="00581F1D">
            <w:pPr>
              <w:jc w:val="left"/>
              <w:rPr>
                <w:rFonts w:cs="Times New Roman"/>
              </w:rPr>
            </w:pPr>
            <w:r w:rsidRPr="00581F1D">
              <w:rPr>
                <w:rFonts w:cs="Times New Roman"/>
                <w:b w:val="0"/>
                <w:bCs w:val="0"/>
              </w:rPr>
              <w:t>Area</w:t>
            </w:r>
          </w:p>
        </w:tc>
        <w:tc>
          <w:tcPr>
            <w:tcW w:w="3544" w:type="dxa"/>
          </w:tcPr>
          <w:p w14:paraId="079A1E34" w14:textId="72DD596E" w:rsidR="00581F1D" w:rsidRPr="00581F1D" w:rsidRDefault="00581F1D" w:rsidP="00581F1D">
            <w:pPr>
              <w:jc w:val="left"/>
              <w:cnfStyle w:val="100000000000" w:firstRow="1" w:lastRow="0" w:firstColumn="0" w:lastColumn="0" w:oddVBand="0" w:evenVBand="0" w:oddHBand="0" w:evenHBand="0" w:firstRowFirstColumn="0" w:firstRowLastColumn="0" w:lastRowFirstColumn="0" w:lastRowLastColumn="0"/>
              <w:rPr>
                <w:rFonts w:cs="Times New Roman"/>
              </w:rPr>
            </w:pPr>
            <w:r w:rsidRPr="00581F1D">
              <w:rPr>
                <w:rFonts w:cs="Times New Roman"/>
                <w:b w:val="0"/>
                <w:bCs w:val="0"/>
              </w:rPr>
              <w:t>Framework insights</w:t>
            </w:r>
          </w:p>
        </w:tc>
        <w:tc>
          <w:tcPr>
            <w:tcW w:w="3492" w:type="dxa"/>
          </w:tcPr>
          <w:p w14:paraId="3E855F6C" w14:textId="30BCD330" w:rsidR="00581F1D" w:rsidRPr="00581F1D" w:rsidRDefault="00581F1D" w:rsidP="00581F1D">
            <w:pPr>
              <w:jc w:val="left"/>
              <w:cnfStyle w:val="100000000000" w:firstRow="1" w:lastRow="0" w:firstColumn="0" w:lastColumn="0" w:oddVBand="0" w:evenVBand="0" w:oddHBand="0" w:evenHBand="0" w:firstRowFirstColumn="0" w:firstRowLastColumn="0" w:lastRowFirstColumn="0" w:lastRowLastColumn="0"/>
              <w:rPr>
                <w:rFonts w:cs="Times New Roman"/>
              </w:rPr>
            </w:pPr>
            <w:r w:rsidRPr="00581F1D">
              <w:rPr>
                <w:rFonts w:cs="Times New Roman"/>
                <w:b w:val="0"/>
                <w:bCs w:val="0"/>
              </w:rPr>
              <w:t>Gap at NatureGreen</w:t>
            </w:r>
          </w:p>
        </w:tc>
      </w:tr>
      <w:tr w:rsidR="00581F1D" w14:paraId="2015A835" w14:textId="77777777" w:rsidTr="00581F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31A473E5" w14:textId="56FEA696" w:rsidR="00581F1D" w:rsidRPr="00581F1D" w:rsidRDefault="00581F1D" w:rsidP="00581F1D">
            <w:pPr>
              <w:jc w:val="left"/>
              <w:rPr>
                <w:rFonts w:cs="Times New Roman"/>
              </w:rPr>
            </w:pPr>
            <w:r w:rsidRPr="00581F1D">
              <w:rPr>
                <w:rFonts w:cs="Times New Roman"/>
              </w:rPr>
              <w:t>Governance</w:t>
            </w:r>
          </w:p>
        </w:tc>
        <w:tc>
          <w:tcPr>
            <w:tcW w:w="3544" w:type="dxa"/>
          </w:tcPr>
          <w:p w14:paraId="0CFEF40F" w14:textId="0249B3A5" w:rsidR="00581F1D" w:rsidRPr="00581F1D" w:rsidRDefault="00581F1D" w:rsidP="00581F1D">
            <w:pPr>
              <w:jc w:val="left"/>
              <w:cnfStyle w:val="000000100000" w:firstRow="0" w:lastRow="0" w:firstColumn="0" w:lastColumn="0" w:oddVBand="0" w:evenVBand="0" w:oddHBand="1" w:evenHBand="0" w:firstRowFirstColumn="0" w:firstRowLastColumn="0" w:lastRowFirstColumn="0" w:lastRowLastColumn="0"/>
              <w:rPr>
                <w:rFonts w:cs="Times New Roman"/>
              </w:rPr>
            </w:pPr>
            <w:r w:rsidRPr="00581F1D">
              <w:rPr>
                <w:rFonts w:cs="Times New Roman"/>
              </w:rPr>
              <w:t>COBIT defines structures, roles and oversight.</w:t>
            </w:r>
          </w:p>
        </w:tc>
        <w:tc>
          <w:tcPr>
            <w:tcW w:w="3492" w:type="dxa"/>
          </w:tcPr>
          <w:p w14:paraId="2BE58B16" w14:textId="13B0E487" w:rsidR="00581F1D" w:rsidRPr="00581F1D" w:rsidRDefault="00581F1D" w:rsidP="00581F1D">
            <w:pPr>
              <w:jc w:val="left"/>
              <w:cnfStyle w:val="000000100000" w:firstRow="0" w:lastRow="0" w:firstColumn="0" w:lastColumn="0" w:oddVBand="0" w:evenVBand="0" w:oddHBand="1" w:evenHBand="0" w:firstRowFirstColumn="0" w:firstRowLastColumn="0" w:lastRowFirstColumn="0" w:lastRowLastColumn="0"/>
              <w:rPr>
                <w:rFonts w:cs="Times New Roman"/>
              </w:rPr>
            </w:pPr>
            <w:r w:rsidRPr="00581F1D">
              <w:rPr>
                <w:rFonts w:cs="Times New Roman"/>
              </w:rPr>
              <w:t>No established security governance or policy.</w:t>
            </w:r>
          </w:p>
        </w:tc>
      </w:tr>
      <w:tr w:rsidR="00581F1D" w14:paraId="2EBD2EF1" w14:textId="77777777" w:rsidTr="00581F1D">
        <w:tc>
          <w:tcPr>
            <w:cnfStyle w:val="001000000000" w:firstRow="0" w:lastRow="0" w:firstColumn="1" w:lastColumn="0" w:oddVBand="0" w:evenVBand="0" w:oddHBand="0" w:evenHBand="0" w:firstRowFirstColumn="0" w:firstRowLastColumn="0" w:lastRowFirstColumn="0" w:lastRowLastColumn="0"/>
            <w:tcW w:w="1980" w:type="dxa"/>
          </w:tcPr>
          <w:p w14:paraId="79E2AB3A" w14:textId="46724F5C" w:rsidR="00581F1D" w:rsidRPr="00581F1D" w:rsidRDefault="00581F1D" w:rsidP="00581F1D">
            <w:pPr>
              <w:jc w:val="left"/>
              <w:rPr>
                <w:rFonts w:cs="Times New Roman"/>
              </w:rPr>
            </w:pPr>
            <w:r w:rsidRPr="00581F1D">
              <w:rPr>
                <w:rFonts w:cs="Times New Roman"/>
              </w:rPr>
              <w:t>ISMS controls</w:t>
            </w:r>
          </w:p>
        </w:tc>
        <w:tc>
          <w:tcPr>
            <w:tcW w:w="3544" w:type="dxa"/>
          </w:tcPr>
          <w:p w14:paraId="07CFD632" w14:textId="2A5B451B" w:rsidR="00581F1D" w:rsidRPr="00581F1D" w:rsidRDefault="00581F1D" w:rsidP="00581F1D">
            <w:pPr>
              <w:jc w:val="left"/>
              <w:cnfStyle w:val="000000000000" w:firstRow="0" w:lastRow="0" w:firstColumn="0" w:lastColumn="0" w:oddVBand="0" w:evenVBand="0" w:oddHBand="0" w:evenHBand="0" w:firstRowFirstColumn="0" w:firstRowLastColumn="0" w:lastRowFirstColumn="0" w:lastRowLastColumn="0"/>
              <w:rPr>
                <w:rFonts w:cs="Times New Roman"/>
              </w:rPr>
            </w:pPr>
            <w:r w:rsidRPr="00581F1D">
              <w:rPr>
                <w:rFonts w:cs="Times New Roman"/>
              </w:rPr>
              <w:t>ISO 27001/27002 specify control set and ISMS cycle.</w:t>
            </w:r>
          </w:p>
        </w:tc>
        <w:tc>
          <w:tcPr>
            <w:tcW w:w="3492" w:type="dxa"/>
          </w:tcPr>
          <w:p w14:paraId="4B58F509" w14:textId="440BFB1D" w:rsidR="00581F1D" w:rsidRPr="00581F1D" w:rsidRDefault="00581F1D" w:rsidP="00581F1D">
            <w:pPr>
              <w:jc w:val="left"/>
              <w:cnfStyle w:val="000000000000" w:firstRow="0" w:lastRow="0" w:firstColumn="0" w:lastColumn="0" w:oddVBand="0" w:evenVBand="0" w:oddHBand="0" w:evenHBand="0" w:firstRowFirstColumn="0" w:firstRowLastColumn="0" w:lastRowFirstColumn="0" w:lastRowLastColumn="0"/>
              <w:rPr>
                <w:rFonts w:cs="Times New Roman"/>
              </w:rPr>
            </w:pPr>
            <w:r w:rsidRPr="00581F1D">
              <w:rPr>
                <w:rFonts w:cs="Times New Roman"/>
              </w:rPr>
              <w:t>Controls not formalised or risk</w:t>
            </w:r>
            <w:r w:rsidRPr="00581F1D">
              <w:rPr>
                <w:rFonts w:cs="Times New Roman"/>
              </w:rPr>
              <w:noBreakHyphen/>
              <w:t>driven.</w:t>
            </w:r>
          </w:p>
        </w:tc>
      </w:tr>
      <w:tr w:rsidR="00581F1D" w14:paraId="50E9112C" w14:textId="77777777" w:rsidTr="00581F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2ABE90C5" w14:textId="0C3B0585" w:rsidR="00581F1D" w:rsidRPr="00581F1D" w:rsidRDefault="00581F1D" w:rsidP="00581F1D">
            <w:pPr>
              <w:jc w:val="left"/>
              <w:rPr>
                <w:rFonts w:cs="Times New Roman"/>
              </w:rPr>
            </w:pPr>
            <w:r w:rsidRPr="00581F1D">
              <w:rPr>
                <w:rFonts w:cs="Times New Roman"/>
              </w:rPr>
              <w:t>Service processes</w:t>
            </w:r>
          </w:p>
        </w:tc>
        <w:tc>
          <w:tcPr>
            <w:tcW w:w="3544" w:type="dxa"/>
          </w:tcPr>
          <w:p w14:paraId="6BC49866" w14:textId="4F4F847A" w:rsidR="00581F1D" w:rsidRPr="00581F1D" w:rsidRDefault="00581F1D" w:rsidP="00581F1D">
            <w:pPr>
              <w:jc w:val="left"/>
              <w:cnfStyle w:val="000000100000" w:firstRow="0" w:lastRow="0" w:firstColumn="0" w:lastColumn="0" w:oddVBand="0" w:evenVBand="0" w:oddHBand="1" w:evenHBand="0" w:firstRowFirstColumn="0" w:firstRowLastColumn="0" w:lastRowFirstColumn="0" w:lastRowLastColumn="0"/>
              <w:rPr>
                <w:rFonts w:cs="Times New Roman"/>
              </w:rPr>
            </w:pPr>
            <w:r w:rsidRPr="00581F1D">
              <w:rPr>
                <w:rFonts w:cs="Times New Roman"/>
              </w:rPr>
              <w:t>ITIL structures incidents, changes, continuity.</w:t>
            </w:r>
          </w:p>
        </w:tc>
        <w:tc>
          <w:tcPr>
            <w:tcW w:w="3492" w:type="dxa"/>
          </w:tcPr>
          <w:p w14:paraId="70178227" w14:textId="568678C5" w:rsidR="00581F1D" w:rsidRPr="00581F1D" w:rsidRDefault="00581F1D" w:rsidP="00581F1D">
            <w:pPr>
              <w:jc w:val="left"/>
              <w:cnfStyle w:val="000000100000" w:firstRow="0" w:lastRow="0" w:firstColumn="0" w:lastColumn="0" w:oddVBand="0" w:evenVBand="0" w:oddHBand="1" w:evenHBand="0" w:firstRowFirstColumn="0" w:firstRowLastColumn="0" w:lastRowFirstColumn="0" w:lastRowLastColumn="0"/>
              <w:rPr>
                <w:rFonts w:cs="Times New Roman"/>
              </w:rPr>
            </w:pPr>
            <w:r w:rsidRPr="00581F1D">
              <w:rPr>
                <w:rFonts w:cs="Times New Roman"/>
              </w:rPr>
              <w:t>Disorganised operational security practices.</w:t>
            </w:r>
          </w:p>
        </w:tc>
      </w:tr>
      <w:tr w:rsidR="00581F1D" w14:paraId="719F618D" w14:textId="77777777" w:rsidTr="00581F1D">
        <w:tc>
          <w:tcPr>
            <w:cnfStyle w:val="001000000000" w:firstRow="0" w:lastRow="0" w:firstColumn="1" w:lastColumn="0" w:oddVBand="0" w:evenVBand="0" w:oddHBand="0" w:evenHBand="0" w:firstRowFirstColumn="0" w:firstRowLastColumn="0" w:lastRowFirstColumn="0" w:lastRowLastColumn="0"/>
            <w:tcW w:w="1980" w:type="dxa"/>
          </w:tcPr>
          <w:p w14:paraId="18449A55" w14:textId="08542B76" w:rsidR="00581F1D" w:rsidRPr="00581F1D" w:rsidRDefault="00581F1D" w:rsidP="00581F1D">
            <w:pPr>
              <w:jc w:val="left"/>
              <w:rPr>
                <w:rFonts w:cs="Times New Roman"/>
              </w:rPr>
            </w:pPr>
            <w:r w:rsidRPr="00581F1D">
              <w:rPr>
                <w:rFonts w:cs="Times New Roman"/>
              </w:rPr>
              <w:t>Risk posture</w:t>
            </w:r>
          </w:p>
        </w:tc>
        <w:tc>
          <w:tcPr>
            <w:tcW w:w="3544" w:type="dxa"/>
          </w:tcPr>
          <w:p w14:paraId="1AE15E16" w14:textId="2014016C" w:rsidR="00581F1D" w:rsidRPr="00581F1D" w:rsidRDefault="00581F1D" w:rsidP="00581F1D">
            <w:pPr>
              <w:jc w:val="left"/>
              <w:cnfStyle w:val="000000000000" w:firstRow="0" w:lastRow="0" w:firstColumn="0" w:lastColumn="0" w:oddVBand="0" w:evenVBand="0" w:oddHBand="0" w:evenHBand="0" w:firstRowFirstColumn="0" w:firstRowLastColumn="0" w:lastRowFirstColumn="0" w:lastRowLastColumn="0"/>
              <w:rPr>
                <w:rFonts w:cs="Times New Roman"/>
              </w:rPr>
            </w:pPr>
            <w:r w:rsidRPr="00581F1D">
              <w:rPr>
                <w:rFonts w:cs="Times New Roman"/>
              </w:rPr>
              <w:t>NIST CSF frames identify–protect–detect–respond–recover.</w:t>
            </w:r>
          </w:p>
        </w:tc>
        <w:tc>
          <w:tcPr>
            <w:tcW w:w="3492" w:type="dxa"/>
          </w:tcPr>
          <w:p w14:paraId="52E3361A" w14:textId="5591C46A" w:rsidR="00581F1D" w:rsidRPr="00581F1D" w:rsidRDefault="00581F1D" w:rsidP="00581F1D">
            <w:pPr>
              <w:jc w:val="left"/>
              <w:cnfStyle w:val="000000000000" w:firstRow="0" w:lastRow="0" w:firstColumn="0" w:lastColumn="0" w:oddVBand="0" w:evenVBand="0" w:oddHBand="0" w:evenHBand="0" w:firstRowFirstColumn="0" w:firstRowLastColumn="0" w:lastRowFirstColumn="0" w:lastRowLastColumn="0"/>
              <w:rPr>
                <w:rFonts w:cs="Times New Roman"/>
              </w:rPr>
            </w:pPr>
            <w:r w:rsidRPr="00581F1D">
              <w:rPr>
                <w:rFonts w:cs="Times New Roman"/>
              </w:rPr>
              <w:t>No documented, holistic risk posture.</w:t>
            </w:r>
          </w:p>
        </w:tc>
      </w:tr>
    </w:tbl>
    <w:p w14:paraId="7E7255F9" w14:textId="77777777" w:rsidR="00581F1D" w:rsidRDefault="00581F1D" w:rsidP="00581F1D"/>
    <w:p w14:paraId="11E99A17" w14:textId="6AC1CCCA" w:rsidR="00581F1D" w:rsidRDefault="0075653B" w:rsidP="0075653B">
      <w:pPr>
        <w:pStyle w:val="Heading1"/>
      </w:pPr>
      <w:bookmarkStart w:id="16" w:name="_Toc214999088"/>
      <w:r>
        <w:t>3</w:t>
      </w:r>
      <w:r w:rsidRPr="0075653B">
        <w:t>. Proposed Security Governance Framework for NatureGreen</w:t>
      </w:r>
      <w:bookmarkEnd w:id="16"/>
    </w:p>
    <w:p w14:paraId="43BAEB82" w14:textId="6020A928" w:rsidR="00581F1D" w:rsidRDefault="00A55780" w:rsidP="00A55780">
      <w:pPr>
        <w:pStyle w:val="Heading2"/>
      </w:pPr>
      <w:bookmarkStart w:id="17" w:name="_Toc214999089"/>
      <w:r w:rsidRPr="00A55780">
        <w:t>3.1 Framework Design Philosophy</w:t>
      </w:r>
      <w:bookmarkEnd w:id="17"/>
    </w:p>
    <w:p w14:paraId="382DB996" w14:textId="41FA8318" w:rsidR="00A55780" w:rsidRDefault="00031757" w:rsidP="00A55780">
      <w:r w:rsidRPr="00031757">
        <w:t>The presented security governance framework will be a risk-based, tailor-made, design that puts together the ISO/IEC 27001 ISMS model and ITIL service management practices, with the core integration research. The basis of the control and management system is in ISO 27001 whereas operation processes in incidents, changes and continuity are included in ITIL so that security controls are integrated into the daily services delivery. This holistic solution can be separated into the mission of NatureGreen to provide its clients all over the world with reliable cloud-based, wireless services and still securing their vital data and intellectual property in a seamless model of governance</w:t>
      </w:r>
      <w:r w:rsidR="00493A03">
        <w:t xml:space="preserve"> </w:t>
      </w:r>
      <w:r w:rsidR="00493A03">
        <w:fldChar w:fldCharType="begin"/>
      </w:r>
      <w:r w:rsidR="00493A03">
        <w:instrText xml:space="preserve"> ADDIN ZOTERO_ITEM CSL_CITATION {"citationID":"WmnjdyaH","properties":{"formattedCitation":"(Disterer, 2013; Essien et al., 2022; Kusumah et al., 2014; Mataracioglu and Ozkan, 2011; Serrano et al., 2021)","plainCitation":"(Disterer, 2013; Essien et al., 2022; Kusumah et al., 2014; Mataracioglu and Ozkan, 2011; Serrano et al., 2021)","noteIndex":0},"citationItems":[{"id":349,"uris":["http://zotero.org/users/local/0vF7XRbV/items/3WEYURQS"],"itemData":{"id":349,"type":"article-journal","container-title":"Journal of Information Security","DOI":"10.4236/jis.2013.42011","ISSN":"2153-1234, 2153-1242","issue":"02","journalAbbreviation":"JIS","license":"http://creativecommons.org/licenses/by/4.0/","page":"92-100","source":"DOI.org (Crossref)","title":"ISO/IEC 27000, 27001 and 27002 for Information Security Management","volume":"04","author":[{"family":"Disterer","given":"Georg"}],"issued":{"date-parts":[["2013"]]}}},{"id":377,"uris":["http://zotero.org/users/local/0vF7XRbV/items/LZ7S8CF3"],"itemData":{"id":377,"type":"article-journal","abstract":"The escalating frequency, sophistication, and impact of cyber threats have intensified the need for robust, standardized governance approaches to managing cyber risk across diverse industries and jurisdictions. Global frameworks such as ISO/IEC 27001, the NIST Cybersecurity Framework (CSF), and COBIT 2019 offer complementary structures that, when aligned, can provide a comprehensive, adaptive, and scalable foundation for cyber risk governance. ISO/IEC 27001 delivers a certifiable standard for establishing, implementing, and maintaining an Information Security Management System (ISMS), ensuring systematic risk assessment and control implementation. The NIST CSF emphasizes a risk-based, outcome-oriented approach, enabling organizations to identify, protect, detect, respond, and recover in alignment with business priorities. COBIT 2019 focuses on governance and management of enterprise information and technology, linking security objectives directly to organizational value creation and performance metrics. Aligning these frameworks enables organizations to leverage ISO’s prescriptive controls, NIST’s operational flexibility, and COBIT’s governance integration, creating a multi-layered cyber risk management ecosystem. Such alignment reduces redundancy, strengthens cross-departmental accountability, and facilitates compliance with regulatory mandates across multiple jurisdictions. Moreover, it supports the development of measurable Key Risk Indicators (KRIs) and Key Performance Indicators (KPIs) for continuous improvement, while enabling executive leadership to make informed, risk-based decisions. This unified approach also enhances interoperability with third parties, improves audit readiness, and fosters a proactive security culture grounded in globally recognized best practices. In an environment where regulatory landscapes are evolving and attack surfaces are expanding, aligning ISO, NIST, and COBIT offers a strategic pathway for organizations to transition from reactive cybersecurity postures to proactive, intelligence-driven governance models—ultimately strengthening resilience, protecting critical assets, and preserving stakeholder trust in the digital economy.","container-title":"Journal of Frontiers in Multidisciplinary Research","DOI":"10.54660/.JFMR.2022.3.1.618-629","ISSN":"30509718, 30509726","issue":"1","journalAbbreviation":"JFMR","page":"618-629","source":"DOI.org (Crossref)","title":"Optimizing Cyber Risk Governance Using Global Frameworks: ISO, NIST, and COBIT Alignment","title-short":"Optimizing Cyber Risk Governance Using Global Frameworks","volume":"3","author":[{"family":"Essien","given":"Iboro Akpan"},{"family":"Cadet","given":"Emmanuel"},{"family":"Ajayi","given":"Joshua Oluwagbenga"},{"family":"Erigh","given":"Eseoghene Daniel"},{"family":"Obuse","given":"Ehimah"},{"family":"Ayanbode","given":"Noah"},{"family":"Babatunde","given":"Lawal Abdulmutalib"}],"issued":{"date-parts":[["2022"]]}}},{"id":376,"uris":["http://zotero.org/users/local/0vF7XRbV/items/PVBSG7AA"],"itemData":{"id":376,"type":"paper-conference","container-title":"2014 International Conference on ICT For Smart Society (ICISS)","DOI":"10.1109/ICTSS.2014.7013193","event-place":"Bandung, Indonesia","event-title":"2014 International Conference on ICT For Smart Society (ICISS)","ISBN":"978-1-4799-6322-5","page":"1-6","publisher":"IEEE","publisher-place":"Bandung, Indonesia","source":"DOI.org (Crossref)","title":"Model design of information security governance assessment with collaborative integration of COBIT 5 and ITIL (case study: INTRAC)","title-short":"Model design of information security governance assessment with collaborative integration of COBIT 5 and ITIL (case study","URL":"http://ieeexplore.ieee.org/document/7013193/","author":[{"family":"Kusumah","given":"Perdana"},{"family":"Sutikno","given":"Sarwono"},{"family":"Rosmansyah","given":"Yusep"}],"accessed":{"date-parts":[["2025",11,25]]},"issued":{"date-parts":[["2014",9]]}}},{"id":378,"uris":["http://zotero.org/users/local/0vF7XRbV/items/YIEKB347"],"itemData":{"id":378,"type":"article","abstract":"In this paper, after giving a brief definition of Information Security Management Systems (ISMS), ISO 27001, IT governance and COBIT, pros and cons of implementing only COBIT, implementing only IS0 27001 and implementing both COBIT and ISO 27001 together when governing information security in enterprises will be issued.","DOI":"10.48550/arXiv.1108.2150","note":"arXiv:1108.2150 [cs]","number":"arXiv:1108.2150","publisher":"arXiv","source":"arXiv.org","title":"Governing Information Security in Conjunction with COBIT and ISO 27001","URL":"http://arxiv.org/abs/1108.2150","author":[{"family":"Mataracioglu","given":"Tolga"},{"family":"Ozkan","given":"Sevgi"}],"accessed":{"date-parts":[["2025",11,25]]},"issued":{"date-parts":[["2011",8,10]]}}},{"id":356,"uris":["http://zotero.org/users/local/0vF7XRbV/items/BE8SNM6B"],"itemData":{"id":356,"type":"article-journal","abstract":"Information technology (IT) service management is considered a collection of frameworks that support organizations managing services. The implementation of these kinds of frameworks is constantly increasing in the IT service provider domain. The main objective is to define and manage IT services through its life cycle. However, from observing the literature, scarcely any research exists describing the main concepts of ITSM. Many organizations still struggle in several contexts in this domain, mainly during implementation. This research aims to develop a reference study detailing the main concepts related with ITSM. Thus, a systematic literature review is performed. In total, 47 articles were selected from top journals and conferences. The benefits, challenges, opportunities, and practices for ITSM implementation were extracted, critically analysed, and then discussed.","container-title":"Information","DOI":"10.3390/info12030111","ISSN":"2078-2489","issue":"3","journalAbbreviation":"Information","language":"en","page":"111","source":"DOI.org (Crossref)","title":"An IT Service Management Literature Review: Challenges, Benefits, Opportunities and Implementation Practices","title-short":"An IT Service Management Literature Review","volume":"12","author":[{"family":"Serrano","given":"João"},{"family":"Faustino","given":"João"},{"family":"Adriano","given":"Daniel"},{"family":"Pereira","given":"Rúben"},{"family":"Da Silva","given":"Miguel"}],"issued":{"date-parts":[["2021",3,5]]}}}],"schema":"https://github.com/citation-style-language/schema/raw/master/csl-citation.json"} </w:instrText>
      </w:r>
      <w:r w:rsidR="00493A03">
        <w:fldChar w:fldCharType="separate"/>
      </w:r>
      <w:r w:rsidR="00493A03" w:rsidRPr="00493A03">
        <w:rPr>
          <w:rFonts w:cs="Times New Roman"/>
        </w:rPr>
        <w:t>(Disterer, 2013; Essien et al., 2022; Kusumah et al., 2014; Mataracioglu and Ozkan, 2011; Serrano et al., 2021)</w:t>
      </w:r>
      <w:r w:rsidR="00493A03">
        <w:fldChar w:fldCharType="end"/>
      </w:r>
      <w:r w:rsidRPr="00031757">
        <w:t>.</w:t>
      </w:r>
    </w:p>
    <w:p w14:paraId="6DBA078A" w14:textId="77B2976A" w:rsidR="00605CB1" w:rsidRDefault="00605CB1" w:rsidP="00605CB1">
      <w:pPr>
        <w:pStyle w:val="Caption"/>
        <w:keepNext/>
      </w:pPr>
      <w:bookmarkStart w:id="18" w:name="_Toc214999116"/>
      <w:r>
        <w:t xml:space="preserve">Table </w:t>
      </w:r>
      <w:r>
        <w:fldChar w:fldCharType="begin"/>
      </w:r>
      <w:r>
        <w:instrText xml:space="preserve"> SEQ Table \* ARABIC </w:instrText>
      </w:r>
      <w:r>
        <w:fldChar w:fldCharType="separate"/>
      </w:r>
      <w:r w:rsidR="0078774E">
        <w:rPr>
          <w:noProof/>
        </w:rPr>
        <w:t>5</w:t>
      </w:r>
      <w:r>
        <w:fldChar w:fldCharType="end"/>
      </w:r>
      <w:r>
        <w:rPr>
          <w:lang w:val="en-US"/>
        </w:rPr>
        <w:t xml:space="preserve">: </w:t>
      </w:r>
      <w:r w:rsidRPr="008D6DFF">
        <w:rPr>
          <w:lang w:val="en-US"/>
        </w:rPr>
        <w:t>Primary Contributions of Security Frameworks</w:t>
      </w:r>
      <w:bookmarkEnd w:id="18"/>
    </w:p>
    <w:tbl>
      <w:tblPr>
        <w:tblStyle w:val="GridTable4-Accent1"/>
        <w:tblW w:w="0" w:type="auto"/>
        <w:tblLook w:val="04A0" w:firstRow="1" w:lastRow="0" w:firstColumn="1" w:lastColumn="0" w:noHBand="0" w:noVBand="1"/>
      </w:tblPr>
      <w:tblGrid>
        <w:gridCol w:w="3539"/>
        <w:gridCol w:w="5477"/>
      </w:tblGrid>
      <w:tr w:rsidR="00A55780" w14:paraId="560FF1A9" w14:textId="77777777" w:rsidTr="00A557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17735E66" w14:textId="2ED92F2D" w:rsidR="00A55780" w:rsidRPr="00A55780" w:rsidRDefault="00A55780" w:rsidP="00A55780">
            <w:pPr>
              <w:jc w:val="left"/>
              <w:rPr>
                <w:rFonts w:cs="Times New Roman"/>
              </w:rPr>
            </w:pPr>
            <w:r w:rsidRPr="00A55780">
              <w:rPr>
                <w:rFonts w:cs="Times New Roman"/>
                <w:b w:val="0"/>
                <w:bCs w:val="0"/>
              </w:rPr>
              <w:t>Element</w:t>
            </w:r>
          </w:p>
        </w:tc>
        <w:tc>
          <w:tcPr>
            <w:tcW w:w="5477" w:type="dxa"/>
          </w:tcPr>
          <w:p w14:paraId="3FF9326A" w14:textId="5CF3AEEF" w:rsidR="00A55780" w:rsidRPr="00A55780" w:rsidRDefault="00A55780" w:rsidP="00A55780">
            <w:pPr>
              <w:jc w:val="left"/>
              <w:cnfStyle w:val="100000000000" w:firstRow="1" w:lastRow="0" w:firstColumn="0" w:lastColumn="0" w:oddVBand="0" w:evenVBand="0" w:oddHBand="0" w:evenHBand="0" w:firstRowFirstColumn="0" w:firstRowLastColumn="0" w:lastRowFirstColumn="0" w:lastRowLastColumn="0"/>
              <w:rPr>
                <w:rFonts w:cs="Times New Roman"/>
              </w:rPr>
            </w:pPr>
            <w:r w:rsidRPr="00A55780">
              <w:rPr>
                <w:rFonts w:cs="Times New Roman"/>
                <w:b w:val="0"/>
                <w:bCs w:val="0"/>
              </w:rPr>
              <w:t>Primary contribution</w:t>
            </w:r>
          </w:p>
        </w:tc>
      </w:tr>
      <w:tr w:rsidR="00A55780" w14:paraId="69D091F4" w14:textId="77777777" w:rsidTr="00A557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3CB6C27A" w14:textId="0B8ADBA6" w:rsidR="00A55780" w:rsidRPr="00A55780" w:rsidRDefault="00A55780" w:rsidP="00A55780">
            <w:pPr>
              <w:jc w:val="left"/>
              <w:rPr>
                <w:rFonts w:cs="Times New Roman"/>
              </w:rPr>
            </w:pPr>
            <w:r w:rsidRPr="00A55780">
              <w:rPr>
                <w:rFonts w:cs="Times New Roman"/>
              </w:rPr>
              <w:t>ISO/IEC 27001</w:t>
            </w:r>
          </w:p>
        </w:tc>
        <w:tc>
          <w:tcPr>
            <w:tcW w:w="5477" w:type="dxa"/>
          </w:tcPr>
          <w:p w14:paraId="4A4F933E" w14:textId="69191418" w:rsidR="00A55780" w:rsidRPr="00A55780" w:rsidRDefault="00A55780" w:rsidP="00A55780">
            <w:pPr>
              <w:jc w:val="left"/>
              <w:cnfStyle w:val="000000100000" w:firstRow="0" w:lastRow="0" w:firstColumn="0" w:lastColumn="0" w:oddVBand="0" w:evenVBand="0" w:oddHBand="1" w:evenHBand="0" w:firstRowFirstColumn="0" w:firstRowLastColumn="0" w:lastRowFirstColumn="0" w:lastRowLastColumn="0"/>
              <w:rPr>
                <w:rFonts w:cs="Times New Roman"/>
              </w:rPr>
            </w:pPr>
            <w:r w:rsidRPr="00A55780">
              <w:rPr>
                <w:rFonts w:cs="Times New Roman"/>
              </w:rPr>
              <w:t>Risk</w:t>
            </w:r>
            <w:r w:rsidRPr="00A55780">
              <w:rPr>
                <w:rFonts w:cs="Times New Roman"/>
              </w:rPr>
              <w:noBreakHyphen/>
              <w:t>based ISMS and control framework.</w:t>
            </w:r>
          </w:p>
        </w:tc>
      </w:tr>
      <w:tr w:rsidR="00A55780" w14:paraId="30032E43" w14:textId="77777777" w:rsidTr="00A55780">
        <w:tc>
          <w:tcPr>
            <w:cnfStyle w:val="001000000000" w:firstRow="0" w:lastRow="0" w:firstColumn="1" w:lastColumn="0" w:oddVBand="0" w:evenVBand="0" w:oddHBand="0" w:evenHBand="0" w:firstRowFirstColumn="0" w:firstRowLastColumn="0" w:lastRowFirstColumn="0" w:lastRowLastColumn="0"/>
            <w:tcW w:w="3539" w:type="dxa"/>
          </w:tcPr>
          <w:p w14:paraId="017C3515" w14:textId="0224BDAE" w:rsidR="00A55780" w:rsidRPr="00A55780" w:rsidRDefault="00A55780" w:rsidP="00A55780">
            <w:pPr>
              <w:jc w:val="left"/>
              <w:rPr>
                <w:rFonts w:cs="Times New Roman"/>
              </w:rPr>
            </w:pPr>
            <w:r w:rsidRPr="00A55780">
              <w:rPr>
                <w:rFonts w:cs="Times New Roman"/>
              </w:rPr>
              <w:t>ITIL</w:t>
            </w:r>
          </w:p>
        </w:tc>
        <w:tc>
          <w:tcPr>
            <w:tcW w:w="5477" w:type="dxa"/>
          </w:tcPr>
          <w:p w14:paraId="150D0846" w14:textId="568D7156" w:rsidR="00A55780" w:rsidRPr="00A55780" w:rsidRDefault="00A55780" w:rsidP="00A55780">
            <w:pPr>
              <w:jc w:val="left"/>
              <w:cnfStyle w:val="000000000000" w:firstRow="0" w:lastRow="0" w:firstColumn="0" w:lastColumn="0" w:oddVBand="0" w:evenVBand="0" w:oddHBand="0" w:evenHBand="0" w:firstRowFirstColumn="0" w:firstRowLastColumn="0" w:lastRowFirstColumn="0" w:lastRowLastColumn="0"/>
              <w:rPr>
                <w:rFonts w:cs="Times New Roman"/>
              </w:rPr>
            </w:pPr>
            <w:r w:rsidRPr="00A55780">
              <w:rPr>
                <w:rFonts w:cs="Times New Roman"/>
              </w:rPr>
              <w:t>Operationalisation through ITSM practices.</w:t>
            </w:r>
          </w:p>
        </w:tc>
      </w:tr>
      <w:tr w:rsidR="00A55780" w14:paraId="6417C022" w14:textId="77777777" w:rsidTr="00A557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0512949A" w14:textId="0B41C1C5" w:rsidR="00A55780" w:rsidRPr="00A55780" w:rsidRDefault="00A55780" w:rsidP="00A55780">
            <w:pPr>
              <w:jc w:val="left"/>
              <w:rPr>
                <w:rFonts w:cs="Times New Roman"/>
              </w:rPr>
            </w:pPr>
            <w:r w:rsidRPr="00A55780">
              <w:rPr>
                <w:rFonts w:cs="Times New Roman"/>
              </w:rPr>
              <w:t>Risk orientation</w:t>
            </w:r>
          </w:p>
        </w:tc>
        <w:tc>
          <w:tcPr>
            <w:tcW w:w="5477" w:type="dxa"/>
          </w:tcPr>
          <w:p w14:paraId="34DB8205" w14:textId="74B35EA8" w:rsidR="00A55780" w:rsidRPr="00A55780" w:rsidRDefault="00A55780" w:rsidP="00A55780">
            <w:pPr>
              <w:jc w:val="left"/>
              <w:cnfStyle w:val="000000100000" w:firstRow="0" w:lastRow="0" w:firstColumn="0" w:lastColumn="0" w:oddVBand="0" w:evenVBand="0" w:oddHBand="1" w:evenHBand="0" w:firstRowFirstColumn="0" w:firstRowLastColumn="0" w:lastRowFirstColumn="0" w:lastRowLastColumn="0"/>
              <w:rPr>
                <w:rFonts w:cs="Times New Roman"/>
              </w:rPr>
            </w:pPr>
            <w:r w:rsidRPr="00A55780">
              <w:rPr>
                <w:rFonts w:cs="Times New Roman"/>
              </w:rPr>
              <w:t>Prioritised treatment of material threats.</w:t>
            </w:r>
          </w:p>
        </w:tc>
      </w:tr>
    </w:tbl>
    <w:p w14:paraId="252D9DA1" w14:textId="77777777" w:rsidR="00A55780" w:rsidRDefault="00A55780" w:rsidP="00A55780"/>
    <w:p w14:paraId="22E32C7D" w14:textId="05FE683A" w:rsidR="003E15D5" w:rsidRDefault="003E15D5" w:rsidP="00243B92">
      <w:pPr>
        <w:pStyle w:val="Heading2"/>
      </w:pPr>
      <w:bookmarkStart w:id="19" w:name="_Toc214999090"/>
      <w:r>
        <w:t>3</w:t>
      </w:r>
      <w:r w:rsidRPr="003E15D5">
        <w:t>.2 Governance Structure</w:t>
      </w:r>
      <w:bookmarkEnd w:id="19"/>
    </w:p>
    <w:p w14:paraId="7B1D4FA4" w14:textId="0E263515" w:rsidR="00664F05" w:rsidRDefault="00664F05" w:rsidP="00A55780">
      <w:r w:rsidRPr="00664F05">
        <w:t xml:space="preserve">Studies on information security governance indicate that clear board oversight and an individual CISO and cross-functional committees are crucial to hold the organizations </w:t>
      </w:r>
      <w:r w:rsidRPr="00664F05">
        <w:lastRenderedPageBreak/>
        <w:t>accountable and aligned to strategy. Since the current risk management and governance environment is informal, and partially because of the current lack of formal security regimes and policies, the present report is proposing a hierarchy form of approach in which the risk appetite is determined by the Board, business-level security results are managed by the executives, and the overall security operations of an enterprise are led by a CISO. The policy approval, prioritisation of risks and making major security investments, as well as operation security teams and service owners, are done and reported in the Security Steering Committee which is a committee of representatives of IT, legal, HR and key business units led by the CISO</w:t>
      </w:r>
      <w:r w:rsidR="00372785">
        <w:t xml:space="preserve"> </w:t>
      </w:r>
      <w:r w:rsidR="00372785">
        <w:fldChar w:fldCharType="begin"/>
      </w:r>
      <w:r w:rsidR="00372785">
        <w:instrText xml:space="preserve"> ADDIN ZOTERO_ITEM CSL_CITATION {"citationID":"K9p2yvOY","properties":{"formattedCitation":"(Kitsios et al., 2023)","plainCitation":"(Kitsios et al., 2023)","noteIndex":0},"citationItems":[{"id":382,"uris":["http://zotero.org/users/local/0vF7XRbV/items/TADYPJ2S"],"itemData":{"id":382,"type":"article-journal","abstract":"In order to handle their regulatory and legal responsibilities and to retain trustworthy strategic partnerships, enterprises need to be dedicated to guaranteeing the privacy, accessibility, and authenticity of the data at their disposal. Companies can become more resilient in the face of information security threats and cyberattacks by effectively integrating security strategies. The goal of this article is to describe a plan that a corporation has implemented in the information technology industry in order to ensure compliance with International Organization for Standardization (ISO) 27001. This research demonstrates an examination of the reasons that force enterprises to make a investment in ISO 27001 in addition to the incentives that might be acquired from having undergone this process. In addition, the research examines the reasons that push firms to make an investment in ISO 27001. More particularly, the research investigates an international IT consulting services institution that is responsible for the implementation of large-scale business assistance insertion and projects. It demonstrates the risk management framework and the administrative structure of the appropriate situations so that its procedures are adequate and also in line with the guidelines founded by ISO 27001. In conclusion, it discusses the problems and difficulties that were experienced.","container-title":"Sustainability","DOI":"10.3390/su15075828","ISSN":"2071-1050","issue":"7","journalAbbreviation":"Sustainability","language":"en","page":"5828","source":"DOI.org (Crossref)","title":"The ISO/IEC 27001 Information Security Management Standard: How to Extract Value from Data in the IT Sector","title-short":"The ISO/IEC 27001 Information Security Management Standard","volume":"15","author":[{"family":"Kitsios","given":"Fotis"},{"family":"Chatzidimitriou","given":"Elpiniki"},{"family":"Kamariotou","given":"Maria"}],"issued":{"date-parts":[["2023",3,27]]}}}],"schema":"https://github.com/citation-style-language/schema/raw/master/csl-citation.json"} </w:instrText>
      </w:r>
      <w:r w:rsidR="00372785">
        <w:fldChar w:fldCharType="separate"/>
      </w:r>
      <w:r w:rsidR="00372785" w:rsidRPr="00372785">
        <w:rPr>
          <w:rFonts w:cs="Times New Roman"/>
        </w:rPr>
        <w:t>(Kitsios et al., 2023)</w:t>
      </w:r>
      <w:r w:rsidR="00372785">
        <w:fldChar w:fldCharType="end"/>
      </w:r>
      <w:r w:rsidRPr="00664F05">
        <w:t>.</w:t>
      </w:r>
    </w:p>
    <w:p w14:paraId="638CE74E" w14:textId="68371D79" w:rsidR="00750778" w:rsidRDefault="00750778" w:rsidP="00750778">
      <w:pPr>
        <w:pStyle w:val="Caption"/>
        <w:keepNext/>
      </w:pPr>
      <w:bookmarkStart w:id="20" w:name="_Toc214999117"/>
      <w:r>
        <w:t xml:space="preserve">Table </w:t>
      </w:r>
      <w:r>
        <w:fldChar w:fldCharType="begin"/>
      </w:r>
      <w:r>
        <w:instrText xml:space="preserve"> SEQ Table \* ARABIC </w:instrText>
      </w:r>
      <w:r>
        <w:fldChar w:fldCharType="separate"/>
      </w:r>
      <w:r w:rsidR="0078774E">
        <w:rPr>
          <w:noProof/>
        </w:rPr>
        <w:t>6</w:t>
      </w:r>
      <w:r>
        <w:fldChar w:fldCharType="end"/>
      </w:r>
      <w:r>
        <w:rPr>
          <w:lang w:val="en-US"/>
        </w:rPr>
        <w:t xml:space="preserve">: </w:t>
      </w:r>
      <w:r w:rsidRPr="00554628">
        <w:rPr>
          <w:lang w:val="en-US"/>
        </w:rPr>
        <w:t>Information Security Governance Roles and Responsibilities</w:t>
      </w:r>
      <w:bookmarkEnd w:id="20"/>
    </w:p>
    <w:tbl>
      <w:tblPr>
        <w:tblStyle w:val="GridTable4-Accent1"/>
        <w:tblW w:w="0" w:type="auto"/>
        <w:tblLook w:val="04A0" w:firstRow="1" w:lastRow="0" w:firstColumn="1" w:lastColumn="0" w:noHBand="0" w:noVBand="1"/>
      </w:tblPr>
      <w:tblGrid>
        <w:gridCol w:w="3256"/>
        <w:gridCol w:w="3685"/>
        <w:gridCol w:w="2075"/>
      </w:tblGrid>
      <w:tr w:rsidR="00664F05" w14:paraId="717BCEA9" w14:textId="77777777" w:rsidTr="00FB758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5FCFE783" w14:textId="6F4ABB19" w:rsidR="00664F05" w:rsidRPr="00664F05" w:rsidRDefault="00664F05" w:rsidP="00664F05">
            <w:pPr>
              <w:jc w:val="left"/>
              <w:rPr>
                <w:rFonts w:cs="Times New Roman"/>
              </w:rPr>
            </w:pPr>
            <w:r w:rsidRPr="00664F05">
              <w:rPr>
                <w:rFonts w:cs="Times New Roman"/>
                <w:b w:val="0"/>
                <w:bCs w:val="0"/>
              </w:rPr>
              <w:t>Role/Body</w:t>
            </w:r>
          </w:p>
        </w:tc>
        <w:tc>
          <w:tcPr>
            <w:tcW w:w="3685" w:type="dxa"/>
          </w:tcPr>
          <w:p w14:paraId="45F16574" w14:textId="20F89543" w:rsidR="00664F05" w:rsidRPr="00664F05" w:rsidRDefault="00664F05" w:rsidP="00664F05">
            <w:pPr>
              <w:jc w:val="left"/>
              <w:cnfStyle w:val="100000000000" w:firstRow="1" w:lastRow="0" w:firstColumn="0" w:lastColumn="0" w:oddVBand="0" w:evenVBand="0" w:oddHBand="0" w:evenHBand="0" w:firstRowFirstColumn="0" w:firstRowLastColumn="0" w:lastRowFirstColumn="0" w:lastRowLastColumn="0"/>
              <w:rPr>
                <w:rFonts w:cs="Times New Roman"/>
              </w:rPr>
            </w:pPr>
            <w:r w:rsidRPr="00664F05">
              <w:rPr>
                <w:rFonts w:cs="Times New Roman"/>
                <w:b w:val="0"/>
                <w:bCs w:val="0"/>
              </w:rPr>
              <w:t>Key responsibilities</w:t>
            </w:r>
          </w:p>
        </w:tc>
        <w:tc>
          <w:tcPr>
            <w:tcW w:w="2075" w:type="dxa"/>
          </w:tcPr>
          <w:p w14:paraId="58CDFD50" w14:textId="7B82E375" w:rsidR="00664F05" w:rsidRPr="00664F05" w:rsidRDefault="00664F05" w:rsidP="00664F05">
            <w:pPr>
              <w:jc w:val="left"/>
              <w:cnfStyle w:val="100000000000" w:firstRow="1" w:lastRow="0" w:firstColumn="0" w:lastColumn="0" w:oddVBand="0" w:evenVBand="0" w:oddHBand="0" w:evenHBand="0" w:firstRowFirstColumn="0" w:firstRowLastColumn="0" w:lastRowFirstColumn="0" w:lastRowLastColumn="0"/>
              <w:rPr>
                <w:rFonts w:cs="Times New Roman"/>
              </w:rPr>
            </w:pPr>
            <w:r w:rsidRPr="00664F05">
              <w:rPr>
                <w:rFonts w:cs="Times New Roman"/>
                <w:b w:val="0"/>
                <w:bCs w:val="0"/>
              </w:rPr>
              <w:t>Reports to</w:t>
            </w:r>
          </w:p>
        </w:tc>
      </w:tr>
      <w:tr w:rsidR="00664F05" w14:paraId="30FE10DF" w14:textId="77777777" w:rsidTr="00FB75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35B4191D" w14:textId="675D0194" w:rsidR="00664F05" w:rsidRPr="00664F05" w:rsidRDefault="00664F05" w:rsidP="00664F05">
            <w:pPr>
              <w:jc w:val="left"/>
              <w:rPr>
                <w:rFonts w:cs="Times New Roman"/>
              </w:rPr>
            </w:pPr>
            <w:r w:rsidRPr="00664F05">
              <w:rPr>
                <w:rFonts w:cs="Times New Roman"/>
              </w:rPr>
              <w:t>Board / Executive</w:t>
            </w:r>
          </w:p>
        </w:tc>
        <w:tc>
          <w:tcPr>
            <w:tcW w:w="3685" w:type="dxa"/>
          </w:tcPr>
          <w:p w14:paraId="593440C7" w14:textId="76127131" w:rsidR="00664F05" w:rsidRPr="00664F05" w:rsidRDefault="00664F05" w:rsidP="00664F05">
            <w:pPr>
              <w:jc w:val="left"/>
              <w:cnfStyle w:val="000000100000" w:firstRow="0" w:lastRow="0" w:firstColumn="0" w:lastColumn="0" w:oddVBand="0" w:evenVBand="0" w:oddHBand="1" w:evenHBand="0" w:firstRowFirstColumn="0" w:firstRowLastColumn="0" w:lastRowFirstColumn="0" w:lastRowLastColumn="0"/>
              <w:rPr>
                <w:rFonts w:cs="Times New Roman"/>
              </w:rPr>
            </w:pPr>
            <w:r w:rsidRPr="00664F05">
              <w:rPr>
                <w:rFonts w:cs="Times New Roman"/>
              </w:rPr>
              <w:t>Approve strategy, set risk appetite.</w:t>
            </w:r>
          </w:p>
        </w:tc>
        <w:tc>
          <w:tcPr>
            <w:tcW w:w="2075" w:type="dxa"/>
          </w:tcPr>
          <w:p w14:paraId="44A60AED" w14:textId="3C8D4A41" w:rsidR="00664F05" w:rsidRPr="00664F05" w:rsidRDefault="00664F05" w:rsidP="00664F05">
            <w:pPr>
              <w:jc w:val="left"/>
              <w:cnfStyle w:val="000000100000" w:firstRow="0" w:lastRow="0" w:firstColumn="0" w:lastColumn="0" w:oddVBand="0" w:evenVBand="0" w:oddHBand="1" w:evenHBand="0" w:firstRowFirstColumn="0" w:firstRowLastColumn="0" w:lastRowFirstColumn="0" w:lastRowLastColumn="0"/>
              <w:rPr>
                <w:rFonts w:cs="Times New Roman"/>
              </w:rPr>
            </w:pPr>
            <w:r w:rsidRPr="00664F05">
              <w:rPr>
                <w:rFonts w:cs="Times New Roman"/>
              </w:rPr>
              <w:t>Shareholders</w:t>
            </w:r>
          </w:p>
        </w:tc>
      </w:tr>
      <w:tr w:rsidR="00664F05" w14:paraId="21A9F308" w14:textId="77777777" w:rsidTr="00FB7585">
        <w:tc>
          <w:tcPr>
            <w:cnfStyle w:val="001000000000" w:firstRow="0" w:lastRow="0" w:firstColumn="1" w:lastColumn="0" w:oddVBand="0" w:evenVBand="0" w:oddHBand="0" w:evenHBand="0" w:firstRowFirstColumn="0" w:firstRowLastColumn="0" w:lastRowFirstColumn="0" w:lastRowLastColumn="0"/>
            <w:tcW w:w="3256" w:type="dxa"/>
          </w:tcPr>
          <w:p w14:paraId="1DDA0EA2" w14:textId="1366775B" w:rsidR="00664F05" w:rsidRPr="00664F05" w:rsidRDefault="00664F05" w:rsidP="00664F05">
            <w:pPr>
              <w:jc w:val="left"/>
              <w:rPr>
                <w:rFonts w:cs="Times New Roman"/>
              </w:rPr>
            </w:pPr>
            <w:r w:rsidRPr="00664F05">
              <w:rPr>
                <w:rFonts w:cs="Times New Roman"/>
              </w:rPr>
              <w:t>CISO</w:t>
            </w:r>
          </w:p>
        </w:tc>
        <w:tc>
          <w:tcPr>
            <w:tcW w:w="3685" w:type="dxa"/>
          </w:tcPr>
          <w:p w14:paraId="51702B9A" w14:textId="5CFDAC6F" w:rsidR="00664F05" w:rsidRPr="00664F05" w:rsidRDefault="00664F05" w:rsidP="00664F05">
            <w:pPr>
              <w:jc w:val="left"/>
              <w:cnfStyle w:val="000000000000" w:firstRow="0" w:lastRow="0" w:firstColumn="0" w:lastColumn="0" w:oddVBand="0" w:evenVBand="0" w:oddHBand="0" w:evenHBand="0" w:firstRowFirstColumn="0" w:firstRowLastColumn="0" w:lastRowFirstColumn="0" w:lastRowLastColumn="0"/>
              <w:rPr>
                <w:rFonts w:cs="Times New Roman"/>
              </w:rPr>
            </w:pPr>
            <w:r w:rsidRPr="00664F05">
              <w:rPr>
                <w:rFonts w:cs="Times New Roman"/>
              </w:rPr>
              <w:t>Lead ISMS, advise board, manage security.</w:t>
            </w:r>
          </w:p>
        </w:tc>
        <w:tc>
          <w:tcPr>
            <w:tcW w:w="2075" w:type="dxa"/>
          </w:tcPr>
          <w:p w14:paraId="5745891D" w14:textId="0ACCF804" w:rsidR="00664F05" w:rsidRPr="00664F05" w:rsidRDefault="00664F05" w:rsidP="00664F05">
            <w:pPr>
              <w:jc w:val="left"/>
              <w:cnfStyle w:val="000000000000" w:firstRow="0" w:lastRow="0" w:firstColumn="0" w:lastColumn="0" w:oddVBand="0" w:evenVBand="0" w:oddHBand="0" w:evenHBand="0" w:firstRowFirstColumn="0" w:firstRowLastColumn="0" w:lastRowFirstColumn="0" w:lastRowLastColumn="0"/>
              <w:rPr>
                <w:rFonts w:cs="Times New Roman"/>
              </w:rPr>
            </w:pPr>
            <w:r w:rsidRPr="00664F05">
              <w:rPr>
                <w:rFonts w:cs="Times New Roman"/>
              </w:rPr>
              <w:t>CEO / Executive</w:t>
            </w:r>
          </w:p>
        </w:tc>
      </w:tr>
      <w:tr w:rsidR="00664F05" w14:paraId="1A2E18AC" w14:textId="77777777" w:rsidTr="00FB75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0FDD370D" w14:textId="7453752F" w:rsidR="00664F05" w:rsidRPr="00664F05" w:rsidRDefault="00664F05" w:rsidP="00664F05">
            <w:pPr>
              <w:jc w:val="left"/>
              <w:rPr>
                <w:rFonts w:cs="Times New Roman"/>
              </w:rPr>
            </w:pPr>
            <w:r w:rsidRPr="00664F05">
              <w:rPr>
                <w:rFonts w:cs="Times New Roman"/>
              </w:rPr>
              <w:t>Security Steering Committee</w:t>
            </w:r>
          </w:p>
        </w:tc>
        <w:tc>
          <w:tcPr>
            <w:tcW w:w="3685" w:type="dxa"/>
          </w:tcPr>
          <w:p w14:paraId="3495A997" w14:textId="40C39412" w:rsidR="00664F05" w:rsidRPr="00664F05" w:rsidRDefault="00664F05" w:rsidP="00664F05">
            <w:pPr>
              <w:jc w:val="left"/>
              <w:cnfStyle w:val="000000100000" w:firstRow="0" w:lastRow="0" w:firstColumn="0" w:lastColumn="0" w:oddVBand="0" w:evenVBand="0" w:oddHBand="1" w:evenHBand="0" w:firstRowFirstColumn="0" w:firstRowLastColumn="0" w:lastRowFirstColumn="0" w:lastRowLastColumn="0"/>
              <w:rPr>
                <w:rFonts w:cs="Times New Roman"/>
              </w:rPr>
            </w:pPr>
            <w:r w:rsidRPr="00664F05">
              <w:rPr>
                <w:rFonts w:cs="Times New Roman"/>
              </w:rPr>
              <w:t>Govern policies, risks, major initiatives.</w:t>
            </w:r>
          </w:p>
        </w:tc>
        <w:tc>
          <w:tcPr>
            <w:tcW w:w="2075" w:type="dxa"/>
          </w:tcPr>
          <w:p w14:paraId="6C97E4B6" w14:textId="2A144417" w:rsidR="00664F05" w:rsidRPr="00664F05" w:rsidRDefault="00664F05" w:rsidP="00664F05">
            <w:pPr>
              <w:jc w:val="left"/>
              <w:cnfStyle w:val="000000100000" w:firstRow="0" w:lastRow="0" w:firstColumn="0" w:lastColumn="0" w:oddVBand="0" w:evenVBand="0" w:oddHBand="1" w:evenHBand="0" w:firstRowFirstColumn="0" w:firstRowLastColumn="0" w:lastRowFirstColumn="0" w:lastRowLastColumn="0"/>
              <w:rPr>
                <w:rFonts w:cs="Times New Roman"/>
              </w:rPr>
            </w:pPr>
            <w:r w:rsidRPr="00664F05">
              <w:rPr>
                <w:rFonts w:cs="Times New Roman"/>
              </w:rPr>
              <w:t>CISO / Executive</w:t>
            </w:r>
          </w:p>
        </w:tc>
      </w:tr>
      <w:tr w:rsidR="00664F05" w14:paraId="214897BB" w14:textId="77777777" w:rsidTr="00FB7585">
        <w:tc>
          <w:tcPr>
            <w:cnfStyle w:val="001000000000" w:firstRow="0" w:lastRow="0" w:firstColumn="1" w:lastColumn="0" w:oddVBand="0" w:evenVBand="0" w:oddHBand="0" w:evenHBand="0" w:firstRowFirstColumn="0" w:firstRowLastColumn="0" w:lastRowFirstColumn="0" w:lastRowLastColumn="0"/>
            <w:tcW w:w="3256" w:type="dxa"/>
          </w:tcPr>
          <w:p w14:paraId="75755061" w14:textId="6685001E" w:rsidR="00664F05" w:rsidRPr="00664F05" w:rsidRDefault="00664F05" w:rsidP="00664F05">
            <w:pPr>
              <w:jc w:val="left"/>
              <w:rPr>
                <w:rFonts w:cs="Times New Roman"/>
              </w:rPr>
            </w:pPr>
            <w:r w:rsidRPr="00664F05">
              <w:rPr>
                <w:rFonts w:cs="Times New Roman"/>
              </w:rPr>
              <w:t>Operational Security &amp; IT</w:t>
            </w:r>
          </w:p>
        </w:tc>
        <w:tc>
          <w:tcPr>
            <w:tcW w:w="3685" w:type="dxa"/>
          </w:tcPr>
          <w:p w14:paraId="30998789" w14:textId="17626FF8" w:rsidR="00664F05" w:rsidRPr="00664F05" w:rsidRDefault="00664F05" w:rsidP="00664F05">
            <w:pPr>
              <w:jc w:val="left"/>
              <w:cnfStyle w:val="000000000000" w:firstRow="0" w:lastRow="0" w:firstColumn="0" w:lastColumn="0" w:oddVBand="0" w:evenVBand="0" w:oddHBand="0" w:evenHBand="0" w:firstRowFirstColumn="0" w:firstRowLastColumn="0" w:lastRowFirstColumn="0" w:lastRowLastColumn="0"/>
              <w:rPr>
                <w:rFonts w:cs="Times New Roman"/>
              </w:rPr>
            </w:pPr>
            <w:r w:rsidRPr="00664F05">
              <w:rPr>
                <w:rFonts w:cs="Times New Roman"/>
              </w:rPr>
              <w:t>Implement controls, report incidents.</w:t>
            </w:r>
          </w:p>
        </w:tc>
        <w:tc>
          <w:tcPr>
            <w:tcW w:w="2075" w:type="dxa"/>
          </w:tcPr>
          <w:p w14:paraId="0CF154A3" w14:textId="366E343E" w:rsidR="00664F05" w:rsidRPr="00664F05" w:rsidRDefault="00664F05" w:rsidP="00664F05">
            <w:pPr>
              <w:jc w:val="left"/>
              <w:cnfStyle w:val="000000000000" w:firstRow="0" w:lastRow="0" w:firstColumn="0" w:lastColumn="0" w:oddVBand="0" w:evenVBand="0" w:oddHBand="0" w:evenHBand="0" w:firstRowFirstColumn="0" w:firstRowLastColumn="0" w:lastRowFirstColumn="0" w:lastRowLastColumn="0"/>
              <w:rPr>
                <w:rFonts w:cs="Times New Roman"/>
              </w:rPr>
            </w:pPr>
            <w:r w:rsidRPr="00664F05">
              <w:rPr>
                <w:rFonts w:cs="Times New Roman"/>
              </w:rPr>
              <w:t>CISO / CIO</w:t>
            </w:r>
          </w:p>
        </w:tc>
      </w:tr>
    </w:tbl>
    <w:p w14:paraId="232B515B" w14:textId="77777777" w:rsidR="003E15D5" w:rsidRDefault="003E15D5" w:rsidP="00A55780"/>
    <w:p w14:paraId="5896854E" w14:textId="77777777" w:rsidR="005A67BE" w:rsidRDefault="005A67BE" w:rsidP="005A67BE">
      <w:pPr>
        <w:keepNext/>
      </w:pPr>
      <w:r>
        <w:rPr>
          <w:noProof/>
        </w:rPr>
        <w:drawing>
          <wp:inline distT="0" distB="0" distL="0" distR="0" wp14:anchorId="4119436E" wp14:editId="35C62060">
            <wp:extent cx="5731510" cy="3126105"/>
            <wp:effectExtent l="0" t="0" r="2540" b="0"/>
            <wp:docPr id="554001769" name="Picture 4"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001769" name="Picture 4" descr="A diagram of a company&#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26105"/>
                    </a:xfrm>
                    <a:prstGeom prst="rect">
                      <a:avLst/>
                    </a:prstGeom>
                  </pic:spPr>
                </pic:pic>
              </a:graphicData>
            </a:graphic>
          </wp:inline>
        </w:drawing>
      </w:r>
    </w:p>
    <w:p w14:paraId="7478FEA0" w14:textId="3D8D4326" w:rsidR="005A67BE" w:rsidRDefault="005A67BE" w:rsidP="00D437E2">
      <w:pPr>
        <w:pStyle w:val="Caption"/>
        <w:jc w:val="center"/>
      </w:pPr>
      <w:bookmarkStart w:id="21" w:name="_Toc214999110"/>
      <w:r>
        <w:t xml:space="preserve">Figure </w:t>
      </w:r>
      <w:r>
        <w:fldChar w:fldCharType="begin"/>
      </w:r>
      <w:r>
        <w:instrText xml:space="preserve"> SEQ Figure \* ARABIC </w:instrText>
      </w:r>
      <w:r>
        <w:fldChar w:fldCharType="separate"/>
      </w:r>
      <w:r w:rsidR="00F67075">
        <w:rPr>
          <w:noProof/>
        </w:rPr>
        <w:t>3</w:t>
      </w:r>
      <w:r>
        <w:fldChar w:fldCharType="end"/>
      </w:r>
      <w:r>
        <w:rPr>
          <w:lang w:val="en-US"/>
        </w:rPr>
        <w:t xml:space="preserve">: </w:t>
      </w:r>
      <w:r w:rsidRPr="007C4D80">
        <w:rPr>
          <w:lang w:val="en-US"/>
        </w:rPr>
        <w:t xml:space="preserve">Information </w:t>
      </w:r>
      <w:r w:rsidR="00DD61AF">
        <w:rPr>
          <w:lang w:val="en-US"/>
        </w:rPr>
        <w:t>S</w:t>
      </w:r>
      <w:r w:rsidRPr="007C4D80">
        <w:rPr>
          <w:lang w:val="en-US"/>
        </w:rPr>
        <w:t xml:space="preserve">ecurity </w:t>
      </w:r>
      <w:r w:rsidR="00DD61AF">
        <w:rPr>
          <w:lang w:val="en-US"/>
        </w:rPr>
        <w:t>G</w:t>
      </w:r>
      <w:r w:rsidRPr="007C4D80">
        <w:rPr>
          <w:lang w:val="en-US"/>
        </w:rPr>
        <w:t xml:space="preserve">overnance </w:t>
      </w:r>
      <w:r w:rsidR="00506DF4">
        <w:rPr>
          <w:lang w:val="en-US"/>
        </w:rPr>
        <w:t>S</w:t>
      </w:r>
      <w:r w:rsidRPr="007C4D80">
        <w:rPr>
          <w:lang w:val="en-US"/>
        </w:rPr>
        <w:t xml:space="preserve">tructure </w:t>
      </w:r>
      <w:r w:rsidR="00D15329">
        <w:rPr>
          <w:lang w:val="en-US"/>
        </w:rPr>
        <w:t>O</w:t>
      </w:r>
      <w:r w:rsidRPr="007C4D80">
        <w:rPr>
          <w:lang w:val="en-US"/>
        </w:rPr>
        <w:t>verview</w:t>
      </w:r>
      <w:bookmarkEnd w:id="21"/>
    </w:p>
    <w:p w14:paraId="63770E3E" w14:textId="06AAF64D" w:rsidR="003E15D5" w:rsidRDefault="003E15D5" w:rsidP="00243B92">
      <w:pPr>
        <w:pStyle w:val="Heading2"/>
      </w:pPr>
      <w:bookmarkStart w:id="22" w:name="_Toc214999091"/>
      <w:r>
        <w:lastRenderedPageBreak/>
        <w:t>3.</w:t>
      </w:r>
      <w:r w:rsidRPr="003E15D5">
        <w:t>3 Strategic Security Planning</w:t>
      </w:r>
      <w:bookmarkEnd w:id="22"/>
    </w:p>
    <w:p w14:paraId="1E429040" w14:textId="1C517848" w:rsidR="003E15D5" w:rsidRDefault="005B090C" w:rsidP="00A55780">
      <w:r w:rsidRPr="005B090C">
        <w:t>Strategic security planning converts the broad-level security aspirations to a logical vision, mission and quantifiable objectives that direct long-term safeguarding of information assets by an organisation. Information security vision and mission statements bring guidance, and strategic outcomes represent the desired state of affairs like resilience, regulatory compliance and trusted digital services. To guarantee congruity with business strategy, these goals are drilled down into key performance indicators (KPIs) and initiatives along business-perspective similar lines as in a balanced scorecard financial, customer, internal process, and learning and growth such that security performance could be handled just like any other strategic capability</w:t>
      </w:r>
      <w:r w:rsidR="001C576C">
        <w:t xml:space="preserve"> </w:t>
      </w:r>
      <w:r w:rsidR="001C576C">
        <w:fldChar w:fldCharType="begin"/>
      </w:r>
      <w:r w:rsidR="001C576C">
        <w:instrText xml:space="preserve"> ADDIN ZOTERO_ITEM CSL_CITATION {"citationID":"QiDmY3Cl","properties":{"formattedCitation":"(Fatkieva and Krupina, 2020; Horne et al., 2016; Kitsios et al., 2023)","plainCitation":"(Fatkieva and Krupina, 2020; Horne et al., 2016; Kitsios et al., 2023)","noteIndex":0},"citationItems":[{"id":388,"uris":["http://zotero.org/users/local/0vF7XRbV/items/7HSDDFC6"],"itemData":{"id":388,"type":"chapter","container-title":"Advances in Automation","event-place":"Cham","ISBN":"978-3-030-39224-6","language":"en","note":"collection-title: Lecture Notes in Electrical Engineering\nDOI: 10.1007/978-3-030-39225-3_120","page":"1147-1157","publisher":"Springer International Publishing","publisher-place":"Cham","source":"DOI.org (Crossref)","title":"Enterprise Information Security Assessment Using Balanced Scorecard","URL":"http://link.springer.com/10.1007/978-3-030-39225-3_120","volume":"641","editor":[{"family":"Radionov","given":"Andrey A."},{"family":"Karandaev","given":"Alexander S."}],"author":[{"family":"Fatkieva","given":"R."},{"family":"Krupina","given":"A."}],"accessed":{"date-parts":[["2025",11,25]]},"issued":{"date-parts":[["2020"]]}}},{"id":384,"uris":["http://zotero.org/users/local/0vF7XRbV/items/J2SVDLNG"],"itemData":{"id":384,"type":"article","abstract":"Dependence on information, including for some of the world's largest organisations such as governments and multi-national corporations, has grown rapidly in recent years. However, reports of information security breaches and their associated consequences continue to indicate that attacks are still escalating on organisations when conducting these information-based activities. Clearly, more research is needed to better understand how organisations should formulate strategy to secure their information. Through a thematic review of academic security literature, we (1) analyse the antecedent conditions that motivate the potential adoption of a comprehensive information security strategy, (2) the current perspectives of strategy and (3) the yields and benefits that could be enjoyed post-adoption. Our contributions include a definition of information security strategy. We argue for a paradigm shift to extend from internally-focussed protection of organisation-wide information towards a strategic view that considers the inter-organisational level. Our findings are then used to suggest future research directions.","DOI":"10.48550/arXiv.1606.03528","note":"arXiv:1606.03528 [cs]","number":"arXiv:1606.03528","publisher":"arXiv","source":"arXiv.org","title":"Information Security Strategy in Organisations: Review, Discussion and Future Research Directions","title-short":"Information Security Strategy in Organisations","URL":"http://arxiv.org/abs/1606.03528","author":[{"family":"Horne","given":"Craig A."},{"family":"Ahmad","given":"Atif"},{"family":"Maynard","given":"Sean B."}],"accessed":{"date-parts":[["2025",11,25]]},"issued":{"date-parts":[["2016",6,11]]}}},{"id":382,"uris":["http://zotero.org/users/local/0vF7XRbV/items/TADYPJ2S"],"itemData":{"id":382,"type":"article-journal","abstract":"In order to handle their regulatory and legal responsibilities and to retain trustworthy strategic partnerships, enterprises need to be dedicated to guaranteeing the privacy, accessibility, and authenticity of the data at their disposal. Companies can become more resilient in the face of information security threats and cyberattacks by effectively integrating security strategies. The goal of this article is to describe a plan that a corporation has implemented in the information technology industry in order to ensure compliance with International Organization for Standardization (ISO) 27001. This research demonstrates an examination of the reasons that force enterprises to make a investment in ISO 27001 in addition to the incentives that might be acquired from having undergone this process. In addition, the research examines the reasons that push firms to make an investment in ISO 27001. More particularly, the research investigates an international IT consulting services institution that is responsible for the implementation of large-scale business assistance insertion and projects. It demonstrates the risk management framework and the administrative structure of the appropriate situations so that its procedures are adequate and also in line with the guidelines founded by ISO 27001. In conclusion, it discusses the problems and difficulties that were experienced.","container-title":"Sustainability","DOI":"10.3390/su15075828","ISSN":"2071-1050","issue":"7","journalAbbreviation":"Sustainability","language":"en","page":"5828","source":"DOI.org (Crossref)","title":"The ISO/IEC 27001 Information Security Management Standard: How to Extract Value from Data in the IT Sector","title-short":"The ISO/IEC 27001 Information Security Management Standard","volume":"15","author":[{"family":"Kitsios","given":"Fotis"},{"family":"Chatzidimitriou","given":"Elpiniki"},{"family":"Kamariotou","given":"Maria"}],"issued":{"date-parts":[["2023",3,27]]}}}],"schema":"https://github.com/citation-style-language/schema/raw/master/csl-citation.json"} </w:instrText>
      </w:r>
      <w:r w:rsidR="001C576C">
        <w:fldChar w:fldCharType="separate"/>
      </w:r>
      <w:r w:rsidR="001C576C" w:rsidRPr="001C576C">
        <w:rPr>
          <w:rFonts w:cs="Times New Roman"/>
        </w:rPr>
        <w:t>(Fatkieva and Krupina, 2020; Horne et al., 2016; Kitsios et al., 2023)</w:t>
      </w:r>
      <w:r w:rsidR="001C576C">
        <w:fldChar w:fldCharType="end"/>
      </w:r>
      <w:r w:rsidRPr="005B090C">
        <w:t>.</w:t>
      </w:r>
    </w:p>
    <w:p w14:paraId="76C23DDC" w14:textId="4146C642" w:rsidR="0015470B" w:rsidRDefault="0015470B" w:rsidP="0015470B">
      <w:pPr>
        <w:pStyle w:val="Caption"/>
        <w:keepNext/>
      </w:pPr>
      <w:bookmarkStart w:id="23" w:name="_Toc214999118"/>
      <w:r>
        <w:t xml:space="preserve">Table </w:t>
      </w:r>
      <w:r>
        <w:fldChar w:fldCharType="begin"/>
      </w:r>
      <w:r>
        <w:instrText xml:space="preserve"> SEQ Table \* ARABIC </w:instrText>
      </w:r>
      <w:r>
        <w:fldChar w:fldCharType="separate"/>
      </w:r>
      <w:r w:rsidR="0078774E">
        <w:rPr>
          <w:noProof/>
        </w:rPr>
        <w:t>7</w:t>
      </w:r>
      <w:r>
        <w:fldChar w:fldCharType="end"/>
      </w:r>
      <w:r>
        <w:rPr>
          <w:lang w:val="en-US"/>
        </w:rPr>
        <w:t xml:space="preserve">: </w:t>
      </w:r>
      <w:r w:rsidRPr="004C017F">
        <w:rPr>
          <w:lang w:val="en-US"/>
        </w:rPr>
        <w:t>Balanced Scorecard Perspectives for Security KPIs</w:t>
      </w:r>
      <w:bookmarkEnd w:id="23"/>
    </w:p>
    <w:tbl>
      <w:tblPr>
        <w:tblStyle w:val="GridTable4-Accent1"/>
        <w:tblW w:w="0" w:type="auto"/>
        <w:tblLook w:val="04A0" w:firstRow="1" w:lastRow="0" w:firstColumn="1" w:lastColumn="0" w:noHBand="0" w:noVBand="1"/>
      </w:tblPr>
      <w:tblGrid>
        <w:gridCol w:w="2830"/>
        <w:gridCol w:w="6186"/>
      </w:tblGrid>
      <w:tr w:rsidR="005762E2" w14:paraId="3720E178" w14:textId="77777777" w:rsidTr="005762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77562AE8" w14:textId="3D44BDDA" w:rsidR="005762E2" w:rsidRPr="005762E2" w:rsidRDefault="005762E2" w:rsidP="005762E2">
            <w:pPr>
              <w:jc w:val="left"/>
              <w:rPr>
                <w:rFonts w:cs="Times New Roman"/>
              </w:rPr>
            </w:pPr>
            <w:r w:rsidRPr="005762E2">
              <w:rPr>
                <w:rFonts w:cs="Times New Roman"/>
                <w:b w:val="0"/>
                <w:bCs w:val="0"/>
              </w:rPr>
              <w:t>Perspective</w:t>
            </w:r>
          </w:p>
        </w:tc>
        <w:tc>
          <w:tcPr>
            <w:tcW w:w="6186" w:type="dxa"/>
          </w:tcPr>
          <w:p w14:paraId="3FB8FF24" w14:textId="11343142" w:rsidR="005762E2" w:rsidRPr="005762E2" w:rsidRDefault="005762E2" w:rsidP="005762E2">
            <w:pPr>
              <w:jc w:val="left"/>
              <w:cnfStyle w:val="100000000000" w:firstRow="1" w:lastRow="0" w:firstColumn="0" w:lastColumn="0" w:oddVBand="0" w:evenVBand="0" w:oddHBand="0" w:evenHBand="0" w:firstRowFirstColumn="0" w:firstRowLastColumn="0" w:lastRowFirstColumn="0" w:lastRowLastColumn="0"/>
              <w:rPr>
                <w:rFonts w:cs="Times New Roman"/>
              </w:rPr>
            </w:pPr>
            <w:r w:rsidRPr="005762E2">
              <w:rPr>
                <w:rFonts w:cs="Times New Roman"/>
                <w:b w:val="0"/>
                <w:bCs w:val="0"/>
              </w:rPr>
              <w:t>Example security</w:t>
            </w:r>
            <w:r w:rsidRPr="005762E2">
              <w:rPr>
                <w:rFonts w:cs="Times New Roman"/>
                <w:b w:val="0"/>
                <w:bCs w:val="0"/>
              </w:rPr>
              <w:noBreakHyphen/>
              <w:t>governance KPI type</w:t>
            </w:r>
          </w:p>
        </w:tc>
      </w:tr>
      <w:tr w:rsidR="005762E2" w14:paraId="3F385BF9" w14:textId="77777777" w:rsidTr="005762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037686D3" w14:textId="1A527B62" w:rsidR="005762E2" w:rsidRPr="005762E2" w:rsidRDefault="005762E2" w:rsidP="005762E2">
            <w:pPr>
              <w:jc w:val="left"/>
              <w:rPr>
                <w:rFonts w:cs="Times New Roman"/>
              </w:rPr>
            </w:pPr>
            <w:r w:rsidRPr="005762E2">
              <w:rPr>
                <w:rFonts w:cs="Times New Roman"/>
              </w:rPr>
              <w:t>Financial</w:t>
            </w:r>
          </w:p>
        </w:tc>
        <w:tc>
          <w:tcPr>
            <w:tcW w:w="6186" w:type="dxa"/>
          </w:tcPr>
          <w:p w14:paraId="751EF20A" w14:textId="6954203D" w:rsidR="005762E2" w:rsidRPr="005762E2" w:rsidRDefault="005762E2" w:rsidP="005762E2">
            <w:pPr>
              <w:jc w:val="left"/>
              <w:cnfStyle w:val="000000100000" w:firstRow="0" w:lastRow="0" w:firstColumn="0" w:lastColumn="0" w:oddVBand="0" w:evenVBand="0" w:oddHBand="1" w:evenHBand="0" w:firstRowFirstColumn="0" w:firstRowLastColumn="0" w:lastRowFirstColumn="0" w:lastRowLastColumn="0"/>
              <w:rPr>
                <w:rFonts w:cs="Times New Roman"/>
              </w:rPr>
            </w:pPr>
            <w:r w:rsidRPr="005762E2">
              <w:rPr>
                <w:rFonts w:cs="Times New Roman"/>
              </w:rPr>
              <w:t>Cost of security incidents, % security spend vs. IT.</w:t>
            </w:r>
          </w:p>
        </w:tc>
      </w:tr>
      <w:tr w:rsidR="005762E2" w14:paraId="62BF5B33" w14:textId="77777777" w:rsidTr="005762E2">
        <w:tc>
          <w:tcPr>
            <w:cnfStyle w:val="001000000000" w:firstRow="0" w:lastRow="0" w:firstColumn="1" w:lastColumn="0" w:oddVBand="0" w:evenVBand="0" w:oddHBand="0" w:evenHBand="0" w:firstRowFirstColumn="0" w:firstRowLastColumn="0" w:lastRowFirstColumn="0" w:lastRowLastColumn="0"/>
            <w:tcW w:w="2830" w:type="dxa"/>
          </w:tcPr>
          <w:p w14:paraId="702D407D" w14:textId="5B65A27E" w:rsidR="005762E2" w:rsidRPr="005762E2" w:rsidRDefault="005762E2" w:rsidP="005762E2">
            <w:pPr>
              <w:jc w:val="left"/>
              <w:rPr>
                <w:rFonts w:cs="Times New Roman"/>
              </w:rPr>
            </w:pPr>
            <w:r w:rsidRPr="005762E2">
              <w:rPr>
                <w:rFonts w:cs="Times New Roman"/>
              </w:rPr>
              <w:t>Customer/stakeholder</w:t>
            </w:r>
          </w:p>
        </w:tc>
        <w:tc>
          <w:tcPr>
            <w:tcW w:w="6186" w:type="dxa"/>
          </w:tcPr>
          <w:p w14:paraId="130FDDDE" w14:textId="6517AFE9" w:rsidR="005762E2" w:rsidRPr="005762E2" w:rsidRDefault="005762E2" w:rsidP="005762E2">
            <w:pPr>
              <w:jc w:val="left"/>
              <w:cnfStyle w:val="000000000000" w:firstRow="0" w:lastRow="0" w:firstColumn="0" w:lastColumn="0" w:oddVBand="0" w:evenVBand="0" w:oddHBand="0" w:evenHBand="0" w:firstRowFirstColumn="0" w:firstRowLastColumn="0" w:lastRowFirstColumn="0" w:lastRowLastColumn="0"/>
              <w:rPr>
                <w:rFonts w:cs="Times New Roman"/>
              </w:rPr>
            </w:pPr>
            <w:r w:rsidRPr="005762E2">
              <w:rPr>
                <w:rFonts w:cs="Times New Roman"/>
              </w:rPr>
              <w:t>Trust/satisfaction, incident impact on customers.</w:t>
            </w:r>
          </w:p>
        </w:tc>
      </w:tr>
      <w:tr w:rsidR="005762E2" w14:paraId="57E787C9" w14:textId="77777777" w:rsidTr="005762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621A8D4A" w14:textId="58C46C50" w:rsidR="005762E2" w:rsidRPr="005762E2" w:rsidRDefault="005762E2" w:rsidP="005762E2">
            <w:pPr>
              <w:jc w:val="left"/>
              <w:rPr>
                <w:rFonts w:cs="Times New Roman"/>
              </w:rPr>
            </w:pPr>
            <w:r w:rsidRPr="005762E2">
              <w:rPr>
                <w:rFonts w:cs="Times New Roman"/>
              </w:rPr>
              <w:t>Internal processes</w:t>
            </w:r>
          </w:p>
        </w:tc>
        <w:tc>
          <w:tcPr>
            <w:tcW w:w="6186" w:type="dxa"/>
          </w:tcPr>
          <w:p w14:paraId="2FAB40F3" w14:textId="027C1DC5" w:rsidR="005762E2" w:rsidRPr="005762E2" w:rsidRDefault="005762E2" w:rsidP="005762E2">
            <w:pPr>
              <w:jc w:val="left"/>
              <w:cnfStyle w:val="000000100000" w:firstRow="0" w:lastRow="0" w:firstColumn="0" w:lastColumn="0" w:oddVBand="0" w:evenVBand="0" w:oddHBand="1" w:evenHBand="0" w:firstRowFirstColumn="0" w:firstRowLastColumn="0" w:lastRowFirstColumn="0" w:lastRowLastColumn="0"/>
              <w:rPr>
                <w:rFonts w:cs="Times New Roman"/>
              </w:rPr>
            </w:pPr>
            <w:r w:rsidRPr="005762E2">
              <w:rPr>
                <w:rFonts w:cs="Times New Roman"/>
              </w:rPr>
              <w:t>Mean time to detect/respond, policy compliance rate.</w:t>
            </w:r>
          </w:p>
        </w:tc>
      </w:tr>
      <w:tr w:rsidR="005762E2" w14:paraId="5B3F9A1F" w14:textId="77777777" w:rsidTr="005762E2">
        <w:tc>
          <w:tcPr>
            <w:cnfStyle w:val="001000000000" w:firstRow="0" w:lastRow="0" w:firstColumn="1" w:lastColumn="0" w:oddVBand="0" w:evenVBand="0" w:oddHBand="0" w:evenHBand="0" w:firstRowFirstColumn="0" w:firstRowLastColumn="0" w:lastRowFirstColumn="0" w:lastRowLastColumn="0"/>
            <w:tcW w:w="2830" w:type="dxa"/>
          </w:tcPr>
          <w:p w14:paraId="68511E3B" w14:textId="6E8EC6D6" w:rsidR="005762E2" w:rsidRPr="005762E2" w:rsidRDefault="005762E2" w:rsidP="005762E2">
            <w:pPr>
              <w:jc w:val="left"/>
              <w:rPr>
                <w:rFonts w:cs="Times New Roman"/>
              </w:rPr>
            </w:pPr>
            <w:r w:rsidRPr="005762E2">
              <w:rPr>
                <w:rFonts w:cs="Times New Roman"/>
              </w:rPr>
              <w:t>Learning &amp; growth</w:t>
            </w:r>
          </w:p>
        </w:tc>
        <w:tc>
          <w:tcPr>
            <w:tcW w:w="6186" w:type="dxa"/>
          </w:tcPr>
          <w:p w14:paraId="0B01B313" w14:textId="766EE964" w:rsidR="005762E2" w:rsidRPr="005762E2" w:rsidRDefault="005762E2" w:rsidP="005762E2">
            <w:pPr>
              <w:jc w:val="left"/>
              <w:cnfStyle w:val="000000000000" w:firstRow="0" w:lastRow="0" w:firstColumn="0" w:lastColumn="0" w:oddVBand="0" w:evenVBand="0" w:oddHBand="0" w:evenHBand="0" w:firstRowFirstColumn="0" w:firstRowLastColumn="0" w:lastRowFirstColumn="0" w:lastRowLastColumn="0"/>
              <w:rPr>
                <w:rFonts w:cs="Times New Roman"/>
              </w:rPr>
            </w:pPr>
            <w:r w:rsidRPr="005762E2">
              <w:rPr>
                <w:rFonts w:cs="Times New Roman"/>
              </w:rPr>
              <w:t>Training coverage, skills maturity, culture metrics.</w:t>
            </w:r>
          </w:p>
        </w:tc>
      </w:tr>
    </w:tbl>
    <w:p w14:paraId="472F6805" w14:textId="77777777" w:rsidR="003E15D5" w:rsidRDefault="003E15D5" w:rsidP="00A55780"/>
    <w:p w14:paraId="1BA4D725" w14:textId="3422E6B1" w:rsidR="003E15D5" w:rsidRDefault="00CC3546" w:rsidP="00243B92">
      <w:pPr>
        <w:pStyle w:val="Heading2"/>
      </w:pPr>
      <w:bookmarkStart w:id="24" w:name="_Toc214999092"/>
      <w:r>
        <w:t>3</w:t>
      </w:r>
      <w:r w:rsidR="003E15D5" w:rsidRPr="003E15D5">
        <w:t>.4 Security Policies and Procedures</w:t>
      </w:r>
      <w:bookmarkEnd w:id="24"/>
    </w:p>
    <w:p w14:paraId="0D8365CC" w14:textId="049DEBBC" w:rsidR="002B450F" w:rsidRDefault="00C853BF" w:rsidP="00A55780">
      <w:r w:rsidRPr="00C853BF">
        <w:t>The security policies and procedures are to be designed in a distinct hierarchy where the strategic policies at the organisation-wide level define general principles, the tactical standards at the control requirements level and the operational procedures at the step-by-step implementation and enforcement. In the case of NatureGreen which as of now lacks a defined security policy framework, formal policies are needed to control the usage of the personal devices, cloud services and sensitive data of the staff, customer, and intellectual property, and these policies are backed by detailed configuration, monitoring and compliance standards and procedures.</w:t>
      </w:r>
    </w:p>
    <w:p w14:paraId="5BDF2190" w14:textId="3739846D" w:rsidR="002C1D64" w:rsidRDefault="002C1D64" w:rsidP="002C1D64">
      <w:pPr>
        <w:pStyle w:val="Caption"/>
        <w:keepNext/>
      </w:pPr>
      <w:bookmarkStart w:id="25" w:name="_Toc214999119"/>
      <w:r>
        <w:t xml:space="preserve">Table </w:t>
      </w:r>
      <w:r>
        <w:fldChar w:fldCharType="begin"/>
      </w:r>
      <w:r>
        <w:instrText xml:space="preserve"> SEQ Table \* ARABIC </w:instrText>
      </w:r>
      <w:r>
        <w:fldChar w:fldCharType="separate"/>
      </w:r>
      <w:r w:rsidR="0078774E">
        <w:rPr>
          <w:noProof/>
        </w:rPr>
        <w:t>8</w:t>
      </w:r>
      <w:r>
        <w:fldChar w:fldCharType="end"/>
      </w:r>
      <w:r>
        <w:rPr>
          <w:lang w:val="en-US"/>
        </w:rPr>
        <w:t xml:space="preserve">: </w:t>
      </w:r>
      <w:r w:rsidRPr="007403B8">
        <w:rPr>
          <w:lang w:val="en-US"/>
        </w:rPr>
        <w:t>Key Security Policy Domains and Priorities</w:t>
      </w:r>
      <w:bookmarkEnd w:id="25"/>
    </w:p>
    <w:tbl>
      <w:tblPr>
        <w:tblStyle w:val="GridTable4-Accent1"/>
        <w:tblW w:w="0" w:type="auto"/>
        <w:tblLook w:val="04A0" w:firstRow="1" w:lastRow="0" w:firstColumn="1" w:lastColumn="0" w:noHBand="0" w:noVBand="1"/>
      </w:tblPr>
      <w:tblGrid>
        <w:gridCol w:w="3539"/>
        <w:gridCol w:w="4111"/>
        <w:gridCol w:w="1366"/>
      </w:tblGrid>
      <w:tr w:rsidR="002B450F" w14:paraId="2B643722" w14:textId="77777777" w:rsidTr="002B45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4E6817D1" w14:textId="58DB1D22" w:rsidR="002B450F" w:rsidRPr="002B450F" w:rsidRDefault="002B450F" w:rsidP="002B450F">
            <w:pPr>
              <w:jc w:val="left"/>
              <w:rPr>
                <w:rFonts w:cs="Times New Roman"/>
              </w:rPr>
            </w:pPr>
            <w:r w:rsidRPr="002B450F">
              <w:rPr>
                <w:rFonts w:cs="Times New Roman"/>
                <w:b w:val="0"/>
                <w:bCs w:val="0"/>
              </w:rPr>
              <w:t>Policy domain</w:t>
            </w:r>
          </w:p>
        </w:tc>
        <w:tc>
          <w:tcPr>
            <w:tcW w:w="4111" w:type="dxa"/>
          </w:tcPr>
          <w:p w14:paraId="0A66917C" w14:textId="68F98FB8" w:rsidR="002B450F" w:rsidRPr="002B450F" w:rsidRDefault="002B450F" w:rsidP="002B450F">
            <w:pPr>
              <w:jc w:val="left"/>
              <w:cnfStyle w:val="100000000000" w:firstRow="1" w:lastRow="0" w:firstColumn="0" w:lastColumn="0" w:oddVBand="0" w:evenVBand="0" w:oddHBand="0" w:evenHBand="0" w:firstRowFirstColumn="0" w:firstRowLastColumn="0" w:lastRowFirstColumn="0" w:lastRowLastColumn="0"/>
              <w:rPr>
                <w:rFonts w:cs="Times New Roman"/>
              </w:rPr>
            </w:pPr>
            <w:r w:rsidRPr="002B450F">
              <w:rPr>
                <w:rFonts w:cs="Times New Roman"/>
                <w:b w:val="0"/>
                <w:bCs w:val="0"/>
              </w:rPr>
              <w:t>Primary focus</w:t>
            </w:r>
          </w:p>
        </w:tc>
        <w:tc>
          <w:tcPr>
            <w:tcW w:w="1366" w:type="dxa"/>
          </w:tcPr>
          <w:p w14:paraId="1BE7EC62" w14:textId="490B7509" w:rsidR="002B450F" w:rsidRPr="002B450F" w:rsidRDefault="002B450F" w:rsidP="002B450F">
            <w:pPr>
              <w:jc w:val="left"/>
              <w:cnfStyle w:val="100000000000" w:firstRow="1" w:lastRow="0" w:firstColumn="0" w:lastColumn="0" w:oddVBand="0" w:evenVBand="0" w:oddHBand="0" w:evenHBand="0" w:firstRowFirstColumn="0" w:firstRowLastColumn="0" w:lastRowFirstColumn="0" w:lastRowLastColumn="0"/>
              <w:rPr>
                <w:rFonts w:cs="Times New Roman"/>
              </w:rPr>
            </w:pPr>
            <w:r w:rsidRPr="002B450F">
              <w:rPr>
                <w:rFonts w:cs="Times New Roman"/>
                <w:b w:val="0"/>
                <w:bCs w:val="0"/>
              </w:rPr>
              <w:t>Priority</w:t>
            </w:r>
          </w:p>
        </w:tc>
      </w:tr>
      <w:tr w:rsidR="002B450F" w14:paraId="71C0C779" w14:textId="77777777" w:rsidTr="002B45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3EA3CA6D" w14:textId="5795C963" w:rsidR="002B450F" w:rsidRPr="002B450F" w:rsidRDefault="002B450F" w:rsidP="002B450F">
            <w:pPr>
              <w:jc w:val="left"/>
              <w:rPr>
                <w:rFonts w:cs="Times New Roman"/>
              </w:rPr>
            </w:pPr>
            <w:r w:rsidRPr="002B450F">
              <w:rPr>
                <w:rFonts w:cs="Times New Roman"/>
              </w:rPr>
              <w:t>BYOD &amp; MDM</w:t>
            </w:r>
          </w:p>
        </w:tc>
        <w:tc>
          <w:tcPr>
            <w:tcW w:w="4111" w:type="dxa"/>
          </w:tcPr>
          <w:p w14:paraId="2C997E7B" w14:textId="285BC31E" w:rsidR="002B450F" w:rsidRPr="002B450F" w:rsidRDefault="002B450F" w:rsidP="002B450F">
            <w:pPr>
              <w:jc w:val="left"/>
              <w:cnfStyle w:val="000000100000" w:firstRow="0" w:lastRow="0" w:firstColumn="0" w:lastColumn="0" w:oddVBand="0" w:evenVBand="0" w:oddHBand="1" w:evenHBand="0" w:firstRowFirstColumn="0" w:firstRowLastColumn="0" w:lastRowFirstColumn="0" w:lastRowLastColumn="0"/>
              <w:rPr>
                <w:rFonts w:cs="Times New Roman"/>
              </w:rPr>
            </w:pPr>
            <w:r w:rsidRPr="002B450F">
              <w:rPr>
                <w:rFonts w:cs="Times New Roman"/>
              </w:rPr>
              <w:t>Secure personal devices, access control.</w:t>
            </w:r>
          </w:p>
        </w:tc>
        <w:tc>
          <w:tcPr>
            <w:tcW w:w="1366" w:type="dxa"/>
          </w:tcPr>
          <w:p w14:paraId="17960815" w14:textId="63591BCE" w:rsidR="002B450F" w:rsidRPr="002B450F" w:rsidRDefault="002B450F" w:rsidP="002B450F">
            <w:pPr>
              <w:jc w:val="left"/>
              <w:cnfStyle w:val="000000100000" w:firstRow="0" w:lastRow="0" w:firstColumn="0" w:lastColumn="0" w:oddVBand="0" w:evenVBand="0" w:oddHBand="1" w:evenHBand="0" w:firstRowFirstColumn="0" w:firstRowLastColumn="0" w:lastRowFirstColumn="0" w:lastRowLastColumn="0"/>
              <w:rPr>
                <w:rFonts w:cs="Times New Roman"/>
              </w:rPr>
            </w:pPr>
            <w:r w:rsidRPr="002B450F">
              <w:rPr>
                <w:rFonts w:cs="Times New Roman"/>
              </w:rPr>
              <w:t>High</w:t>
            </w:r>
          </w:p>
        </w:tc>
      </w:tr>
      <w:tr w:rsidR="002B450F" w14:paraId="66F1BEFE" w14:textId="77777777" w:rsidTr="002B450F">
        <w:tc>
          <w:tcPr>
            <w:cnfStyle w:val="001000000000" w:firstRow="0" w:lastRow="0" w:firstColumn="1" w:lastColumn="0" w:oddVBand="0" w:evenVBand="0" w:oddHBand="0" w:evenHBand="0" w:firstRowFirstColumn="0" w:firstRowLastColumn="0" w:lastRowFirstColumn="0" w:lastRowLastColumn="0"/>
            <w:tcW w:w="3539" w:type="dxa"/>
          </w:tcPr>
          <w:p w14:paraId="0BB14F7E" w14:textId="6C8C99BB" w:rsidR="002B450F" w:rsidRPr="002B450F" w:rsidRDefault="002B450F" w:rsidP="002B450F">
            <w:pPr>
              <w:jc w:val="left"/>
              <w:rPr>
                <w:rFonts w:cs="Times New Roman"/>
              </w:rPr>
            </w:pPr>
            <w:r w:rsidRPr="002B450F">
              <w:rPr>
                <w:rFonts w:cs="Times New Roman"/>
              </w:rPr>
              <w:t>Cloud security</w:t>
            </w:r>
          </w:p>
        </w:tc>
        <w:tc>
          <w:tcPr>
            <w:tcW w:w="4111" w:type="dxa"/>
          </w:tcPr>
          <w:p w14:paraId="2C4342DB" w14:textId="68F28A5A" w:rsidR="002B450F" w:rsidRPr="002B450F" w:rsidRDefault="002B450F" w:rsidP="002B450F">
            <w:pPr>
              <w:jc w:val="left"/>
              <w:cnfStyle w:val="000000000000" w:firstRow="0" w:lastRow="0" w:firstColumn="0" w:lastColumn="0" w:oddVBand="0" w:evenVBand="0" w:oddHBand="0" w:evenHBand="0" w:firstRowFirstColumn="0" w:firstRowLastColumn="0" w:lastRowFirstColumn="0" w:lastRowLastColumn="0"/>
              <w:rPr>
                <w:rFonts w:cs="Times New Roman"/>
              </w:rPr>
            </w:pPr>
            <w:r w:rsidRPr="002B450F">
              <w:rPr>
                <w:rFonts w:cs="Times New Roman"/>
              </w:rPr>
              <w:t>Provider responsibilities, configuration, access.</w:t>
            </w:r>
          </w:p>
        </w:tc>
        <w:tc>
          <w:tcPr>
            <w:tcW w:w="1366" w:type="dxa"/>
          </w:tcPr>
          <w:p w14:paraId="2B689A3C" w14:textId="3BB27C6E" w:rsidR="002B450F" w:rsidRPr="002B450F" w:rsidRDefault="002B450F" w:rsidP="002B450F">
            <w:pPr>
              <w:jc w:val="left"/>
              <w:cnfStyle w:val="000000000000" w:firstRow="0" w:lastRow="0" w:firstColumn="0" w:lastColumn="0" w:oddVBand="0" w:evenVBand="0" w:oddHBand="0" w:evenHBand="0" w:firstRowFirstColumn="0" w:firstRowLastColumn="0" w:lastRowFirstColumn="0" w:lastRowLastColumn="0"/>
              <w:rPr>
                <w:rFonts w:cs="Times New Roman"/>
              </w:rPr>
            </w:pPr>
            <w:r w:rsidRPr="002B450F">
              <w:rPr>
                <w:rFonts w:cs="Times New Roman"/>
              </w:rPr>
              <w:t>High</w:t>
            </w:r>
          </w:p>
        </w:tc>
      </w:tr>
      <w:tr w:rsidR="002B450F" w14:paraId="14830B61" w14:textId="77777777" w:rsidTr="002B45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63391640" w14:textId="495C6AB7" w:rsidR="002B450F" w:rsidRPr="002B450F" w:rsidRDefault="002B450F" w:rsidP="002B450F">
            <w:pPr>
              <w:jc w:val="left"/>
              <w:rPr>
                <w:rFonts w:cs="Times New Roman"/>
              </w:rPr>
            </w:pPr>
            <w:r w:rsidRPr="002B450F">
              <w:rPr>
                <w:rFonts w:cs="Times New Roman"/>
              </w:rPr>
              <w:lastRenderedPageBreak/>
              <w:t>Data classification &amp; handling</w:t>
            </w:r>
          </w:p>
        </w:tc>
        <w:tc>
          <w:tcPr>
            <w:tcW w:w="4111" w:type="dxa"/>
          </w:tcPr>
          <w:p w14:paraId="20177862" w14:textId="7976D7C0" w:rsidR="002B450F" w:rsidRPr="002B450F" w:rsidRDefault="002B450F" w:rsidP="002B450F">
            <w:pPr>
              <w:jc w:val="left"/>
              <w:cnfStyle w:val="000000100000" w:firstRow="0" w:lastRow="0" w:firstColumn="0" w:lastColumn="0" w:oddVBand="0" w:evenVBand="0" w:oddHBand="1" w:evenHBand="0" w:firstRowFirstColumn="0" w:firstRowLastColumn="0" w:lastRowFirstColumn="0" w:lastRowLastColumn="0"/>
              <w:rPr>
                <w:rFonts w:cs="Times New Roman"/>
              </w:rPr>
            </w:pPr>
            <w:r w:rsidRPr="002B450F">
              <w:rPr>
                <w:rFonts w:cs="Times New Roman"/>
              </w:rPr>
              <w:t>Sensitivity tiers, handling rules.</w:t>
            </w:r>
          </w:p>
        </w:tc>
        <w:tc>
          <w:tcPr>
            <w:tcW w:w="1366" w:type="dxa"/>
          </w:tcPr>
          <w:p w14:paraId="3F7206FE" w14:textId="5F3FE8D1" w:rsidR="002B450F" w:rsidRPr="002B450F" w:rsidRDefault="002B450F" w:rsidP="002B450F">
            <w:pPr>
              <w:jc w:val="left"/>
              <w:cnfStyle w:val="000000100000" w:firstRow="0" w:lastRow="0" w:firstColumn="0" w:lastColumn="0" w:oddVBand="0" w:evenVBand="0" w:oddHBand="1" w:evenHBand="0" w:firstRowFirstColumn="0" w:firstRowLastColumn="0" w:lastRowFirstColumn="0" w:lastRowLastColumn="0"/>
              <w:rPr>
                <w:rFonts w:cs="Times New Roman"/>
              </w:rPr>
            </w:pPr>
            <w:r w:rsidRPr="002B450F">
              <w:rPr>
                <w:rFonts w:cs="Times New Roman"/>
              </w:rPr>
              <w:t>High</w:t>
            </w:r>
          </w:p>
        </w:tc>
      </w:tr>
      <w:tr w:rsidR="002B450F" w14:paraId="015FBBA7" w14:textId="77777777" w:rsidTr="002B450F">
        <w:tc>
          <w:tcPr>
            <w:cnfStyle w:val="001000000000" w:firstRow="0" w:lastRow="0" w:firstColumn="1" w:lastColumn="0" w:oddVBand="0" w:evenVBand="0" w:oddHBand="0" w:evenHBand="0" w:firstRowFirstColumn="0" w:firstRowLastColumn="0" w:lastRowFirstColumn="0" w:lastRowLastColumn="0"/>
            <w:tcW w:w="3539" w:type="dxa"/>
          </w:tcPr>
          <w:p w14:paraId="02583832" w14:textId="31D394BC" w:rsidR="002B450F" w:rsidRPr="002B450F" w:rsidRDefault="002B450F" w:rsidP="002B450F">
            <w:pPr>
              <w:jc w:val="left"/>
              <w:rPr>
                <w:rFonts w:cs="Times New Roman"/>
              </w:rPr>
            </w:pPr>
            <w:r w:rsidRPr="002B450F">
              <w:rPr>
                <w:rFonts w:cs="Times New Roman"/>
              </w:rPr>
              <w:t>Acceptable use</w:t>
            </w:r>
          </w:p>
        </w:tc>
        <w:tc>
          <w:tcPr>
            <w:tcW w:w="4111" w:type="dxa"/>
          </w:tcPr>
          <w:p w14:paraId="0D70933C" w14:textId="1CFDBEF9" w:rsidR="002B450F" w:rsidRPr="002B450F" w:rsidRDefault="002B450F" w:rsidP="002B450F">
            <w:pPr>
              <w:jc w:val="left"/>
              <w:cnfStyle w:val="000000000000" w:firstRow="0" w:lastRow="0" w:firstColumn="0" w:lastColumn="0" w:oddVBand="0" w:evenVBand="0" w:oddHBand="0" w:evenHBand="0" w:firstRowFirstColumn="0" w:firstRowLastColumn="0" w:lastRowFirstColumn="0" w:lastRowLastColumn="0"/>
              <w:rPr>
                <w:rFonts w:cs="Times New Roman"/>
              </w:rPr>
            </w:pPr>
            <w:r w:rsidRPr="002B450F">
              <w:rPr>
                <w:rFonts w:cs="Times New Roman"/>
              </w:rPr>
              <w:t>User behaviour, prohibited activities.</w:t>
            </w:r>
          </w:p>
        </w:tc>
        <w:tc>
          <w:tcPr>
            <w:tcW w:w="1366" w:type="dxa"/>
          </w:tcPr>
          <w:p w14:paraId="32CD19B3" w14:textId="4D9425A8" w:rsidR="002B450F" w:rsidRPr="002B450F" w:rsidRDefault="002B450F" w:rsidP="002B450F">
            <w:pPr>
              <w:jc w:val="left"/>
              <w:cnfStyle w:val="000000000000" w:firstRow="0" w:lastRow="0" w:firstColumn="0" w:lastColumn="0" w:oddVBand="0" w:evenVBand="0" w:oddHBand="0" w:evenHBand="0" w:firstRowFirstColumn="0" w:firstRowLastColumn="0" w:lastRowFirstColumn="0" w:lastRowLastColumn="0"/>
              <w:rPr>
                <w:rFonts w:cs="Times New Roman"/>
              </w:rPr>
            </w:pPr>
            <w:r w:rsidRPr="002B450F">
              <w:rPr>
                <w:rFonts w:cs="Times New Roman"/>
              </w:rPr>
              <w:t>Medium</w:t>
            </w:r>
          </w:p>
        </w:tc>
      </w:tr>
      <w:tr w:rsidR="002B450F" w14:paraId="1CD3DF87" w14:textId="77777777" w:rsidTr="002B45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14:paraId="50AE9E0E" w14:textId="477577A5" w:rsidR="002B450F" w:rsidRPr="002B450F" w:rsidRDefault="002B450F" w:rsidP="002B450F">
            <w:pPr>
              <w:jc w:val="left"/>
              <w:rPr>
                <w:rFonts w:cs="Times New Roman"/>
              </w:rPr>
            </w:pPr>
            <w:r w:rsidRPr="002B450F">
              <w:rPr>
                <w:rFonts w:cs="Times New Roman"/>
              </w:rPr>
              <w:t>Intellectual property protection</w:t>
            </w:r>
          </w:p>
        </w:tc>
        <w:tc>
          <w:tcPr>
            <w:tcW w:w="4111" w:type="dxa"/>
          </w:tcPr>
          <w:p w14:paraId="55F25541" w14:textId="007BD813" w:rsidR="002B450F" w:rsidRPr="002B450F" w:rsidRDefault="002B450F" w:rsidP="002B450F">
            <w:pPr>
              <w:jc w:val="left"/>
              <w:cnfStyle w:val="000000100000" w:firstRow="0" w:lastRow="0" w:firstColumn="0" w:lastColumn="0" w:oddVBand="0" w:evenVBand="0" w:oddHBand="1" w:evenHBand="0" w:firstRowFirstColumn="0" w:firstRowLastColumn="0" w:lastRowFirstColumn="0" w:lastRowLastColumn="0"/>
              <w:rPr>
                <w:rFonts w:cs="Times New Roman"/>
              </w:rPr>
            </w:pPr>
            <w:r w:rsidRPr="002B450F">
              <w:rPr>
                <w:rFonts w:cs="Times New Roman"/>
              </w:rPr>
              <w:t>Safeguarding proprietary information.</w:t>
            </w:r>
          </w:p>
        </w:tc>
        <w:tc>
          <w:tcPr>
            <w:tcW w:w="1366" w:type="dxa"/>
          </w:tcPr>
          <w:p w14:paraId="4CBD7F92" w14:textId="2A1D104B" w:rsidR="002B450F" w:rsidRPr="002B450F" w:rsidRDefault="002B450F" w:rsidP="002B450F">
            <w:pPr>
              <w:jc w:val="left"/>
              <w:cnfStyle w:val="000000100000" w:firstRow="0" w:lastRow="0" w:firstColumn="0" w:lastColumn="0" w:oddVBand="0" w:evenVBand="0" w:oddHBand="1" w:evenHBand="0" w:firstRowFirstColumn="0" w:firstRowLastColumn="0" w:lastRowFirstColumn="0" w:lastRowLastColumn="0"/>
              <w:rPr>
                <w:rFonts w:cs="Times New Roman"/>
              </w:rPr>
            </w:pPr>
            <w:r w:rsidRPr="002B450F">
              <w:rPr>
                <w:rFonts w:cs="Times New Roman"/>
              </w:rPr>
              <w:t>High</w:t>
            </w:r>
          </w:p>
        </w:tc>
      </w:tr>
    </w:tbl>
    <w:p w14:paraId="1D8AE523" w14:textId="73140619" w:rsidR="003E15D5" w:rsidRDefault="003E15D5" w:rsidP="00A81018">
      <w:pPr>
        <w:tabs>
          <w:tab w:val="left" w:pos="1095"/>
        </w:tabs>
      </w:pPr>
    </w:p>
    <w:p w14:paraId="6D381972" w14:textId="1EE5C077" w:rsidR="003E15D5" w:rsidRDefault="00CC3546" w:rsidP="00243B92">
      <w:pPr>
        <w:pStyle w:val="Heading2"/>
      </w:pPr>
      <w:bookmarkStart w:id="26" w:name="_Toc214999093"/>
      <w:r>
        <w:t>3</w:t>
      </w:r>
      <w:r w:rsidR="003E15D5" w:rsidRPr="003E15D5">
        <w:t>.5 Risk Management Framework</w:t>
      </w:r>
      <w:bookmarkEnd w:id="26"/>
    </w:p>
    <w:p w14:paraId="2BAE909E" w14:textId="7E40024A" w:rsidR="009254AB" w:rsidRDefault="009254AB" w:rsidP="009254AB">
      <w:r>
        <w:t xml:space="preserve">The risk management scheme has a cyclic approach to risk identification, assessment and treatment that aligns with known information security risk-management practices. Risk to assets are identified, threats and vulnerabilities identified and risks to assets are analysed based on how probable they are and how severe the effects are and any risk that does not pass the acceptable criteria are treated by avoidance, mitigation, transfer or acceptance and with constant monitoring. Each risk, owner, inherent/residual rating and treatment plan is recorded in a central risk register and there is a heat-map helping to prioritize and report the risks to the governance bodies a heat-map displaying low/medium/high risk level. </w:t>
      </w:r>
    </w:p>
    <w:p w14:paraId="3F118669" w14:textId="62EECD1F" w:rsidR="0012161A" w:rsidRDefault="009254AB" w:rsidP="009254AB">
      <w:r>
        <w:t>In the case of NatureGreen, crucial categories of risks directly pointed out in the scenario scenario are wireless network exposure, and cloud service vulnerabilities and threats brought by bring-your-own-device access to the corporate resources. They are assessed against agreed risk appetite and tolerance levels accepted by the Board, so that only risks that fall within the agreed limits are accepted and that areas of high exposures lead to investment to control the selection and ongoing improvement processes.</w:t>
      </w:r>
    </w:p>
    <w:p w14:paraId="0E34596C" w14:textId="77777777" w:rsidR="00F67075" w:rsidRDefault="00F67075" w:rsidP="00F67075">
      <w:pPr>
        <w:keepNext/>
      </w:pPr>
      <w:r>
        <w:rPr>
          <w:noProof/>
        </w:rPr>
        <w:drawing>
          <wp:inline distT="0" distB="0" distL="0" distR="0" wp14:anchorId="7816072B" wp14:editId="3AD26DAC">
            <wp:extent cx="5731510" cy="3126105"/>
            <wp:effectExtent l="0" t="0" r="2540" b="0"/>
            <wp:docPr id="20986986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698624" name="Picture 209869862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26105"/>
                    </a:xfrm>
                    <a:prstGeom prst="rect">
                      <a:avLst/>
                    </a:prstGeom>
                  </pic:spPr>
                </pic:pic>
              </a:graphicData>
            </a:graphic>
          </wp:inline>
        </w:drawing>
      </w:r>
    </w:p>
    <w:p w14:paraId="22BEBC93" w14:textId="63822D64" w:rsidR="0012161A" w:rsidRDefault="00F67075" w:rsidP="00F67075">
      <w:pPr>
        <w:pStyle w:val="Caption"/>
        <w:jc w:val="center"/>
      </w:pPr>
      <w:bookmarkStart w:id="27" w:name="_Toc214999111"/>
      <w:r>
        <w:t xml:space="preserve">Figure </w:t>
      </w:r>
      <w:r>
        <w:fldChar w:fldCharType="begin"/>
      </w:r>
      <w:r>
        <w:instrText xml:space="preserve"> SEQ Figure \* ARABIC </w:instrText>
      </w:r>
      <w:r>
        <w:fldChar w:fldCharType="separate"/>
      </w:r>
      <w:r>
        <w:rPr>
          <w:noProof/>
        </w:rPr>
        <w:t>4</w:t>
      </w:r>
      <w:r>
        <w:fldChar w:fldCharType="end"/>
      </w:r>
      <w:r>
        <w:rPr>
          <w:lang w:val="en-US"/>
        </w:rPr>
        <w:t xml:space="preserve">: </w:t>
      </w:r>
      <w:r w:rsidRPr="009D4750">
        <w:rPr>
          <w:lang w:val="en-US"/>
        </w:rPr>
        <w:t>Comprehensive cyclical framework for risk management</w:t>
      </w:r>
      <w:bookmarkEnd w:id="27"/>
    </w:p>
    <w:p w14:paraId="7AE7580E" w14:textId="17DE9866" w:rsidR="0012161A" w:rsidRDefault="0012161A" w:rsidP="0012161A">
      <w:pPr>
        <w:pStyle w:val="Heading2"/>
      </w:pPr>
      <w:bookmarkStart w:id="28" w:name="_Toc214999094"/>
      <w:r>
        <w:lastRenderedPageBreak/>
        <w:t>3</w:t>
      </w:r>
      <w:r w:rsidRPr="0012161A">
        <w:t>.6 Compliance and Legal Requirements</w:t>
      </w:r>
      <w:bookmarkEnd w:id="28"/>
    </w:p>
    <w:p w14:paraId="6135803F" w14:textId="7AC983CB" w:rsidR="00095328" w:rsidRDefault="003A686C" w:rsidP="00095328">
      <w:r w:rsidRPr="003A686C">
        <w:t>Security governance needs to be in alignment with data protection laws like the EU General Data Protection Regulation (GDPR) and other relevant national data protection laws that introduce conditions of lawful processing, data subject rights, accountability and demonstrable compliance. Sector-specific version Established in various regions depending on sector and geography, still further industry-specific regimes (such as healthcare or financial-services regulations) and intellectual-property regimes related to patents, copyright and trade secrets influence the customer, employee and proprietary information process. The policy is enforced by implementing documented policies, privacy statements, contracts and technical controls backed by continuous monitoring and internal audits, external evaluation and maintenance of records including processing registers and audit trails</w:t>
      </w:r>
      <w:r w:rsidR="00DB68A4">
        <w:t xml:space="preserve"> </w:t>
      </w:r>
      <w:r w:rsidR="00DB68A4">
        <w:fldChar w:fldCharType="begin"/>
      </w:r>
      <w:r w:rsidR="00464494">
        <w:instrText xml:space="preserve"> ADDIN ZOTERO_ITEM CSL_CITATION {"citationID":"1hYbwS06","properties":{"formattedCitation":"(Babalola, 2022; Chhetri et al., 2022)","plainCitation":"(Babalola, 2022; Chhetri et al., 2022)","noteIndex":0},"citationItems":[{"id":391,"uris":["http://zotero.org/users/local/0vF7XRbV/items/KJQEVCMI"],"itemData":{"id":391,"type":"article-journal","abstract":"The European Union (EU) Data Protection Directive (DPD) was repealed for its failure to achieve the anticipated level of regulatory compliance thereby paving the way for General Data Protection Regulation (GDPR) which came with a number of novelties including the introduction of monitoring bodies (MBs) as another layer of compliance enforcement with provisions of the GDPR through sector-specific codes of conduct (CoC). While the DPD also had a provision on CoC, it was bereft of its enforcement mechanism, success indicators and workability, hence the introduction of MBs as an additional player in the GDPR-enforcement ecosystem to ensure compliance with the CoC on the one hand and sanction violations on the other. Conversely, on the other side of the Mediterranean Sea, Nigeria issued its own version of the GDPR as ‘Nigeria Data Protection Regulation’ (NDPR) and introduced its own peculiar MB styled ‘Data Protection Compliance Organization’ (DPCO) to, interestingly, on behalf of the National Information Technology Development Agency (NITDA) ensure and monitor compliance with the NDPR and at the same time forge a fiduciary relationship with the controllers as their paid auditors. This article places the European concept of MBs and Nigerian novelty of DPCOs side by side while examining the relationship between the two similar yet asymmetric concepts. The article analyses the varying issues surrounding the nature, appointment or creation, powers, and functionalities of MBs and DPCOs under the European and Nigerian regulations.\n            Nigeria, Nigeria Data Protection Regulation, NDPR, National Information Technology Development Agency, NITDA, Data Protection Compliance Organization, DPCO","container-title":"Global Privacy Law Review","DOI":"10.54648/GPLR2022010","ISSN":"26663570","issue":"Issue 2","journalAbbreviation":"GPLR","language":"en","page":"98-106","source":"DOI.org (Crossref)","title":"Data Protection Compliance Organizations (DPCO) Under the NDPR, and Monitoring Bodies Under the GDPR: Two Sides of the Same Compliance Coin?","title-short":"Data Protection Compliance Organizations (DPCO) Under the NDPR, and Monitoring Bodies Under the GDPR","volume":"3","author":[{"family":"Babalola","given":"Olumide"}],"issued":{"date-parts":[["2022",5,1]]}}},{"id":389,"uris":["http://zotero.org/users/local/0vF7XRbV/items/J49GNYA6"],"itemData":{"id":389,"type":"article-journal","abstract":"The enforcement of the GDPR in May 2018 has led to a paradigm shift in data protection. Organizations face significant challenges, such as demonstrating compliance (or auditability) and automated compliance verification due to the complex and dynamic nature of consent, as well as the scale at which compliance verification must be performed. Furthermore, the GDPR’s promotion of data protection by design and industrial interoperability requirements has created new technical challenges, as they require significant changes in the design and implementation of systems that handle personal data. We present a scalable data protection by design tool for automated compliance verification and auditability based on informed consent that is modeled with a knowledge graph. Automated compliance verification is made possible by implementing a regulation-to-code process that translates GDPR regulations into well-defined technical and organizational measures and, ultimately, software code. We demonstrate the effectiveness of the tool in the insurance and smart cities domains. We highlight ways in which our tool can be adapted to other domains.","container-title":"Sensors","DOI":"10.3390/s22072763","ISSN":"1424-8220","issue":"7","journalAbbreviation":"Sensors","language":"en","page":"2763","source":"DOI.org (Crossref)","title":"Data Protection by Design Tool for Automated GDPR Compliance Verification Based on Semantically Modeled Informed Consent","volume":"22","author":[{"family":"Chhetri","given":"Tek Raj"},{"family":"Kurteva","given":"Anelia"},{"family":"DeLong","given":"Rance J."},{"family":"Hilscher","given":"Rainer"},{"family":"Korte","given":"Kai"},{"family":"Fensel","given":"Anna"}],"issued":{"date-parts":[["2022",4,3]]}}}],"schema":"https://github.com/citation-style-language/schema/raw/master/csl-citation.json"} </w:instrText>
      </w:r>
      <w:r w:rsidR="00DB68A4">
        <w:fldChar w:fldCharType="separate"/>
      </w:r>
      <w:r w:rsidR="00464494" w:rsidRPr="00464494">
        <w:rPr>
          <w:rFonts w:cs="Times New Roman"/>
        </w:rPr>
        <w:t>(Babalola, 2022; Chhetri et al., 2022)</w:t>
      </w:r>
      <w:r w:rsidR="00DB68A4">
        <w:fldChar w:fldCharType="end"/>
      </w:r>
      <w:r w:rsidRPr="003A686C">
        <w:t>.</w:t>
      </w:r>
    </w:p>
    <w:p w14:paraId="010DFD49" w14:textId="0050E983" w:rsidR="00651E8E" w:rsidRDefault="00651E8E" w:rsidP="00651E8E">
      <w:pPr>
        <w:pStyle w:val="Caption"/>
        <w:keepNext/>
      </w:pPr>
      <w:bookmarkStart w:id="29" w:name="_Toc214999120"/>
      <w:r>
        <w:t xml:space="preserve">Table </w:t>
      </w:r>
      <w:r>
        <w:fldChar w:fldCharType="begin"/>
      </w:r>
      <w:r>
        <w:instrText xml:space="preserve"> SEQ Table \* ARABIC </w:instrText>
      </w:r>
      <w:r>
        <w:fldChar w:fldCharType="separate"/>
      </w:r>
      <w:r w:rsidR="0078774E">
        <w:rPr>
          <w:noProof/>
        </w:rPr>
        <w:t>9</w:t>
      </w:r>
      <w:r>
        <w:fldChar w:fldCharType="end"/>
      </w:r>
      <w:r>
        <w:rPr>
          <w:lang w:val="en-US"/>
        </w:rPr>
        <w:t xml:space="preserve">: </w:t>
      </w:r>
      <w:r w:rsidRPr="00540700">
        <w:rPr>
          <w:lang w:val="en-US"/>
        </w:rPr>
        <w:t>Key Compliance Areas and Their Focus</w:t>
      </w:r>
      <w:bookmarkEnd w:id="29"/>
    </w:p>
    <w:tbl>
      <w:tblPr>
        <w:tblStyle w:val="GridTable4-Accent1"/>
        <w:tblW w:w="0" w:type="auto"/>
        <w:tblLook w:val="04A0" w:firstRow="1" w:lastRow="0" w:firstColumn="1" w:lastColumn="0" w:noHBand="0" w:noVBand="1"/>
      </w:tblPr>
      <w:tblGrid>
        <w:gridCol w:w="2972"/>
        <w:gridCol w:w="6044"/>
      </w:tblGrid>
      <w:tr w:rsidR="00BE0E14" w14:paraId="39C786FC" w14:textId="77777777" w:rsidTr="002D384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1768FFEA" w14:textId="0737F402" w:rsidR="00BE0E14" w:rsidRPr="00BE0E14" w:rsidRDefault="00BE0E14" w:rsidP="00BE0E14">
            <w:pPr>
              <w:jc w:val="left"/>
              <w:rPr>
                <w:rFonts w:cs="Times New Roman"/>
              </w:rPr>
            </w:pPr>
            <w:r w:rsidRPr="00BE0E14">
              <w:rPr>
                <w:rFonts w:cs="Times New Roman"/>
                <w:b w:val="0"/>
                <w:bCs w:val="0"/>
              </w:rPr>
              <w:t>Area</w:t>
            </w:r>
          </w:p>
        </w:tc>
        <w:tc>
          <w:tcPr>
            <w:tcW w:w="6044" w:type="dxa"/>
          </w:tcPr>
          <w:p w14:paraId="322E6AE4" w14:textId="0898A601" w:rsidR="00BE0E14" w:rsidRPr="00BE0E14" w:rsidRDefault="00BE0E14" w:rsidP="00BE0E14">
            <w:pPr>
              <w:jc w:val="left"/>
              <w:cnfStyle w:val="100000000000" w:firstRow="1" w:lastRow="0" w:firstColumn="0" w:lastColumn="0" w:oddVBand="0" w:evenVBand="0" w:oddHBand="0" w:evenHBand="0" w:firstRowFirstColumn="0" w:firstRowLastColumn="0" w:lastRowFirstColumn="0" w:lastRowLastColumn="0"/>
              <w:rPr>
                <w:rFonts w:cs="Times New Roman"/>
              </w:rPr>
            </w:pPr>
            <w:r w:rsidRPr="00BE0E14">
              <w:rPr>
                <w:rFonts w:cs="Times New Roman"/>
                <w:b w:val="0"/>
                <w:bCs w:val="0"/>
              </w:rPr>
              <w:t>Compliance focus</w:t>
            </w:r>
          </w:p>
        </w:tc>
      </w:tr>
      <w:tr w:rsidR="00BE0E14" w14:paraId="6DAC2F54" w14:textId="77777777" w:rsidTr="002D38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3692573A" w14:textId="63252D75" w:rsidR="00BE0E14" w:rsidRPr="00BE0E14" w:rsidRDefault="00BE0E14" w:rsidP="00BE0E14">
            <w:pPr>
              <w:jc w:val="left"/>
              <w:rPr>
                <w:rFonts w:cs="Times New Roman"/>
              </w:rPr>
            </w:pPr>
            <w:r w:rsidRPr="00BE0E14">
              <w:rPr>
                <w:rFonts w:cs="Times New Roman"/>
              </w:rPr>
              <w:t>Data protection</w:t>
            </w:r>
          </w:p>
        </w:tc>
        <w:tc>
          <w:tcPr>
            <w:tcW w:w="6044" w:type="dxa"/>
          </w:tcPr>
          <w:p w14:paraId="27291234" w14:textId="244DCB14" w:rsidR="00BE0E14" w:rsidRPr="00BE0E14" w:rsidRDefault="00BE0E14" w:rsidP="00BE0E14">
            <w:pPr>
              <w:jc w:val="left"/>
              <w:cnfStyle w:val="000000100000" w:firstRow="0" w:lastRow="0" w:firstColumn="0" w:lastColumn="0" w:oddVBand="0" w:evenVBand="0" w:oddHBand="1" w:evenHBand="0" w:firstRowFirstColumn="0" w:firstRowLastColumn="0" w:lastRowFirstColumn="0" w:lastRowLastColumn="0"/>
              <w:rPr>
                <w:rFonts w:cs="Times New Roman"/>
              </w:rPr>
            </w:pPr>
            <w:r w:rsidRPr="00BE0E14">
              <w:rPr>
                <w:rFonts w:cs="Times New Roman"/>
              </w:rPr>
              <w:t>GDPR, local privacy laws, data subject rights.</w:t>
            </w:r>
          </w:p>
        </w:tc>
      </w:tr>
      <w:tr w:rsidR="00BE0E14" w14:paraId="61957E9E" w14:textId="77777777" w:rsidTr="002D3848">
        <w:tc>
          <w:tcPr>
            <w:cnfStyle w:val="001000000000" w:firstRow="0" w:lastRow="0" w:firstColumn="1" w:lastColumn="0" w:oddVBand="0" w:evenVBand="0" w:oddHBand="0" w:evenHBand="0" w:firstRowFirstColumn="0" w:firstRowLastColumn="0" w:lastRowFirstColumn="0" w:lastRowLastColumn="0"/>
            <w:tcW w:w="2972" w:type="dxa"/>
          </w:tcPr>
          <w:p w14:paraId="01A08C93" w14:textId="5774957B" w:rsidR="00BE0E14" w:rsidRPr="00BE0E14" w:rsidRDefault="00BE0E14" w:rsidP="00BE0E14">
            <w:pPr>
              <w:jc w:val="left"/>
              <w:rPr>
                <w:rFonts w:cs="Times New Roman"/>
              </w:rPr>
            </w:pPr>
            <w:r w:rsidRPr="00BE0E14">
              <w:rPr>
                <w:rFonts w:cs="Times New Roman"/>
              </w:rPr>
              <w:t>Industry regulations</w:t>
            </w:r>
          </w:p>
        </w:tc>
        <w:tc>
          <w:tcPr>
            <w:tcW w:w="6044" w:type="dxa"/>
          </w:tcPr>
          <w:p w14:paraId="073D9BFA" w14:textId="2E977A02" w:rsidR="00BE0E14" w:rsidRPr="00BE0E14" w:rsidRDefault="00BE0E14" w:rsidP="00BE0E14">
            <w:pPr>
              <w:jc w:val="left"/>
              <w:cnfStyle w:val="000000000000" w:firstRow="0" w:lastRow="0" w:firstColumn="0" w:lastColumn="0" w:oddVBand="0" w:evenVBand="0" w:oddHBand="0" w:evenHBand="0" w:firstRowFirstColumn="0" w:firstRowLastColumn="0" w:lastRowFirstColumn="0" w:lastRowLastColumn="0"/>
              <w:rPr>
                <w:rFonts w:cs="Times New Roman"/>
              </w:rPr>
            </w:pPr>
            <w:r w:rsidRPr="00BE0E14">
              <w:rPr>
                <w:rFonts w:cs="Times New Roman"/>
              </w:rPr>
              <w:t>Sector</w:t>
            </w:r>
            <w:r w:rsidRPr="00BE0E14">
              <w:rPr>
                <w:rFonts w:cs="Times New Roman"/>
              </w:rPr>
              <w:noBreakHyphen/>
              <w:t>specific security and privacy rules.</w:t>
            </w:r>
          </w:p>
        </w:tc>
      </w:tr>
      <w:tr w:rsidR="00BE0E14" w14:paraId="17E426A3" w14:textId="77777777" w:rsidTr="002D38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3F274C9A" w14:textId="04306EE7" w:rsidR="00BE0E14" w:rsidRPr="00BE0E14" w:rsidRDefault="00BE0E14" w:rsidP="00BE0E14">
            <w:pPr>
              <w:jc w:val="left"/>
              <w:rPr>
                <w:rFonts w:cs="Times New Roman"/>
              </w:rPr>
            </w:pPr>
            <w:r w:rsidRPr="00BE0E14">
              <w:rPr>
                <w:rFonts w:cs="Times New Roman"/>
              </w:rPr>
              <w:t>Intellectual property</w:t>
            </w:r>
          </w:p>
        </w:tc>
        <w:tc>
          <w:tcPr>
            <w:tcW w:w="6044" w:type="dxa"/>
          </w:tcPr>
          <w:p w14:paraId="61B27FF8" w14:textId="511B5508" w:rsidR="00BE0E14" w:rsidRPr="00BE0E14" w:rsidRDefault="00BE0E14" w:rsidP="00BE0E14">
            <w:pPr>
              <w:jc w:val="left"/>
              <w:cnfStyle w:val="000000100000" w:firstRow="0" w:lastRow="0" w:firstColumn="0" w:lastColumn="0" w:oddVBand="0" w:evenVBand="0" w:oddHBand="1" w:evenHBand="0" w:firstRowFirstColumn="0" w:firstRowLastColumn="0" w:lastRowFirstColumn="0" w:lastRowLastColumn="0"/>
              <w:rPr>
                <w:rFonts w:cs="Times New Roman"/>
              </w:rPr>
            </w:pPr>
            <w:r w:rsidRPr="00BE0E14">
              <w:rPr>
                <w:rFonts w:cs="Times New Roman"/>
              </w:rPr>
              <w:t>Protection of IP assets and licensing.</w:t>
            </w:r>
          </w:p>
        </w:tc>
      </w:tr>
      <w:tr w:rsidR="00BE0E14" w14:paraId="49D87575" w14:textId="77777777" w:rsidTr="002D3848">
        <w:tc>
          <w:tcPr>
            <w:cnfStyle w:val="001000000000" w:firstRow="0" w:lastRow="0" w:firstColumn="1" w:lastColumn="0" w:oddVBand="0" w:evenVBand="0" w:oddHBand="0" w:evenHBand="0" w:firstRowFirstColumn="0" w:firstRowLastColumn="0" w:lastRowFirstColumn="0" w:lastRowLastColumn="0"/>
            <w:tcW w:w="2972" w:type="dxa"/>
          </w:tcPr>
          <w:p w14:paraId="26AAF104" w14:textId="2099E7D4" w:rsidR="00BE0E14" w:rsidRPr="00BE0E14" w:rsidRDefault="00BE0E14" w:rsidP="00BE0E14">
            <w:pPr>
              <w:jc w:val="left"/>
              <w:rPr>
                <w:rFonts w:cs="Times New Roman"/>
              </w:rPr>
            </w:pPr>
            <w:r w:rsidRPr="00BE0E14">
              <w:rPr>
                <w:rFonts w:cs="Times New Roman"/>
              </w:rPr>
              <w:t>Monitoring &amp; audit</w:t>
            </w:r>
          </w:p>
        </w:tc>
        <w:tc>
          <w:tcPr>
            <w:tcW w:w="6044" w:type="dxa"/>
          </w:tcPr>
          <w:p w14:paraId="06ECE9F8" w14:textId="4B5F7446" w:rsidR="00BE0E14" w:rsidRPr="00BE0E14" w:rsidRDefault="00BE0E14" w:rsidP="00BE0E14">
            <w:pPr>
              <w:jc w:val="left"/>
              <w:cnfStyle w:val="000000000000" w:firstRow="0" w:lastRow="0" w:firstColumn="0" w:lastColumn="0" w:oddVBand="0" w:evenVBand="0" w:oddHBand="0" w:evenHBand="0" w:firstRowFirstColumn="0" w:firstRowLastColumn="0" w:lastRowFirstColumn="0" w:lastRowLastColumn="0"/>
              <w:rPr>
                <w:rFonts w:cs="Times New Roman"/>
              </w:rPr>
            </w:pPr>
            <w:r w:rsidRPr="00BE0E14">
              <w:rPr>
                <w:rFonts w:cs="Times New Roman"/>
              </w:rPr>
              <w:t>Logs, registers, periodic audits, assessments.</w:t>
            </w:r>
          </w:p>
        </w:tc>
      </w:tr>
    </w:tbl>
    <w:p w14:paraId="623C3897" w14:textId="77777777" w:rsidR="00095328" w:rsidRDefault="00095328" w:rsidP="00095328"/>
    <w:p w14:paraId="13E7516F" w14:textId="63334700" w:rsidR="00095328" w:rsidRDefault="00095328" w:rsidP="00095328">
      <w:pPr>
        <w:pStyle w:val="Heading2"/>
      </w:pPr>
      <w:bookmarkStart w:id="30" w:name="_Toc214999095"/>
      <w:r>
        <w:t>3</w:t>
      </w:r>
      <w:r w:rsidRPr="00095328">
        <w:t>.7 Protection Mechanisms</w:t>
      </w:r>
      <w:bookmarkEnd w:id="30"/>
    </w:p>
    <w:p w14:paraId="3ACE9FAE" w14:textId="6BCD090F" w:rsidR="00970AD8" w:rsidRDefault="009E54C1" w:rsidP="00970AD8">
      <w:r w:rsidRPr="009E54C1">
        <w:t xml:space="preserve">Protection measures are a combination of such layered technical controls, administrative controls, and physical controls that helps in ensuring the security of information assets in confidential, integrity as well as availability. At the network layer, lateral movement and unauthorised access over Wi-Fi is mitigated with the help of modern protocols like WPA3 and enterprise authentication protocols like 802.1X to segregate and provide network security against wireless attacks. They protect endpoints with anti-malware, host-based hardening and firewalls and support with mobile device management (MDM) to enforce configuration baselines, smartphone and tablet encryption and remote wipe. Within cloud settings, data in transit and rest, strong identity and access management (IAM), and Cloud Access Security Brokers (CASB) will offer policy implementation, visibility and control of cloud utilization. The principles of Zero Trust Architecture implanted through constant validation, least-privilege access and micro-segmentation further minimize implicitly created trust and enhance resilience to compromise of an account or device. A defence-in-depth posture is done through </w:t>
      </w:r>
      <w:r w:rsidRPr="009E54C1">
        <w:lastRenderedPageBreak/>
        <w:t>administrative controls like policies, training and procedures together with the physical controls like secure facilities and access badges</w:t>
      </w:r>
      <w:r w:rsidR="00815899">
        <w:t xml:space="preserve"> </w:t>
      </w:r>
      <w:r w:rsidR="00815899">
        <w:fldChar w:fldCharType="begin"/>
      </w:r>
      <w:r w:rsidR="00815899">
        <w:instrText xml:space="preserve"> ADDIN ZOTERO_ITEM CSL_CITATION {"citationID":"faX3XNmM","properties":{"formattedCitation":"(Kuzminykh et al., 2021)","plainCitation":"(Kuzminykh et al., 2021)","noteIndex":0},"citationItems":[{"id":392,"uris":["http://zotero.org/users/local/0vF7XRbV/items/LDMRDV74"],"itemData":{"id":392,"type":"article-journal","abstract":"Information security risk assessment is an important part of enterprises’ management practices that helps to identify, quantify, and prioritize risks against criteria for risk acceptance and objectives relevant to the organization. Risk management refers to a process that consists of identification, management, and elimination or reduction of the likelihood of events that can negatively affect the resources of the information system to reduce security risks that potentially have the ability to affect the information system, subject to an acceptable cost of protection means that contain a risk analysis, analysis of the “cost-effectiveness” parameter, and selection, construction, and testing of the security subsystem, as well as the study of all aspects of security.","container-title":"Encyclopedia","DOI":"10.3390/encyclopedia1030050","ISSN":"2673-8392","issue":"3","journalAbbreviation":"Encyclopedia","language":"en","page":"602-617","source":"DOI.org (Crossref)","title":"Information Security Risk Assessment","volume":"1","author":[{"family":"Kuzminykh","given":"Ievgeniia"},{"family":"Ghita","given":"Bogdan"},{"family":"Sokolov","given":"Volodymyr"},{"family":"Bakhshi","given":"Taimur"}],"issued":{"date-parts":[["2021",7,24]]}}}],"schema":"https://github.com/citation-style-language/schema/raw/master/csl-citation.json"} </w:instrText>
      </w:r>
      <w:r w:rsidR="00815899">
        <w:fldChar w:fldCharType="separate"/>
      </w:r>
      <w:r w:rsidR="00815899" w:rsidRPr="00815899">
        <w:rPr>
          <w:rFonts w:cs="Times New Roman"/>
        </w:rPr>
        <w:t>(Kuzminykh et al., 2021)</w:t>
      </w:r>
      <w:r w:rsidR="00815899">
        <w:fldChar w:fldCharType="end"/>
      </w:r>
      <w:r w:rsidRPr="009E54C1">
        <w:t>.</w:t>
      </w:r>
    </w:p>
    <w:p w14:paraId="157511A0" w14:textId="77777777" w:rsidR="00970AD8" w:rsidRDefault="00970AD8" w:rsidP="00970AD8"/>
    <w:p w14:paraId="60230607" w14:textId="78075F39" w:rsidR="00970AD8" w:rsidRDefault="00970AD8" w:rsidP="00B408C7">
      <w:pPr>
        <w:pStyle w:val="Heading2"/>
      </w:pPr>
      <w:bookmarkStart w:id="31" w:name="_Toc214999096"/>
      <w:r>
        <w:t>3</w:t>
      </w:r>
      <w:r w:rsidRPr="00970AD8">
        <w:t>.8 Contingency and Business Continuity Planning</w:t>
      </w:r>
      <w:bookmarkEnd w:id="31"/>
    </w:p>
    <w:p w14:paraId="6552E859" w14:textId="5CE722B2" w:rsidR="00651E8E" w:rsidRDefault="00882712" w:rsidP="00EC29D1">
      <w:r w:rsidRPr="00882712">
        <w:t xml:space="preserve">Business continuity and contingency planning </w:t>
      </w:r>
      <w:r w:rsidRPr="00882712">
        <w:t>help</w:t>
      </w:r>
      <w:r w:rsidRPr="00882712">
        <w:t xml:space="preserve"> in making sure that essential services are resilient and that they recover effectively as a result of disruptive events, such as cyberattacks and infrastructure outages. Recovery time and recovery point goals, established incident response plan, backup and restoration processes and staff, customer and partner crisis communication rules are defined by a combined strategy.</w:t>
      </w:r>
    </w:p>
    <w:p w14:paraId="3097058A" w14:textId="61050424" w:rsidR="000B57CC" w:rsidRDefault="000B57CC" w:rsidP="000B57CC">
      <w:pPr>
        <w:pStyle w:val="Caption"/>
        <w:keepNext/>
      </w:pPr>
      <w:bookmarkStart w:id="32" w:name="_Toc214999121"/>
      <w:r>
        <w:t xml:space="preserve">Table </w:t>
      </w:r>
      <w:r>
        <w:fldChar w:fldCharType="begin"/>
      </w:r>
      <w:r>
        <w:instrText xml:space="preserve"> SEQ Table \* ARABIC </w:instrText>
      </w:r>
      <w:r>
        <w:fldChar w:fldCharType="separate"/>
      </w:r>
      <w:r w:rsidR="0078774E">
        <w:rPr>
          <w:noProof/>
        </w:rPr>
        <w:t>10</w:t>
      </w:r>
      <w:r>
        <w:fldChar w:fldCharType="end"/>
      </w:r>
      <w:r>
        <w:rPr>
          <w:lang w:val="en-US"/>
        </w:rPr>
        <w:t xml:space="preserve">: </w:t>
      </w:r>
      <w:r w:rsidRPr="006F0A78">
        <w:rPr>
          <w:lang w:val="en-US"/>
        </w:rPr>
        <w:t>Core Components of Business Continuity Planning</w:t>
      </w:r>
      <w:bookmarkEnd w:id="32"/>
    </w:p>
    <w:tbl>
      <w:tblPr>
        <w:tblStyle w:val="GridTable4-Accent1"/>
        <w:tblW w:w="0" w:type="auto"/>
        <w:tblLook w:val="04A0" w:firstRow="1" w:lastRow="0" w:firstColumn="1" w:lastColumn="0" w:noHBand="0" w:noVBand="1"/>
      </w:tblPr>
      <w:tblGrid>
        <w:gridCol w:w="3256"/>
        <w:gridCol w:w="5760"/>
      </w:tblGrid>
      <w:tr w:rsidR="000B26C0" w14:paraId="7D767A61" w14:textId="77777777" w:rsidTr="000B26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19CC9D79" w14:textId="36EF1029" w:rsidR="000B26C0" w:rsidRPr="000B26C0" w:rsidRDefault="000B26C0" w:rsidP="000B26C0">
            <w:pPr>
              <w:jc w:val="left"/>
              <w:rPr>
                <w:rFonts w:cs="Times New Roman"/>
              </w:rPr>
            </w:pPr>
            <w:r w:rsidRPr="000B26C0">
              <w:rPr>
                <w:rFonts w:cs="Times New Roman"/>
                <w:b w:val="0"/>
                <w:bCs w:val="0"/>
              </w:rPr>
              <w:t>Element</w:t>
            </w:r>
          </w:p>
        </w:tc>
        <w:tc>
          <w:tcPr>
            <w:tcW w:w="5760" w:type="dxa"/>
          </w:tcPr>
          <w:p w14:paraId="59C1DE35" w14:textId="0C4BCE70" w:rsidR="000B26C0" w:rsidRPr="000B26C0" w:rsidRDefault="000B26C0" w:rsidP="000B26C0">
            <w:pPr>
              <w:jc w:val="left"/>
              <w:cnfStyle w:val="100000000000" w:firstRow="1" w:lastRow="0" w:firstColumn="0" w:lastColumn="0" w:oddVBand="0" w:evenVBand="0" w:oddHBand="0" w:evenHBand="0" w:firstRowFirstColumn="0" w:firstRowLastColumn="0" w:lastRowFirstColumn="0" w:lastRowLastColumn="0"/>
              <w:rPr>
                <w:rFonts w:cs="Times New Roman"/>
              </w:rPr>
            </w:pPr>
            <w:r w:rsidRPr="000B26C0">
              <w:rPr>
                <w:rFonts w:cs="Times New Roman"/>
                <w:b w:val="0"/>
                <w:bCs w:val="0"/>
              </w:rPr>
              <w:t>Key focus</w:t>
            </w:r>
          </w:p>
        </w:tc>
      </w:tr>
      <w:tr w:rsidR="000B26C0" w14:paraId="419CC9F4" w14:textId="77777777" w:rsidTr="000B26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4541E75B" w14:textId="533B547C" w:rsidR="000B26C0" w:rsidRPr="000B26C0" w:rsidRDefault="000B26C0" w:rsidP="000B26C0">
            <w:pPr>
              <w:jc w:val="left"/>
              <w:rPr>
                <w:rFonts w:cs="Times New Roman"/>
              </w:rPr>
            </w:pPr>
            <w:r w:rsidRPr="000B26C0">
              <w:rPr>
                <w:rFonts w:cs="Times New Roman"/>
              </w:rPr>
              <w:t>Disaster recovery strategy</w:t>
            </w:r>
          </w:p>
        </w:tc>
        <w:tc>
          <w:tcPr>
            <w:tcW w:w="5760" w:type="dxa"/>
          </w:tcPr>
          <w:p w14:paraId="0C555B50" w14:textId="262502EC" w:rsidR="000B26C0" w:rsidRPr="000B26C0" w:rsidRDefault="000B26C0" w:rsidP="000B26C0">
            <w:pPr>
              <w:jc w:val="left"/>
              <w:cnfStyle w:val="000000100000" w:firstRow="0" w:lastRow="0" w:firstColumn="0" w:lastColumn="0" w:oddVBand="0" w:evenVBand="0" w:oddHBand="1" w:evenHBand="0" w:firstRowFirstColumn="0" w:firstRowLastColumn="0" w:lastRowFirstColumn="0" w:lastRowLastColumn="0"/>
              <w:rPr>
                <w:rFonts w:cs="Times New Roman"/>
              </w:rPr>
            </w:pPr>
            <w:r w:rsidRPr="000B26C0">
              <w:rPr>
                <w:rFonts w:cs="Times New Roman"/>
              </w:rPr>
              <w:t>Recovery time, recovery point, alternate sites.</w:t>
            </w:r>
          </w:p>
        </w:tc>
      </w:tr>
      <w:tr w:rsidR="000B26C0" w14:paraId="350E557B" w14:textId="77777777" w:rsidTr="000B26C0">
        <w:tc>
          <w:tcPr>
            <w:cnfStyle w:val="001000000000" w:firstRow="0" w:lastRow="0" w:firstColumn="1" w:lastColumn="0" w:oddVBand="0" w:evenVBand="0" w:oddHBand="0" w:evenHBand="0" w:firstRowFirstColumn="0" w:firstRowLastColumn="0" w:lastRowFirstColumn="0" w:lastRowLastColumn="0"/>
            <w:tcW w:w="3256" w:type="dxa"/>
          </w:tcPr>
          <w:p w14:paraId="36FC70D4" w14:textId="74EDE475" w:rsidR="000B26C0" w:rsidRPr="000B26C0" w:rsidRDefault="000B26C0" w:rsidP="000B26C0">
            <w:pPr>
              <w:jc w:val="left"/>
              <w:rPr>
                <w:rFonts w:cs="Times New Roman"/>
              </w:rPr>
            </w:pPr>
            <w:r w:rsidRPr="000B26C0">
              <w:rPr>
                <w:rFonts w:cs="Times New Roman"/>
              </w:rPr>
              <w:t>Incident response plan</w:t>
            </w:r>
          </w:p>
        </w:tc>
        <w:tc>
          <w:tcPr>
            <w:tcW w:w="5760" w:type="dxa"/>
          </w:tcPr>
          <w:p w14:paraId="0D815108" w14:textId="65625CB4" w:rsidR="000B26C0" w:rsidRPr="000B26C0" w:rsidRDefault="000B26C0" w:rsidP="000B26C0">
            <w:pPr>
              <w:jc w:val="left"/>
              <w:cnfStyle w:val="000000000000" w:firstRow="0" w:lastRow="0" w:firstColumn="0" w:lastColumn="0" w:oddVBand="0" w:evenVBand="0" w:oddHBand="0" w:evenHBand="0" w:firstRowFirstColumn="0" w:firstRowLastColumn="0" w:lastRowFirstColumn="0" w:lastRowLastColumn="0"/>
              <w:rPr>
                <w:rFonts w:cs="Times New Roman"/>
              </w:rPr>
            </w:pPr>
            <w:r w:rsidRPr="000B26C0">
              <w:rPr>
                <w:rFonts w:cs="Times New Roman"/>
              </w:rPr>
              <w:t>Roles, triage, containment, eradication, lessons.</w:t>
            </w:r>
          </w:p>
        </w:tc>
      </w:tr>
      <w:tr w:rsidR="000B26C0" w14:paraId="3EB83232" w14:textId="77777777" w:rsidTr="000B26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01F224A8" w14:textId="098B5D81" w:rsidR="000B26C0" w:rsidRPr="000B26C0" w:rsidRDefault="000B26C0" w:rsidP="000B26C0">
            <w:pPr>
              <w:jc w:val="left"/>
              <w:rPr>
                <w:rFonts w:cs="Times New Roman"/>
              </w:rPr>
            </w:pPr>
            <w:r w:rsidRPr="000B26C0">
              <w:rPr>
                <w:rFonts w:cs="Times New Roman"/>
              </w:rPr>
              <w:t>Backup and recovery</w:t>
            </w:r>
          </w:p>
        </w:tc>
        <w:tc>
          <w:tcPr>
            <w:tcW w:w="5760" w:type="dxa"/>
          </w:tcPr>
          <w:p w14:paraId="4174F3C2" w14:textId="428ED7DC" w:rsidR="000B26C0" w:rsidRPr="000B26C0" w:rsidRDefault="000B26C0" w:rsidP="000B26C0">
            <w:pPr>
              <w:jc w:val="left"/>
              <w:cnfStyle w:val="000000100000" w:firstRow="0" w:lastRow="0" w:firstColumn="0" w:lastColumn="0" w:oddVBand="0" w:evenVBand="0" w:oddHBand="1" w:evenHBand="0" w:firstRowFirstColumn="0" w:firstRowLastColumn="0" w:lastRowFirstColumn="0" w:lastRowLastColumn="0"/>
              <w:rPr>
                <w:rFonts w:cs="Times New Roman"/>
              </w:rPr>
            </w:pPr>
            <w:r w:rsidRPr="000B26C0">
              <w:rPr>
                <w:rFonts w:cs="Times New Roman"/>
              </w:rPr>
              <w:t>Regular backups, secure storage, restoration tests.</w:t>
            </w:r>
          </w:p>
        </w:tc>
      </w:tr>
      <w:tr w:rsidR="000B26C0" w14:paraId="1C98CD94" w14:textId="77777777" w:rsidTr="000B26C0">
        <w:tc>
          <w:tcPr>
            <w:cnfStyle w:val="001000000000" w:firstRow="0" w:lastRow="0" w:firstColumn="1" w:lastColumn="0" w:oddVBand="0" w:evenVBand="0" w:oddHBand="0" w:evenHBand="0" w:firstRowFirstColumn="0" w:firstRowLastColumn="0" w:lastRowFirstColumn="0" w:lastRowLastColumn="0"/>
            <w:tcW w:w="3256" w:type="dxa"/>
          </w:tcPr>
          <w:p w14:paraId="3B6A750B" w14:textId="7CFBDD06" w:rsidR="000B26C0" w:rsidRPr="000B26C0" w:rsidRDefault="000B26C0" w:rsidP="000B26C0">
            <w:pPr>
              <w:jc w:val="left"/>
              <w:rPr>
                <w:rFonts w:cs="Times New Roman"/>
              </w:rPr>
            </w:pPr>
            <w:r w:rsidRPr="000B26C0">
              <w:rPr>
                <w:rFonts w:cs="Times New Roman"/>
              </w:rPr>
              <w:t>Crisis communication</w:t>
            </w:r>
          </w:p>
        </w:tc>
        <w:tc>
          <w:tcPr>
            <w:tcW w:w="5760" w:type="dxa"/>
          </w:tcPr>
          <w:p w14:paraId="7E18E868" w14:textId="655B21AB" w:rsidR="000B26C0" w:rsidRPr="000B26C0" w:rsidRDefault="000B26C0" w:rsidP="000B26C0">
            <w:pPr>
              <w:jc w:val="left"/>
              <w:cnfStyle w:val="000000000000" w:firstRow="0" w:lastRow="0" w:firstColumn="0" w:lastColumn="0" w:oddVBand="0" w:evenVBand="0" w:oddHBand="0" w:evenHBand="0" w:firstRowFirstColumn="0" w:firstRowLastColumn="0" w:lastRowFirstColumn="0" w:lastRowLastColumn="0"/>
              <w:rPr>
                <w:rFonts w:cs="Times New Roman"/>
              </w:rPr>
            </w:pPr>
            <w:r w:rsidRPr="000B26C0">
              <w:rPr>
                <w:rFonts w:cs="Times New Roman"/>
              </w:rPr>
              <w:t>Notification trees, clear messages, media handling.</w:t>
            </w:r>
          </w:p>
        </w:tc>
      </w:tr>
    </w:tbl>
    <w:p w14:paraId="5373ABE8" w14:textId="77777777" w:rsidR="00EC29D1" w:rsidRDefault="00EC29D1" w:rsidP="00EC29D1"/>
    <w:p w14:paraId="0BF66A8B" w14:textId="739BA84E" w:rsidR="00EC29D1" w:rsidRDefault="00EC29D1" w:rsidP="00EC29D1">
      <w:pPr>
        <w:pStyle w:val="Heading2"/>
      </w:pPr>
      <w:bookmarkStart w:id="33" w:name="_Toc214999097"/>
      <w:r>
        <w:t>3</w:t>
      </w:r>
      <w:r w:rsidRPr="00EC29D1">
        <w:t>.9 Service Level Agreements (SLAs)</w:t>
      </w:r>
      <w:bookmarkEnd w:id="33"/>
    </w:p>
    <w:p w14:paraId="50B4A6D1" w14:textId="572C6C5B" w:rsidR="00BB7324" w:rsidRDefault="0095493A" w:rsidP="00BB7324">
      <w:r w:rsidRPr="0095493A">
        <w:t>Service Level Agreements are an administrative expression of performance and restoration targets, such as uptime, RTO/RPO, incident reaction times, backup achievement and communication schedules, establishing quantifiable disciplines on suppliers and clients and aiding in tracking, reporting and implementing disaster recovery and continuity functions.</w:t>
      </w:r>
    </w:p>
    <w:p w14:paraId="21E78441" w14:textId="77777777" w:rsidR="00BB7324" w:rsidRDefault="00BB7324" w:rsidP="00BB7324"/>
    <w:p w14:paraId="4E8E3126" w14:textId="2D46855A" w:rsidR="00BB7324" w:rsidRDefault="00BB7324" w:rsidP="00602F38">
      <w:pPr>
        <w:pStyle w:val="Heading1"/>
      </w:pPr>
      <w:bookmarkStart w:id="34" w:name="_Toc214999098"/>
      <w:r>
        <w:t>4</w:t>
      </w:r>
      <w:r w:rsidRPr="00BB7324">
        <w:t>. Critical Analysis</w:t>
      </w:r>
      <w:bookmarkEnd w:id="34"/>
    </w:p>
    <w:p w14:paraId="4A185746" w14:textId="6E17DECF" w:rsidR="00BC41DE" w:rsidRDefault="0032718A" w:rsidP="0032718A">
      <w:pPr>
        <w:pStyle w:val="Heading2"/>
      </w:pPr>
      <w:bookmarkStart w:id="35" w:name="_Toc214999099"/>
      <w:r>
        <w:t>4</w:t>
      </w:r>
      <w:r w:rsidRPr="0032718A">
        <w:t>.1 The Dynamic Nature of Cybersecurity Threats</w:t>
      </w:r>
      <w:bookmarkEnd w:id="35"/>
    </w:p>
    <w:p w14:paraId="66B5EC5B" w14:textId="60DB7AB2" w:rsidR="00F54165" w:rsidRDefault="00AC2302" w:rsidP="00F54165">
      <w:r w:rsidRPr="00AC2302">
        <w:t xml:space="preserve">The cybersecurity threat environment is very dynamic whereby traditional malwares have advanced to advanced ransomware campaigns, protracted Advanced Persistent Threats and fast weaponised zero day exploits that exploit various platforms. Organisations can kill or create new attack vectors as they implement Internet of Things devices, cloud services and mobile ecosystems to which insecure configurations and poor device security expose consumers to </w:t>
      </w:r>
      <w:r w:rsidRPr="00AC2302">
        <w:lastRenderedPageBreak/>
        <w:t>large and distributed attack surfaces. IoT botnets Recent case studies and industrial APT scenarios, ransomware attacks in the clouds demonstrate that attackers join the subsequent lateral movement, privilege escalation, and data exfiltration, and it is necessary to enhance incessant reconnaissance and flexibilities</w:t>
      </w:r>
      <w:r w:rsidR="00E6360E">
        <w:t xml:space="preserve"> </w:t>
      </w:r>
      <w:r w:rsidR="00E6360E">
        <w:fldChar w:fldCharType="begin"/>
      </w:r>
      <w:r w:rsidR="00E6360E">
        <w:instrText xml:space="preserve"> ADDIN ZOTERO_ITEM CSL_CITATION {"citationID":"XN8mWGT0","properties":{"formattedCitation":"(Freunek and Rombos, 2023; Xenofontos et al., 2021)","plainCitation":"(Freunek and Rombos, 2023; Xenofontos et al., 2021)","noteIndex":0},"citationItems":[{"id":394,"uris":["http://zotero.org/users/local/0vF7XRbV/items/25B28MP2"],"itemData":{"id":394,"type":"article","abstract":"As the Internet of Things (IoT) has become truly ubiquitous, so has the surrounding threat landscape. However, while the security of classical computing systems has significantly matured in the last decades, IoT cybersecurity is still typically low or fully neglected. This paper provides a classification of IoT malware. Major targets and used exploits for attacks are identified and referred to the specific malware. The lack of standard definitions of IoT devices and, therefore, security goals has been identified during this research as a profound barrier in advancing IoT cybersecurity. Furthermore, standardized reporting of IoT malware by trustworthy sources is required in the field. The majority of current IoT attacks continue to be of comparably low effort and level of sophistication and could be mitigated by existing technical measures.","DOI":"10.48550/arXiv.2312.00686","note":"arXiv:2312.00686 [cs]","number":"arXiv:2312.00686","publisher":"arXiv","source":"arXiv.org","title":"Classification of cyber attacks on IoT and ubiquitous computing devices","URL":"http://arxiv.org/abs/2312.00686","author":[{"family":"Freunek","given":"Monika"},{"family":"Rombos","given":"Alexandra"}],"accessed":{"date-parts":[["2025",11,25]]},"issued":{"date-parts":[["2023",12,1]]}}},{"id":397,"uris":["http://zotero.org/users/local/0vF7XRbV/items/HUI5MFTC"],"itemData":{"id":397,"type":"article","abstract":"Internet of Things (IoT) devices are becoming ubiquitous in our lives, with applications spanning from the consumer domain to commercial and industrial systems. The steep growth and vast adoption of IoT devices reinforce the importance of sound and robust cybersecurity practices during the device development life-cycles. IoT-related vulnerabilities, if successfully exploited can affect, not only the device itself, but also the application field in which the IoT device operates. Evidently, identifying and addressing every single vulnerability is an arduous, if not impossible, task. Attack taxonomies can assist in classifying attacks and their corresponding vulnerabilities. Security countermeasures and best practices can then be leveraged to mitigate threats and vulnerabilities before they emerge into catastrophic attacks and ensure overall secure IoT operation. Therefore, in this paper, we provide an attack taxonomy which takes into consideration the different layers of IoT stack, i.e., device, infrastructure, communication, and service, and each layer's designated characteristics which can be exploited by adversaries. Furthermore, using nine real-world cybersecurity incidents, that had targeted IoT devices deployed in the consumer, commercial, and industrial sectors, we describe the IoT-related vulnerabilities, exploitation procedures, attacks, impacts, and potential mitigation mechanisms and protection strategies. These (and many other) incidents highlight the underlying security concerns of IoT systems and demonstrate the potential attack impacts of such connected ecosystems, while the proposed taxonomy provides a systematic procedure to categorize attacks based on the affected layer and corresponding impact.","DOI":"10.48550/arXiv.2105.06612","note":"arXiv:2105.06612 [cs]","number":"arXiv:2105.06612","publisher":"arXiv","source":"arXiv.org","title":"Consumer, Commercial and Industrial IoT (In)Security: Attack Taxonomy and Case Studies","title-short":"Consumer, Commercial and Industrial IoT (In)Security","URL":"http://arxiv.org/abs/2105.06612","author":[{"family":"Xenofontos","given":"Christos"},{"family":"Zografopoulos","given":"Ioannis"},{"family":"Konstantinou","given":"Charalambos"},{"family":"Jolfaei","given":"Alireza"},{"family":"Khan","given":"Muhammad Khurram"},{"family":"Choo","given":"Kim-Kwang Raymond"}],"accessed":{"date-parts":[["2025",11,25]]},"issued":{"date-parts":[["2021",5,14]]}}}],"schema":"https://github.com/citation-style-language/schema/raw/master/csl-citation.json"} </w:instrText>
      </w:r>
      <w:r w:rsidR="00E6360E">
        <w:fldChar w:fldCharType="separate"/>
      </w:r>
      <w:r w:rsidR="00E6360E" w:rsidRPr="00E6360E">
        <w:rPr>
          <w:rFonts w:cs="Times New Roman"/>
        </w:rPr>
        <w:t>(Freunek and Rombos, 2023; Xenofontos et al., 2021)</w:t>
      </w:r>
      <w:r w:rsidR="00E6360E">
        <w:fldChar w:fldCharType="end"/>
      </w:r>
      <w:r w:rsidRPr="00AC2302">
        <w:t>.</w:t>
      </w:r>
    </w:p>
    <w:p w14:paraId="159F4EC1" w14:textId="77777777" w:rsidR="00714D7F" w:rsidRDefault="00714D7F" w:rsidP="00F54165"/>
    <w:p w14:paraId="6A6118F0" w14:textId="727B0B63" w:rsidR="00F54165" w:rsidRDefault="00BC524B" w:rsidP="00BC524B">
      <w:pPr>
        <w:pStyle w:val="Heading2"/>
      </w:pPr>
      <w:bookmarkStart w:id="36" w:name="_Toc214999100"/>
      <w:r>
        <w:t>4</w:t>
      </w:r>
      <w:r w:rsidRPr="00BC524B">
        <w:t>.2 Technological Advancement and Regulatory Adaptation</w:t>
      </w:r>
      <w:bookmarkEnd w:id="36"/>
    </w:p>
    <w:p w14:paraId="0E4856D1" w14:textId="67643BC0" w:rsidR="00456F18" w:rsidRDefault="009F5A2F" w:rsidP="00456F18">
      <w:r w:rsidRPr="009F5A2F">
        <w:t>Cloud computing is causing digital transformation that is transforming the business models and operating environment at lightning speed. Such innovation usually outpaces regulation especially in the case of AI and cross border cloud service, leaving uncertainty and compliance gaps that do not easily lend to traditional and fixed rules. This has triggered a demand towards more dynamic, risk based compliance models, such as continuous cloud compliance detection and AI enabled controls, in order that organisations are able to plot the changes in technical architecture and data purposes versus changing regulatory demands in close real time</w:t>
      </w:r>
      <w:r w:rsidR="00FE3FB2">
        <w:t xml:space="preserve"> </w:t>
      </w:r>
      <w:r w:rsidR="00FE3FB2">
        <w:fldChar w:fldCharType="begin"/>
      </w:r>
      <w:r w:rsidR="00FE3FB2">
        <w:instrText xml:space="preserve"> ADDIN ZOTERO_ITEM CSL_CITATION {"citationID":"7e2YCQhI","properties":{"formattedCitation":"(Shen et al., 2024)","plainCitation":"(Shen et al., 2024)","noteIndex":0},"citationItems":[{"id":401,"uris":["http://zotero.org/users/local/0vF7XRbV/items/TJN54239"],"itemData":{"id":401,"type":"article","abstract":"There is increasing attention being given to how to regulate AI systems. As governing bodies grapple with what values to encapsulate into regulation, we consider the technical half of the question: To what extent can AI experts vet an AI system for adherence to regulatory requirements? We investigate this question through the lens of two public sector procurement checklists, identifying what we can do now, what should be possible with technical innovation, and what requirements need a more interdisciplinary approach.","DOI":"10.48550/arXiv.2306.12609","note":"arXiv:2306.12609 [cs]","number":"arXiv:2306.12609","publisher":"arXiv","source":"arXiv.org","title":"Towards Regulatable AI Systems: Technical Gaps and Policy Opportunities","title-short":"Towards Regulatable AI Systems","URL":"http://arxiv.org/abs/2306.12609","author":[{"family":"Shen","given":"Xudong"},{"family":"Brown","given":"Hannah"},{"family":"Tao","given":"Jiashu"},{"family":"Strobel","given":"Martin"},{"family":"Tong","given":"Yao"},{"family":"Narayan","given":"Akshay"},{"family":"Soh","given":"Harold"},{"family":"Doshi-Velez","given":"Finale"}],"accessed":{"date-parts":[["2025",11,25]]},"issued":{"date-parts":[["2024",3,27]]}}}],"schema":"https://github.com/citation-style-language/schema/raw/master/csl-citation.json"} </w:instrText>
      </w:r>
      <w:r w:rsidR="00FE3FB2">
        <w:fldChar w:fldCharType="separate"/>
      </w:r>
      <w:r w:rsidR="00FE3FB2" w:rsidRPr="00FE3FB2">
        <w:rPr>
          <w:rFonts w:cs="Times New Roman"/>
        </w:rPr>
        <w:t>(Shen et al., 2024)</w:t>
      </w:r>
      <w:r w:rsidR="00FE3FB2">
        <w:fldChar w:fldCharType="end"/>
      </w:r>
      <w:r w:rsidRPr="009F5A2F">
        <w:t>.</w:t>
      </w:r>
    </w:p>
    <w:p w14:paraId="7B7BC2AC" w14:textId="5A25AB5E" w:rsidR="00724C80" w:rsidRDefault="00724C80" w:rsidP="00724C80">
      <w:pPr>
        <w:pStyle w:val="Caption"/>
        <w:keepNext/>
      </w:pPr>
      <w:bookmarkStart w:id="37" w:name="_Toc214999122"/>
      <w:r>
        <w:t xml:space="preserve">Table </w:t>
      </w:r>
      <w:r>
        <w:fldChar w:fldCharType="begin"/>
      </w:r>
      <w:r>
        <w:instrText xml:space="preserve"> SEQ Table \* ARABIC </w:instrText>
      </w:r>
      <w:r>
        <w:fldChar w:fldCharType="separate"/>
      </w:r>
      <w:r w:rsidR="0078774E">
        <w:rPr>
          <w:noProof/>
        </w:rPr>
        <w:t>11</w:t>
      </w:r>
      <w:r>
        <w:fldChar w:fldCharType="end"/>
      </w:r>
      <w:r>
        <w:rPr>
          <w:lang w:val="en-US"/>
        </w:rPr>
        <w:t xml:space="preserve">: </w:t>
      </w:r>
      <w:r w:rsidRPr="008D28D1">
        <w:rPr>
          <w:lang w:val="en-US"/>
        </w:rPr>
        <w:t>Regulatory needs driven by emerging technologies</w:t>
      </w:r>
      <w:bookmarkEnd w:id="37"/>
    </w:p>
    <w:tbl>
      <w:tblPr>
        <w:tblStyle w:val="GridTable4-Accent1"/>
        <w:tblW w:w="0" w:type="auto"/>
        <w:tblLook w:val="04A0" w:firstRow="1" w:lastRow="0" w:firstColumn="1" w:lastColumn="0" w:noHBand="0" w:noVBand="1"/>
      </w:tblPr>
      <w:tblGrid>
        <w:gridCol w:w="2405"/>
        <w:gridCol w:w="2977"/>
        <w:gridCol w:w="3634"/>
      </w:tblGrid>
      <w:tr w:rsidR="00B34151" w14:paraId="165A5FED" w14:textId="77777777" w:rsidTr="00B341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16B77521" w14:textId="4D509579" w:rsidR="00B34151" w:rsidRPr="00B34151" w:rsidRDefault="00B34151" w:rsidP="00B34151">
            <w:pPr>
              <w:jc w:val="left"/>
              <w:rPr>
                <w:rFonts w:cs="Times New Roman"/>
              </w:rPr>
            </w:pPr>
            <w:r w:rsidRPr="00B34151">
              <w:rPr>
                <w:rFonts w:cs="Times New Roman"/>
                <w:b w:val="0"/>
                <w:bCs w:val="0"/>
              </w:rPr>
              <w:t>Dimension</w:t>
            </w:r>
          </w:p>
        </w:tc>
        <w:tc>
          <w:tcPr>
            <w:tcW w:w="2977" w:type="dxa"/>
          </w:tcPr>
          <w:p w14:paraId="17153261" w14:textId="27831874" w:rsidR="00B34151" w:rsidRPr="00B34151" w:rsidRDefault="00B34151" w:rsidP="00B34151">
            <w:pPr>
              <w:jc w:val="left"/>
              <w:cnfStyle w:val="100000000000" w:firstRow="1" w:lastRow="0" w:firstColumn="0" w:lastColumn="0" w:oddVBand="0" w:evenVBand="0" w:oddHBand="0" w:evenHBand="0" w:firstRowFirstColumn="0" w:firstRowLastColumn="0" w:lastRowFirstColumn="0" w:lastRowLastColumn="0"/>
              <w:rPr>
                <w:rFonts w:cs="Times New Roman"/>
              </w:rPr>
            </w:pPr>
            <w:r w:rsidRPr="00B34151">
              <w:rPr>
                <w:rFonts w:cs="Times New Roman"/>
                <w:b w:val="0"/>
                <w:bCs w:val="0"/>
              </w:rPr>
              <w:t>Technological trend</w:t>
            </w:r>
          </w:p>
        </w:tc>
        <w:tc>
          <w:tcPr>
            <w:tcW w:w="3634" w:type="dxa"/>
          </w:tcPr>
          <w:p w14:paraId="233A8057" w14:textId="6B4DD748" w:rsidR="00B34151" w:rsidRPr="00B34151" w:rsidRDefault="00B34151" w:rsidP="00B34151">
            <w:pPr>
              <w:jc w:val="left"/>
              <w:cnfStyle w:val="100000000000" w:firstRow="1" w:lastRow="0" w:firstColumn="0" w:lastColumn="0" w:oddVBand="0" w:evenVBand="0" w:oddHBand="0" w:evenHBand="0" w:firstRowFirstColumn="0" w:firstRowLastColumn="0" w:lastRowFirstColumn="0" w:lastRowLastColumn="0"/>
              <w:rPr>
                <w:rFonts w:cs="Times New Roman"/>
              </w:rPr>
            </w:pPr>
            <w:r w:rsidRPr="00B34151">
              <w:rPr>
                <w:rFonts w:cs="Times New Roman"/>
                <w:b w:val="0"/>
                <w:bCs w:val="0"/>
              </w:rPr>
              <w:t>Regulatory response need</w:t>
            </w:r>
          </w:p>
        </w:tc>
      </w:tr>
      <w:tr w:rsidR="00B34151" w14:paraId="5DDAD26D" w14:textId="77777777" w:rsidTr="00B341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241EC42B" w14:textId="2448C764" w:rsidR="00B34151" w:rsidRPr="00B34151" w:rsidRDefault="00B34151" w:rsidP="00B34151">
            <w:pPr>
              <w:jc w:val="left"/>
              <w:rPr>
                <w:rFonts w:cs="Times New Roman"/>
              </w:rPr>
            </w:pPr>
            <w:r w:rsidRPr="00B34151">
              <w:rPr>
                <w:rFonts w:cs="Times New Roman"/>
              </w:rPr>
              <w:t>Cloud services</w:t>
            </w:r>
          </w:p>
        </w:tc>
        <w:tc>
          <w:tcPr>
            <w:tcW w:w="2977" w:type="dxa"/>
          </w:tcPr>
          <w:p w14:paraId="4B585A85" w14:textId="1715FFE7" w:rsidR="00B34151" w:rsidRPr="00B34151" w:rsidRDefault="00B34151" w:rsidP="00B34151">
            <w:pPr>
              <w:jc w:val="left"/>
              <w:cnfStyle w:val="000000100000" w:firstRow="0" w:lastRow="0" w:firstColumn="0" w:lastColumn="0" w:oddVBand="0" w:evenVBand="0" w:oddHBand="1" w:evenHBand="0" w:firstRowFirstColumn="0" w:firstRowLastColumn="0" w:lastRowFirstColumn="0" w:lastRowLastColumn="0"/>
              <w:rPr>
                <w:rFonts w:cs="Times New Roman"/>
              </w:rPr>
            </w:pPr>
            <w:r w:rsidRPr="00B34151">
              <w:rPr>
                <w:rFonts w:cs="Times New Roman"/>
              </w:rPr>
              <w:t>On demand, global data processing.</w:t>
            </w:r>
          </w:p>
        </w:tc>
        <w:tc>
          <w:tcPr>
            <w:tcW w:w="3634" w:type="dxa"/>
          </w:tcPr>
          <w:p w14:paraId="1795834D" w14:textId="4206F9B7" w:rsidR="00B34151" w:rsidRPr="00B34151" w:rsidRDefault="00B34151" w:rsidP="00B34151">
            <w:pPr>
              <w:jc w:val="left"/>
              <w:cnfStyle w:val="000000100000" w:firstRow="0" w:lastRow="0" w:firstColumn="0" w:lastColumn="0" w:oddVBand="0" w:evenVBand="0" w:oddHBand="1" w:evenHBand="0" w:firstRowFirstColumn="0" w:firstRowLastColumn="0" w:lastRowFirstColumn="0" w:lastRowLastColumn="0"/>
              <w:rPr>
                <w:rFonts w:cs="Times New Roman"/>
              </w:rPr>
            </w:pPr>
            <w:r w:rsidRPr="00B34151">
              <w:rPr>
                <w:rFonts w:cs="Times New Roman"/>
              </w:rPr>
              <w:t>Cross border data, security and privacy rules.</w:t>
            </w:r>
          </w:p>
        </w:tc>
      </w:tr>
      <w:tr w:rsidR="00B34151" w14:paraId="285F4EA0" w14:textId="77777777" w:rsidTr="00B34151">
        <w:tc>
          <w:tcPr>
            <w:cnfStyle w:val="001000000000" w:firstRow="0" w:lastRow="0" w:firstColumn="1" w:lastColumn="0" w:oddVBand="0" w:evenVBand="0" w:oddHBand="0" w:evenHBand="0" w:firstRowFirstColumn="0" w:firstRowLastColumn="0" w:lastRowFirstColumn="0" w:lastRowLastColumn="0"/>
            <w:tcW w:w="2405" w:type="dxa"/>
          </w:tcPr>
          <w:p w14:paraId="2EC774F1" w14:textId="20A6AF2F" w:rsidR="00B34151" w:rsidRPr="00B34151" w:rsidRDefault="00B34151" w:rsidP="00B34151">
            <w:pPr>
              <w:jc w:val="left"/>
              <w:rPr>
                <w:rFonts w:cs="Times New Roman"/>
              </w:rPr>
            </w:pPr>
            <w:r w:rsidRPr="00B34151">
              <w:rPr>
                <w:rFonts w:cs="Times New Roman"/>
              </w:rPr>
              <w:t>AI and automation</w:t>
            </w:r>
          </w:p>
        </w:tc>
        <w:tc>
          <w:tcPr>
            <w:tcW w:w="2977" w:type="dxa"/>
          </w:tcPr>
          <w:p w14:paraId="34DE171F" w14:textId="359B5F6A" w:rsidR="00B34151" w:rsidRPr="00B34151" w:rsidRDefault="00B34151" w:rsidP="00B34151">
            <w:pPr>
              <w:jc w:val="left"/>
              <w:cnfStyle w:val="000000000000" w:firstRow="0" w:lastRow="0" w:firstColumn="0" w:lastColumn="0" w:oddVBand="0" w:evenVBand="0" w:oddHBand="0" w:evenHBand="0" w:firstRowFirstColumn="0" w:firstRowLastColumn="0" w:lastRowFirstColumn="0" w:lastRowLastColumn="0"/>
              <w:rPr>
                <w:rFonts w:cs="Times New Roman"/>
              </w:rPr>
            </w:pPr>
            <w:r w:rsidRPr="00B34151">
              <w:rPr>
                <w:rFonts w:cs="Times New Roman"/>
              </w:rPr>
              <w:t>Adaptive, opaque decision systems.</w:t>
            </w:r>
          </w:p>
        </w:tc>
        <w:tc>
          <w:tcPr>
            <w:tcW w:w="3634" w:type="dxa"/>
          </w:tcPr>
          <w:p w14:paraId="4729C45F" w14:textId="24A827F9" w:rsidR="00B34151" w:rsidRPr="00B34151" w:rsidRDefault="00B34151" w:rsidP="00B34151">
            <w:pPr>
              <w:jc w:val="left"/>
              <w:cnfStyle w:val="000000000000" w:firstRow="0" w:lastRow="0" w:firstColumn="0" w:lastColumn="0" w:oddVBand="0" w:evenVBand="0" w:oddHBand="0" w:evenHBand="0" w:firstRowFirstColumn="0" w:firstRowLastColumn="0" w:lastRowFirstColumn="0" w:lastRowLastColumn="0"/>
              <w:rPr>
                <w:rFonts w:cs="Times New Roman"/>
              </w:rPr>
            </w:pPr>
            <w:r w:rsidRPr="00B34151">
              <w:rPr>
                <w:rFonts w:cs="Times New Roman"/>
              </w:rPr>
              <w:t>Auditability, transparency and oversight.</w:t>
            </w:r>
          </w:p>
        </w:tc>
      </w:tr>
      <w:tr w:rsidR="00B34151" w14:paraId="4F1FEBF3" w14:textId="77777777" w:rsidTr="00B341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6B5808FE" w14:textId="6212335A" w:rsidR="00B34151" w:rsidRPr="00B34151" w:rsidRDefault="00B34151" w:rsidP="00B34151">
            <w:pPr>
              <w:jc w:val="left"/>
              <w:rPr>
                <w:rFonts w:cs="Times New Roman"/>
              </w:rPr>
            </w:pPr>
            <w:r w:rsidRPr="00B34151">
              <w:rPr>
                <w:rFonts w:cs="Times New Roman"/>
              </w:rPr>
              <w:t>Continuous delivery</w:t>
            </w:r>
          </w:p>
        </w:tc>
        <w:tc>
          <w:tcPr>
            <w:tcW w:w="2977" w:type="dxa"/>
          </w:tcPr>
          <w:p w14:paraId="2B5DF34F" w14:textId="6F48F0DD" w:rsidR="00B34151" w:rsidRPr="00B34151" w:rsidRDefault="00B34151" w:rsidP="00B34151">
            <w:pPr>
              <w:jc w:val="left"/>
              <w:cnfStyle w:val="000000100000" w:firstRow="0" w:lastRow="0" w:firstColumn="0" w:lastColumn="0" w:oddVBand="0" w:evenVBand="0" w:oddHBand="1" w:evenHBand="0" w:firstRowFirstColumn="0" w:firstRowLastColumn="0" w:lastRowFirstColumn="0" w:lastRowLastColumn="0"/>
              <w:rPr>
                <w:rFonts w:cs="Times New Roman"/>
              </w:rPr>
            </w:pPr>
            <w:r w:rsidRPr="00B34151">
              <w:rPr>
                <w:rFonts w:cs="Times New Roman"/>
              </w:rPr>
              <w:t>Rapid change of systems.</w:t>
            </w:r>
          </w:p>
        </w:tc>
        <w:tc>
          <w:tcPr>
            <w:tcW w:w="3634" w:type="dxa"/>
          </w:tcPr>
          <w:p w14:paraId="4E4BDB11" w14:textId="5C4D4113" w:rsidR="00B34151" w:rsidRPr="00B34151" w:rsidRDefault="00B34151" w:rsidP="00B34151">
            <w:pPr>
              <w:jc w:val="left"/>
              <w:cnfStyle w:val="000000100000" w:firstRow="0" w:lastRow="0" w:firstColumn="0" w:lastColumn="0" w:oddVBand="0" w:evenVBand="0" w:oddHBand="1" w:evenHBand="0" w:firstRowFirstColumn="0" w:firstRowLastColumn="0" w:lastRowFirstColumn="0" w:lastRowLastColumn="0"/>
              <w:rPr>
                <w:rFonts w:cs="Times New Roman"/>
              </w:rPr>
            </w:pPr>
            <w:r w:rsidRPr="00B34151">
              <w:rPr>
                <w:rFonts w:cs="Times New Roman"/>
              </w:rPr>
              <w:t>Ongoing, automated compliance checks.</w:t>
            </w:r>
          </w:p>
        </w:tc>
      </w:tr>
    </w:tbl>
    <w:p w14:paraId="4A66C07F" w14:textId="77777777" w:rsidR="00456F18" w:rsidRDefault="00456F18" w:rsidP="00456F18"/>
    <w:p w14:paraId="376EA76F" w14:textId="22A3D007" w:rsidR="00456F18" w:rsidRDefault="00456F18" w:rsidP="006833B2">
      <w:pPr>
        <w:pStyle w:val="Heading2"/>
      </w:pPr>
      <w:bookmarkStart w:id="38" w:name="_Toc214999101"/>
      <w:r>
        <w:t>4</w:t>
      </w:r>
      <w:r w:rsidRPr="00456F18">
        <w:t>.3 Benefits of Regular Updates to Standards</w:t>
      </w:r>
      <w:bookmarkEnd w:id="38"/>
    </w:p>
    <w:p w14:paraId="67934A9E" w14:textId="56B7E9E3" w:rsidR="006833B2" w:rsidRDefault="004A1E8E" w:rsidP="006833B2">
      <w:r w:rsidRPr="004A1E8E">
        <w:t xml:space="preserve">Security standards are updated regularly to include the lessons learned through novel attack methods and technologies and enhance minimal protection against new threats in addition to mitigating systemic blind spots. They also facilitate harmonised global practices and language security, which facilitate interoperability, cross borders and assurance by third parties, and enhance the trust of the stakeholders with certified or provenly compliant organisations. Current alignment with accepted frameworks and regulation may reduce legal and regulatory risk, and in organisations where visible certifications or attestations are achieved, renewed </w:t>
      </w:r>
      <w:r w:rsidRPr="004A1E8E">
        <w:lastRenderedPageBreak/>
        <w:t>standards provide the chance of competitive differentiation in markets where the security posture of customers, partners and regulators are becoming increasing as a selection criterion.</w:t>
      </w:r>
    </w:p>
    <w:p w14:paraId="2B3BB452" w14:textId="77777777" w:rsidR="006833B2" w:rsidRDefault="006833B2" w:rsidP="006833B2"/>
    <w:p w14:paraId="7F5CC73E" w14:textId="49623820" w:rsidR="006833B2" w:rsidRDefault="006833B2" w:rsidP="006833B2">
      <w:pPr>
        <w:pStyle w:val="Heading2"/>
      </w:pPr>
      <w:bookmarkStart w:id="39" w:name="_Toc214999102"/>
      <w:r>
        <w:t>4</w:t>
      </w:r>
      <w:r w:rsidRPr="006833B2">
        <w:t>.4 Challenges and Considerations</w:t>
      </w:r>
      <w:bookmarkEnd w:id="39"/>
    </w:p>
    <w:p w14:paraId="604DFE34" w14:textId="76973E23" w:rsidR="009B6D57" w:rsidRDefault="003B0836" w:rsidP="009B6D57">
      <w:r w:rsidRPr="003B0836">
        <w:t>Compliance Fatigue and resource limitations Organisations struggle with overlap in location and scope of regulations and standards, required documentation and technical updates are forcing continuous audits, fulfilment of these standards push organisations and security experts to a state of stress. Rigorous prohibitions may likewise decelerate digital projects and, hence, top management needs to manage security and enterprise responsiveness and thoroughly, decide on the expense of continuous adjustment against the costs of intrusion and diminished productivity. Good programmes are therefore ones which emphasize proportional, risk based controls which direct efforts to the threats and uncertainties of most relevance.</w:t>
      </w:r>
    </w:p>
    <w:p w14:paraId="3ACA9FAB" w14:textId="77777777" w:rsidR="009B6D57" w:rsidRDefault="009B6D57" w:rsidP="009B6D57"/>
    <w:p w14:paraId="0ED24418" w14:textId="05AB035C" w:rsidR="009B6D57" w:rsidRDefault="009B6D57" w:rsidP="001421A7">
      <w:pPr>
        <w:pStyle w:val="Heading1"/>
      </w:pPr>
      <w:bookmarkStart w:id="40" w:name="_Toc214999103"/>
      <w:r>
        <w:t>5</w:t>
      </w:r>
      <w:r w:rsidRPr="009B6D57">
        <w:t>. Implementation Roadmap for NatureGreen</w:t>
      </w:r>
      <w:bookmarkEnd w:id="40"/>
    </w:p>
    <w:p w14:paraId="42B96EAE" w14:textId="776E9E51" w:rsidR="001421A7" w:rsidRDefault="001421A7" w:rsidP="00906E91">
      <w:pPr>
        <w:pStyle w:val="Heading2"/>
      </w:pPr>
      <w:bookmarkStart w:id="41" w:name="_Toc214999104"/>
      <w:r>
        <w:t>5</w:t>
      </w:r>
      <w:r w:rsidRPr="001421A7">
        <w:t>.1 Phased Implementation Approach</w:t>
      </w:r>
      <w:bookmarkEnd w:id="41"/>
    </w:p>
    <w:p w14:paraId="54500D3D" w14:textId="5252EBED" w:rsidR="001C53FB" w:rsidRDefault="002B0968" w:rsidP="001C53FB">
      <w:r w:rsidRPr="002B0968">
        <w:t>An incremental implementation plan minimizes risks of change and in line with the advice which suggests that ISO 27001 and overall security programmes must be undertaken in stages.</w:t>
      </w:r>
    </w:p>
    <w:p w14:paraId="01155A81" w14:textId="1F25DC00" w:rsidR="0078774E" w:rsidRDefault="0078774E" w:rsidP="0078774E">
      <w:pPr>
        <w:pStyle w:val="Caption"/>
        <w:keepNext/>
      </w:pPr>
      <w:bookmarkStart w:id="42" w:name="_Toc214999123"/>
      <w:r>
        <w:t xml:space="preserve">Table </w:t>
      </w:r>
      <w:r>
        <w:fldChar w:fldCharType="begin"/>
      </w:r>
      <w:r>
        <w:instrText xml:space="preserve"> SEQ Table \* ARABIC </w:instrText>
      </w:r>
      <w:r>
        <w:fldChar w:fldCharType="separate"/>
      </w:r>
      <w:r>
        <w:rPr>
          <w:noProof/>
        </w:rPr>
        <w:t>12</w:t>
      </w:r>
      <w:r>
        <w:fldChar w:fldCharType="end"/>
      </w:r>
      <w:r>
        <w:rPr>
          <w:lang w:val="en-US"/>
        </w:rPr>
        <w:t xml:space="preserve">: </w:t>
      </w:r>
      <w:r w:rsidRPr="00691756">
        <w:rPr>
          <w:lang w:val="en-US"/>
        </w:rPr>
        <w:t>Phased roadmap for enhancing security maturity</w:t>
      </w:r>
      <w:bookmarkEnd w:id="42"/>
    </w:p>
    <w:tbl>
      <w:tblPr>
        <w:tblStyle w:val="GridTable4-Accent1"/>
        <w:tblW w:w="0" w:type="auto"/>
        <w:tblLook w:val="04A0" w:firstRow="1" w:lastRow="0" w:firstColumn="1" w:lastColumn="0" w:noHBand="0" w:noVBand="1"/>
      </w:tblPr>
      <w:tblGrid>
        <w:gridCol w:w="1980"/>
        <w:gridCol w:w="7036"/>
      </w:tblGrid>
      <w:tr w:rsidR="002B0968" w14:paraId="024CEA91" w14:textId="77777777" w:rsidTr="0070541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43B0799A" w14:textId="10AE1657" w:rsidR="002B0968" w:rsidRPr="002B0968" w:rsidRDefault="002B0968" w:rsidP="002B0968">
            <w:pPr>
              <w:jc w:val="left"/>
              <w:rPr>
                <w:rFonts w:cs="Times New Roman"/>
              </w:rPr>
            </w:pPr>
            <w:r w:rsidRPr="002B0968">
              <w:rPr>
                <w:rFonts w:cs="Times New Roman"/>
                <w:b w:val="0"/>
                <w:bCs w:val="0"/>
              </w:rPr>
              <w:t>Phase &amp; timeline</w:t>
            </w:r>
          </w:p>
        </w:tc>
        <w:tc>
          <w:tcPr>
            <w:tcW w:w="7036" w:type="dxa"/>
          </w:tcPr>
          <w:p w14:paraId="6435E2DB" w14:textId="019BCCFE" w:rsidR="002B0968" w:rsidRPr="002B0968" w:rsidRDefault="002B0968" w:rsidP="002B0968">
            <w:pPr>
              <w:jc w:val="left"/>
              <w:cnfStyle w:val="100000000000" w:firstRow="1" w:lastRow="0" w:firstColumn="0" w:lastColumn="0" w:oddVBand="0" w:evenVBand="0" w:oddHBand="0" w:evenHBand="0" w:firstRowFirstColumn="0" w:firstRowLastColumn="0" w:lastRowFirstColumn="0" w:lastRowLastColumn="0"/>
              <w:rPr>
                <w:rFonts w:cs="Times New Roman"/>
              </w:rPr>
            </w:pPr>
            <w:r w:rsidRPr="002B0968">
              <w:rPr>
                <w:rFonts w:cs="Times New Roman"/>
                <w:b w:val="0"/>
                <w:bCs w:val="0"/>
              </w:rPr>
              <w:t>Key focus areas</w:t>
            </w:r>
          </w:p>
        </w:tc>
      </w:tr>
      <w:tr w:rsidR="00705415" w14:paraId="3AD2422B" w14:textId="77777777" w:rsidTr="007054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1934EB72" w14:textId="77777777" w:rsidR="00705415" w:rsidRDefault="00705415" w:rsidP="00705415">
            <w:pPr>
              <w:jc w:val="left"/>
              <w:rPr>
                <w:rFonts w:cs="Times New Roman"/>
                <w:b w:val="0"/>
                <w:bCs w:val="0"/>
              </w:rPr>
            </w:pPr>
            <w:r w:rsidRPr="002B0968">
              <w:rPr>
                <w:rFonts w:cs="Times New Roman"/>
              </w:rPr>
              <w:t xml:space="preserve">Phase 1, </w:t>
            </w:r>
          </w:p>
          <w:p w14:paraId="5BCF6B94" w14:textId="7BCA4138" w:rsidR="00705415" w:rsidRPr="002B0968" w:rsidRDefault="00705415" w:rsidP="00705415">
            <w:pPr>
              <w:jc w:val="left"/>
              <w:rPr>
                <w:rFonts w:cs="Times New Roman"/>
              </w:rPr>
            </w:pPr>
            <w:r w:rsidRPr="002B0968">
              <w:rPr>
                <w:rFonts w:cs="Times New Roman"/>
              </w:rPr>
              <w:t>0</w:t>
            </w:r>
            <w:r>
              <w:rPr>
                <w:rFonts w:cs="Times New Roman"/>
              </w:rPr>
              <w:t>-</w:t>
            </w:r>
            <w:r w:rsidRPr="002B0968">
              <w:rPr>
                <w:rFonts w:cs="Times New Roman"/>
              </w:rPr>
              <w:t>6 months</w:t>
            </w:r>
          </w:p>
        </w:tc>
        <w:tc>
          <w:tcPr>
            <w:tcW w:w="7036" w:type="dxa"/>
          </w:tcPr>
          <w:p w14:paraId="3F5F01BB" w14:textId="2B313444" w:rsidR="00705415" w:rsidRPr="002B0968" w:rsidRDefault="00705415" w:rsidP="00705415">
            <w:pPr>
              <w:jc w:val="left"/>
              <w:cnfStyle w:val="000000100000" w:firstRow="0" w:lastRow="0" w:firstColumn="0" w:lastColumn="0" w:oddVBand="0" w:evenVBand="0" w:oddHBand="1" w:evenHBand="0" w:firstRowFirstColumn="0" w:firstRowLastColumn="0" w:lastRowFirstColumn="0" w:lastRowLastColumn="0"/>
              <w:rPr>
                <w:rFonts w:cs="Times New Roman"/>
              </w:rPr>
            </w:pPr>
            <w:r w:rsidRPr="000D4C75">
              <w:t>Formulate governing bodies, establish roles, negotiate placement, develop priority BYOD and cloud security policies, and conduct a minimum risk analysis.</w:t>
            </w:r>
          </w:p>
        </w:tc>
      </w:tr>
      <w:tr w:rsidR="00705415" w14:paraId="086BAA12" w14:textId="77777777" w:rsidTr="00705415">
        <w:tc>
          <w:tcPr>
            <w:cnfStyle w:val="001000000000" w:firstRow="0" w:lastRow="0" w:firstColumn="1" w:lastColumn="0" w:oddVBand="0" w:evenVBand="0" w:oddHBand="0" w:evenHBand="0" w:firstRowFirstColumn="0" w:firstRowLastColumn="0" w:lastRowFirstColumn="0" w:lastRowLastColumn="0"/>
            <w:tcW w:w="1980" w:type="dxa"/>
          </w:tcPr>
          <w:p w14:paraId="2E2C7D28" w14:textId="77777777" w:rsidR="00705415" w:rsidRDefault="00705415" w:rsidP="00705415">
            <w:pPr>
              <w:jc w:val="left"/>
              <w:rPr>
                <w:rFonts w:cs="Times New Roman"/>
                <w:b w:val="0"/>
                <w:bCs w:val="0"/>
              </w:rPr>
            </w:pPr>
            <w:r w:rsidRPr="002B0968">
              <w:rPr>
                <w:rFonts w:cs="Times New Roman"/>
              </w:rPr>
              <w:t xml:space="preserve">Phase 2, </w:t>
            </w:r>
          </w:p>
          <w:p w14:paraId="2F41404B" w14:textId="1CFCED68" w:rsidR="00705415" w:rsidRPr="002B0968" w:rsidRDefault="00705415" w:rsidP="00705415">
            <w:pPr>
              <w:jc w:val="left"/>
              <w:rPr>
                <w:rFonts w:cs="Times New Roman"/>
              </w:rPr>
            </w:pPr>
            <w:r w:rsidRPr="002B0968">
              <w:rPr>
                <w:rFonts w:cs="Times New Roman"/>
              </w:rPr>
              <w:t>6</w:t>
            </w:r>
            <w:r>
              <w:rPr>
                <w:rFonts w:cs="Times New Roman"/>
              </w:rPr>
              <w:t>-</w:t>
            </w:r>
            <w:r w:rsidRPr="002B0968">
              <w:rPr>
                <w:rFonts w:cs="Times New Roman"/>
              </w:rPr>
              <w:t>12 months</w:t>
            </w:r>
          </w:p>
        </w:tc>
        <w:tc>
          <w:tcPr>
            <w:tcW w:w="7036" w:type="dxa"/>
          </w:tcPr>
          <w:p w14:paraId="754C3A76" w14:textId="62115512" w:rsidR="00705415" w:rsidRPr="002B0968" w:rsidRDefault="00705415" w:rsidP="00705415">
            <w:pPr>
              <w:jc w:val="left"/>
              <w:cnfStyle w:val="000000000000" w:firstRow="0" w:lastRow="0" w:firstColumn="0" w:lastColumn="0" w:oddVBand="0" w:evenVBand="0" w:oddHBand="0" w:evenHBand="0" w:firstRowFirstColumn="0" w:firstRowLastColumn="0" w:lastRowFirstColumn="0" w:lastRowLastColumn="0"/>
              <w:rPr>
                <w:rFonts w:cs="Times New Roman"/>
              </w:rPr>
            </w:pPr>
            <w:r w:rsidRPr="000D4C75">
              <w:t>Perform basic controls like MDM, network segmentation, deploy a structured security awareness training and operationalise incident response process with play books.</w:t>
            </w:r>
          </w:p>
        </w:tc>
      </w:tr>
      <w:tr w:rsidR="00705415" w14:paraId="346FE2B4" w14:textId="77777777" w:rsidTr="007054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45E27DB2" w14:textId="77777777" w:rsidR="00705415" w:rsidRDefault="00705415" w:rsidP="00705415">
            <w:pPr>
              <w:jc w:val="left"/>
              <w:rPr>
                <w:rFonts w:cs="Times New Roman"/>
                <w:b w:val="0"/>
                <w:bCs w:val="0"/>
              </w:rPr>
            </w:pPr>
            <w:r w:rsidRPr="002B0968">
              <w:rPr>
                <w:rFonts w:cs="Times New Roman"/>
              </w:rPr>
              <w:t xml:space="preserve">Phase 3, </w:t>
            </w:r>
          </w:p>
          <w:p w14:paraId="256828EA" w14:textId="11AA1B35" w:rsidR="00705415" w:rsidRPr="002B0968" w:rsidRDefault="00705415" w:rsidP="00705415">
            <w:pPr>
              <w:jc w:val="left"/>
              <w:rPr>
                <w:rFonts w:cs="Times New Roman"/>
              </w:rPr>
            </w:pPr>
            <w:r w:rsidRPr="002B0968">
              <w:rPr>
                <w:rFonts w:cs="Times New Roman"/>
              </w:rPr>
              <w:t>12</w:t>
            </w:r>
            <w:r>
              <w:rPr>
                <w:rFonts w:cs="Times New Roman"/>
              </w:rPr>
              <w:t>-</w:t>
            </w:r>
            <w:r w:rsidRPr="002B0968">
              <w:rPr>
                <w:rFonts w:cs="Times New Roman"/>
              </w:rPr>
              <w:t>24 months</w:t>
            </w:r>
          </w:p>
        </w:tc>
        <w:tc>
          <w:tcPr>
            <w:tcW w:w="7036" w:type="dxa"/>
          </w:tcPr>
          <w:p w14:paraId="27F67193" w14:textId="765BA318" w:rsidR="00705415" w:rsidRPr="002B0968" w:rsidRDefault="00705415" w:rsidP="00705415">
            <w:pPr>
              <w:jc w:val="left"/>
              <w:cnfStyle w:val="000000100000" w:firstRow="0" w:lastRow="0" w:firstColumn="0" w:lastColumn="0" w:oddVBand="0" w:evenVBand="0" w:oddHBand="1" w:evenHBand="0" w:firstRowFirstColumn="0" w:firstRowLastColumn="0" w:lastRowFirstColumn="0" w:lastRowLastColumn="0"/>
              <w:rPr>
                <w:rFonts w:cs="Times New Roman"/>
              </w:rPr>
            </w:pPr>
            <w:r w:rsidRPr="000D4C75">
              <w:t>Standardise and streamline the ISMS, ISO 27001 certification where feasible, entrench regular monitoring and quantify, and entrap sophisticated threat knowledge in detection and reaction features.</w:t>
            </w:r>
          </w:p>
        </w:tc>
      </w:tr>
    </w:tbl>
    <w:p w14:paraId="357089D4" w14:textId="77777777" w:rsidR="001C53FB" w:rsidRDefault="001C53FB" w:rsidP="001C53FB"/>
    <w:p w14:paraId="592FB30F" w14:textId="5C8C61B4" w:rsidR="001C53FB" w:rsidRDefault="001C53FB" w:rsidP="001C53FB">
      <w:pPr>
        <w:pStyle w:val="Heading2"/>
      </w:pPr>
      <w:bookmarkStart w:id="43" w:name="_Toc214999105"/>
      <w:r>
        <w:lastRenderedPageBreak/>
        <w:t>5</w:t>
      </w:r>
      <w:r w:rsidRPr="001C53FB">
        <w:t>.2 Success Factors and Key Recommendations</w:t>
      </w:r>
      <w:bookmarkEnd w:id="43"/>
    </w:p>
    <w:p w14:paraId="37135C99" w14:textId="6C87B034" w:rsidR="00B445E3" w:rsidRDefault="000219B2" w:rsidP="001C53FB">
      <w:r w:rsidRPr="000219B2">
        <w:t>A security governance programme must have visible executive sponsorship, mandate and a long term budget to be successful which research has found to be visible core critical success factors. It is also essential to culture change and this structure is enhanced by education of security, training, awareness of staffs such that their behaviours are all consistent towards policy other than using technology alone. Intense liaison between the IT, business departments, legal, HR and external partners facilitates incorporation of security in projects and activities. Lastly, metrics based strategy using identified KPIs and periodic reviews also allows management to understand how strategy is proceeding, warrant investment, and to make strategy changes.</w:t>
      </w:r>
    </w:p>
    <w:p w14:paraId="70049E03" w14:textId="67CD2028" w:rsidR="001C53FB" w:rsidRDefault="009D3B92" w:rsidP="0047545C">
      <w:pPr>
        <w:pStyle w:val="Heading1"/>
      </w:pPr>
      <w:bookmarkStart w:id="44" w:name="_Toc214999106"/>
      <w:r>
        <w:t>6</w:t>
      </w:r>
      <w:r w:rsidR="001C53FB" w:rsidRPr="001C53FB">
        <w:t>. Conclusion</w:t>
      </w:r>
      <w:bookmarkEnd w:id="44"/>
    </w:p>
    <w:p w14:paraId="295E6F0B" w14:textId="3E841D6B" w:rsidR="009A78D6" w:rsidRDefault="00C824D7" w:rsidP="009A78D6">
      <w:r w:rsidRPr="00C824D7">
        <w:t>NatureGreen is experiencing two compound issues associated with cloud reliance, ubiquitous wireless connectivity and BYOD, and the necessity to secure high value data and intellectual property in an existing chaotic security landscape. This report offers an integrated framework to bring together the ISO 27001 based governance, ITIL service processes, and risk oriented controls on a framework to have congruent, adaptive security governance that is in tandem with the business objectives. A viable posture will rely on long-term executive support, gradual roll out, ongoing control and periodic adjustment to changing rules and regulations and any subsequent upgrades need to take advantage of AI propelled detection, automation and orchestration without compromising on oversight.</w:t>
      </w:r>
    </w:p>
    <w:p w14:paraId="6798A9BC" w14:textId="66B4928C" w:rsidR="00F80377" w:rsidRDefault="00F80377">
      <w:pPr>
        <w:spacing w:line="278" w:lineRule="auto"/>
        <w:jc w:val="left"/>
      </w:pPr>
      <w:r>
        <w:br w:type="page"/>
      </w:r>
    </w:p>
    <w:p w14:paraId="3866EB5D" w14:textId="23A27676" w:rsidR="00F80377" w:rsidRDefault="00F80377" w:rsidP="00F80377">
      <w:pPr>
        <w:pStyle w:val="Heading1"/>
      </w:pPr>
      <w:bookmarkStart w:id="45" w:name="_Toc214999107"/>
      <w:r>
        <w:lastRenderedPageBreak/>
        <w:t>References</w:t>
      </w:r>
      <w:bookmarkEnd w:id="45"/>
    </w:p>
    <w:p w14:paraId="12791D30" w14:textId="77777777" w:rsidR="00303267" w:rsidRPr="00303267" w:rsidRDefault="000063EA" w:rsidP="00303267">
      <w:pPr>
        <w:pStyle w:val="Bibliography"/>
        <w:rPr>
          <w:rFonts w:cs="Times New Roman"/>
        </w:rPr>
      </w:pPr>
      <w:r>
        <w:fldChar w:fldCharType="begin"/>
      </w:r>
      <w:r w:rsidR="00303267">
        <w:instrText xml:space="preserve"> ADDIN ZOTERO_BIBL {"uncited":[],"omitted":[],"custom":[]} CSL_BIBLIOGRAPHY </w:instrText>
      </w:r>
      <w:r>
        <w:fldChar w:fldCharType="separate"/>
      </w:r>
      <w:r w:rsidR="00303267" w:rsidRPr="00303267">
        <w:rPr>
          <w:rFonts w:cs="Times New Roman"/>
        </w:rPr>
        <w:t>Ahmad, R., Sahib, S., Nor’Azuwa, M.P., 2014. Effective Measurement Requirements for Network Security Management. https://doi.org/10.48550/arXiv.1405.5287</w:t>
      </w:r>
    </w:p>
    <w:p w14:paraId="4B617FD2" w14:textId="77777777" w:rsidR="00303267" w:rsidRPr="00303267" w:rsidRDefault="00303267" w:rsidP="00303267">
      <w:pPr>
        <w:pStyle w:val="Bibliography"/>
        <w:rPr>
          <w:rFonts w:cs="Times New Roman"/>
        </w:rPr>
      </w:pPr>
      <w:r w:rsidRPr="00303267">
        <w:rPr>
          <w:rFonts w:cs="Times New Roman"/>
        </w:rPr>
        <w:t>Alejandro, M.-C., Andrés, G.-H., Ricardo, V.-F., 2023. Constructing an architecture-based cybersecurity solution for a system. MethodsX 10, 102010. https://doi.org/10.1016/j.mex.2023.102010</w:t>
      </w:r>
    </w:p>
    <w:p w14:paraId="76717CC5" w14:textId="77777777" w:rsidR="00303267" w:rsidRPr="00303267" w:rsidRDefault="00303267" w:rsidP="00303267">
      <w:pPr>
        <w:pStyle w:val="Bibliography"/>
        <w:rPr>
          <w:rFonts w:cs="Times New Roman"/>
        </w:rPr>
      </w:pPr>
      <w:r w:rsidRPr="00303267">
        <w:rPr>
          <w:rFonts w:cs="Times New Roman"/>
        </w:rPr>
        <w:t>Babalola, O., 2022. Data Protection Compliance Organizations (DPCO) Under the NDPR, and Monitoring Bodies Under the GDPR: Two Sides of the Same Compliance Coin? Glob. Priv. Law Rev. 3, 98–106. https://doi.org/10.54648/GPLR2022010</w:t>
      </w:r>
    </w:p>
    <w:p w14:paraId="7ACC7777" w14:textId="77777777" w:rsidR="00303267" w:rsidRPr="00303267" w:rsidRDefault="00303267" w:rsidP="00303267">
      <w:pPr>
        <w:pStyle w:val="Bibliography"/>
        <w:rPr>
          <w:rFonts w:cs="Times New Roman"/>
        </w:rPr>
      </w:pPr>
      <w:r w:rsidRPr="00303267">
        <w:rPr>
          <w:rFonts w:cs="Times New Roman"/>
        </w:rPr>
        <w:t>Barreto, G., Battaglin, P.D., Varga, S., 2019. Ensuring Efficient IT Service Management to Increase Information Systems Availability. J. Inf. Syst. Eng. Manag. 4. https://doi.org/10.29333/jisem/6352</w:t>
      </w:r>
    </w:p>
    <w:p w14:paraId="111011A3" w14:textId="77777777" w:rsidR="00303267" w:rsidRPr="00303267" w:rsidRDefault="00303267" w:rsidP="00303267">
      <w:pPr>
        <w:pStyle w:val="Bibliography"/>
        <w:rPr>
          <w:rFonts w:cs="Times New Roman"/>
        </w:rPr>
      </w:pPr>
      <w:r w:rsidRPr="00303267">
        <w:rPr>
          <w:rFonts w:cs="Times New Roman"/>
        </w:rPr>
        <w:t>Chhetri, T.R., Kurteva, A., DeLong, R.J., Hilscher, R., Korte, K., Fensel, A., 2022. Data Protection by Design Tool for Automated GDPR Compliance Verification Based on Semantically Modeled Informed Consent. Sensors 22, 2763. https://doi.org/10.3390/s22072763</w:t>
      </w:r>
    </w:p>
    <w:p w14:paraId="30814201" w14:textId="77777777" w:rsidR="00303267" w:rsidRPr="00303267" w:rsidRDefault="00303267" w:rsidP="00303267">
      <w:pPr>
        <w:pStyle w:val="Bibliography"/>
        <w:rPr>
          <w:rFonts w:cs="Times New Roman"/>
        </w:rPr>
      </w:pPr>
      <w:r w:rsidRPr="00303267">
        <w:rPr>
          <w:rFonts w:cs="Times New Roman"/>
        </w:rPr>
        <w:t>Cusick, J.J., 2017. Achieving and Managing Availability SLAs with ITIL Driven Processes, DevOps, and Workflow Tools. https://doi.org/10.48550/arXiv.1705.04906</w:t>
      </w:r>
    </w:p>
    <w:p w14:paraId="69CDE525" w14:textId="77777777" w:rsidR="00303267" w:rsidRPr="00303267" w:rsidRDefault="00303267" w:rsidP="00303267">
      <w:pPr>
        <w:pStyle w:val="Bibliography"/>
        <w:rPr>
          <w:rFonts w:cs="Times New Roman"/>
        </w:rPr>
      </w:pPr>
      <w:r w:rsidRPr="00303267">
        <w:rPr>
          <w:rFonts w:cs="Times New Roman"/>
        </w:rPr>
        <w:t>Disterer, G., 2013. ISO/IEC 27000, 27001 and 27002 for Information Security Management. J. Inf. Secur. 04, 92–100. https://doi.org/10.4236/jis.2013.42011</w:t>
      </w:r>
    </w:p>
    <w:p w14:paraId="1ADCB2E8" w14:textId="77777777" w:rsidR="00303267" w:rsidRPr="00303267" w:rsidRDefault="00303267" w:rsidP="00303267">
      <w:pPr>
        <w:pStyle w:val="Bibliography"/>
        <w:rPr>
          <w:rFonts w:cs="Times New Roman"/>
        </w:rPr>
      </w:pPr>
      <w:r w:rsidRPr="00303267">
        <w:rPr>
          <w:rFonts w:cs="Times New Roman"/>
        </w:rPr>
        <w:t>Essien, I.A., Cadet, E., Ajayi, J.O., Erigh, E.D., Obuse, E., Ayanbode, N., Babatunde, L.A., 2022. Optimizing Cyber Risk Governance Using Global Frameworks: ISO, NIST, and COBIT Alignment. J. Front. Multidiscip. Res. 3, 618–629. https://doi.org/10.54660/.JFMR.2022.3.1.618-629</w:t>
      </w:r>
    </w:p>
    <w:p w14:paraId="1FC8286E" w14:textId="77777777" w:rsidR="00303267" w:rsidRPr="00303267" w:rsidRDefault="00303267" w:rsidP="00303267">
      <w:pPr>
        <w:pStyle w:val="Bibliography"/>
        <w:rPr>
          <w:rFonts w:cs="Times New Roman"/>
        </w:rPr>
      </w:pPr>
      <w:r w:rsidRPr="00303267">
        <w:rPr>
          <w:rFonts w:cs="Times New Roman"/>
        </w:rPr>
        <w:t>Fatkieva, R., Krupina, A., 2020. Enterprise Information Security Assessment Using Balanced Scorecard, in: Radionov, A.A., Karandaev, A.S. (Eds.), Advances in Automation, Lecture Notes in Electrical Engineering. Springer International Publishing, Cham, pp. 1147–1157. https://doi.org/10.1007/978-3-030-39225-3_120</w:t>
      </w:r>
    </w:p>
    <w:p w14:paraId="5CC3B5A3" w14:textId="77777777" w:rsidR="00303267" w:rsidRPr="00303267" w:rsidRDefault="00303267" w:rsidP="00303267">
      <w:pPr>
        <w:pStyle w:val="Bibliography"/>
        <w:rPr>
          <w:rFonts w:cs="Times New Roman"/>
        </w:rPr>
      </w:pPr>
      <w:r w:rsidRPr="00303267">
        <w:rPr>
          <w:rFonts w:cs="Times New Roman"/>
        </w:rPr>
        <w:t>Freunek, M., Rombos, A., 2023. Classification of cyber attacks on IoT and ubiquitous computing devices. https://doi.org/10.48550/arXiv.2312.00686</w:t>
      </w:r>
    </w:p>
    <w:p w14:paraId="5B1C1876" w14:textId="77777777" w:rsidR="00303267" w:rsidRPr="00303267" w:rsidRDefault="00303267" w:rsidP="00303267">
      <w:pPr>
        <w:pStyle w:val="Bibliography"/>
        <w:rPr>
          <w:rFonts w:cs="Times New Roman"/>
        </w:rPr>
      </w:pPr>
      <w:r w:rsidRPr="00303267">
        <w:rPr>
          <w:rFonts w:cs="Times New Roman"/>
        </w:rPr>
        <w:t>Horne, C.A., Ahmad, A., Maynard, S.B., 2016. Information Security Strategy in Organisations: Review, Discussion and Future Research Directions. https://doi.org/10.48550/arXiv.1606.03528</w:t>
      </w:r>
    </w:p>
    <w:p w14:paraId="5FE3566F" w14:textId="77777777" w:rsidR="00303267" w:rsidRPr="00303267" w:rsidRDefault="00303267" w:rsidP="00303267">
      <w:pPr>
        <w:pStyle w:val="Bibliography"/>
        <w:rPr>
          <w:rFonts w:cs="Times New Roman"/>
        </w:rPr>
      </w:pPr>
      <w:r w:rsidRPr="00303267">
        <w:rPr>
          <w:rFonts w:cs="Times New Roman"/>
        </w:rPr>
        <w:t>Kitsios, F., Chatzidimitriou, E., Kamariotou, M., 2023. The ISO/IEC 27001 Information Security Management Standard: How to Extract Value from Data in the IT Sector. Sustainability 15, 5828. https://doi.org/10.3390/su15075828</w:t>
      </w:r>
    </w:p>
    <w:p w14:paraId="2F77CBEC" w14:textId="77777777" w:rsidR="00303267" w:rsidRPr="00303267" w:rsidRDefault="00303267" w:rsidP="00303267">
      <w:pPr>
        <w:pStyle w:val="Bibliography"/>
        <w:rPr>
          <w:rFonts w:cs="Times New Roman"/>
        </w:rPr>
      </w:pPr>
      <w:r w:rsidRPr="00303267">
        <w:rPr>
          <w:rFonts w:cs="Times New Roman"/>
        </w:rPr>
        <w:t>Kusumah, P., Sutikno, S., Rosmansyah, Y., 2014. Model design of information security governance assessment with collaborative integration of COBIT 5 and ITIL (case study: INTRAC), in: 2014 International Conference on ICT For Smart Society (ICISS). Presented at the 2014 International Conference on ICT For Smart Society (ICISS), IEEE, Bandung, Indonesia, pp. 1–6. https://doi.org/10.1109/ICTSS.2014.7013193</w:t>
      </w:r>
    </w:p>
    <w:p w14:paraId="21D6F048" w14:textId="77777777" w:rsidR="00303267" w:rsidRPr="00303267" w:rsidRDefault="00303267" w:rsidP="00303267">
      <w:pPr>
        <w:pStyle w:val="Bibliography"/>
        <w:rPr>
          <w:rFonts w:cs="Times New Roman"/>
        </w:rPr>
      </w:pPr>
      <w:r w:rsidRPr="00303267">
        <w:rPr>
          <w:rFonts w:cs="Times New Roman"/>
        </w:rPr>
        <w:t>Kuzminykh, I., Ghita, B., Sokolov, V., Bakhshi, T., 2021. Information Security Risk Assessment. Encyclopedia 1, 602–617. https://doi.org/10.3390/encyclopedia1030050</w:t>
      </w:r>
    </w:p>
    <w:p w14:paraId="4DCCC1F0" w14:textId="77777777" w:rsidR="00303267" w:rsidRPr="00303267" w:rsidRDefault="00303267" w:rsidP="00303267">
      <w:pPr>
        <w:pStyle w:val="Bibliography"/>
        <w:rPr>
          <w:rFonts w:cs="Times New Roman"/>
        </w:rPr>
      </w:pPr>
      <w:r w:rsidRPr="00303267">
        <w:rPr>
          <w:rFonts w:cs="Times New Roman"/>
        </w:rPr>
        <w:t>Mataracioglu, T., Ozkan, S., 2011. Governing Information Security in Conjunction with COBIT and ISO 27001. https://doi.org/10.48550/arXiv.1108.2150</w:t>
      </w:r>
    </w:p>
    <w:p w14:paraId="4338EE7A" w14:textId="77777777" w:rsidR="00303267" w:rsidRPr="00303267" w:rsidRDefault="00303267" w:rsidP="00303267">
      <w:pPr>
        <w:pStyle w:val="Bibliography"/>
        <w:rPr>
          <w:rFonts w:cs="Times New Roman"/>
        </w:rPr>
      </w:pPr>
      <w:r w:rsidRPr="00303267">
        <w:rPr>
          <w:rFonts w:cs="Times New Roman"/>
        </w:rPr>
        <w:t>Nguyen, P.V., 2011. ITIL frameworks to ITD Company for improving capabilities in service management. https://doi.org/10.48550/arXiv.1112.4017</w:t>
      </w:r>
    </w:p>
    <w:p w14:paraId="7A219370" w14:textId="77777777" w:rsidR="00303267" w:rsidRPr="00303267" w:rsidRDefault="00303267" w:rsidP="00303267">
      <w:pPr>
        <w:pStyle w:val="Bibliography"/>
        <w:rPr>
          <w:rFonts w:cs="Times New Roman"/>
        </w:rPr>
      </w:pPr>
      <w:r w:rsidRPr="00303267">
        <w:rPr>
          <w:rFonts w:cs="Times New Roman"/>
        </w:rPr>
        <w:t xml:space="preserve">Peña, C., Agreda, E., Castillo-Sequera, J.L., Wong, L., 2024. Continuity Plan for a Gamified System which Enhance Customer Service Advisor Training in Peru using ITIL 4, in: </w:t>
      </w:r>
      <w:r w:rsidRPr="00303267">
        <w:rPr>
          <w:rFonts w:cs="Times New Roman"/>
        </w:rPr>
        <w:lastRenderedPageBreak/>
        <w:t>2024 International Seminar on Application for Technology of Information and Communication (iSemantic). Presented at the 2024 International Seminar on Application for Technology of Information and Communication (iSemantic), IEEE, Semarang, Indonesia, pp. 184–189. https://doi.org/10.1109/iSemantic63362.2024.10762605</w:t>
      </w:r>
    </w:p>
    <w:p w14:paraId="752216B6" w14:textId="77777777" w:rsidR="00303267" w:rsidRPr="00303267" w:rsidRDefault="00303267" w:rsidP="00303267">
      <w:pPr>
        <w:pStyle w:val="Bibliography"/>
        <w:rPr>
          <w:rFonts w:cs="Times New Roman"/>
        </w:rPr>
      </w:pPr>
      <w:r w:rsidRPr="00303267">
        <w:rPr>
          <w:rFonts w:cs="Times New Roman"/>
        </w:rPr>
        <w:t>Rahman, M.M., Kshetri, N., Sayeed, S.A., Rana, M.M., 2024. AssessITS: Integrating procedural guidelines and practical evaluation metrics for organizational IT and Cybersecurity risk assessment. https://doi.org/10.48550/arXiv.2410.01750</w:t>
      </w:r>
    </w:p>
    <w:p w14:paraId="37CE3B07" w14:textId="77777777" w:rsidR="00303267" w:rsidRPr="00303267" w:rsidRDefault="00303267" w:rsidP="00303267">
      <w:pPr>
        <w:pStyle w:val="Bibliography"/>
        <w:rPr>
          <w:rFonts w:cs="Times New Roman"/>
        </w:rPr>
      </w:pPr>
      <w:r w:rsidRPr="00303267">
        <w:rPr>
          <w:rFonts w:cs="Times New Roman"/>
        </w:rPr>
        <w:t>Salas-Riega, J.L., Riega-Virú, Y., Ninaquispe-Soto, M., Salas-Riega, J.M., 2025. Cybersecurity and the NIST Framework: A Systematic Review of its Implementation and Effectiveness Against Cyber Threats. Int. J. Adv. Comput. Sci. Appl. 16. https://doi.org/10.14569/IJACSA.2025.0160672</w:t>
      </w:r>
    </w:p>
    <w:p w14:paraId="7DBB5F92" w14:textId="77777777" w:rsidR="00303267" w:rsidRPr="00303267" w:rsidRDefault="00303267" w:rsidP="00303267">
      <w:pPr>
        <w:pStyle w:val="Bibliography"/>
        <w:rPr>
          <w:rFonts w:cs="Times New Roman"/>
        </w:rPr>
      </w:pPr>
      <w:r w:rsidRPr="00303267">
        <w:rPr>
          <w:rFonts w:cs="Times New Roman"/>
        </w:rPr>
        <w:t>Saritac, U., Liu, X., Wang, R., 2022. Assessment of Cybersecurity Framework in Critical Infrastructures, in: 2022 IEEE Delhi Section Conference (DELCON). Presented at the 2022 IEEE Delhi Section Conference (DELCON), IEEE, New Delhi, India, pp. 1–4. https://doi.org/10.1109/DELCON54057.2022.9753250</w:t>
      </w:r>
    </w:p>
    <w:p w14:paraId="184E50B0" w14:textId="77777777" w:rsidR="00303267" w:rsidRPr="00303267" w:rsidRDefault="00303267" w:rsidP="00303267">
      <w:pPr>
        <w:pStyle w:val="Bibliography"/>
        <w:rPr>
          <w:rFonts w:cs="Times New Roman"/>
        </w:rPr>
      </w:pPr>
      <w:r w:rsidRPr="00303267">
        <w:rPr>
          <w:rFonts w:cs="Times New Roman"/>
        </w:rPr>
        <w:t>Serrano, J., Faustino, J., Adriano, D., Pereira, R., Da Silva, M., 2021. An IT Service Management Literature Review: Challenges, Benefits, Opportunities and Implementation Practices. Information 12, 111. https://doi.org/10.3390/info12030111</w:t>
      </w:r>
    </w:p>
    <w:p w14:paraId="0F7A321A" w14:textId="77777777" w:rsidR="00303267" w:rsidRPr="00303267" w:rsidRDefault="00303267" w:rsidP="00303267">
      <w:pPr>
        <w:pStyle w:val="Bibliography"/>
        <w:rPr>
          <w:rFonts w:cs="Times New Roman"/>
        </w:rPr>
      </w:pPr>
      <w:r w:rsidRPr="00303267">
        <w:rPr>
          <w:rFonts w:cs="Times New Roman"/>
        </w:rPr>
        <w:t>Shen, X., Brown, H., Tao, J., Strobel, M., Tong, Y., Narayan, A., Soh, H., Doshi-Velez, F., 2024. Towards Regulatable AI Systems: Technical Gaps and Policy Opportunities. https://doi.org/10.48550/arXiv.2306.12609</w:t>
      </w:r>
    </w:p>
    <w:p w14:paraId="5DE0D1D5" w14:textId="77777777" w:rsidR="00303267" w:rsidRPr="00303267" w:rsidRDefault="00303267" w:rsidP="00303267">
      <w:pPr>
        <w:pStyle w:val="Bibliography"/>
        <w:rPr>
          <w:rFonts w:cs="Times New Roman"/>
        </w:rPr>
      </w:pPr>
      <w:r w:rsidRPr="00303267">
        <w:rPr>
          <w:rFonts w:cs="Times New Roman"/>
        </w:rPr>
        <w:t>Tawo, O.E., Ajayi, R., 2025. IT Service Management and Configuration Management Database for Enhancing Efficiency and Compliance. Int. J. Res. Publ. Rev. 6, 4365–4381. https://doi.org/10.55248/gengpi.6.0125.0620</w:t>
      </w:r>
    </w:p>
    <w:p w14:paraId="14DEAFAC" w14:textId="77777777" w:rsidR="00303267" w:rsidRPr="00303267" w:rsidRDefault="00303267" w:rsidP="00303267">
      <w:pPr>
        <w:pStyle w:val="Bibliography"/>
        <w:rPr>
          <w:rFonts w:cs="Times New Roman"/>
        </w:rPr>
      </w:pPr>
      <w:r w:rsidRPr="00303267">
        <w:rPr>
          <w:rFonts w:cs="Times New Roman"/>
        </w:rPr>
        <w:t>Xenofontos, C., Zografopoulos, I., Konstantinou, C., Jolfaei, A., Khan, M.K., Choo, K.-K.R., 2021. Consumer, Commercial and Industrial IoT (In)Security: Attack Taxonomy and Case Studies. https://doi.org/10.48550/arXiv.2105.06612</w:t>
      </w:r>
    </w:p>
    <w:p w14:paraId="6F0B6E3D" w14:textId="0CAFC290" w:rsidR="00F80377" w:rsidRPr="009A78D6" w:rsidRDefault="000063EA" w:rsidP="009A78D6">
      <w:r>
        <w:fldChar w:fldCharType="end"/>
      </w:r>
    </w:p>
    <w:sectPr w:rsidR="00F80377" w:rsidRPr="009A78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EB8F93" w14:textId="77777777" w:rsidR="00116957" w:rsidRDefault="00116957" w:rsidP="00F80377">
      <w:pPr>
        <w:spacing w:after="0" w:line="240" w:lineRule="auto"/>
      </w:pPr>
      <w:r>
        <w:separator/>
      </w:r>
    </w:p>
  </w:endnote>
  <w:endnote w:type="continuationSeparator" w:id="0">
    <w:p w14:paraId="0110E0DD" w14:textId="77777777" w:rsidR="00116957" w:rsidRDefault="00116957" w:rsidP="00F803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FAC06D" w14:textId="77777777" w:rsidR="00116957" w:rsidRDefault="00116957" w:rsidP="00F80377">
      <w:pPr>
        <w:spacing w:after="0" w:line="240" w:lineRule="auto"/>
      </w:pPr>
      <w:r>
        <w:separator/>
      </w:r>
    </w:p>
  </w:footnote>
  <w:footnote w:type="continuationSeparator" w:id="0">
    <w:p w14:paraId="3161A644" w14:textId="77777777" w:rsidR="00116957" w:rsidRDefault="00116957" w:rsidP="00F803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7516"/>
    <w:rsid w:val="000063EA"/>
    <w:rsid w:val="00007A8E"/>
    <w:rsid w:val="000219B2"/>
    <w:rsid w:val="00023C5A"/>
    <w:rsid w:val="00031757"/>
    <w:rsid w:val="0004634F"/>
    <w:rsid w:val="00062E2C"/>
    <w:rsid w:val="00095328"/>
    <w:rsid w:val="000A1E43"/>
    <w:rsid w:val="000B26C0"/>
    <w:rsid w:val="000B57CC"/>
    <w:rsid w:val="000C4DF3"/>
    <w:rsid w:val="00116957"/>
    <w:rsid w:val="0012161A"/>
    <w:rsid w:val="001421A7"/>
    <w:rsid w:val="0015470B"/>
    <w:rsid w:val="0018472D"/>
    <w:rsid w:val="00184824"/>
    <w:rsid w:val="001C1CCD"/>
    <w:rsid w:val="001C53FB"/>
    <w:rsid w:val="001C576C"/>
    <w:rsid w:val="00217FF2"/>
    <w:rsid w:val="00243B92"/>
    <w:rsid w:val="00277C36"/>
    <w:rsid w:val="002B0968"/>
    <w:rsid w:val="002B450F"/>
    <w:rsid w:val="002B4661"/>
    <w:rsid w:val="002C1D64"/>
    <w:rsid w:val="002D3848"/>
    <w:rsid w:val="002E1B94"/>
    <w:rsid w:val="00303267"/>
    <w:rsid w:val="0032718A"/>
    <w:rsid w:val="003335EC"/>
    <w:rsid w:val="00334DD7"/>
    <w:rsid w:val="0035416E"/>
    <w:rsid w:val="00372785"/>
    <w:rsid w:val="003A686C"/>
    <w:rsid w:val="003B0836"/>
    <w:rsid w:val="003E15D5"/>
    <w:rsid w:val="004021FF"/>
    <w:rsid w:val="0041218F"/>
    <w:rsid w:val="004478E0"/>
    <w:rsid w:val="00456F18"/>
    <w:rsid w:val="00464494"/>
    <w:rsid w:val="0046466C"/>
    <w:rsid w:val="0047545C"/>
    <w:rsid w:val="00493A03"/>
    <w:rsid w:val="004A1E8E"/>
    <w:rsid w:val="004B747A"/>
    <w:rsid w:val="004C3F6C"/>
    <w:rsid w:val="005025E0"/>
    <w:rsid w:val="00506DF4"/>
    <w:rsid w:val="00573F6E"/>
    <w:rsid w:val="005762E2"/>
    <w:rsid w:val="005811E9"/>
    <w:rsid w:val="00581F1D"/>
    <w:rsid w:val="00582872"/>
    <w:rsid w:val="005A67BE"/>
    <w:rsid w:val="005A7569"/>
    <w:rsid w:val="005B090C"/>
    <w:rsid w:val="005E2696"/>
    <w:rsid w:val="00602F38"/>
    <w:rsid w:val="00605CB1"/>
    <w:rsid w:val="006466E0"/>
    <w:rsid w:val="00651E8E"/>
    <w:rsid w:val="00664F05"/>
    <w:rsid w:val="006833B2"/>
    <w:rsid w:val="00705415"/>
    <w:rsid w:val="007111E7"/>
    <w:rsid w:val="00714D7F"/>
    <w:rsid w:val="00724C80"/>
    <w:rsid w:val="00727516"/>
    <w:rsid w:val="00742729"/>
    <w:rsid w:val="00750778"/>
    <w:rsid w:val="0075653B"/>
    <w:rsid w:val="007807E5"/>
    <w:rsid w:val="0078774E"/>
    <w:rsid w:val="007C64C7"/>
    <w:rsid w:val="00815899"/>
    <w:rsid w:val="00873780"/>
    <w:rsid w:val="00882712"/>
    <w:rsid w:val="008F192C"/>
    <w:rsid w:val="00906E91"/>
    <w:rsid w:val="00917582"/>
    <w:rsid w:val="009254AB"/>
    <w:rsid w:val="00931A7A"/>
    <w:rsid w:val="0095493A"/>
    <w:rsid w:val="00954CF2"/>
    <w:rsid w:val="00970AD8"/>
    <w:rsid w:val="00972F0F"/>
    <w:rsid w:val="009848C0"/>
    <w:rsid w:val="009A78D6"/>
    <w:rsid w:val="009B07CC"/>
    <w:rsid w:val="009B6D57"/>
    <w:rsid w:val="009C7EB1"/>
    <w:rsid w:val="009D3B92"/>
    <w:rsid w:val="009E54C1"/>
    <w:rsid w:val="009F5A2F"/>
    <w:rsid w:val="00A3309D"/>
    <w:rsid w:val="00A333D0"/>
    <w:rsid w:val="00A55780"/>
    <w:rsid w:val="00A66337"/>
    <w:rsid w:val="00A81018"/>
    <w:rsid w:val="00AA767C"/>
    <w:rsid w:val="00AC11E2"/>
    <w:rsid w:val="00AC2302"/>
    <w:rsid w:val="00B10358"/>
    <w:rsid w:val="00B1293A"/>
    <w:rsid w:val="00B34151"/>
    <w:rsid w:val="00B408C7"/>
    <w:rsid w:val="00B445E3"/>
    <w:rsid w:val="00B56A1C"/>
    <w:rsid w:val="00B854B6"/>
    <w:rsid w:val="00BA7500"/>
    <w:rsid w:val="00BB7324"/>
    <w:rsid w:val="00BC41DE"/>
    <w:rsid w:val="00BC4EA3"/>
    <w:rsid w:val="00BC524B"/>
    <w:rsid w:val="00BC6143"/>
    <w:rsid w:val="00BE0E14"/>
    <w:rsid w:val="00C0606D"/>
    <w:rsid w:val="00C44041"/>
    <w:rsid w:val="00C824D7"/>
    <w:rsid w:val="00C853BF"/>
    <w:rsid w:val="00CC215C"/>
    <w:rsid w:val="00CC3546"/>
    <w:rsid w:val="00CD087A"/>
    <w:rsid w:val="00CE359C"/>
    <w:rsid w:val="00D0227D"/>
    <w:rsid w:val="00D044DA"/>
    <w:rsid w:val="00D04D9E"/>
    <w:rsid w:val="00D04EA9"/>
    <w:rsid w:val="00D15329"/>
    <w:rsid w:val="00D314BB"/>
    <w:rsid w:val="00D437E2"/>
    <w:rsid w:val="00D57417"/>
    <w:rsid w:val="00D85379"/>
    <w:rsid w:val="00DB68A4"/>
    <w:rsid w:val="00DD61AF"/>
    <w:rsid w:val="00DE4CD7"/>
    <w:rsid w:val="00E6360E"/>
    <w:rsid w:val="00EC29D1"/>
    <w:rsid w:val="00F21BF7"/>
    <w:rsid w:val="00F54165"/>
    <w:rsid w:val="00F67075"/>
    <w:rsid w:val="00F80377"/>
    <w:rsid w:val="00F97CB7"/>
    <w:rsid w:val="00FB7585"/>
    <w:rsid w:val="00FC0094"/>
    <w:rsid w:val="00FE3FB2"/>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AB04C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1"/>
        <w:lang w:val="en-GB" w:eastAsia="en-US" w:bidi="hi-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4DD7"/>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334DD7"/>
    <w:pPr>
      <w:keepNext/>
      <w:keepLines/>
      <w:spacing w:before="360" w:after="80"/>
      <w:outlineLvl w:val="0"/>
    </w:pPr>
    <w:rPr>
      <w:rFonts w:eastAsiaTheme="majorEastAsia" w:cstheme="majorBidi"/>
      <w:b/>
      <w:sz w:val="28"/>
      <w:szCs w:val="36"/>
    </w:rPr>
  </w:style>
  <w:style w:type="paragraph" w:styleId="Heading2">
    <w:name w:val="heading 2"/>
    <w:basedOn w:val="Normal"/>
    <w:next w:val="Normal"/>
    <w:link w:val="Heading2Char"/>
    <w:autoRedefine/>
    <w:uiPriority w:val="9"/>
    <w:unhideWhenUsed/>
    <w:qFormat/>
    <w:rsid w:val="00334DD7"/>
    <w:pPr>
      <w:keepNext/>
      <w:keepLines/>
      <w:spacing w:before="160" w:after="80"/>
      <w:outlineLvl w:val="1"/>
    </w:pPr>
    <w:rPr>
      <w:rFonts w:eastAsiaTheme="majorEastAsia" w:cstheme="majorBidi"/>
      <w:b/>
      <w:szCs w:val="29"/>
    </w:rPr>
  </w:style>
  <w:style w:type="paragraph" w:styleId="Heading3">
    <w:name w:val="heading 3"/>
    <w:basedOn w:val="Normal"/>
    <w:next w:val="Normal"/>
    <w:link w:val="Heading3Char"/>
    <w:autoRedefine/>
    <w:uiPriority w:val="9"/>
    <w:semiHidden/>
    <w:unhideWhenUsed/>
    <w:qFormat/>
    <w:rsid w:val="007807E5"/>
    <w:pPr>
      <w:keepNext/>
      <w:keepLines/>
      <w:spacing w:before="160" w:after="80"/>
      <w:outlineLvl w:val="2"/>
    </w:pPr>
    <w:rPr>
      <w:rFonts w:eastAsiaTheme="majorEastAsia" w:cstheme="majorBidi"/>
      <w:i/>
      <w:szCs w:val="25"/>
    </w:rPr>
  </w:style>
  <w:style w:type="paragraph" w:styleId="Heading4">
    <w:name w:val="heading 4"/>
    <w:basedOn w:val="Normal"/>
    <w:next w:val="Normal"/>
    <w:link w:val="Heading4Char"/>
    <w:uiPriority w:val="9"/>
    <w:semiHidden/>
    <w:unhideWhenUsed/>
    <w:qFormat/>
    <w:rsid w:val="0072751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2751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2751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2751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2751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2751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DD7"/>
    <w:rPr>
      <w:rFonts w:ascii="Times New Roman" w:eastAsiaTheme="majorEastAsia" w:hAnsi="Times New Roman" w:cstheme="majorBidi"/>
      <w:b/>
      <w:sz w:val="28"/>
      <w:szCs w:val="36"/>
    </w:rPr>
  </w:style>
  <w:style w:type="character" w:customStyle="1" w:styleId="Heading2Char">
    <w:name w:val="Heading 2 Char"/>
    <w:basedOn w:val="DefaultParagraphFont"/>
    <w:link w:val="Heading2"/>
    <w:uiPriority w:val="9"/>
    <w:rsid w:val="00334DD7"/>
    <w:rPr>
      <w:rFonts w:ascii="Times New Roman" w:eastAsiaTheme="majorEastAsia" w:hAnsi="Times New Roman" w:cstheme="majorBidi"/>
      <w:b/>
      <w:szCs w:val="29"/>
    </w:rPr>
  </w:style>
  <w:style w:type="character" w:customStyle="1" w:styleId="Heading3Char">
    <w:name w:val="Heading 3 Char"/>
    <w:basedOn w:val="DefaultParagraphFont"/>
    <w:link w:val="Heading3"/>
    <w:uiPriority w:val="9"/>
    <w:semiHidden/>
    <w:rsid w:val="007807E5"/>
    <w:rPr>
      <w:rFonts w:ascii="Times New Roman" w:eastAsiaTheme="majorEastAsia" w:hAnsi="Times New Roman" w:cstheme="majorBidi"/>
      <w:i/>
      <w:szCs w:val="25"/>
    </w:rPr>
  </w:style>
  <w:style w:type="character" w:customStyle="1" w:styleId="Heading4Char">
    <w:name w:val="Heading 4 Char"/>
    <w:basedOn w:val="DefaultParagraphFont"/>
    <w:link w:val="Heading4"/>
    <w:uiPriority w:val="9"/>
    <w:semiHidden/>
    <w:rsid w:val="007275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75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75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75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75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7516"/>
    <w:rPr>
      <w:rFonts w:eastAsiaTheme="majorEastAsia" w:cstheme="majorBidi"/>
      <w:color w:val="272727" w:themeColor="text1" w:themeTint="D8"/>
    </w:rPr>
  </w:style>
  <w:style w:type="paragraph" w:styleId="Title">
    <w:name w:val="Title"/>
    <w:basedOn w:val="Normal"/>
    <w:next w:val="Normal"/>
    <w:link w:val="TitleChar"/>
    <w:uiPriority w:val="10"/>
    <w:qFormat/>
    <w:rsid w:val="00727516"/>
    <w:pPr>
      <w:spacing w:after="8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727516"/>
    <w:rPr>
      <w:rFonts w:asciiTheme="majorHAnsi" w:eastAsiaTheme="majorEastAsia" w:hAnsiTheme="majorHAnsi" w:cstheme="majorBidi"/>
      <w:spacing w:val="-10"/>
      <w:kern w:val="28"/>
      <w:sz w:val="56"/>
      <w:szCs w:val="50"/>
    </w:rPr>
  </w:style>
  <w:style w:type="paragraph" w:styleId="Subtitle">
    <w:name w:val="Subtitle"/>
    <w:basedOn w:val="Normal"/>
    <w:next w:val="Normal"/>
    <w:link w:val="SubtitleChar"/>
    <w:uiPriority w:val="11"/>
    <w:qFormat/>
    <w:rsid w:val="00727516"/>
    <w:pPr>
      <w:numPr>
        <w:ilvl w:val="1"/>
      </w:numPr>
    </w:pPr>
    <w:rPr>
      <w:rFonts w:asciiTheme="minorHAnsi" w:eastAsiaTheme="majorEastAsia" w:hAnsiTheme="minorHAnsi"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727516"/>
    <w:rPr>
      <w:rFonts w:eastAsiaTheme="majorEastAsia" w:cstheme="majorBidi"/>
      <w:color w:val="595959" w:themeColor="text1" w:themeTint="A6"/>
      <w:spacing w:val="15"/>
      <w:sz w:val="28"/>
      <w:szCs w:val="25"/>
    </w:rPr>
  </w:style>
  <w:style w:type="paragraph" w:styleId="Quote">
    <w:name w:val="Quote"/>
    <w:basedOn w:val="Normal"/>
    <w:next w:val="Normal"/>
    <w:link w:val="QuoteChar"/>
    <w:uiPriority w:val="29"/>
    <w:qFormat/>
    <w:rsid w:val="00727516"/>
    <w:pPr>
      <w:spacing w:before="160"/>
      <w:jc w:val="center"/>
    </w:pPr>
    <w:rPr>
      <w:i/>
      <w:iCs/>
      <w:color w:val="404040" w:themeColor="text1" w:themeTint="BF"/>
    </w:rPr>
  </w:style>
  <w:style w:type="character" w:customStyle="1" w:styleId="QuoteChar">
    <w:name w:val="Quote Char"/>
    <w:basedOn w:val="DefaultParagraphFont"/>
    <w:link w:val="Quote"/>
    <w:uiPriority w:val="29"/>
    <w:rsid w:val="00727516"/>
    <w:rPr>
      <w:rFonts w:ascii="Times New Roman" w:hAnsi="Times New Roman"/>
      <w:i/>
      <w:iCs/>
      <w:color w:val="404040" w:themeColor="text1" w:themeTint="BF"/>
    </w:rPr>
  </w:style>
  <w:style w:type="paragraph" w:styleId="ListParagraph">
    <w:name w:val="List Paragraph"/>
    <w:basedOn w:val="Normal"/>
    <w:uiPriority w:val="34"/>
    <w:qFormat/>
    <w:rsid w:val="00727516"/>
    <w:pPr>
      <w:ind w:left="720"/>
      <w:contextualSpacing/>
    </w:pPr>
  </w:style>
  <w:style w:type="character" w:styleId="IntenseEmphasis">
    <w:name w:val="Intense Emphasis"/>
    <w:basedOn w:val="DefaultParagraphFont"/>
    <w:uiPriority w:val="21"/>
    <w:qFormat/>
    <w:rsid w:val="00727516"/>
    <w:rPr>
      <w:i/>
      <w:iCs/>
      <w:color w:val="0F4761" w:themeColor="accent1" w:themeShade="BF"/>
    </w:rPr>
  </w:style>
  <w:style w:type="paragraph" w:styleId="IntenseQuote">
    <w:name w:val="Intense Quote"/>
    <w:basedOn w:val="Normal"/>
    <w:next w:val="Normal"/>
    <w:link w:val="IntenseQuoteChar"/>
    <w:uiPriority w:val="30"/>
    <w:qFormat/>
    <w:rsid w:val="007275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7516"/>
    <w:rPr>
      <w:rFonts w:ascii="Times New Roman" w:hAnsi="Times New Roman"/>
      <w:i/>
      <w:iCs/>
      <w:color w:val="0F4761" w:themeColor="accent1" w:themeShade="BF"/>
    </w:rPr>
  </w:style>
  <w:style w:type="character" w:styleId="IntenseReference">
    <w:name w:val="Intense Reference"/>
    <w:basedOn w:val="DefaultParagraphFont"/>
    <w:uiPriority w:val="32"/>
    <w:qFormat/>
    <w:rsid w:val="00727516"/>
    <w:rPr>
      <w:b/>
      <w:bCs/>
      <w:smallCaps/>
      <w:color w:val="0F4761" w:themeColor="accent1" w:themeShade="BF"/>
      <w:spacing w:val="5"/>
    </w:rPr>
  </w:style>
  <w:style w:type="table" w:styleId="TableGrid">
    <w:name w:val="Table Grid"/>
    <w:basedOn w:val="TableNormal"/>
    <w:uiPriority w:val="39"/>
    <w:rsid w:val="00AA76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AA767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A767C"/>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Header">
    <w:name w:val="header"/>
    <w:basedOn w:val="Normal"/>
    <w:link w:val="HeaderChar"/>
    <w:uiPriority w:val="99"/>
    <w:unhideWhenUsed/>
    <w:rsid w:val="00F803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0377"/>
    <w:rPr>
      <w:rFonts w:ascii="Times New Roman" w:hAnsi="Times New Roman"/>
    </w:rPr>
  </w:style>
  <w:style w:type="paragraph" w:styleId="Footer">
    <w:name w:val="footer"/>
    <w:basedOn w:val="Normal"/>
    <w:link w:val="FooterChar"/>
    <w:uiPriority w:val="99"/>
    <w:unhideWhenUsed/>
    <w:rsid w:val="00F803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0377"/>
    <w:rPr>
      <w:rFonts w:ascii="Times New Roman" w:hAnsi="Times New Roman"/>
    </w:rPr>
  </w:style>
  <w:style w:type="table" w:styleId="GridTable1Light-Accent6">
    <w:name w:val="Grid Table 1 Light Accent 6"/>
    <w:basedOn w:val="TableNormal"/>
    <w:uiPriority w:val="46"/>
    <w:rsid w:val="002B0968"/>
    <w:pPr>
      <w:spacing w:after="0" w:line="240" w:lineRule="auto"/>
    </w:p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paragraph" w:styleId="Bibliography">
    <w:name w:val="Bibliography"/>
    <w:basedOn w:val="Normal"/>
    <w:next w:val="Normal"/>
    <w:uiPriority w:val="37"/>
    <w:unhideWhenUsed/>
    <w:rsid w:val="000063EA"/>
    <w:pPr>
      <w:spacing w:after="0" w:line="240" w:lineRule="auto"/>
      <w:ind w:left="720" w:hanging="720"/>
    </w:pPr>
  </w:style>
  <w:style w:type="paragraph" w:styleId="Caption">
    <w:name w:val="caption"/>
    <w:basedOn w:val="Normal"/>
    <w:next w:val="Normal"/>
    <w:uiPriority w:val="35"/>
    <w:unhideWhenUsed/>
    <w:qFormat/>
    <w:rsid w:val="00D85379"/>
    <w:pPr>
      <w:spacing w:after="200" w:line="240" w:lineRule="auto"/>
    </w:pPr>
    <w:rPr>
      <w:i/>
      <w:iCs/>
      <w:color w:val="0E2841" w:themeColor="text2"/>
      <w:sz w:val="18"/>
      <w:szCs w:val="16"/>
    </w:rPr>
  </w:style>
  <w:style w:type="paragraph" w:styleId="TOCHeading">
    <w:name w:val="TOC Heading"/>
    <w:basedOn w:val="Heading1"/>
    <w:next w:val="Normal"/>
    <w:uiPriority w:val="39"/>
    <w:unhideWhenUsed/>
    <w:qFormat/>
    <w:rsid w:val="00BC4EA3"/>
    <w:pPr>
      <w:spacing w:before="240" w:after="0" w:line="259" w:lineRule="auto"/>
      <w:jc w:val="left"/>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BC4EA3"/>
    <w:pPr>
      <w:spacing w:after="100"/>
    </w:pPr>
  </w:style>
  <w:style w:type="paragraph" w:styleId="TOC2">
    <w:name w:val="toc 2"/>
    <w:basedOn w:val="Normal"/>
    <w:next w:val="Normal"/>
    <w:autoRedefine/>
    <w:uiPriority w:val="39"/>
    <w:unhideWhenUsed/>
    <w:rsid w:val="00BC4EA3"/>
    <w:pPr>
      <w:spacing w:after="100"/>
      <w:ind w:left="240"/>
    </w:pPr>
  </w:style>
  <w:style w:type="character" w:styleId="Hyperlink">
    <w:name w:val="Hyperlink"/>
    <w:basedOn w:val="DefaultParagraphFont"/>
    <w:uiPriority w:val="99"/>
    <w:unhideWhenUsed/>
    <w:rsid w:val="00BC4EA3"/>
    <w:rPr>
      <w:color w:val="467886" w:themeColor="hyperlink"/>
      <w:u w:val="single"/>
    </w:rPr>
  </w:style>
  <w:style w:type="paragraph" w:styleId="TableofFigures">
    <w:name w:val="table of figures"/>
    <w:basedOn w:val="Normal"/>
    <w:next w:val="Normal"/>
    <w:uiPriority w:val="99"/>
    <w:unhideWhenUsed/>
    <w:rsid w:val="0030326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3D2D83-71E7-4A09-BB52-A7C30F1448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13706</Words>
  <Characters>78127</Characters>
  <Application>Microsoft Office Word</Application>
  <DocSecurity>0</DocSecurity>
  <Lines>651</Lines>
  <Paragraphs>183</Paragraphs>
  <ScaleCrop>false</ScaleCrop>
  <Company/>
  <LinksUpToDate>false</LinksUpToDate>
  <CharactersWithSpaces>91650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2025-11-25T16:08:00Z</dcterms:created>
  <dcterms:modified xsi:type="dcterms:W3CDTF">2025-11-25T16:08:00Z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id="CT2xR0mF"/&gt;&lt;style id="http://www.zotero.org/styles/elsevier-harvard" hasBibliography="1" bibliographyStyleHasBeenSet="0"/&gt;&lt;prefs&gt;&lt;pref name="fieldType" value="Field"/&gt;&lt;pref name="automaticJournal</vt:lpwstr>
  </property>
  <property fmtid="{D5CDD505-2E9C-101B-9397-08002B2CF9AE}" pid="3" name="ZOTERO_PREF_2">
    <vt:lpwstr>Abbreviations" value="true"/&gt;&lt;/prefs&gt;&lt;/data&gt;</vt:lpwstr>
  </property>
</Properties>
</file>