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F1ADA" w14:textId="33656627" w:rsidR="006154C4" w:rsidRDefault="006154C4" w:rsidP="006154C4">
      <w:pPr>
        <w:jc w:val="center"/>
        <w:rPr>
          <w:sz w:val="28"/>
          <w:szCs w:val="28"/>
          <w:u w:val="single"/>
        </w:rPr>
      </w:pPr>
      <w:r w:rsidRPr="006154C4">
        <w:rPr>
          <w:sz w:val="28"/>
          <w:szCs w:val="28"/>
          <w:u w:val="single"/>
        </w:rPr>
        <w:t xml:space="preserve">Reception </w:t>
      </w:r>
      <w:r w:rsidR="003B2ED3">
        <w:rPr>
          <w:sz w:val="28"/>
          <w:szCs w:val="28"/>
          <w:u w:val="single"/>
        </w:rPr>
        <w:t>History</w:t>
      </w:r>
      <w:r w:rsidRPr="006154C4">
        <w:rPr>
          <w:sz w:val="28"/>
          <w:szCs w:val="28"/>
          <w:u w:val="single"/>
        </w:rPr>
        <w:t xml:space="preserve"> </w:t>
      </w:r>
    </w:p>
    <w:p w14:paraId="014F5489" w14:textId="08BEA510" w:rsidR="006A285C" w:rsidRDefault="006154C4" w:rsidP="006154C4">
      <w:pPr>
        <w:jc w:val="center"/>
        <w:rPr>
          <w:sz w:val="28"/>
          <w:szCs w:val="28"/>
          <w:u w:val="single"/>
        </w:rPr>
      </w:pPr>
      <w:r w:rsidRPr="006154C4">
        <w:rPr>
          <w:sz w:val="28"/>
          <w:szCs w:val="28"/>
          <w:u w:val="single"/>
        </w:rPr>
        <w:t>and its Validity in Biblical Studies</w:t>
      </w:r>
    </w:p>
    <w:p w14:paraId="58FBACD0" w14:textId="3A66BB72" w:rsidR="006154C4" w:rsidRPr="00022C5F" w:rsidRDefault="006154C4" w:rsidP="006154C4">
      <w:pPr>
        <w:rPr>
          <w:color w:val="FF0000"/>
          <w:sz w:val="24"/>
          <w:szCs w:val="24"/>
        </w:rPr>
      </w:pPr>
      <w:r>
        <w:rPr>
          <w:sz w:val="24"/>
          <w:szCs w:val="24"/>
        </w:rPr>
        <w:tab/>
        <w:t>Reception History as a theory is a relatively new concept in biblical studies</w:t>
      </w:r>
      <w:r w:rsidR="003B2ED3">
        <w:rPr>
          <w:sz w:val="24"/>
          <w:szCs w:val="24"/>
        </w:rPr>
        <w:t xml:space="preserve"> and originates in the field of media studies</w:t>
      </w:r>
      <w:r w:rsidR="00432EF3">
        <w:rPr>
          <w:sz w:val="24"/>
          <w:szCs w:val="24"/>
        </w:rPr>
        <w:t xml:space="preserve"> as reception theory</w:t>
      </w:r>
      <w:r w:rsidR="003C1E9C" w:rsidRPr="00A70D19">
        <w:rPr>
          <w:sz w:val="24"/>
          <w:szCs w:val="24"/>
        </w:rPr>
        <w:t xml:space="preserve">. </w:t>
      </w:r>
      <w:r w:rsidR="003B2ED3" w:rsidRPr="00A70D19">
        <w:rPr>
          <w:sz w:val="24"/>
          <w:szCs w:val="24"/>
        </w:rPr>
        <w:t>One of the first</w:t>
      </w:r>
      <w:r w:rsidR="003C1E9C" w:rsidRPr="00A70D19">
        <w:rPr>
          <w:sz w:val="24"/>
          <w:szCs w:val="24"/>
        </w:rPr>
        <w:t xml:space="preserve"> </w:t>
      </w:r>
      <w:r w:rsidR="00432EF3" w:rsidRPr="00A70D19">
        <w:rPr>
          <w:sz w:val="24"/>
          <w:szCs w:val="24"/>
        </w:rPr>
        <w:t xml:space="preserve">scholars </w:t>
      </w:r>
      <w:r w:rsidR="003B2ED3" w:rsidRPr="00A70D19">
        <w:rPr>
          <w:sz w:val="24"/>
          <w:szCs w:val="24"/>
        </w:rPr>
        <w:t xml:space="preserve">to </w:t>
      </w:r>
      <w:r w:rsidR="003C1E9C" w:rsidRPr="00A70D19">
        <w:rPr>
          <w:sz w:val="24"/>
          <w:szCs w:val="24"/>
        </w:rPr>
        <w:t>publish</w:t>
      </w:r>
      <w:r w:rsidR="00432EF3" w:rsidRPr="00A70D19">
        <w:rPr>
          <w:sz w:val="24"/>
          <w:szCs w:val="24"/>
        </w:rPr>
        <w:t xml:space="preserve"> reception theory was</w:t>
      </w:r>
      <w:r w:rsidR="003B2ED3" w:rsidRPr="00A70D19">
        <w:rPr>
          <w:sz w:val="24"/>
          <w:szCs w:val="24"/>
        </w:rPr>
        <w:t xml:space="preserve"> </w:t>
      </w:r>
      <w:r w:rsidR="00D01EF6" w:rsidRPr="00A70D19">
        <w:rPr>
          <w:sz w:val="24"/>
          <w:szCs w:val="24"/>
        </w:rPr>
        <w:t>Stuart Hall</w:t>
      </w:r>
      <w:r w:rsidR="003C1E9C" w:rsidRPr="00A70D19">
        <w:rPr>
          <w:sz w:val="24"/>
          <w:szCs w:val="24"/>
        </w:rPr>
        <w:t xml:space="preserve"> </w:t>
      </w:r>
      <w:r w:rsidR="003B2ED3" w:rsidRPr="00A70D19">
        <w:rPr>
          <w:sz w:val="24"/>
          <w:szCs w:val="24"/>
        </w:rPr>
        <w:t>(</w:t>
      </w:r>
      <w:r w:rsidR="003C1E9C" w:rsidRPr="00A70D19">
        <w:rPr>
          <w:sz w:val="24"/>
          <w:szCs w:val="24"/>
        </w:rPr>
        <w:t>1973</w:t>
      </w:r>
      <w:r w:rsidR="003B2ED3" w:rsidRPr="00A70D19">
        <w:rPr>
          <w:sz w:val="24"/>
          <w:szCs w:val="24"/>
        </w:rPr>
        <w:t>) with his paper</w:t>
      </w:r>
      <w:r w:rsidR="00D01EF6" w:rsidRPr="00A70D19">
        <w:rPr>
          <w:sz w:val="24"/>
          <w:szCs w:val="24"/>
        </w:rPr>
        <w:t xml:space="preserve"> </w:t>
      </w:r>
      <w:r w:rsidR="00D01EF6" w:rsidRPr="00A70D19">
        <w:rPr>
          <w:sz w:val="24"/>
          <w:szCs w:val="24"/>
        </w:rPr>
        <w:t>“</w:t>
      </w:r>
      <w:r w:rsidR="00D01EF6" w:rsidRPr="00A70D19">
        <w:rPr>
          <w:sz w:val="24"/>
          <w:szCs w:val="24"/>
        </w:rPr>
        <w:t xml:space="preserve">Encoding and Decoding in the Television </w:t>
      </w:r>
      <w:r w:rsidR="00D01EF6" w:rsidRPr="00A42754">
        <w:rPr>
          <w:sz w:val="24"/>
          <w:szCs w:val="24"/>
        </w:rPr>
        <w:t>Discourse</w:t>
      </w:r>
      <w:r w:rsidR="00D01EF6" w:rsidRPr="00A42754">
        <w:rPr>
          <w:sz w:val="24"/>
          <w:szCs w:val="24"/>
        </w:rPr>
        <w:t>.”</w:t>
      </w:r>
      <w:r w:rsidR="00432EF3" w:rsidRPr="00A42754">
        <w:rPr>
          <w:sz w:val="24"/>
          <w:szCs w:val="24"/>
        </w:rPr>
        <w:t xml:space="preserve"> This paper focused on Reception theories use as to analyse hidden meaning in </w:t>
      </w:r>
      <w:r w:rsidR="00F80E49" w:rsidRPr="00A42754">
        <w:rPr>
          <w:sz w:val="24"/>
          <w:szCs w:val="24"/>
        </w:rPr>
        <w:t>media</w:t>
      </w:r>
      <w:r w:rsidR="0005770C" w:rsidRPr="00A42754">
        <w:rPr>
          <w:sz w:val="24"/>
          <w:szCs w:val="24"/>
        </w:rPr>
        <w:t>.</w:t>
      </w:r>
      <w:r w:rsidR="00432EF3" w:rsidRPr="00A42754">
        <w:rPr>
          <w:sz w:val="24"/>
          <w:szCs w:val="24"/>
        </w:rPr>
        <w:t xml:space="preserve"> </w:t>
      </w:r>
      <w:r w:rsidR="0005770C" w:rsidRPr="00A42754">
        <w:rPr>
          <w:sz w:val="24"/>
          <w:szCs w:val="24"/>
        </w:rPr>
        <w:t>T</w:t>
      </w:r>
      <w:r w:rsidR="00432EF3" w:rsidRPr="00A42754">
        <w:rPr>
          <w:sz w:val="24"/>
          <w:szCs w:val="24"/>
        </w:rPr>
        <w:t xml:space="preserve">his was later extended into reception history </w:t>
      </w:r>
      <w:r w:rsidR="00022C5F" w:rsidRPr="00A42754">
        <w:rPr>
          <w:sz w:val="24"/>
          <w:szCs w:val="24"/>
        </w:rPr>
        <w:t xml:space="preserve">one scholar </w:t>
      </w:r>
      <w:r w:rsidR="00022C5F" w:rsidRPr="00A42754">
        <w:rPr>
          <w:sz w:val="24"/>
          <w:szCs w:val="24"/>
        </w:rPr>
        <w:t>Brennan Breed</w:t>
      </w:r>
      <w:r w:rsidR="00022C5F" w:rsidRPr="00A42754">
        <w:rPr>
          <w:sz w:val="24"/>
          <w:szCs w:val="24"/>
        </w:rPr>
        <w:t xml:space="preserve"> (</w:t>
      </w:r>
      <w:r w:rsidR="00D1496E" w:rsidRPr="00A42754">
        <w:rPr>
          <w:sz w:val="24"/>
          <w:szCs w:val="24"/>
        </w:rPr>
        <w:t>2003</w:t>
      </w:r>
      <w:r w:rsidR="00022C5F" w:rsidRPr="00A42754">
        <w:rPr>
          <w:sz w:val="24"/>
          <w:szCs w:val="24"/>
        </w:rPr>
        <w:t>) defines Reception history as “</w:t>
      </w:r>
      <w:r w:rsidR="00022C5F" w:rsidRPr="00A42754">
        <w:rPr>
          <w:sz w:val="24"/>
          <w:szCs w:val="24"/>
        </w:rPr>
        <w:t>the study of how biblical texts have changed over time in different cultures and communities, through transmission, translation, or reading, retelling, and reworking. In other words, reception history explores all the different ways that people have received, appropriated, and used biblical texts throughout history.</w:t>
      </w:r>
      <w:r w:rsidR="00022C5F" w:rsidRPr="00A42754">
        <w:rPr>
          <w:sz w:val="24"/>
          <w:szCs w:val="24"/>
        </w:rPr>
        <w:t xml:space="preserve">” Breed also states that authors have examined and used reception history without the knowledge of its existence </w:t>
      </w:r>
      <w:r w:rsidR="00432EF3" w:rsidRPr="00A42754">
        <w:rPr>
          <w:sz w:val="24"/>
          <w:szCs w:val="24"/>
        </w:rPr>
        <w:t xml:space="preserve">to examine the </w:t>
      </w:r>
      <w:r w:rsidR="00926988" w:rsidRPr="00A42754">
        <w:rPr>
          <w:sz w:val="24"/>
          <w:szCs w:val="24"/>
        </w:rPr>
        <w:t>“</w:t>
      </w:r>
      <w:r w:rsidR="00432EF3" w:rsidRPr="00A42754">
        <w:rPr>
          <w:sz w:val="24"/>
          <w:szCs w:val="24"/>
        </w:rPr>
        <w:t>hidden</w:t>
      </w:r>
      <w:r w:rsidR="00926988" w:rsidRPr="00A42754">
        <w:rPr>
          <w:sz w:val="24"/>
          <w:szCs w:val="24"/>
        </w:rPr>
        <w:t>”</w:t>
      </w:r>
      <w:r w:rsidR="00432EF3" w:rsidRPr="00A42754">
        <w:rPr>
          <w:sz w:val="24"/>
          <w:szCs w:val="24"/>
        </w:rPr>
        <w:t xml:space="preserve"> meaning in biblical writings</w:t>
      </w:r>
      <w:r w:rsidR="00AF45A0" w:rsidRPr="00A42754">
        <w:rPr>
          <w:sz w:val="24"/>
          <w:szCs w:val="24"/>
        </w:rPr>
        <w:t xml:space="preserve"> and iconography</w:t>
      </w:r>
      <w:r w:rsidR="00432EF3" w:rsidRPr="00A42754">
        <w:rPr>
          <w:sz w:val="24"/>
          <w:szCs w:val="24"/>
        </w:rPr>
        <w:t>.</w:t>
      </w:r>
      <w:r w:rsidR="003F2265" w:rsidRPr="00A42754">
        <w:rPr>
          <w:sz w:val="24"/>
          <w:szCs w:val="24"/>
        </w:rPr>
        <w:t xml:space="preserve"> </w:t>
      </w:r>
      <w:r w:rsidR="003F2265" w:rsidRPr="00FB087B">
        <w:rPr>
          <w:sz w:val="24"/>
          <w:szCs w:val="24"/>
        </w:rPr>
        <w:t xml:space="preserve">There are many intricacies to this theory which may lead to </w:t>
      </w:r>
      <w:r w:rsidR="003F2265" w:rsidRPr="005F4EB3">
        <w:rPr>
          <w:sz w:val="24"/>
          <w:szCs w:val="24"/>
        </w:rPr>
        <w:t>vastly different outcomes dependant on societal norms and values alongside personal biases.</w:t>
      </w:r>
      <w:r w:rsidR="00FB087B" w:rsidRPr="005F4EB3">
        <w:rPr>
          <w:sz w:val="24"/>
          <w:szCs w:val="24"/>
        </w:rPr>
        <w:t xml:space="preserve"> Reception History primarily focuses on the interpretations of wider society as opposed to the individual, attempting to analyse the meanings behind cultural laws and events relating to biblical writings</w:t>
      </w:r>
      <w:r w:rsidR="00AF45A0" w:rsidRPr="005F4EB3">
        <w:rPr>
          <w:sz w:val="24"/>
          <w:szCs w:val="24"/>
        </w:rPr>
        <w:t xml:space="preserve"> and iconography</w:t>
      </w:r>
      <w:r w:rsidR="00FB087B" w:rsidRPr="005F4EB3">
        <w:rPr>
          <w:sz w:val="24"/>
          <w:szCs w:val="24"/>
        </w:rPr>
        <w:t>.</w:t>
      </w:r>
      <w:r w:rsidR="003F2265" w:rsidRPr="005F4EB3">
        <w:rPr>
          <w:sz w:val="24"/>
          <w:szCs w:val="24"/>
        </w:rPr>
        <w:t xml:space="preserve"> The validity of reception history</w:t>
      </w:r>
      <w:r w:rsidR="00926988" w:rsidRPr="005F4EB3">
        <w:rPr>
          <w:sz w:val="24"/>
          <w:szCs w:val="24"/>
        </w:rPr>
        <w:t xml:space="preserve"> can be a contentious point as many Christians believe the Bible to be the word of God and has no room for interpretation</w:t>
      </w:r>
      <w:r w:rsidR="00667B56" w:rsidRPr="005F4EB3">
        <w:rPr>
          <w:sz w:val="24"/>
          <w:szCs w:val="24"/>
        </w:rPr>
        <w:t>.</w:t>
      </w:r>
      <w:r w:rsidR="00926988" w:rsidRPr="005F4EB3">
        <w:rPr>
          <w:sz w:val="24"/>
          <w:szCs w:val="24"/>
        </w:rPr>
        <w:t xml:space="preserve"> </w:t>
      </w:r>
      <w:r w:rsidR="00667B56" w:rsidRPr="005F4EB3">
        <w:rPr>
          <w:sz w:val="24"/>
          <w:szCs w:val="24"/>
        </w:rPr>
        <w:t>This</w:t>
      </w:r>
      <w:r w:rsidR="00926988" w:rsidRPr="005F4EB3">
        <w:rPr>
          <w:sz w:val="24"/>
          <w:szCs w:val="24"/>
        </w:rPr>
        <w:t xml:space="preserve"> is an attitude </w:t>
      </w:r>
      <w:r w:rsidR="006F0095" w:rsidRPr="005F4EB3">
        <w:rPr>
          <w:sz w:val="24"/>
          <w:szCs w:val="24"/>
        </w:rPr>
        <w:t>shared among</w:t>
      </w:r>
      <w:r w:rsidR="00667B56" w:rsidRPr="005F4EB3">
        <w:rPr>
          <w:sz w:val="24"/>
          <w:szCs w:val="24"/>
        </w:rPr>
        <w:t xml:space="preserve"> parts</w:t>
      </w:r>
      <w:r w:rsidR="00926988" w:rsidRPr="005F4EB3">
        <w:rPr>
          <w:sz w:val="24"/>
          <w:szCs w:val="24"/>
        </w:rPr>
        <w:t xml:space="preserve"> all of the Abrahamic faiths</w:t>
      </w:r>
      <w:r w:rsidR="006F0095" w:rsidRPr="005F4EB3">
        <w:rPr>
          <w:sz w:val="24"/>
          <w:szCs w:val="24"/>
        </w:rPr>
        <w:t xml:space="preserve"> (Judaism, Christianity, and Islam)</w:t>
      </w:r>
      <w:r w:rsidR="00926988" w:rsidRPr="005F4EB3">
        <w:rPr>
          <w:sz w:val="24"/>
          <w:szCs w:val="24"/>
        </w:rPr>
        <w:t>.</w:t>
      </w:r>
      <w:r w:rsidR="00432EF3" w:rsidRPr="005F4EB3">
        <w:rPr>
          <w:sz w:val="24"/>
          <w:szCs w:val="24"/>
        </w:rPr>
        <w:t xml:space="preserve"> </w:t>
      </w:r>
      <w:r w:rsidR="008F5ED0" w:rsidRPr="005F4EB3">
        <w:rPr>
          <w:sz w:val="24"/>
          <w:szCs w:val="24"/>
        </w:rPr>
        <w:t xml:space="preserve">The application of reception history is debated as to its validity in biblical studies. This paper hopes to delve </w:t>
      </w:r>
      <w:r w:rsidR="008F5ED0" w:rsidRPr="00A70D19">
        <w:rPr>
          <w:sz w:val="24"/>
          <w:szCs w:val="24"/>
        </w:rPr>
        <w:t xml:space="preserve">into the theories behind reception theory and discuss its validity in the field of biblical studies. </w:t>
      </w:r>
    </w:p>
    <w:p w14:paraId="5424CC22" w14:textId="65C5015D" w:rsidR="00AF45A0" w:rsidRDefault="00AF45A0" w:rsidP="006154C4">
      <w:pPr>
        <w:rPr>
          <w:sz w:val="24"/>
          <w:szCs w:val="24"/>
        </w:rPr>
      </w:pPr>
      <w:r>
        <w:rPr>
          <w:sz w:val="24"/>
          <w:szCs w:val="24"/>
        </w:rPr>
        <w:tab/>
        <w:t xml:space="preserve">Historically in Europe the Abrahamic faiths have impacted all elements of society and all the positions held in society. This is evidently clear with the reach and power the Catholic church held between the </w:t>
      </w:r>
      <w:r w:rsidR="009A3D21">
        <w:rPr>
          <w:sz w:val="24"/>
          <w:szCs w:val="24"/>
        </w:rPr>
        <w:t>5</w:t>
      </w:r>
      <w:r w:rsidRPr="00AF45A0">
        <w:rPr>
          <w:sz w:val="24"/>
          <w:szCs w:val="24"/>
          <w:vertAlign w:val="superscript"/>
        </w:rPr>
        <w:t>th</w:t>
      </w:r>
      <w:r>
        <w:rPr>
          <w:sz w:val="24"/>
          <w:szCs w:val="24"/>
        </w:rPr>
        <w:t xml:space="preserve"> century to the reformation beginning in the 16</w:t>
      </w:r>
      <w:r w:rsidRPr="00AF45A0">
        <w:rPr>
          <w:sz w:val="24"/>
          <w:szCs w:val="24"/>
          <w:vertAlign w:val="superscript"/>
        </w:rPr>
        <w:t>th</w:t>
      </w:r>
      <w:r>
        <w:rPr>
          <w:sz w:val="24"/>
          <w:szCs w:val="24"/>
        </w:rPr>
        <w:t xml:space="preserve"> century where Protestantism begins to emerge and directly compete with the power of Catholicism</w:t>
      </w:r>
      <w:r w:rsidRPr="003F6E74">
        <w:rPr>
          <w:sz w:val="24"/>
          <w:szCs w:val="24"/>
        </w:rPr>
        <w:t>.</w:t>
      </w:r>
      <w:r w:rsidR="00454E9A" w:rsidRPr="00454E9A">
        <w:rPr>
          <w:rStyle w:val="FootnoteReference"/>
          <w:sz w:val="24"/>
          <w:szCs w:val="24"/>
        </w:rPr>
        <w:footnoteReference w:id="1"/>
      </w:r>
      <w:r w:rsidRPr="003F6E74">
        <w:rPr>
          <w:sz w:val="24"/>
          <w:szCs w:val="24"/>
        </w:rPr>
        <w:t xml:space="preserve"> </w:t>
      </w:r>
      <w:r w:rsidR="00BE7796" w:rsidRPr="003F6E74">
        <w:rPr>
          <w:sz w:val="24"/>
          <w:szCs w:val="24"/>
        </w:rPr>
        <w:t>Later in History these Christian ideals</w:t>
      </w:r>
      <w:r w:rsidR="004B6EA7" w:rsidRPr="003F6E74">
        <w:rPr>
          <w:sz w:val="24"/>
          <w:szCs w:val="24"/>
        </w:rPr>
        <w:t xml:space="preserve"> expands further</w:t>
      </w:r>
      <w:r w:rsidR="00BE7796" w:rsidRPr="003F6E74">
        <w:rPr>
          <w:sz w:val="24"/>
          <w:szCs w:val="24"/>
        </w:rPr>
        <w:t>.</w:t>
      </w:r>
      <w:r w:rsidR="00BE7796" w:rsidRPr="00F542CF">
        <w:rPr>
          <w:color w:val="FF0000"/>
          <w:sz w:val="24"/>
          <w:szCs w:val="24"/>
        </w:rPr>
        <w:t xml:space="preserve"> </w:t>
      </w:r>
      <w:r w:rsidR="00BE7796" w:rsidRPr="003F6E74">
        <w:rPr>
          <w:sz w:val="24"/>
          <w:szCs w:val="24"/>
        </w:rPr>
        <w:t>D</w:t>
      </w:r>
      <w:r w:rsidR="004B6EA7" w:rsidRPr="003F6E74">
        <w:rPr>
          <w:sz w:val="24"/>
          <w:szCs w:val="24"/>
        </w:rPr>
        <w:t>uring the 18</w:t>
      </w:r>
      <w:r w:rsidR="004B6EA7" w:rsidRPr="003F6E74">
        <w:rPr>
          <w:sz w:val="24"/>
          <w:szCs w:val="24"/>
          <w:vertAlign w:val="superscript"/>
        </w:rPr>
        <w:t>th</w:t>
      </w:r>
      <w:r w:rsidR="004B6EA7" w:rsidRPr="003F6E74">
        <w:rPr>
          <w:sz w:val="24"/>
          <w:szCs w:val="24"/>
        </w:rPr>
        <w:t xml:space="preserve"> to 20</w:t>
      </w:r>
      <w:r w:rsidR="004B6EA7" w:rsidRPr="003F6E74">
        <w:rPr>
          <w:sz w:val="24"/>
          <w:szCs w:val="24"/>
          <w:vertAlign w:val="superscript"/>
        </w:rPr>
        <w:t>th</w:t>
      </w:r>
      <w:r w:rsidR="004B6EA7" w:rsidRPr="003F6E74">
        <w:rPr>
          <w:sz w:val="24"/>
          <w:szCs w:val="24"/>
        </w:rPr>
        <w:t xml:space="preserve"> century with the development of </w:t>
      </w:r>
      <w:r w:rsidR="00BE7796" w:rsidRPr="003F6E74">
        <w:rPr>
          <w:sz w:val="24"/>
          <w:szCs w:val="24"/>
        </w:rPr>
        <w:t xml:space="preserve">more </w:t>
      </w:r>
      <w:r w:rsidR="004B6EA7" w:rsidRPr="003F6E74">
        <w:rPr>
          <w:sz w:val="24"/>
          <w:szCs w:val="24"/>
        </w:rPr>
        <w:t>sects of Christianity in the new world such as Mormonism</w:t>
      </w:r>
      <w:r w:rsidR="00BE7796" w:rsidRPr="003F6E74">
        <w:rPr>
          <w:sz w:val="24"/>
          <w:szCs w:val="24"/>
        </w:rPr>
        <w:t xml:space="preserve"> </w:t>
      </w:r>
      <w:r w:rsidR="000D45B1">
        <w:rPr>
          <w:sz w:val="24"/>
          <w:szCs w:val="24"/>
        </w:rPr>
        <w:t xml:space="preserve">(Church of Latter Day Saints) </w:t>
      </w:r>
      <w:r w:rsidR="00BE7796" w:rsidRPr="003F6E74">
        <w:rPr>
          <w:sz w:val="24"/>
          <w:szCs w:val="24"/>
        </w:rPr>
        <w:t>and Jehovah’s Witnesses</w:t>
      </w:r>
      <w:r w:rsidR="004B6EA7" w:rsidRPr="003F6E74">
        <w:rPr>
          <w:sz w:val="24"/>
          <w:szCs w:val="24"/>
        </w:rPr>
        <w:t>.</w:t>
      </w:r>
      <w:r w:rsidR="00F542CF" w:rsidRPr="00454E9A">
        <w:rPr>
          <w:rStyle w:val="FootnoteReference"/>
          <w:sz w:val="24"/>
          <w:szCs w:val="24"/>
        </w:rPr>
        <w:footnoteReference w:id="2"/>
      </w:r>
      <w:r w:rsidR="004B6EA7" w:rsidRPr="00F542CF">
        <w:rPr>
          <w:color w:val="FF0000"/>
          <w:sz w:val="24"/>
          <w:szCs w:val="24"/>
        </w:rPr>
        <w:t xml:space="preserve"> </w:t>
      </w:r>
      <w:r w:rsidR="001E693E" w:rsidRPr="003F6E74">
        <w:rPr>
          <w:sz w:val="24"/>
          <w:szCs w:val="24"/>
        </w:rPr>
        <w:t xml:space="preserve">Each of these groups that have widely different beliefs despite all being Christians are </w:t>
      </w:r>
      <w:r w:rsidR="009C4B99" w:rsidRPr="003F6E74">
        <w:rPr>
          <w:sz w:val="24"/>
          <w:szCs w:val="24"/>
        </w:rPr>
        <w:t>compelling</w:t>
      </w:r>
      <w:r w:rsidR="001E693E" w:rsidRPr="003F6E74">
        <w:rPr>
          <w:sz w:val="24"/>
          <w:szCs w:val="24"/>
        </w:rPr>
        <w:t xml:space="preserve"> example</w:t>
      </w:r>
      <w:r w:rsidR="009C4B99" w:rsidRPr="003F6E74">
        <w:rPr>
          <w:sz w:val="24"/>
          <w:szCs w:val="24"/>
        </w:rPr>
        <w:t>s</w:t>
      </w:r>
      <w:r w:rsidR="001E693E" w:rsidRPr="003F6E74">
        <w:rPr>
          <w:sz w:val="24"/>
          <w:szCs w:val="24"/>
        </w:rPr>
        <w:t xml:space="preserve"> of how </w:t>
      </w:r>
      <w:r w:rsidR="009C4B99" w:rsidRPr="003F6E74">
        <w:rPr>
          <w:sz w:val="24"/>
          <w:szCs w:val="24"/>
        </w:rPr>
        <w:t xml:space="preserve">the </w:t>
      </w:r>
      <w:r w:rsidR="001E693E" w:rsidRPr="003F6E74">
        <w:rPr>
          <w:sz w:val="24"/>
          <w:szCs w:val="24"/>
        </w:rPr>
        <w:t xml:space="preserve">reception </w:t>
      </w:r>
      <w:r w:rsidR="009C4B99" w:rsidRPr="003F6E74">
        <w:rPr>
          <w:sz w:val="24"/>
          <w:szCs w:val="24"/>
        </w:rPr>
        <w:t>of biblical texts have been interpreted</w:t>
      </w:r>
      <w:r w:rsidR="001E693E" w:rsidRPr="003F6E74">
        <w:rPr>
          <w:sz w:val="24"/>
          <w:szCs w:val="24"/>
        </w:rPr>
        <w:t xml:space="preserve"> different ways despite each of these groups ultimately calling themselves “Christian.” </w:t>
      </w:r>
      <w:r w:rsidR="009C4B99">
        <w:rPr>
          <w:sz w:val="24"/>
          <w:szCs w:val="24"/>
        </w:rPr>
        <w:t>It must be noted however</w:t>
      </w:r>
      <w:r w:rsidR="000D45B1">
        <w:rPr>
          <w:sz w:val="24"/>
          <w:szCs w:val="24"/>
        </w:rPr>
        <w:t>,</w:t>
      </w:r>
      <w:r w:rsidR="009C4B99">
        <w:rPr>
          <w:sz w:val="24"/>
          <w:szCs w:val="24"/>
        </w:rPr>
        <w:t xml:space="preserve"> that sects such as Mormonism have also added a significant amount of lore to their religious ideologies not present in contemporary biblical texts. </w:t>
      </w:r>
      <w:r w:rsidR="00323645">
        <w:rPr>
          <w:sz w:val="24"/>
          <w:szCs w:val="24"/>
        </w:rPr>
        <w:t xml:space="preserve">In order to understand how these groups perceived the same texts in such vastly different ways we must examine the cultural norms and values of the society they originate in alongside coinciding laws. </w:t>
      </w:r>
    </w:p>
    <w:p w14:paraId="6E54908D" w14:textId="25D28F1D" w:rsidR="003F6E74" w:rsidRPr="00664726" w:rsidRDefault="003F6E74" w:rsidP="006154C4">
      <w:pPr>
        <w:rPr>
          <w:sz w:val="24"/>
          <w:szCs w:val="24"/>
        </w:rPr>
      </w:pPr>
      <w:r>
        <w:rPr>
          <w:sz w:val="24"/>
          <w:szCs w:val="24"/>
        </w:rPr>
        <w:tab/>
        <w:t xml:space="preserve">One important issue to highlight with </w:t>
      </w:r>
      <w:r w:rsidR="00EA75F0">
        <w:rPr>
          <w:sz w:val="24"/>
          <w:szCs w:val="24"/>
        </w:rPr>
        <w:t xml:space="preserve">biblical </w:t>
      </w:r>
      <w:r>
        <w:rPr>
          <w:sz w:val="24"/>
          <w:szCs w:val="24"/>
        </w:rPr>
        <w:t xml:space="preserve">reception history is that previous to the reformation of the church the majority of society would have relied solely upon the </w:t>
      </w:r>
      <w:r>
        <w:rPr>
          <w:sz w:val="24"/>
          <w:szCs w:val="24"/>
        </w:rPr>
        <w:lastRenderedPageBreak/>
        <w:t xml:space="preserve">interpretation of priests as the Bible was only produced in Latin and ancient </w:t>
      </w:r>
      <w:r w:rsidRPr="005F4EB3">
        <w:rPr>
          <w:sz w:val="24"/>
          <w:szCs w:val="24"/>
        </w:rPr>
        <w:t>Greek</w:t>
      </w:r>
      <w:r w:rsidR="003426C6" w:rsidRPr="005F4EB3">
        <w:rPr>
          <w:sz w:val="24"/>
          <w:szCs w:val="24"/>
        </w:rPr>
        <w:t>,</w:t>
      </w:r>
      <w:r w:rsidR="00191993" w:rsidRPr="005F4EB3">
        <w:rPr>
          <w:rStyle w:val="FootnoteReference"/>
          <w:sz w:val="24"/>
          <w:szCs w:val="24"/>
        </w:rPr>
        <w:footnoteReference w:id="3"/>
      </w:r>
      <w:r w:rsidRPr="005F4EB3">
        <w:rPr>
          <w:sz w:val="24"/>
          <w:szCs w:val="24"/>
        </w:rPr>
        <w:t xml:space="preserve"> </w:t>
      </w:r>
      <w:r w:rsidR="003426C6" w:rsidRPr="005F4EB3">
        <w:rPr>
          <w:sz w:val="24"/>
          <w:szCs w:val="24"/>
        </w:rPr>
        <w:t xml:space="preserve">as </w:t>
      </w:r>
      <w:r w:rsidR="003426C6">
        <w:rPr>
          <w:sz w:val="24"/>
          <w:szCs w:val="24"/>
        </w:rPr>
        <w:t>d</w:t>
      </w:r>
      <w:r>
        <w:rPr>
          <w:sz w:val="24"/>
          <w:szCs w:val="24"/>
        </w:rPr>
        <w:t xml:space="preserve">uring the </w:t>
      </w:r>
      <w:r w:rsidR="00982F85">
        <w:rPr>
          <w:sz w:val="24"/>
          <w:szCs w:val="24"/>
        </w:rPr>
        <w:t>Middle Ages</w:t>
      </w:r>
      <w:r>
        <w:rPr>
          <w:sz w:val="24"/>
          <w:szCs w:val="24"/>
        </w:rPr>
        <w:t xml:space="preserve"> the catholic church considered it heresy to produce the bible in any other language</w:t>
      </w:r>
      <w:r w:rsidRPr="00834932">
        <w:rPr>
          <w:sz w:val="24"/>
          <w:szCs w:val="24"/>
        </w:rPr>
        <w:t>.</w:t>
      </w:r>
      <w:r w:rsidR="00982F85" w:rsidRPr="00834932">
        <w:rPr>
          <w:rStyle w:val="FootnoteReference"/>
          <w:sz w:val="24"/>
          <w:szCs w:val="24"/>
        </w:rPr>
        <w:footnoteReference w:id="4"/>
      </w:r>
      <w:r w:rsidRPr="00834932">
        <w:rPr>
          <w:sz w:val="24"/>
          <w:szCs w:val="24"/>
        </w:rPr>
        <w:t xml:space="preserve"> </w:t>
      </w:r>
      <w:r w:rsidR="00EA75F0" w:rsidRPr="000A40F0">
        <w:rPr>
          <w:sz w:val="24"/>
          <w:szCs w:val="24"/>
        </w:rPr>
        <w:t>This narrows the amount of thought that would be possible only allowing the most educated people to theorise and interpret messages in biblical texts. This often led to outliers such as Martin Luther (who was instrumental in the rise of Protestantism</w:t>
      </w:r>
      <w:r w:rsidR="000A40F0">
        <w:rPr>
          <w:rStyle w:val="FootnoteReference"/>
          <w:sz w:val="24"/>
          <w:szCs w:val="24"/>
        </w:rPr>
        <w:footnoteReference w:id="5"/>
      </w:r>
      <w:r w:rsidR="00EA75F0" w:rsidRPr="000A40F0">
        <w:rPr>
          <w:sz w:val="24"/>
          <w:szCs w:val="24"/>
        </w:rPr>
        <w:t>) and St. Pelagius (who denied original sin</w:t>
      </w:r>
      <w:r w:rsidR="00041AFB" w:rsidRPr="000A40F0">
        <w:rPr>
          <w:sz w:val="24"/>
          <w:szCs w:val="24"/>
        </w:rPr>
        <w:t xml:space="preserve"> and claimed virtuous pagans could go to heaven</w:t>
      </w:r>
      <w:r w:rsidR="000A40F0" w:rsidRPr="000A40F0">
        <w:rPr>
          <w:rStyle w:val="FootnoteReference"/>
          <w:sz w:val="24"/>
          <w:szCs w:val="24"/>
        </w:rPr>
        <w:footnoteReference w:id="6"/>
      </w:r>
      <w:r w:rsidR="00EA75F0" w:rsidRPr="000A40F0">
        <w:rPr>
          <w:sz w:val="24"/>
          <w:szCs w:val="24"/>
        </w:rPr>
        <w:t>) becoming outcasts and sometimes being excommunicated entirely</w:t>
      </w:r>
      <w:r w:rsidR="00095F2E" w:rsidRPr="000A40F0">
        <w:rPr>
          <w:sz w:val="24"/>
          <w:szCs w:val="24"/>
        </w:rPr>
        <w:t xml:space="preserve"> for their interpretations of biblical texts</w:t>
      </w:r>
      <w:r w:rsidR="00113872" w:rsidRPr="000A40F0">
        <w:rPr>
          <w:sz w:val="24"/>
          <w:szCs w:val="24"/>
        </w:rPr>
        <w:t xml:space="preserve"> as they exceed the norms of society</w:t>
      </w:r>
      <w:r w:rsidR="00EA75F0" w:rsidRPr="000A40F0">
        <w:rPr>
          <w:sz w:val="24"/>
          <w:szCs w:val="24"/>
        </w:rPr>
        <w:t>.</w:t>
      </w:r>
      <w:r w:rsidR="0072070B" w:rsidRPr="000A40F0">
        <w:rPr>
          <w:rStyle w:val="FootnoteReference"/>
          <w:sz w:val="24"/>
          <w:szCs w:val="24"/>
        </w:rPr>
        <w:footnoteReference w:id="7"/>
      </w:r>
      <w:r w:rsidR="00EA75F0" w:rsidRPr="000A40F0">
        <w:rPr>
          <w:sz w:val="24"/>
          <w:szCs w:val="24"/>
        </w:rPr>
        <w:t xml:space="preserve"> </w:t>
      </w:r>
      <w:r w:rsidR="00664726">
        <w:rPr>
          <w:sz w:val="24"/>
          <w:szCs w:val="24"/>
        </w:rPr>
        <w:t>This contrasts with the modern-day as through the education of the masses individuality and individual perception have become more highlighted and valued among communities leading to smaller groups deriving entirely different cultural significances to biblical writings</w:t>
      </w:r>
      <w:r w:rsidR="00664726" w:rsidRPr="002416C5">
        <w:rPr>
          <w:sz w:val="24"/>
          <w:szCs w:val="24"/>
        </w:rPr>
        <w:t>. Perfect example of this is Mormonism as it is a relatively small sect of Christianity</w:t>
      </w:r>
      <w:r w:rsidR="006C11F9" w:rsidRPr="002416C5">
        <w:rPr>
          <w:sz w:val="24"/>
          <w:szCs w:val="24"/>
        </w:rPr>
        <w:t xml:space="preserve"> however,</w:t>
      </w:r>
      <w:r w:rsidR="00664726" w:rsidRPr="002416C5">
        <w:rPr>
          <w:sz w:val="24"/>
          <w:szCs w:val="24"/>
        </w:rPr>
        <w:t xml:space="preserve"> in some states in America</w:t>
      </w:r>
      <w:r w:rsidR="006C11F9" w:rsidRPr="002416C5">
        <w:rPr>
          <w:sz w:val="24"/>
          <w:szCs w:val="24"/>
        </w:rPr>
        <w:t xml:space="preserve"> the belief</w:t>
      </w:r>
      <w:r w:rsidR="00664726" w:rsidRPr="002416C5">
        <w:rPr>
          <w:sz w:val="24"/>
          <w:szCs w:val="24"/>
        </w:rPr>
        <w:t xml:space="preserve"> has a significant amount of power and influence</w:t>
      </w:r>
      <w:r w:rsidR="006C11F9" w:rsidRPr="002416C5">
        <w:rPr>
          <w:sz w:val="24"/>
          <w:szCs w:val="24"/>
        </w:rPr>
        <w:t xml:space="preserve"> and even among itself has sects within its belief system</w:t>
      </w:r>
      <w:r w:rsidR="00664726" w:rsidRPr="002416C5">
        <w:rPr>
          <w:sz w:val="24"/>
          <w:szCs w:val="24"/>
        </w:rPr>
        <w:t>.</w:t>
      </w:r>
      <w:r w:rsidR="006C11F9" w:rsidRPr="002416C5">
        <w:rPr>
          <w:rStyle w:val="FootnoteReference"/>
          <w:sz w:val="24"/>
          <w:szCs w:val="24"/>
        </w:rPr>
        <w:footnoteReference w:id="8"/>
      </w:r>
      <w:r w:rsidR="00664726" w:rsidRPr="002416C5">
        <w:rPr>
          <w:sz w:val="24"/>
          <w:szCs w:val="24"/>
        </w:rPr>
        <w:t xml:space="preserve"> The implication of the modern individualistic </w:t>
      </w:r>
      <w:r w:rsidR="00664726" w:rsidRPr="00664726">
        <w:rPr>
          <w:sz w:val="24"/>
          <w:szCs w:val="24"/>
        </w:rPr>
        <w:t xml:space="preserve">mindset </w:t>
      </w:r>
      <w:r w:rsidR="00664726">
        <w:rPr>
          <w:sz w:val="24"/>
          <w:szCs w:val="24"/>
        </w:rPr>
        <w:t>would mean then that reception history may only be applied to the study of history prior to the 18th century</w:t>
      </w:r>
      <w:r w:rsidR="004837C1">
        <w:rPr>
          <w:sz w:val="24"/>
          <w:szCs w:val="24"/>
        </w:rPr>
        <w:t xml:space="preserve"> as it would be </w:t>
      </w:r>
      <w:r w:rsidR="00834932">
        <w:rPr>
          <w:sz w:val="24"/>
          <w:szCs w:val="24"/>
        </w:rPr>
        <w:t>more</w:t>
      </w:r>
      <w:r w:rsidR="004837C1">
        <w:rPr>
          <w:sz w:val="24"/>
          <w:szCs w:val="24"/>
        </w:rPr>
        <w:t xml:space="preserve"> individualistic due to a significant </w:t>
      </w:r>
      <w:r w:rsidR="00834932">
        <w:rPr>
          <w:sz w:val="24"/>
          <w:szCs w:val="24"/>
        </w:rPr>
        <w:t>increase</w:t>
      </w:r>
      <w:r w:rsidR="004837C1">
        <w:rPr>
          <w:sz w:val="24"/>
          <w:szCs w:val="24"/>
        </w:rPr>
        <w:t xml:space="preserve"> in literacy and therefore literary interpretations</w:t>
      </w:r>
      <w:r w:rsidR="00834932">
        <w:rPr>
          <w:sz w:val="24"/>
          <w:szCs w:val="24"/>
        </w:rPr>
        <w:t xml:space="preserve"> after the 18</w:t>
      </w:r>
      <w:r w:rsidR="00834932" w:rsidRPr="00834932">
        <w:rPr>
          <w:sz w:val="24"/>
          <w:szCs w:val="24"/>
          <w:vertAlign w:val="superscript"/>
        </w:rPr>
        <w:t>th</w:t>
      </w:r>
      <w:r w:rsidR="00834932">
        <w:rPr>
          <w:sz w:val="24"/>
          <w:szCs w:val="24"/>
        </w:rPr>
        <w:t xml:space="preserve"> century</w:t>
      </w:r>
      <w:r w:rsidR="00664726">
        <w:rPr>
          <w:sz w:val="24"/>
          <w:szCs w:val="24"/>
        </w:rPr>
        <w:t>.</w:t>
      </w:r>
      <w:r w:rsidR="00A42754">
        <w:rPr>
          <w:sz w:val="24"/>
          <w:szCs w:val="24"/>
        </w:rPr>
        <w:t xml:space="preserve"> This individuality would make the use of reception history difficult as groups of thought will become smaller as individualism rises as each person would draw their own significance and meaning from biblical texts. </w:t>
      </w:r>
    </w:p>
    <w:p w14:paraId="6B116433" w14:textId="42ADAC19" w:rsidR="00926988" w:rsidRDefault="00480510" w:rsidP="00926988">
      <w:pPr>
        <w:rPr>
          <w:sz w:val="24"/>
          <w:szCs w:val="24"/>
        </w:rPr>
      </w:pPr>
      <w:r>
        <w:rPr>
          <w:color w:val="FF0000"/>
          <w:sz w:val="24"/>
          <w:szCs w:val="24"/>
        </w:rPr>
        <w:tab/>
      </w:r>
      <w:r w:rsidRPr="003602B1">
        <w:rPr>
          <w:sz w:val="24"/>
          <w:szCs w:val="24"/>
        </w:rPr>
        <w:t xml:space="preserve">There </w:t>
      </w:r>
      <w:r w:rsidR="00B837E2" w:rsidRPr="003602B1">
        <w:rPr>
          <w:sz w:val="24"/>
          <w:szCs w:val="24"/>
        </w:rPr>
        <w:t>are,</w:t>
      </w:r>
      <w:r w:rsidRPr="003602B1">
        <w:rPr>
          <w:sz w:val="24"/>
          <w:szCs w:val="24"/>
        </w:rPr>
        <w:t xml:space="preserve"> however, useful conclusions scholars can draw from the use of reception history</w:t>
      </w:r>
      <w:r w:rsidR="001C7724">
        <w:rPr>
          <w:sz w:val="24"/>
          <w:szCs w:val="24"/>
        </w:rPr>
        <w:t xml:space="preserve"> about why interpretations can arise</w:t>
      </w:r>
      <w:r w:rsidRPr="003602B1">
        <w:rPr>
          <w:sz w:val="24"/>
          <w:szCs w:val="24"/>
        </w:rPr>
        <w:t>. Take Mormonism again as an example</w:t>
      </w:r>
      <w:r w:rsidR="00BA31FB">
        <w:rPr>
          <w:sz w:val="24"/>
          <w:szCs w:val="24"/>
        </w:rPr>
        <w:t>.</w:t>
      </w:r>
      <w:r w:rsidRPr="003602B1">
        <w:rPr>
          <w:sz w:val="24"/>
          <w:szCs w:val="24"/>
        </w:rPr>
        <w:t xml:space="preserve"> </w:t>
      </w:r>
      <w:r w:rsidR="00BA31FB">
        <w:rPr>
          <w:sz w:val="24"/>
          <w:szCs w:val="24"/>
        </w:rPr>
        <w:t>I</w:t>
      </w:r>
      <w:r w:rsidRPr="003602B1">
        <w:rPr>
          <w:sz w:val="24"/>
          <w:szCs w:val="24"/>
        </w:rPr>
        <w:t xml:space="preserve">f we examine the period in which Mormonism </w:t>
      </w:r>
      <w:r w:rsidR="00F73388" w:rsidRPr="003602B1">
        <w:rPr>
          <w:sz w:val="24"/>
          <w:szCs w:val="24"/>
        </w:rPr>
        <w:t>began,</w:t>
      </w:r>
      <w:r w:rsidRPr="003602B1">
        <w:rPr>
          <w:sz w:val="24"/>
          <w:szCs w:val="24"/>
        </w:rPr>
        <w:t xml:space="preserve"> we can uncover some of the potential reasons for certain views held by the Mormon church on race.</w:t>
      </w:r>
      <w:r w:rsidR="001969DF">
        <w:rPr>
          <w:color w:val="FF0000"/>
          <w:sz w:val="24"/>
          <w:szCs w:val="24"/>
        </w:rPr>
        <w:t xml:space="preserve"> </w:t>
      </w:r>
      <w:r w:rsidR="001969DF" w:rsidRPr="003602B1">
        <w:rPr>
          <w:sz w:val="24"/>
          <w:szCs w:val="24"/>
        </w:rPr>
        <w:t xml:space="preserve">A brief </w:t>
      </w:r>
      <w:r w:rsidR="001969DF" w:rsidRPr="002416C5">
        <w:rPr>
          <w:sz w:val="24"/>
          <w:szCs w:val="24"/>
        </w:rPr>
        <w:t>look at the Mormon explanation for dark skinned people is required first to understand this point.</w:t>
      </w:r>
      <w:r w:rsidR="00F73388" w:rsidRPr="002416C5">
        <w:rPr>
          <w:sz w:val="24"/>
          <w:szCs w:val="24"/>
        </w:rPr>
        <w:t xml:space="preserve"> In Mormon religious philosophy the biblical story of “10 lost tribe of Israel”</w:t>
      </w:r>
      <w:r w:rsidR="00BD6E77">
        <w:rPr>
          <w:sz w:val="24"/>
          <w:szCs w:val="24"/>
        </w:rPr>
        <w:t xml:space="preserve"> (book of </w:t>
      </w:r>
      <w:r w:rsidR="00BD6E77" w:rsidRPr="00BD6E77">
        <w:rPr>
          <w:sz w:val="24"/>
          <w:szCs w:val="24"/>
        </w:rPr>
        <w:t>2 Kings</w:t>
      </w:r>
      <w:r w:rsidR="00BD6E77">
        <w:rPr>
          <w:sz w:val="24"/>
          <w:szCs w:val="24"/>
        </w:rPr>
        <w:t>)</w:t>
      </w:r>
      <w:r w:rsidR="001969DF" w:rsidRPr="002416C5">
        <w:rPr>
          <w:sz w:val="24"/>
          <w:szCs w:val="24"/>
        </w:rPr>
        <w:t xml:space="preserve"> is used as the origin for dark skin.</w:t>
      </w:r>
      <w:r w:rsidR="00B837E2" w:rsidRPr="002416C5">
        <w:rPr>
          <w:rStyle w:val="FootnoteReference"/>
          <w:sz w:val="24"/>
          <w:szCs w:val="24"/>
        </w:rPr>
        <w:footnoteReference w:id="9"/>
      </w:r>
      <w:r w:rsidR="00B837E2" w:rsidRPr="002416C5">
        <w:rPr>
          <w:sz w:val="24"/>
          <w:szCs w:val="24"/>
        </w:rPr>
        <w:t xml:space="preserve"> One of these tribes</w:t>
      </w:r>
      <w:r w:rsidR="00F73388" w:rsidRPr="002416C5">
        <w:rPr>
          <w:sz w:val="24"/>
          <w:szCs w:val="24"/>
        </w:rPr>
        <w:t xml:space="preserve"> made their way to the Americas</w:t>
      </w:r>
      <w:r w:rsidR="00947DF2" w:rsidRPr="002416C5">
        <w:rPr>
          <w:sz w:val="24"/>
          <w:szCs w:val="24"/>
        </w:rPr>
        <w:t xml:space="preserve"> (known as the Nephites)</w:t>
      </w:r>
      <w:r w:rsidR="00F73388" w:rsidRPr="002416C5">
        <w:rPr>
          <w:sz w:val="24"/>
          <w:szCs w:val="24"/>
        </w:rPr>
        <w:t xml:space="preserve"> over time becoming the native Americans </w:t>
      </w:r>
      <w:r w:rsidR="00947DF2" w:rsidRPr="002416C5">
        <w:rPr>
          <w:sz w:val="24"/>
          <w:szCs w:val="24"/>
        </w:rPr>
        <w:t>who</w:t>
      </w:r>
      <w:r w:rsidR="00AB5B47" w:rsidRPr="002416C5">
        <w:rPr>
          <w:sz w:val="24"/>
          <w:szCs w:val="24"/>
        </w:rPr>
        <w:t xml:space="preserve"> (according to Mormon doctrine)</w:t>
      </w:r>
      <w:r w:rsidR="00947DF2" w:rsidRPr="002416C5">
        <w:rPr>
          <w:sz w:val="24"/>
          <w:szCs w:val="24"/>
        </w:rPr>
        <w:t xml:space="preserve"> disavowed God and were cursed with dark skin. This belief among Mormonism is also applied to black Africans and people of black African </w:t>
      </w:r>
      <w:r w:rsidR="00AB5B47" w:rsidRPr="002416C5">
        <w:rPr>
          <w:sz w:val="24"/>
          <w:szCs w:val="24"/>
        </w:rPr>
        <w:t>ancestry.</w:t>
      </w:r>
      <w:r w:rsidR="003602B1" w:rsidRPr="002416C5">
        <w:rPr>
          <w:rStyle w:val="FootnoteReference"/>
          <w:sz w:val="24"/>
          <w:szCs w:val="24"/>
        </w:rPr>
        <w:footnoteReference w:id="10"/>
      </w:r>
      <w:r w:rsidR="00947DF2" w:rsidRPr="002416C5">
        <w:rPr>
          <w:sz w:val="24"/>
          <w:szCs w:val="24"/>
        </w:rPr>
        <w:t xml:space="preserve"> </w:t>
      </w:r>
      <w:r w:rsidRPr="002416C5">
        <w:rPr>
          <w:sz w:val="24"/>
          <w:szCs w:val="24"/>
        </w:rPr>
        <w:t xml:space="preserve">The Mormon church began during the late </w:t>
      </w:r>
      <w:r w:rsidRPr="003602B1">
        <w:rPr>
          <w:sz w:val="24"/>
          <w:szCs w:val="24"/>
        </w:rPr>
        <w:t>18</w:t>
      </w:r>
      <w:r w:rsidRPr="003602B1">
        <w:rPr>
          <w:sz w:val="24"/>
          <w:szCs w:val="24"/>
          <w:vertAlign w:val="superscript"/>
        </w:rPr>
        <w:t>th</w:t>
      </w:r>
      <w:r w:rsidRPr="003602B1">
        <w:rPr>
          <w:sz w:val="24"/>
          <w:szCs w:val="24"/>
        </w:rPr>
        <w:t xml:space="preserve"> century after the American revolution. This was a period where racial based slavery was accepted in American society.</w:t>
      </w:r>
      <w:r w:rsidRPr="002416C5">
        <w:rPr>
          <w:rStyle w:val="FootnoteReference"/>
          <w:sz w:val="24"/>
          <w:szCs w:val="24"/>
        </w:rPr>
        <w:footnoteReference w:id="11"/>
      </w:r>
      <w:r w:rsidR="00BA2463">
        <w:rPr>
          <w:color w:val="FF0000"/>
          <w:sz w:val="24"/>
          <w:szCs w:val="24"/>
        </w:rPr>
        <w:t xml:space="preserve"> </w:t>
      </w:r>
      <w:r w:rsidR="00BA2463" w:rsidRPr="002416C5">
        <w:rPr>
          <w:sz w:val="24"/>
          <w:szCs w:val="24"/>
        </w:rPr>
        <w:t xml:space="preserve">The creator of Mormonism Joseph Smith was an American </w:t>
      </w:r>
      <w:r w:rsidR="001969DF" w:rsidRPr="002416C5">
        <w:rPr>
          <w:sz w:val="24"/>
          <w:szCs w:val="24"/>
        </w:rPr>
        <w:t>landowner</w:t>
      </w:r>
      <w:r w:rsidR="00BA2463" w:rsidRPr="002416C5">
        <w:rPr>
          <w:sz w:val="24"/>
          <w:szCs w:val="24"/>
        </w:rPr>
        <w:t xml:space="preserve"> and avid supporter of slavery along with being the prophet of the Mormon faith and author of its spiritual text “the book of Mormon</w:t>
      </w:r>
      <w:r w:rsidR="00FB3910" w:rsidRPr="002416C5">
        <w:rPr>
          <w:sz w:val="24"/>
          <w:szCs w:val="24"/>
        </w:rPr>
        <w:t>.</w:t>
      </w:r>
      <w:r w:rsidR="00BA2463" w:rsidRPr="002416C5">
        <w:rPr>
          <w:sz w:val="24"/>
          <w:szCs w:val="24"/>
        </w:rPr>
        <w:t>”</w:t>
      </w:r>
      <w:r w:rsidR="003602B1" w:rsidRPr="002416C5">
        <w:rPr>
          <w:rStyle w:val="FootnoteReference"/>
          <w:sz w:val="24"/>
          <w:szCs w:val="24"/>
        </w:rPr>
        <w:footnoteReference w:id="12"/>
      </w:r>
      <w:r w:rsidR="00BA2463" w:rsidRPr="002416C5">
        <w:rPr>
          <w:sz w:val="24"/>
          <w:szCs w:val="24"/>
        </w:rPr>
        <w:t xml:space="preserve"> </w:t>
      </w:r>
      <w:r w:rsidR="00F73388" w:rsidRPr="002416C5">
        <w:rPr>
          <w:sz w:val="24"/>
          <w:szCs w:val="24"/>
        </w:rPr>
        <w:t xml:space="preserve"> </w:t>
      </w:r>
      <w:r w:rsidR="00F73388" w:rsidRPr="000E774F">
        <w:rPr>
          <w:sz w:val="24"/>
          <w:szCs w:val="24"/>
        </w:rPr>
        <w:t>D</w:t>
      </w:r>
      <w:r w:rsidRPr="000E774F">
        <w:rPr>
          <w:sz w:val="24"/>
          <w:szCs w:val="24"/>
        </w:rPr>
        <w:t>ue to th</w:t>
      </w:r>
      <w:r w:rsidR="001969DF" w:rsidRPr="000E774F">
        <w:rPr>
          <w:sz w:val="24"/>
          <w:szCs w:val="24"/>
        </w:rPr>
        <w:t>e</w:t>
      </w:r>
      <w:r w:rsidR="003602B1" w:rsidRPr="000E774F">
        <w:rPr>
          <w:sz w:val="24"/>
          <w:szCs w:val="24"/>
        </w:rPr>
        <w:t>se</w:t>
      </w:r>
      <w:r w:rsidRPr="000E774F">
        <w:rPr>
          <w:sz w:val="24"/>
          <w:szCs w:val="24"/>
        </w:rPr>
        <w:t xml:space="preserve"> historical fact</w:t>
      </w:r>
      <w:r w:rsidR="003602B1" w:rsidRPr="000E774F">
        <w:rPr>
          <w:sz w:val="24"/>
          <w:szCs w:val="24"/>
        </w:rPr>
        <w:t>s</w:t>
      </w:r>
      <w:r w:rsidR="001969DF" w:rsidRPr="000E774F">
        <w:rPr>
          <w:sz w:val="24"/>
          <w:szCs w:val="24"/>
        </w:rPr>
        <w:t xml:space="preserve"> of American slavery and the personal beliefs of the founder of Mormonism</w:t>
      </w:r>
      <w:r w:rsidR="00F73388" w:rsidRPr="000E774F">
        <w:rPr>
          <w:sz w:val="24"/>
          <w:szCs w:val="24"/>
        </w:rPr>
        <w:t xml:space="preserve"> we can then uncover the origin of the Mormon belief that dark skin is a curse from God</w:t>
      </w:r>
      <w:r w:rsidR="001969DF" w:rsidRPr="000E774F">
        <w:rPr>
          <w:sz w:val="24"/>
          <w:szCs w:val="24"/>
        </w:rPr>
        <w:t xml:space="preserve"> as it </w:t>
      </w:r>
      <w:r w:rsidR="001969DF" w:rsidRPr="000E774F">
        <w:rPr>
          <w:sz w:val="24"/>
          <w:szCs w:val="24"/>
        </w:rPr>
        <w:lastRenderedPageBreak/>
        <w:t>is clearly wrapped in the culture and norms of the society it was founded in</w:t>
      </w:r>
      <w:r w:rsidR="00F73388" w:rsidRPr="000E774F">
        <w:rPr>
          <w:sz w:val="24"/>
          <w:szCs w:val="24"/>
        </w:rPr>
        <w:t>.</w:t>
      </w:r>
      <w:r w:rsidRPr="000E774F">
        <w:rPr>
          <w:sz w:val="24"/>
          <w:szCs w:val="24"/>
        </w:rPr>
        <w:t xml:space="preserve"> </w:t>
      </w:r>
      <w:r w:rsidR="003602B1" w:rsidRPr="000E774F">
        <w:rPr>
          <w:sz w:val="24"/>
          <w:szCs w:val="24"/>
        </w:rPr>
        <w:t>if we apply reception history further, we can see that this belief stems from the reception of the “10 lost tribes of Israel”</w:t>
      </w:r>
      <w:r w:rsidR="00262C4F" w:rsidRPr="000E774F">
        <w:rPr>
          <w:sz w:val="24"/>
          <w:szCs w:val="24"/>
        </w:rPr>
        <w:t xml:space="preserve"> by Joseph smith who spread this belief to his followers creating a new interpretation of a biblical story not held among other Christian groups purely due to the societal norms held during the inception of Mormonism. </w:t>
      </w:r>
    </w:p>
    <w:p w14:paraId="49073CC1" w14:textId="2401C8CC" w:rsidR="00660FB9" w:rsidRPr="00BD6E77" w:rsidRDefault="00660FB9" w:rsidP="00926988">
      <w:pPr>
        <w:rPr>
          <w:sz w:val="24"/>
          <w:szCs w:val="24"/>
        </w:rPr>
      </w:pPr>
      <w:r>
        <w:rPr>
          <w:sz w:val="24"/>
          <w:szCs w:val="24"/>
        </w:rPr>
        <w:tab/>
        <w:t xml:space="preserve">Reception history can be utilised in an </w:t>
      </w:r>
      <w:r w:rsidR="0025791D">
        <w:rPr>
          <w:sz w:val="24"/>
          <w:szCs w:val="24"/>
        </w:rPr>
        <w:t>effective</w:t>
      </w:r>
      <w:r>
        <w:rPr>
          <w:sz w:val="24"/>
          <w:szCs w:val="24"/>
        </w:rPr>
        <w:t xml:space="preserve"> manner</w:t>
      </w:r>
      <w:r w:rsidR="0025791D">
        <w:rPr>
          <w:sz w:val="24"/>
          <w:szCs w:val="24"/>
        </w:rPr>
        <w:t xml:space="preserve"> allowing us to see the cultural reasoning behind some ideals held by different sects of Christianity and how their interpretations of biblical texts arise. As has been explored in this paper reception history can be crucial in the understanding </w:t>
      </w:r>
      <w:r w:rsidR="00B844F3">
        <w:rPr>
          <w:sz w:val="24"/>
          <w:szCs w:val="24"/>
        </w:rPr>
        <w:t>of how</w:t>
      </w:r>
      <w:r w:rsidR="0025791D">
        <w:rPr>
          <w:sz w:val="24"/>
          <w:szCs w:val="24"/>
        </w:rPr>
        <w:t xml:space="preserve"> Mormonism developed their idea</w:t>
      </w:r>
      <w:r w:rsidR="00B844F3">
        <w:rPr>
          <w:sz w:val="24"/>
          <w:szCs w:val="24"/>
        </w:rPr>
        <w:t>s</w:t>
      </w:r>
      <w:r w:rsidR="0025791D">
        <w:rPr>
          <w:sz w:val="24"/>
          <w:szCs w:val="24"/>
        </w:rPr>
        <w:t xml:space="preserve"> around race due to the political and social climate of </w:t>
      </w:r>
      <w:r w:rsidR="00B844F3">
        <w:rPr>
          <w:sz w:val="24"/>
          <w:szCs w:val="24"/>
        </w:rPr>
        <w:t>18</w:t>
      </w:r>
      <w:r w:rsidR="00B844F3" w:rsidRPr="00B844F3">
        <w:rPr>
          <w:sz w:val="24"/>
          <w:szCs w:val="24"/>
          <w:vertAlign w:val="superscript"/>
        </w:rPr>
        <w:t>th</w:t>
      </w:r>
      <w:r w:rsidR="00B844F3">
        <w:rPr>
          <w:sz w:val="24"/>
          <w:szCs w:val="24"/>
        </w:rPr>
        <w:t xml:space="preserve"> century America at the time</w:t>
      </w:r>
      <w:r w:rsidR="0025791D">
        <w:rPr>
          <w:sz w:val="24"/>
          <w:szCs w:val="24"/>
        </w:rPr>
        <w:t xml:space="preserve"> of its inception.</w:t>
      </w:r>
      <w:r w:rsidR="0044516D">
        <w:rPr>
          <w:rStyle w:val="FootnoteReference"/>
          <w:sz w:val="24"/>
          <w:szCs w:val="24"/>
        </w:rPr>
        <w:footnoteReference w:id="13"/>
      </w:r>
      <w:r w:rsidR="0044516D">
        <w:rPr>
          <w:sz w:val="24"/>
          <w:szCs w:val="24"/>
        </w:rPr>
        <w:t xml:space="preserve"> </w:t>
      </w:r>
      <w:r w:rsidR="00D12DC5">
        <w:rPr>
          <w:sz w:val="24"/>
          <w:szCs w:val="24"/>
        </w:rPr>
        <w:t>Reception history can also help us in the understanding of the reformation</w:t>
      </w:r>
      <w:r w:rsidR="00D12DC5" w:rsidRPr="00D12DC5">
        <w:rPr>
          <w:sz w:val="24"/>
          <w:szCs w:val="24"/>
        </w:rPr>
        <w:t>. The reformation demonstrates a shift in religious thinking in Europe away from the Vatican. This can be seen evidently by the rise of the church of England under Henry VIII and Protestantism under Martin Luther.</w:t>
      </w:r>
      <w:r w:rsidR="00D12DC5">
        <w:rPr>
          <w:rStyle w:val="FootnoteReference"/>
          <w:sz w:val="24"/>
          <w:szCs w:val="24"/>
        </w:rPr>
        <w:footnoteReference w:id="14"/>
      </w:r>
      <w:r w:rsidR="00D12DC5" w:rsidRPr="00D12DC5">
        <w:rPr>
          <w:sz w:val="24"/>
          <w:szCs w:val="24"/>
        </w:rPr>
        <w:t xml:space="preserve"> Through reception history we can imply that as the dates coincide with the renaissance which was a significant cultural shift where scholars where more free to explore fields that in the middle ages would have been considered heretical was a contributing factor of the reformation as it deepened philosophical thought across Europe leading to new ways of interpreting religious ide</w:t>
      </w:r>
      <w:r w:rsidR="00D12DC5" w:rsidRPr="00BD6E77">
        <w:rPr>
          <w:sz w:val="24"/>
          <w:szCs w:val="24"/>
        </w:rPr>
        <w:t>als.</w:t>
      </w:r>
      <w:r w:rsidR="00D12DC5" w:rsidRPr="00BD6E77">
        <w:rPr>
          <w:rStyle w:val="FootnoteReference"/>
          <w:sz w:val="24"/>
          <w:szCs w:val="24"/>
        </w:rPr>
        <w:footnoteReference w:id="15"/>
      </w:r>
      <w:r w:rsidR="00D12DC5" w:rsidRPr="00BD6E77">
        <w:rPr>
          <w:sz w:val="24"/>
          <w:szCs w:val="24"/>
        </w:rPr>
        <w:t xml:space="preserve"> </w:t>
      </w:r>
      <w:r w:rsidR="00BA0A74">
        <w:rPr>
          <w:sz w:val="24"/>
          <w:szCs w:val="24"/>
        </w:rPr>
        <w:t>However</w:t>
      </w:r>
      <w:r w:rsidR="00BD6E77">
        <w:rPr>
          <w:sz w:val="24"/>
          <w:szCs w:val="24"/>
        </w:rPr>
        <w:t>,</w:t>
      </w:r>
      <w:r w:rsidR="00BA0A74">
        <w:rPr>
          <w:sz w:val="24"/>
          <w:szCs w:val="24"/>
        </w:rPr>
        <w:t xml:space="preserve"> the drawback of reception history is that it negates the individual and focuses far more on the collective. </w:t>
      </w:r>
      <w:r w:rsidR="00BA0A74" w:rsidRPr="00BD6E77">
        <w:rPr>
          <w:sz w:val="24"/>
          <w:szCs w:val="24"/>
        </w:rPr>
        <w:t xml:space="preserve">This idea of focusing more on collective beliefs is much more appealing towards historical periods that have low literacy rates as through limited oration people can be persuaded and told what the few have interpreted from texts as with a lower population of literate people less intellectual freedom. In contrast, times after the 18th century which have far too many beliefs that are individual due to high literacy and each person being able to interpret texts in their own way. This would make reception history near impossible to conduct as one would need to understand the biblical beliefs of each author contributing to biblical discussion and interpretation. </w:t>
      </w:r>
      <w:r w:rsidR="00BD6E77" w:rsidRPr="00BD6E77">
        <w:rPr>
          <w:sz w:val="24"/>
          <w:szCs w:val="24"/>
        </w:rPr>
        <w:t xml:space="preserve">Despite this limitation reception history is still a valid method of study as we are able to draw on past societal norms to explain the implementation of biblical ideas in historical events.  </w:t>
      </w:r>
    </w:p>
    <w:p w14:paraId="01367D41" w14:textId="77777777" w:rsidR="003B005B" w:rsidRDefault="003B005B" w:rsidP="00926988">
      <w:pPr>
        <w:rPr>
          <w:color w:val="FF0000"/>
          <w:sz w:val="24"/>
          <w:szCs w:val="24"/>
        </w:rPr>
      </w:pPr>
    </w:p>
    <w:p w14:paraId="39F7200B" w14:textId="77777777" w:rsidR="003B005B" w:rsidRDefault="003B005B" w:rsidP="00926988">
      <w:pPr>
        <w:rPr>
          <w:color w:val="FF0000"/>
          <w:sz w:val="24"/>
          <w:szCs w:val="24"/>
        </w:rPr>
      </w:pPr>
    </w:p>
    <w:p w14:paraId="6C19F4B4" w14:textId="77777777" w:rsidR="003B005B" w:rsidRDefault="003B005B" w:rsidP="00926988">
      <w:pPr>
        <w:rPr>
          <w:color w:val="FF0000"/>
          <w:sz w:val="24"/>
          <w:szCs w:val="24"/>
        </w:rPr>
      </w:pPr>
    </w:p>
    <w:p w14:paraId="7B017A89" w14:textId="77777777" w:rsidR="003B005B" w:rsidRDefault="003B005B" w:rsidP="00926988">
      <w:pPr>
        <w:rPr>
          <w:color w:val="FF0000"/>
          <w:sz w:val="24"/>
          <w:szCs w:val="24"/>
        </w:rPr>
      </w:pPr>
    </w:p>
    <w:p w14:paraId="0E1FB7DE" w14:textId="77777777" w:rsidR="003B005B" w:rsidRDefault="003B005B" w:rsidP="00926988">
      <w:pPr>
        <w:rPr>
          <w:color w:val="FF0000"/>
          <w:sz w:val="24"/>
          <w:szCs w:val="24"/>
        </w:rPr>
      </w:pPr>
    </w:p>
    <w:p w14:paraId="493F638E" w14:textId="77777777" w:rsidR="003B005B" w:rsidRDefault="003B005B" w:rsidP="00926988">
      <w:pPr>
        <w:rPr>
          <w:color w:val="FF0000"/>
          <w:sz w:val="24"/>
          <w:szCs w:val="24"/>
        </w:rPr>
      </w:pPr>
    </w:p>
    <w:p w14:paraId="6DF90E0E" w14:textId="77777777" w:rsidR="00312061" w:rsidRDefault="00312061" w:rsidP="00926988">
      <w:pPr>
        <w:rPr>
          <w:color w:val="FF0000"/>
          <w:sz w:val="24"/>
          <w:szCs w:val="24"/>
        </w:rPr>
      </w:pPr>
    </w:p>
    <w:p w14:paraId="63C27E49" w14:textId="3E3C8E8E" w:rsidR="00926988" w:rsidRDefault="00926988" w:rsidP="00926988">
      <w:pPr>
        <w:rPr>
          <w:sz w:val="28"/>
          <w:szCs w:val="28"/>
          <w:u w:val="single"/>
        </w:rPr>
      </w:pPr>
      <w:r w:rsidRPr="00926988">
        <w:rPr>
          <w:sz w:val="28"/>
          <w:szCs w:val="28"/>
          <w:u w:val="single"/>
        </w:rPr>
        <w:lastRenderedPageBreak/>
        <w:t xml:space="preserve">Bibliography </w:t>
      </w:r>
    </w:p>
    <w:p w14:paraId="47CABA51" w14:textId="77777777" w:rsidR="00312061" w:rsidRDefault="00312061" w:rsidP="00926988">
      <w:pPr>
        <w:rPr>
          <w:sz w:val="24"/>
          <w:szCs w:val="24"/>
        </w:rPr>
      </w:pPr>
      <w:r w:rsidRPr="00022C5F">
        <w:rPr>
          <w:sz w:val="24"/>
          <w:szCs w:val="24"/>
        </w:rPr>
        <w:t>B</w:t>
      </w:r>
      <w:r>
        <w:rPr>
          <w:sz w:val="24"/>
          <w:szCs w:val="24"/>
        </w:rPr>
        <w:t>,</w:t>
      </w:r>
      <w:r w:rsidRPr="00022C5F">
        <w:rPr>
          <w:sz w:val="24"/>
          <w:szCs w:val="24"/>
        </w:rPr>
        <w:t xml:space="preserve"> Breed</w:t>
      </w:r>
      <w:r>
        <w:rPr>
          <w:sz w:val="24"/>
          <w:szCs w:val="24"/>
        </w:rPr>
        <w:t>., “</w:t>
      </w:r>
      <w:r w:rsidRPr="00022C5F">
        <w:rPr>
          <w:sz w:val="24"/>
          <w:szCs w:val="24"/>
        </w:rPr>
        <w:t>What Is Reception History?</w:t>
      </w:r>
      <w:r>
        <w:rPr>
          <w:sz w:val="24"/>
          <w:szCs w:val="24"/>
        </w:rPr>
        <w:t xml:space="preserve">” </w:t>
      </w:r>
      <w:hyperlink r:id="rId7" w:history="1">
        <w:r w:rsidRPr="001E6C98">
          <w:rPr>
            <w:rStyle w:val="Hyperlink"/>
            <w:sz w:val="24"/>
            <w:szCs w:val="24"/>
          </w:rPr>
          <w:t>https://www.bibleodyssey.org/bible-basics/what-is-reception-history/</w:t>
        </w:r>
      </w:hyperlink>
    </w:p>
    <w:p w14:paraId="475A9C74" w14:textId="77777777" w:rsidR="00312061" w:rsidRDefault="00312061" w:rsidP="00926988">
      <w:pPr>
        <w:rPr>
          <w:sz w:val="24"/>
          <w:szCs w:val="24"/>
        </w:rPr>
      </w:pPr>
      <w:r w:rsidRPr="00A41A8E">
        <w:rPr>
          <w:sz w:val="24"/>
          <w:szCs w:val="24"/>
        </w:rPr>
        <w:t>Bingham, R.S., 2015. Curses and Marks: Racial Dispensations and Dispensations of race in Joseph Smith's Bible Revision and the Book of Abraham. Journal of Mormon History, 41(3), pp.22-57.</w:t>
      </w:r>
    </w:p>
    <w:p w14:paraId="7A30DE9C" w14:textId="77777777" w:rsidR="00312061" w:rsidRDefault="00312061" w:rsidP="00926988">
      <w:pPr>
        <w:rPr>
          <w:sz w:val="24"/>
          <w:szCs w:val="24"/>
        </w:rPr>
      </w:pPr>
      <w:r w:rsidRPr="00156FEE">
        <w:rPr>
          <w:sz w:val="24"/>
          <w:szCs w:val="24"/>
        </w:rPr>
        <w:t xml:space="preserve">Britannica, The Editors of Encyclopaedia. "Pelagius". </w:t>
      </w:r>
      <w:proofErr w:type="spellStart"/>
      <w:r w:rsidRPr="00156FEE">
        <w:rPr>
          <w:sz w:val="24"/>
          <w:szCs w:val="24"/>
        </w:rPr>
        <w:t>Encyclopedia</w:t>
      </w:r>
      <w:proofErr w:type="spellEnd"/>
      <w:r w:rsidRPr="00156FEE">
        <w:rPr>
          <w:sz w:val="24"/>
          <w:szCs w:val="24"/>
        </w:rPr>
        <w:t xml:space="preserve"> Britannica, 20 Aug. 2020, </w:t>
      </w:r>
      <w:hyperlink r:id="rId8" w:history="1">
        <w:r w:rsidRPr="001E6C98">
          <w:rPr>
            <w:rStyle w:val="Hyperlink"/>
            <w:sz w:val="24"/>
            <w:szCs w:val="24"/>
          </w:rPr>
          <w:t>https://www.britannica.com/biography/Pelagius-Christian-theologian. Accessed</w:t>
        </w:r>
        <w:r w:rsidRPr="001E6C98">
          <w:rPr>
            <w:rStyle w:val="Hyperlink"/>
            <w:sz w:val="24"/>
            <w:szCs w:val="24"/>
          </w:rPr>
          <w:t xml:space="preserve"> 2</w:t>
        </w:r>
        <w:r w:rsidRPr="001E6C98">
          <w:rPr>
            <w:rStyle w:val="Hyperlink"/>
            <w:sz w:val="24"/>
            <w:szCs w:val="24"/>
          </w:rPr>
          <w:t xml:space="preserve"> July 2023</w:t>
        </w:r>
      </w:hyperlink>
      <w:r w:rsidRPr="00156FEE">
        <w:rPr>
          <w:sz w:val="24"/>
          <w:szCs w:val="24"/>
        </w:rPr>
        <w:t>.</w:t>
      </w:r>
    </w:p>
    <w:p w14:paraId="3FD90A06" w14:textId="77777777" w:rsidR="00312061" w:rsidRDefault="00312061" w:rsidP="00926988">
      <w:pPr>
        <w:rPr>
          <w:sz w:val="24"/>
          <w:szCs w:val="24"/>
        </w:rPr>
      </w:pPr>
      <w:r w:rsidRPr="002416C5">
        <w:rPr>
          <w:sz w:val="24"/>
          <w:szCs w:val="24"/>
        </w:rPr>
        <w:t>Campbell, D.E., Green, J.C. and Monson, J.Q., 2014. Seeking the promised land: Mormons and American politics. Cambridge University Press.</w:t>
      </w:r>
    </w:p>
    <w:p w14:paraId="04624BB2" w14:textId="77777777" w:rsidR="00312061" w:rsidRDefault="00312061" w:rsidP="00926988">
      <w:pPr>
        <w:rPr>
          <w:sz w:val="24"/>
          <w:szCs w:val="24"/>
        </w:rPr>
      </w:pPr>
      <w:bookmarkStart w:id="1" w:name="_Hlk139549501"/>
      <w:r w:rsidRPr="000A40F0">
        <w:rPr>
          <w:sz w:val="24"/>
          <w:szCs w:val="24"/>
        </w:rPr>
        <w:t xml:space="preserve">Cummings, B., 2002. </w:t>
      </w:r>
      <w:bookmarkEnd w:id="1"/>
      <w:r w:rsidRPr="000A40F0">
        <w:rPr>
          <w:sz w:val="24"/>
          <w:szCs w:val="24"/>
        </w:rPr>
        <w:t>The literary culture of the Reformation: grammar and grace. Oxford University Press.</w:t>
      </w:r>
    </w:p>
    <w:p w14:paraId="49FE9207" w14:textId="77777777" w:rsidR="00312061" w:rsidRDefault="00312061" w:rsidP="00926988">
      <w:pPr>
        <w:rPr>
          <w:sz w:val="24"/>
          <w:szCs w:val="24"/>
        </w:rPr>
      </w:pPr>
      <w:r w:rsidRPr="00926988">
        <w:rPr>
          <w:sz w:val="24"/>
          <w:szCs w:val="24"/>
        </w:rPr>
        <w:t>Hall, S., 2019. Encoding and decoding in the television discourse [originally 1973; republished 2007]. Essential essays; Volume 1: Foundations of cultural studies, pp.257-276.</w:t>
      </w:r>
    </w:p>
    <w:p w14:paraId="4634F062" w14:textId="77777777" w:rsidR="00312061" w:rsidRDefault="00312061" w:rsidP="00926988">
      <w:pPr>
        <w:rPr>
          <w:sz w:val="24"/>
          <w:szCs w:val="24"/>
        </w:rPr>
      </w:pPr>
      <w:r w:rsidRPr="002416C5">
        <w:rPr>
          <w:sz w:val="24"/>
          <w:szCs w:val="24"/>
        </w:rPr>
        <w:t>Morgan, E.S., 2003. American slavery, American freedom. WW Norton &amp; Company.</w:t>
      </w:r>
    </w:p>
    <w:p w14:paraId="77F6B145" w14:textId="77777777" w:rsidR="00312061" w:rsidRPr="00926988" w:rsidRDefault="00312061" w:rsidP="00926988">
      <w:pPr>
        <w:rPr>
          <w:sz w:val="24"/>
          <w:szCs w:val="24"/>
        </w:rPr>
      </w:pPr>
      <w:r w:rsidRPr="00D30A53">
        <w:rPr>
          <w:sz w:val="24"/>
          <w:szCs w:val="24"/>
        </w:rPr>
        <w:t>Pennington, K., 1988. Excommunication in the Middle Ages.</w:t>
      </w:r>
    </w:p>
    <w:p w14:paraId="4DFBA3D2" w14:textId="77777777" w:rsidR="00312061" w:rsidRDefault="00312061" w:rsidP="00926988">
      <w:pPr>
        <w:rPr>
          <w:sz w:val="24"/>
          <w:szCs w:val="24"/>
        </w:rPr>
      </w:pPr>
      <w:proofErr w:type="spellStart"/>
      <w:r w:rsidRPr="00D30A53">
        <w:rPr>
          <w:sz w:val="24"/>
          <w:szCs w:val="24"/>
        </w:rPr>
        <w:t>Pettegree</w:t>
      </w:r>
      <w:proofErr w:type="spellEnd"/>
      <w:r w:rsidRPr="00D30A53">
        <w:rPr>
          <w:sz w:val="24"/>
          <w:szCs w:val="24"/>
        </w:rPr>
        <w:t>, A. ed., 2000. The reformation world. Psychology Press.</w:t>
      </w:r>
    </w:p>
    <w:p w14:paraId="33E36B91" w14:textId="4DD9E8C6" w:rsidR="00454E9A" w:rsidRDefault="00454E9A" w:rsidP="00926988">
      <w:pPr>
        <w:rPr>
          <w:sz w:val="24"/>
          <w:szCs w:val="24"/>
        </w:rPr>
      </w:pPr>
      <w:bookmarkStart w:id="2" w:name="_Hlk139558903"/>
      <w:r w:rsidRPr="00454E9A">
        <w:rPr>
          <w:sz w:val="24"/>
          <w:szCs w:val="24"/>
        </w:rPr>
        <w:t>Noll, M.A., 2002</w:t>
      </w:r>
      <w:bookmarkEnd w:id="2"/>
      <w:r w:rsidRPr="00454E9A">
        <w:rPr>
          <w:sz w:val="24"/>
          <w:szCs w:val="24"/>
        </w:rPr>
        <w:t>. The old religion in a new world: The history of North American Christianity. Wm. B. Eerdmans Publishing.</w:t>
      </w:r>
    </w:p>
    <w:sectPr w:rsidR="00454E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EE221" w14:textId="77777777" w:rsidR="00975BDA" w:rsidRDefault="00975BDA" w:rsidP="00982F85">
      <w:pPr>
        <w:spacing w:after="0" w:line="240" w:lineRule="auto"/>
      </w:pPr>
      <w:r>
        <w:separator/>
      </w:r>
    </w:p>
  </w:endnote>
  <w:endnote w:type="continuationSeparator" w:id="0">
    <w:p w14:paraId="733EFD99" w14:textId="77777777" w:rsidR="00975BDA" w:rsidRDefault="00975BDA" w:rsidP="00982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B3A43" w14:textId="77777777" w:rsidR="00975BDA" w:rsidRDefault="00975BDA" w:rsidP="00982F85">
      <w:pPr>
        <w:spacing w:after="0" w:line="240" w:lineRule="auto"/>
      </w:pPr>
      <w:r>
        <w:separator/>
      </w:r>
    </w:p>
  </w:footnote>
  <w:footnote w:type="continuationSeparator" w:id="0">
    <w:p w14:paraId="386FF856" w14:textId="77777777" w:rsidR="00975BDA" w:rsidRDefault="00975BDA" w:rsidP="00982F85">
      <w:pPr>
        <w:spacing w:after="0" w:line="240" w:lineRule="auto"/>
      </w:pPr>
      <w:r>
        <w:continuationSeparator/>
      </w:r>
    </w:p>
  </w:footnote>
  <w:footnote w:id="1">
    <w:p w14:paraId="12E58F9F" w14:textId="77777777" w:rsidR="00454E9A" w:rsidRDefault="00454E9A" w:rsidP="00454E9A">
      <w:pPr>
        <w:pStyle w:val="FootnoteText"/>
      </w:pPr>
      <w:r>
        <w:rPr>
          <w:rStyle w:val="FootnoteReference"/>
        </w:rPr>
        <w:footnoteRef/>
      </w:r>
      <w:r>
        <w:t xml:space="preserve"> </w:t>
      </w:r>
      <w:r w:rsidRPr="00454E9A">
        <w:t>Cummings, B., 2002.</w:t>
      </w:r>
    </w:p>
  </w:footnote>
  <w:footnote w:id="2">
    <w:p w14:paraId="75F52C09" w14:textId="5D796B17" w:rsidR="00F542CF" w:rsidRDefault="00F542CF">
      <w:pPr>
        <w:pStyle w:val="FootnoteText"/>
      </w:pPr>
      <w:r>
        <w:rPr>
          <w:rStyle w:val="FootnoteReference"/>
        </w:rPr>
        <w:footnoteRef/>
      </w:r>
      <w:r>
        <w:t xml:space="preserve"> </w:t>
      </w:r>
      <w:r w:rsidR="00454E9A" w:rsidRPr="00454E9A">
        <w:t>Noll, M.A., 2002</w:t>
      </w:r>
      <w:r w:rsidR="00BD6E77">
        <w:t>.</w:t>
      </w:r>
    </w:p>
  </w:footnote>
  <w:footnote w:id="3">
    <w:p w14:paraId="2DF1C635" w14:textId="2C637E0F" w:rsidR="00191993" w:rsidRDefault="00191993">
      <w:pPr>
        <w:pStyle w:val="FootnoteText"/>
      </w:pPr>
      <w:r>
        <w:rPr>
          <w:rStyle w:val="FootnoteReference"/>
        </w:rPr>
        <w:footnoteRef/>
      </w:r>
      <w:r>
        <w:t xml:space="preserve"> </w:t>
      </w:r>
      <w:proofErr w:type="spellStart"/>
      <w:r w:rsidR="00D30A53" w:rsidRPr="00D30A53">
        <w:t>Pettegree</w:t>
      </w:r>
      <w:proofErr w:type="spellEnd"/>
      <w:r w:rsidR="00D30A53" w:rsidRPr="00D30A53">
        <w:t>, A. ed., 2000.</w:t>
      </w:r>
    </w:p>
  </w:footnote>
  <w:footnote w:id="4">
    <w:p w14:paraId="596E510E" w14:textId="4D1AC7CD" w:rsidR="00982F85" w:rsidRDefault="00982F85">
      <w:pPr>
        <w:pStyle w:val="FootnoteText"/>
      </w:pPr>
      <w:r>
        <w:rPr>
          <w:rStyle w:val="FootnoteReference"/>
        </w:rPr>
        <w:footnoteRef/>
      </w:r>
      <w:r>
        <w:t xml:space="preserve"> </w:t>
      </w:r>
      <w:proofErr w:type="spellStart"/>
      <w:r w:rsidR="00D30A53" w:rsidRPr="00D30A53">
        <w:t>Pettegree</w:t>
      </w:r>
      <w:proofErr w:type="spellEnd"/>
      <w:r w:rsidR="00D30A53" w:rsidRPr="00D30A53">
        <w:t>, A. ed., 2000.</w:t>
      </w:r>
    </w:p>
  </w:footnote>
  <w:footnote w:id="5">
    <w:p w14:paraId="48CE0C52" w14:textId="7DCC1358" w:rsidR="000A40F0" w:rsidRDefault="000A40F0">
      <w:pPr>
        <w:pStyle w:val="FootnoteText"/>
      </w:pPr>
      <w:r>
        <w:rPr>
          <w:rStyle w:val="FootnoteReference"/>
        </w:rPr>
        <w:footnoteRef/>
      </w:r>
      <w:r>
        <w:t xml:space="preserve"> </w:t>
      </w:r>
      <w:r w:rsidRPr="000A40F0">
        <w:t>Cummings, B., 2002.</w:t>
      </w:r>
    </w:p>
  </w:footnote>
  <w:footnote w:id="6">
    <w:p w14:paraId="0FC44EFD" w14:textId="77CBB8B2" w:rsidR="000A40F0" w:rsidRDefault="000A40F0">
      <w:pPr>
        <w:pStyle w:val="FootnoteText"/>
      </w:pPr>
      <w:r>
        <w:rPr>
          <w:rStyle w:val="FootnoteReference"/>
        </w:rPr>
        <w:footnoteRef/>
      </w:r>
      <w:r>
        <w:t xml:space="preserve"> </w:t>
      </w:r>
      <w:r w:rsidRPr="000A40F0">
        <w:t xml:space="preserve">"Pelagius". </w:t>
      </w:r>
      <w:proofErr w:type="spellStart"/>
      <w:r w:rsidRPr="000A40F0">
        <w:t>Encyclopedia</w:t>
      </w:r>
      <w:proofErr w:type="spellEnd"/>
      <w:r w:rsidRPr="000A40F0">
        <w:t xml:space="preserve"> Britannica, 20 Aug. 2020</w:t>
      </w:r>
      <w:r w:rsidR="00BD6E77">
        <w:t>.</w:t>
      </w:r>
    </w:p>
  </w:footnote>
  <w:footnote w:id="7">
    <w:p w14:paraId="7C76744D" w14:textId="6128CA70" w:rsidR="0072070B" w:rsidRDefault="0072070B">
      <w:pPr>
        <w:pStyle w:val="FootnoteText"/>
      </w:pPr>
      <w:r>
        <w:rPr>
          <w:rStyle w:val="FootnoteReference"/>
        </w:rPr>
        <w:footnoteRef/>
      </w:r>
      <w:r>
        <w:t xml:space="preserve"> </w:t>
      </w:r>
      <w:r w:rsidR="00D30A53" w:rsidRPr="00D30A53">
        <w:t>Pennington, K., 1988</w:t>
      </w:r>
      <w:r w:rsidR="00BD6E77">
        <w:t>.</w:t>
      </w:r>
    </w:p>
  </w:footnote>
  <w:footnote w:id="8">
    <w:p w14:paraId="5F1A00E7" w14:textId="4B066C6A" w:rsidR="006C11F9" w:rsidRDefault="006C11F9">
      <w:pPr>
        <w:pStyle w:val="FootnoteText"/>
      </w:pPr>
      <w:r>
        <w:rPr>
          <w:rStyle w:val="FootnoteReference"/>
        </w:rPr>
        <w:footnoteRef/>
      </w:r>
      <w:r>
        <w:t xml:space="preserve"> </w:t>
      </w:r>
      <w:r w:rsidR="002416C5" w:rsidRPr="002416C5">
        <w:t>Campbell, D.E., Green, J.C. and Monson, J.Q., 2014.</w:t>
      </w:r>
    </w:p>
  </w:footnote>
  <w:footnote w:id="9">
    <w:p w14:paraId="496A728C" w14:textId="145D19B9" w:rsidR="00B837E2" w:rsidRDefault="00B837E2">
      <w:pPr>
        <w:pStyle w:val="FootnoteText"/>
      </w:pPr>
      <w:r>
        <w:rPr>
          <w:rStyle w:val="FootnoteReference"/>
        </w:rPr>
        <w:footnoteRef/>
      </w:r>
      <w:r>
        <w:t xml:space="preserve"> </w:t>
      </w:r>
      <w:r w:rsidR="00A41A8E" w:rsidRPr="00A41A8E">
        <w:t>Bingham, R.S., 2015.</w:t>
      </w:r>
    </w:p>
  </w:footnote>
  <w:footnote w:id="10">
    <w:p w14:paraId="76E7ED2C" w14:textId="239C02FE" w:rsidR="003602B1" w:rsidRDefault="003602B1">
      <w:pPr>
        <w:pStyle w:val="FootnoteText"/>
      </w:pPr>
      <w:r>
        <w:rPr>
          <w:rStyle w:val="FootnoteReference"/>
        </w:rPr>
        <w:footnoteRef/>
      </w:r>
      <w:r>
        <w:t xml:space="preserve"> </w:t>
      </w:r>
      <w:bookmarkStart w:id="0" w:name="_Hlk139561954"/>
      <w:r w:rsidR="00A41A8E" w:rsidRPr="00A41A8E">
        <w:t>Bingham, R.S., 2015.</w:t>
      </w:r>
      <w:bookmarkEnd w:id="0"/>
    </w:p>
  </w:footnote>
  <w:footnote w:id="11">
    <w:p w14:paraId="73AE7215" w14:textId="45EE470E" w:rsidR="00480510" w:rsidRDefault="00480510">
      <w:pPr>
        <w:pStyle w:val="FootnoteText"/>
      </w:pPr>
      <w:r>
        <w:rPr>
          <w:rStyle w:val="FootnoteReference"/>
        </w:rPr>
        <w:footnoteRef/>
      </w:r>
      <w:r>
        <w:t xml:space="preserve"> </w:t>
      </w:r>
      <w:r w:rsidR="002416C5" w:rsidRPr="002416C5">
        <w:t>Morgan, E.S., 2003</w:t>
      </w:r>
      <w:r w:rsidR="00BD6E77">
        <w:t>.</w:t>
      </w:r>
    </w:p>
  </w:footnote>
  <w:footnote w:id="12">
    <w:p w14:paraId="204EB03C" w14:textId="2045C381" w:rsidR="003602B1" w:rsidRDefault="003602B1">
      <w:pPr>
        <w:pStyle w:val="FootnoteText"/>
      </w:pPr>
      <w:r>
        <w:rPr>
          <w:rStyle w:val="FootnoteReference"/>
        </w:rPr>
        <w:footnoteRef/>
      </w:r>
      <w:r>
        <w:t xml:space="preserve"> </w:t>
      </w:r>
      <w:r w:rsidR="002416C5" w:rsidRPr="002416C5">
        <w:t>Bingham, R.S., 2015.</w:t>
      </w:r>
    </w:p>
  </w:footnote>
  <w:footnote w:id="13">
    <w:p w14:paraId="7380F886" w14:textId="21F5CEF1" w:rsidR="0044516D" w:rsidRDefault="0044516D">
      <w:pPr>
        <w:pStyle w:val="FootnoteText"/>
      </w:pPr>
      <w:r>
        <w:rPr>
          <w:rStyle w:val="FootnoteReference"/>
        </w:rPr>
        <w:footnoteRef/>
      </w:r>
      <w:r>
        <w:t xml:space="preserve"> </w:t>
      </w:r>
      <w:r w:rsidRPr="0044516D">
        <w:t>Bingham, R.S., 2015.</w:t>
      </w:r>
    </w:p>
  </w:footnote>
  <w:footnote w:id="14">
    <w:p w14:paraId="4A7C4447" w14:textId="3E6D1CBD" w:rsidR="00D12DC5" w:rsidRDefault="00D12DC5">
      <w:pPr>
        <w:pStyle w:val="FootnoteText"/>
      </w:pPr>
      <w:r>
        <w:rPr>
          <w:rStyle w:val="FootnoteReference"/>
        </w:rPr>
        <w:footnoteRef/>
      </w:r>
      <w:r>
        <w:t xml:space="preserve"> </w:t>
      </w:r>
      <w:r w:rsidRPr="00D12DC5">
        <w:t>Cummings, B., 2002.</w:t>
      </w:r>
    </w:p>
  </w:footnote>
  <w:footnote w:id="15">
    <w:p w14:paraId="2F619AF5" w14:textId="6094C249" w:rsidR="00D12DC5" w:rsidRDefault="00D12DC5">
      <w:pPr>
        <w:pStyle w:val="FootnoteText"/>
      </w:pPr>
      <w:r>
        <w:rPr>
          <w:rStyle w:val="FootnoteReference"/>
        </w:rPr>
        <w:footnoteRef/>
      </w:r>
      <w:r>
        <w:t xml:space="preserve"> </w:t>
      </w:r>
      <w:r w:rsidR="00BD6E77" w:rsidRPr="00BD6E77">
        <w:t>Estep, W.R., 1986</w:t>
      </w:r>
      <w:r w:rsidR="00BD6E77">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5C"/>
    <w:rsid w:val="00022C5F"/>
    <w:rsid w:val="00041AFB"/>
    <w:rsid w:val="0005770C"/>
    <w:rsid w:val="00065D97"/>
    <w:rsid w:val="000943A7"/>
    <w:rsid w:val="00095F2E"/>
    <w:rsid w:val="000A40F0"/>
    <w:rsid w:val="000D45B1"/>
    <w:rsid w:val="000E774F"/>
    <w:rsid w:val="00113872"/>
    <w:rsid w:val="00156FEE"/>
    <w:rsid w:val="00191993"/>
    <w:rsid w:val="001969DF"/>
    <w:rsid w:val="001C7724"/>
    <w:rsid w:val="001E693E"/>
    <w:rsid w:val="002416C5"/>
    <w:rsid w:val="0025791D"/>
    <w:rsid w:val="00262C4F"/>
    <w:rsid w:val="00312061"/>
    <w:rsid w:val="003137D9"/>
    <w:rsid w:val="00317F7C"/>
    <w:rsid w:val="00323645"/>
    <w:rsid w:val="003426C6"/>
    <w:rsid w:val="003602B1"/>
    <w:rsid w:val="0038204C"/>
    <w:rsid w:val="003B005B"/>
    <w:rsid w:val="003B01D5"/>
    <w:rsid w:val="003B2ED3"/>
    <w:rsid w:val="003C1E9C"/>
    <w:rsid w:val="003D4FAE"/>
    <w:rsid w:val="003F2265"/>
    <w:rsid w:val="003F6E74"/>
    <w:rsid w:val="00432EF3"/>
    <w:rsid w:val="0044516D"/>
    <w:rsid w:val="00454E9A"/>
    <w:rsid w:val="00480510"/>
    <w:rsid w:val="004837C1"/>
    <w:rsid w:val="004B6EA7"/>
    <w:rsid w:val="005B05CD"/>
    <w:rsid w:val="005F4EB3"/>
    <w:rsid w:val="00614200"/>
    <w:rsid w:val="006154C4"/>
    <w:rsid w:val="00660FB9"/>
    <w:rsid w:val="00664726"/>
    <w:rsid w:val="00667B56"/>
    <w:rsid w:val="006A285C"/>
    <w:rsid w:val="006C11F9"/>
    <w:rsid w:val="006F0095"/>
    <w:rsid w:val="0072070B"/>
    <w:rsid w:val="00834932"/>
    <w:rsid w:val="008F5ED0"/>
    <w:rsid w:val="00926988"/>
    <w:rsid w:val="00947DF2"/>
    <w:rsid w:val="00975BDA"/>
    <w:rsid w:val="00982F85"/>
    <w:rsid w:val="00990EC4"/>
    <w:rsid w:val="009A3D21"/>
    <w:rsid w:val="009C4B99"/>
    <w:rsid w:val="00A17F0B"/>
    <w:rsid w:val="00A41A8E"/>
    <w:rsid w:val="00A42754"/>
    <w:rsid w:val="00A4390B"/>
    <w:rsid w:val="00A70D19"/>
    <w:rsid w:val="00AB5B47"/>
    <w:rsid w:val="00AF45A0"/>
    <w:rsid w:val="00B16EB3"/>
    <w:rsid w:val="00B837E2"/>
    <w:rsid w:val="00B844F3"/>
    <w:rsid w:val="00BA0A74"/>
    <w:rsid w:val="00BA2463"/>
    <w:rsid w:val="00BA31FB"/>
    <w:rsid w:val="00BD69D1"/>
    <w:rsid w:val="00BD6E77"/>
    <w:rsid w:val="00BE7796"/>
    <w:rsid w:val="00C12357"/>
    <w:rsid w:val="00C973B6"/>
    <w:rsid w:val="00D01EF6"/>
    <w:rsid w:val="00D12DC5"/>
    <w:rsid w:val="00D1496E"/>
    <w:rsid w:val="00D30A53"/>
    <w:rsid w:val="00E34C4A"/>
    <w:rsid w:val="00E54B6D"/>
    <w:rsid w:val="00EA75F0"/>
    <w:rsid w:val="00F542CF"/>
    <w:rsid w:val="00F6001D"/>
    <w:rsid w:val="00F73388"/>
    <w:rsid w:val="00F750C7"/>
    <w:rsid w:val="00F80E49"/>
    <w:rsid w:val="00FB087B"/>
    <w:rsid w:val="00FB3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1D69"/>
  <w15:chartTrackingRefBased/>
  <w15:docId w15:val="{CFB85453-4147-4B63-877C-223E964B2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2F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2F85"/>
    <w:rPr>
      <w:sz w:val="20"/>
      <w:szCs w:val="20"/>
    </w:rPr>
  </w:style>
  <w:style w:type="character" w:styleId="FootnoteReference">
    <w:name w:val="footnote reference"/>
    <w:basedOn w:val="DefaultParagraphFont"/>
    <w:uiPriority w:val="99"/>
    <w:semiHidden/>
    <w:unhideWhenUsed/>
    <w:rsid w:val="00982F85"/>
    <w:rPr>
      <w:vertAlign w:val="superscript"/>
    </w:rPr>
  </w:style>
  <w:style w:type="character" w:styleId="Hyperlink">
    <w:name w:val="Hyperlink"/>
    <w:basedOn w:val="DefaultParagraphFont"/>
    <w:uiPriority w:val="99"/>
    <w:unhideWhenUsed/>
    <w:rsid w:val="000A40F0"/>
    <w:rPr>
      <w:color w:val="0563C1" w:themeColor="hyperlink"/>
      <w:u w:val="single"/>
    </w:rPr>
  </w:style>
  <w:style w:type="character" w:styleId="UnresolvedMention">
    <w:name w:val="Unresolved Mention"/>
    <w:basedOn w:val="DefaultParagraphFont"/>
    <w:uiPriority w:val="99"/>
    <w:semiHidden/>
    <w:unhideWhenUsed/>
    <w:rsid w:val="000A4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Pelagius-Christian-theologian.%20Accessed%202%20July%202023" TargetMode="External"/><Relationship Id="rId3" Type="http://schemas.openxmlformats.org/officeDocument/2006/relationships/settings" Target="settings.xml"/><Relationship Id="rId7" Type="http://schemas.openxmlformats.org/officeDocument/2006/relationships/hyperlink" Target="https://www.bibleodyssey.org/bible-basics/what-is-reception-histo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4384A-37AE-416E-A913-EB500B94E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4</Pages>
  <Words>1547</Words>
  <Characters>8819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fisher</dc:creator>
  <cp:keywords/>
  <dc:description/>
  <cp:lastModifiedBy>david fisher</cp:lastModifiedBy>
  <cp:revision>225</cp:revision>
  <dcterms:created xsi:type="dcterms:W3CDTF">2023-07-05T20:20:00Z</dcterms:created>
  <dcterms:modified xsi:type="dcterms:W3CDTF">2023-07-06T17:53:00Z</dcterms:modified>
</cp:coreProperties>
</file>