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27EB" w:rsidRDefault="004827EB" w:rsidP="00FA30E0">
      <w:pPr>
        <w:spacing w:line="276" w:lineRule="auto"/>
        <w:jc w:val="center"/>
      </w:pPr>
      <w:r>
        <w:rPr>
          <w:noProof/>
        </w:rPr>
        <w:drawing>
          <wp:inline distT="0" distB="0" distL="0" distR="0">
            <wp:extent cx="2201583" cy="826936"/>
            <wp:effectExtent l="19050" t="0" r="8217"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212076" cy="830877"/>
                    </a:xfrm>
                    <a:prstGeom prst="rect">
                      <a:avLst/>
                    </a:prstGeom>
                  </pic:spPr>
                </pic:pic>
              </a:graphicData>
            </a:graphic>
          </wp:inline>
        </w:drawing>
      </w:r>
    </w:p>
    <w:p w:rsidR="004827EB" w:rsidRDefault="004827EB">
      <w:pPr>
        <w:spacing w:line="276" w:lineRule="auto"/>
        <w:jc w:val="left"/>
      </w:pPr>
    </w:p>
    <w:p w:rsidR="004827EB" w:rsidRDefault="004827EB">
      <w:pPr>
        <w:spacing w:line="276" w:lineRule="auto"/>
        <w:jc w:val="left"/>
      </w:pPr>
    </w:p>
    <w:p w:rsidR="004827EB" w:rsidRPr="004827EB" w:rsidRDefault="004827EB" w:rsidP="004827EB">
      <w:pPr>
        <w:spacing w:line="276" w:lineRule="auto"/>
        <w:jc w:val="center"/>
        <w:rPr>
          <w:b/>
          <w:sz w:val="30"/>
          <w:szCs w:val="30"/>
        </w:rPr>
      </w:pPr>
      <w:r w:rsidRPr="004827EB">
        <w:rPr>
          <w:b/>
          <w:sz w:val="30"/>
          <w:szCs w:val="30"/>
        </w:rPr>
        <w:t>Module: Financial Management</w:t>
      </w:r>
    </w:p>
    <w:p w:rsidR="004827EB" w:rsidRPr="004827EB" w:rsidRDefault="004827EB" w:rsidP="004827EB">
      <w:pPr>
        <w:spacing w:line="276" w:lineRule="auto"/>
        <w:jc w:val="center"/>
        <w:rPr>
          <w:b/>
          <w:sz w:val="30"/>
          <w:szCs w:val="30"/>
        </w:rPr>
      </w:pPr>
      <w:r w:rsidRPr="004827EB">
        <w:rPr>
          <w:b/>
          <w:sz w:val="30"/>
          <w:szCs w:val="30"/>
        </w:rPr>
        <w:t>Module code: LCMB7002</w:t>
      </w:r>
    </w:p>
    <w:p w:rsidR="004827EB" w:rsidRPr="004827EB" w:rsidRDefault="004827EB" w:rsidP="004827EB">
      <w:pPr>
        <w:spacing w:line="276" w:lineRule="auto"/>
        <w:jc w:val="center"/>
        <w:rPr>
          <w:b/>
          <w:sz w:val="30"/>
          <w:szCs w:val="30"/>
        </w:rPr>
      </w:pPr>
    </w:p>
    <w:p w:rsidR="004827EB" w:rsidRPr="004827EB" w:rsidRDefault="004827EB" w:rsidP="004827EB">
      <w:pPr>
        <w:spacing w:line="276" w:lineRule="auto"/>
        <w:jc w:val="center"/>
        <w:rPr>
          <w:b/>
          <w:sz w:val="30"/>
          <w:szCs w:val="30"/>
        </w:rPr>
      </w:pPr>
    </w:p>
    <w:p w:rsidR="004827EB" w:rsidRPr="004827EB" w:rsidRDefault="004827EB" w:rsidP="004827EB">
      <w:pPr>
        <w:spacing w:line="276" w:lineRule="auto"/>
        <w:jc w:val="center"/>
        <w:rPr>
          <w:b/>
          <w:sz w:val="30"/>
          <w:szCs w:val="30"/>
        </w:rPr>
      </w:pPr>
      <w:r w:rsidRPr="004827EB">
        <w:rPr>
          <w:b/>
          <w:sz w:val="30"/>
          <w:szCs w:val="30"/>
        </w:rPr>
        <w:t>Student Name:</w:t>
      </w:r>
      <w:r w:rsidR="00C90F43" w:rsidRPr="00C90F43">
        <w:t xml:space="preserve"> </w:t>
      </w:r>
      <w:r w:rsidR="00C90F43" w:rsidRPr="00C90F43">
        <w:rPr>
          <w:b/>
          <w:sz w:val="30"/>
          <w:szCs w:val="30"/>
        </w:rPr>
        <w:t>Andrey Nieche</w:t>
      </w:r>
    </w:p>
    <w:p w:rsidR="004827EB" w:rsidRDefault="004827EB" w:rsidP="004827EB">
      <w:pPr>
        <w:spacing w:line="276" w:lineRule="auto"/>
        <w:jc w:val="center"/>
      </w:pPr>
      <w:r>
        <w:br w:type="page"/>
      </w:r>
    </w:p>
    <w:sdt>
      <w:sdtPr>
        <w:rPr>
          <w:rFonts w:ascii="Times New Roman" w:eastAsiaTheme="minorHAnsi" w:hAnsi="Times New Roman" w:cstheme="minorBidi"/>
          <w:color w:val="auto"/>
          <w:sz w:val="24"/>
          <w:szCs w:val="22"/>
        </w:rPr>
        <w:id w:val="1024361350"/>
        <w:docPartObj>
          <w:docPartGallery w:val="Table of Contents"/>
          <w:docPartUnique/>
        </w:docPartObj>
      </w:sdtPr>
      <w:sdtEndPr>
        <w:rPr>
          <w:b/>
          <w:bCs/>
          <w:noProof/>
        </w:rPr>
      </w:sdtEndPr>
      <w:sdtContent>
        <w:p w:rsidR="008A65FF" w:rsidRDefault="008A65FF">
          <w:pPr>
            <w:pStyle w:val="TOCHeading"/>
          </w:pPr>
          <w:r>
            <w:t>Table of Contents</w:t>
          </w:r>
        </w:p>
        <w:p w:rsidR="00025E2C" w:rsidRDefault="0024705A">
          <w:pPr>
            <w:pStyle w:val="TOC1"/>
            <w:tabs>
              <w:tab w:val="right" w:leader="dot" w:pos="9350"/>
            </w:tabs>
            <w:rPr>
              <w:rFonts w:asciiTheme="minorHAnsi" w:eastAsiaTheme="minorEastAsia" w:hAnsiTheme="minorHAnsi"/>
              <w:noProof/>
              <w:sz w:val="22"/>
            </w:rPr>
          </w:pPr>
          <w:r w:rsidRPr="0024705A">
            <w:fldChar w:fldCharType="begin"/>
          </w:r>
          <w:r w:rsidR="008A65FF">
            <w:instrText xml:space="preserve"> TOC \o "1-3" \h \z \u </w:instrText>
          </w:r>
          <w:r w:rsidRPr="0024705A">
            <w:fldChar w:fldCharType="separate"/>
          </w:r>
          <w:hyperlink w:anchor="_Toc225603234" w:history="1">
            <w:r w:rsidR="00025E2C" w:rsidRPr="00286AF3">
              <w:rPr>
                <w:rStyle w:val="Hyperlink"/>
                <w:noProof/>
              </w:rPr>
              <w:t>Introduction</w:t>
            </w:r>
            <w:r w:rsidR="00025E2C">
              <w:rPr>
                <w:noProof/>
                <w:webHidden/>
              </w:rPr>
              <w:tab/>
            </w:r>
            <w:r>
              <w:rPr>
                <w:noProof/>
                <w:webHidden/>
              </w:rPr>
              <w:fldChar w:fldCharType="begin"/>
            </w:r>
            <w:r w:rsidR="00025E2C">
              <w:rPr>
                <w:noProof/>
                <w:webHidden/>
              </w:rPr>
              <w:instrText xml:space="preserve"> PAGEREF _Toc225603234 \h </w:instrText>
            </w:r>
            <w:r>
              <w:rPr>
                <w:noProof/>
                <w:webHidden/>
              </w:rPr>
            </w:r>
            <w:r>
              <w:rPr>
                <w:noProof/>
                <w:webHidden/>
              </w:rPr>
              <w:fldChar w:fldCharType="separate"/>
            </w:r>
            <w:r w:rsidR="00025E2C">
              <w:rPr>
                <w:noProof/>
                <w:webHidden/>
              </w:rPr>
              <w:t>4</w:t>
            </w:r>
            <w:r>
              <w:rPr>
                <w:noProof/>
                <w:webHidden/>
              </w:rPr>
              <w:fldChar w:fldCharType="end"/>
            </w:r>
          </w:hyperlink>
        </w:p>
        <w:p w:rsidR="00025E2C" w:rsidRDefault="0024705A">
          <w:pPr>
            <w:pStyle w:val="TOC1"/>
            <w:tabs>
              <w:tab w:val="right" w:leader="dot" w:pos="9350"/>
            </w:tabs>
            <w:rPr>
              <w:rFonts w:asciiTheme="minorHAnsi" w:eastAsiaTheme="minorEastAsia" w:hAnsiTheme="minorHAnsi"/>
              <w:noProof/>
              <w:sz w:val="22"/>
            </w:rPr>
          </w:pPr>
          <w:hyperlink w:anchor="_Toc225603235" w:history="1">
            <w:r w:rsidR="00025E2C" w:rsidRPr="00286AF3">
              <w:rPr>
                <w:rStyle w:val="Hyperlink"/>
                <w:noProof/>
              </w:rPr>
              <w:t>Financial Health Check of Tesla Inc. (2019–2023)</w:t>
            </w:r>
            <w:r w:rsidR="00025E2C">
              <w:rPr>
                <w:noProof/>
                <w:webHidden/>
              </w:rPr>
              <w:tab/>
            </w:r>
            <w:r>
              <w:rPr>
                <w:noProof/>
                <w:webHidden/>
              </w:rPr>
              <w:fldChar w:fldCharType="begin"/>
            </w:r>
            <w:r w:rsidR="00025E2C">
              <w:rPr>
                <w:noProof/>
                <w:webHidden/>
              </w:rPr>
              <w:instrText xml:space="preserve"> PAGEREF _Toc225603235 \h </w:instrText>
            </w:r>
            <w:r>
              <w:rPr>
                <w:noProof/>
                <w:webHidden/>
              </w:rPr>
            </w:r>
            <w:r>
              <w:rPr>
                <w:noProof/>
                <w:webHidden/>
              </w:rPr>
              <w:fldChar w:fldCharType="separate"/>
            </w:r>
            <w:r w:rsidR="00025E2C">
              <w:rPr>
                <w:noProof/>
                <w:webHidden/>
              </w:rPr>
              <w:t>4</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36" w:history="1">
            <w:r w:rsidR="00025E2C" w:rsidRPr="00286AF3">
              <w:rPr>
                <w:rStyle w:val="Hyperlink"/>
                <w:noProof/>
              </w:rPr>
              <w:t>Profitability Analysis</w:t>
            </w:r>
            <w:r w:rsidR="00025E2C">
              <w:rPr>
                <w:noProof/>
                <w:webHidden/>
              </w:rPr>
              <w:tab/>
            </w:r>
            <w:r>
              <w:rPr>
                <w:noProof/>
                <w:webHidden/>
              </w:rPr>
              <w:fldChar w:fldCharType="begin"/>
            </w:r>
            <w:r w:rsidR="00025E2C">
              <w:rPr>
                <w:noProof/>
                <w:webHidden/>
              </w:rPr>
              <w:instrText xml:space="preserve"> PAGEREF _Toc225603236 \h </w:instrText>
            </w:r>
            <w:r>
              <w:rPr>
                <w:noProof/>
                <w:webHidden/>
              </w:rPr>
            </w:r>
            <w:r>
              <w:rPr>
                <w:noProof/>
                <w:webHidden/>
              </w:rPr>
              <w:fldChar w:fldCharType="separate"/>
            </w:r>
            <w:r w:rsidR="00025E2C">
              <w:rPr>
                <w:noProof/>
                <w:webHidden/>
              </w:rPr>
              <w:t>5</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37" w:history="1">
            <w:r w:rsidR="00025E2C" w:rsidRPr="00286AF3">
              <w:rPr>
                <w:rStyle w:val="Hyperlink"/>
                <w:noProof/>
              </w:rPr>
              <w:t>Liquidity Analysis</w:t>
            </w:r>
            <w:r w:rsidR="00025E2C">
              <w:rPr>
                <w:noProof/>
                <w:webHidden/>
              </w:rPr>
              <w:tab/>
            </w:r>
            <w:r>
              <w:rPr>
                <w:noProof/>
                <w:webHidden/>
              </w:rPr>
              <w:fldChar w:fldCharType="begin"/>
            </w:r>
            <w:r w:rsidR="00025E2C">
              <w:rPr>
                <w:noProof/>
                <w:webHidden/>
              </w:rPr>
              <w:instrText xml:space="preserve"> PAGEREF _Toc225603237 \h </w:instrText>
            </w:r>
            <w:r>
              <w:rPr>
                <w:noProof/>
                <w:webHidden/>
              </w:rPr>
            </w:r>
            <w:r>
              <w:rPr>
                <w:noProof/>
                <w:webHidden/>
              </w:rPr>
              <w:fldChar w:fldCharType="separate"/>
            </w:r>
            <w:r w:rsidR="00025E2C">
              <w:rPr>
                <w:noProof/>
                <w:webHidden/>
              </w:rPr>
              <w:t>6</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38" w:history="1">
            <w:r w:rsidR="00025E2C" w:rsidRPr="00286AF3">
              <w:rPr>
                <w:rStyle w:val="Hyperlink"/>
                <w:noProof/>
              </w:rPr>
              <w:t>Efficiency Analysis</w:t>
            </w:r>
            <w:r w:rsidR="00025E2C">
              <w:rPr>
                <w:noProof/>
                <w:webHidden/>
              </w:rPr>
              <w:tab/>
            </w:r>
            <w:r>
              <w:rPr>
                <w:noProof/>
                <w:webHidden/>
              </w:rPr>
              <w:fldChar w:fldCharType="begin"/>
            </w:r>
            <w:r w:rsidR="00025E2C">
              <w:rPr>
                <w:noProof/>
                <w:webHidden/>
              </w:rPr>
              <w:instrText xml:space="preserve"> PAGEREF _Toc225603238 \h </w:instrText>
            </w:r>
            <w:r>
              <w:rPr>
                <w:noProof/>
                <w:webHidden/>
              </w:rPr>
            </w:r>
            <w:r>
              <w:rPr>
                <w:noProof/>
                <w:webHidden/>
              </w:rPr>
              <w:fldChar w:fldCharType="separate"/>
            </w:r>
            <w:r w:rsidR="00025E2C">
              <w:rPr>
                <w:noProof/>
                <w:webHidden/>
              </w:rPr>
              <w:t>7</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39" w:history="1">
            <w:r w:rsidR="00025E2C" w:rsidRPr="00286AF3">
              <w:rPr>
                <w:rStyle w:val="Hyperlink"/>
                <w:noProof/>
              </w:rPr>
              <w:t>Gearing (Leverage) Analysis</w:t>
            </w:r>
            <w:r w:rsidR="00025E2C">
              <w:rPr>
                <w:noProof/>
                <w:webHidden/>
              </w:rPr>
              <w:tab/>
            </w:r>
            <w:r>
              <w:rPr>
                <w:noProof/>
                <w:webHidden/>
              </w:rPr>
              <w:fldChar w:fldCharType="begin"/>
            </w:r>
            <w:r w:rsidR="00025E2C">
              <w:rPr>
                <w:noProof/>
                <w:webHidden/>
              </w:rPr>
              <w:instrText xml:space="preserve"> PAGEREF _Toc225603239 \h </w:instrText>
            </w:r>
            <w:r>
              <w:rPr>
                <w:noProof/>
                <w:webHidden/>
              </w:rPr>
            </w:r>
            <w:r>
              <w:rPr>
                <w:noProof/>
                <w:webHidden/>
              </w:rPr>
              <w:fldChar w:fldCharType="separate"/>
            </w:r>
            <w:r w:rsidR="00025E2C">
              <w:rPr>
                <w:noProof/>
                <w:webHidden/>
              </w:rPr>
              <w:t>8</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40" w:history="1">
            <w:r w:rsidR="00025E2C" w:rsidRPr="00286AF3">
              <w:rPr>
                <w:rStyle w:val="Hyperlink"/>
                <w:noProof/>
              </w:rPr>
              <w:t>Investment and Cash Flow Analysis</w:t>
            </w:r>
            <w:r w:rsidR="00025E2C">
              <w:rPr>
                <w:noProof/>
                <w:webHidden/>
              </w:rPr>
              <w:tab/>
            </w:r>
            <w:r>
              <w:rPr>
                <w:noProof/>
                <w:webHidden/>
              </w:rPr>
              <w:fldChar w:fldCharType="begin"/>
            </w:r>
            <w:r w:rsidR="00025E2C">
              <w:rPr>
                <w:noProof/>
                <w:webHidden/>
              </w:rPr>
              <w:instrText xml:space="preserve"> PAGEREF _Toc225603240 \h </w:instrText>
            </w:r>
            <w:r>
              <w:rPr>
                <w:noProof/>
                <w:webHidden/>
              </w:rPr>
            </w:r>
            <w:r>
              <w:rPr>
                <w:noProof/>
                <w:webHidden/>
              </w:rPr>
              <w:fldChar w:fldCharType="separate"/>
            </w:r>
            <w:r w:rsidR="00025E2C">
              <w:rPr>
                <w:noProof/>
                <w:webHidden/>
              </w:rPr>
              <w:t>8</w:t>
            </w:r>
            <w:r>
              <w:rPr>
                <w:noProof/>
                <w:webHidden/>
              </w:rPr>
              <w:fldChar w:fldCharType="end"/>
            </w:r>
          </w:hyperlink>
        </w:p>
        <w:p w:rsidR="00025E2C" w:rsidRDefault="0024705A">
          <w:pPr>
            <w:pStyle w:val="TOC1"/>
            <w:tabs>
              <w:tab w:val="right" w:leader="dot" w:pos="9350"/>
            </w:tabs>
            <w:rPr>
              <w:rFonts w:asciiTheme="minorHAnsi" w:eastAsiaTheme="minorEastAsia" w:hAnsiTheme="minorHAnsi"/>
              <w:noProof/>
              <w:sz w:val="22"/>
            </w:rPr>
          </w:pPr>
          <w:hyperlink w:anchor="_Toc225603241" w:history="1">
            <w:r w:rsidR="00025E2C" w:rsidRPr="00286AF3">
              <w:rPr>
                <w:rStyle w:val="Hyperlink"/>
                <w:noProof/>
              </w:rPr>
              <w:t>Working Capital Management Analysis of Tesla Inc.</w:t>
            </w:r>
            <w:r w:rsidR="00025E2C">
              <w:rPr>
                <w:noProof/>
                <w:webHidden/>
              </w:rPr>
              <w:tab/>
            </w:r>
            <w:r>
              <w:rPr>
                <w:noProof/>
                <w:webHidden/>
              </w:rPr>
              <w:fldChar w:fldCharType="begin"/>
            </w:r>
            <w:r w:rsidR="00025E2C">
              <w:rPr>
                <w:noProof/>
                <w:webHidden/>
              </w:rPr>
              <w:instrText xml:space="preserve"> PAGEREF _Toc225603241 \h </w:instrText>
            </w:r>
            <w:r>
              <w:rPr>
                <w:noProof/>
                <w:webHidden/>
              </w:rPr>
            </w:r>
            <w:r>
              <w:rPr>
                <w:noProof/>
                <w:webHidden/>
              </w:rPr>
              <w:fldChar w:fldCharType="separate"/>
            </w:r>
            <w:r w:rsidR="00025E2C">
              <w:rPr>
                <w:noProof/>
                <w:webHidden/>
              </w:rPr>
              <w:t>9</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42" w:history="1">
            <w:r w:rsidR="00025E2C" w:rsidRPr="00286AF3">
              <w:rPr>
                <w:rStyle w:val="Hyperlink"/>
                <w:noProof/>
              </w:rPr>
              <w:t>Cash Operating Cycle Assessment</w:t>
            </w:r>
            <w:r w:rsidR="00025E2C">
              <w:rPr>
                <w:noProof/>
                <w:webHidden/>
              </w:rPr>
              <w:tab/>
            </w:r>
            <w:r>
              <w:rPr>
                <w:noProof/>
                <w:webHidden/>
              </w:rPr>
              <w:fldChar w:fldCharType="begin"/>
            </w:r>
            <w:r w:rsidR="00025E2C">
              <w:rPr>
                <w:noProof/>
                <w:webHidden/>
              </w:rPr>
              <w:instrText xml:space="preserve"> PAGEREF _Toc225603242 \h </w:instrText>
            </w:r>
            <w:r>
              <w:rPr>
                <w:noProof/>
                <w:webHidden/>
              </w:rPr>
            </w:r>
            <w:r>
              <w:rPr>
                <w:noProof/>
                <w:webHidden/>
              </w:rPr>
              <w:fldChar w:fldCharType="separate"/>
            </w:r>
            <w:r w:rsidR="00025E2C">
              <w:rPr>
                <w:noProof/>
                <w:webHidden/>
              </w:rPr>
              <w:t>9</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43" w:history="1">
            <w:r w:rsidR="00025E2C" w:rsidRPr="00286AF3">
              <w:rPr>
                <w:rStyle w:val="Hyperlink"/>
                <w:noProof/>
              </w:rPr>
              <w:t>Strategies to Improve Liquidity through Working Capital Reforms</w:t>
            </w:r>
            <w:r w:rsidR="00025E2C">
              <w:rPr>
                <w:noProof/>
                <w:webHidden/>
              </w:rPr>
              <w:tab/>
            </w:r>
            <w:r>
              <w:rPr>
                <w:noProof/>
                <w:webHidden/>
              </w:rPr>
              <w:fldChar w:fldCharType="begin"/>
            </w:r>
            <w:r w:rsidR="00025E2C">
              <w:rPr>
                <w:noProof/>
                <w:webHidden/>
              </w:rPr>
              <w:instrText xml:space="preserve"> PAGEREF _Toc225603243 \h </w:instrText>
            </w:r>
            <w:r>
              <w:rPr>
                <w:noProof/>
                <w:webHidden/>
              </w:rPr>
            </w:r>
            <w:r>
              <w:rPr>
                <w:noProof/>
                <w:webHidden/>
              </w:rPr>
              <w:fldChar w:fldCharType="separate"/>
            </w:r>
            <w:r w:rsidR="00025E2C">
              <w:rPr>
                <w:noProof/>
                <w:webHidden/>
              </w:rPr>
              <w:t>10</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44" w:history="1">
            <w:r w:rsidR="00025E2C" w:rsidRPr="00286AF3">
              <w:rPr>
                <w:rStyle w:val="Hyperlink"/>
                <w:noProof/>
              </w:rPr>
              <w:t>Short-Term vs Long-Term Financing Options</w:t>
            </w:r>
            <w:r w:rsidR="00025E2C">
              <w:rPr>
                <w:noProof/>
                <w:webHidden/>
              </w:rPr>
              <w:tab/>
            </w:r>
            <w:r>
              <w:rPr>
                <w:noProof/>
                <w:webHidden/>
              </w:rPr>
              <w:fldChar w:fldCharType="begin"/>
            </w:r>
            <w:r w:rsidR="00025E2C">
              <w:rPr>
                <w:noProof/>
                <w:webHidden/>
              </w:rPr>
              <w:instrText xml:space="preserve"> PAGEREF _Toc225603244 \h </w:instrText>
            </w:r>
            <w:r>
              <w:rPr>
                <w:noProof/>
                <w:webHidden/>
              </w:rPr>
            </w:r>
            <w:r>
              <w:rPr>
                <w:noProof/>
                <w:webHidden/>
              </w:rPr>
              <w:fldChar w:fldCharType="separate"/>
            </w:r>
            <w:r w:rsidR="00025E2C">
              <w:rPr>
                <w:noProof/>
                <w:webHidden/>
              </w:rPr>
              <w:t>11</w:t>
            </w:r>
            <w:r>
              <w:rPr>
                <w:noProof/>
                <w:webHidden/>
              </w:rPr>
              <w:fldChar w:fldCharType="end"/>
            </w:r>
          </w:hyperlink>
        </w:p>
        <w:p w:rsidR="00025E2C" w:rsidRDefault="0024705A">
          <w:pPr>
            <w:pStyle w:val="TOC1"/>
            <w:tabs>
              <w:tab w:val="right" w:leader="dot" w:pos="9350"/>
            </w:tabs>
            <w:rPr>
              <w:rFonts w:asciiTheme="minorHAnsi" w:eastAsiaTheme="minorEastAsia" w:hAnsiTheme="minorHAnsi"/>
              <w:noProof/>
              <w:sz w:val="22"/>
            </w:rPr>
          </w:pPr>
          <w:hyperlink w:anchor="_Toc225603245" w:history="1">
            <w:r w:rsidR="00025E2C" w:rsidRPr="00286AF3">
              <w:rPr>
                <w:rStyle w:val="Hyperlink"/>
                <w:noProof/>
              </w:rPr>
              <w:t>Strategic Financial Restructuring Plan of Tesla Inc.</w:t>
            </w:r>
            <w:r w:rsidR="00025E2C">
              <w:rPr>
                <w:noProof/>
                <w:webHidden/>
              </w:rPr>
              <w:tab/>
            </w:r>
            <w:r>
              <w:rPr>
                <w:noProof/>
                <w:webHidden/>
              </w:rPr>
              <w:fldChar w:fldCharType="begin"/>
            </w:r>
            <w:r w:rsidR="00025E2C">
              <w:rPr>
                <w:noProof/>
                <w:webHidden/>
              </w:rPr>
              <w:instrText xml:space="preserve"> PAGEREF _Toc225603245 \h </w:instrText>
            </w:r>
            <w:r>
              <w:rPr>
                <w:noProof/>
                <w:webHidden/>
              </w:rPr>
            </w:r>
            <w:r>
              <w:rPr>
                <w:noProof/>
                <w:webHidden/>
              </w:rPr>
              <w:fldChar w:fldCharType="separate"/>
            </w:r>
            <w:r w:rsidR="00025E2C">
              <w:rPr>
                <w:noProof/>
                <w:webHidden/>
              </w:rPr>
              <w:t>12</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46" w:history="1">
            <w:r w:rsidR="00025E2C" w:rsidRPr="00286AF3">
              <w:rPr>
                <w:rStyle w:val="Hyperlink"/>
                <w:noProof/>
              </w:rPr>
              <w:t>Recommended Financial Restructuring Options</w:t>
            </w:r>
            <w:r w:rsidR="00025E2C">
              <w:rPr>
                <w:noProof/>
                <w:webHidden/>
              </w:rPr>
              <w:tab/>
            </w:r>
            <w:r>
              <w:rPr>
                <w:noProof/>
                <w:webHidden/>
              </w:rPr>
              <w:fldChar w:fldCharType="begin"/>
            </w:r>
            <w:r w:rsidR="00025E2C">
              <w:rPr>
                <w:noProof/>
                <w:webHidden/>
              </w:rPr>
              <w:instrText xml:space="preserve"> PAGEREF _Toc225603246 \h </w:instrText>
            </w:r>
            <w:r>
              <w:rPr>
                <w:noProof/>
                <w:webHidden/>
              </w:rPr>
            </w:r>
            <w:r>
              <w:rPr>
                <w:noProof/>
                <w:webHidden/>
              </w:rPr>
              <w:fldChar w:fldCharType="separate"/>
            </w:r>
            <w:r w:rsidR="00025E2C">
              <w:rPr>
                <w:noProof/>
                <w:webHidden/>
              </w:rPr>
              <w:t>12</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47" w:history="1">
            <w:r w:rsidR="00025E2C" w:rsidRPr="00286AF3">
              <w:rPr>
                <w:rStyle w:val="Hyperlink"/>
                <w:noProof/>
              </w:rPr>
              <w:t>Impact on Shareholder Value, Debt Structure, and Operational Flexibility</w:t>
            </w:r>
            <w:r w:rsidR="00025E2C">
              <w:rPr>
                <w:noProof/>
                <w:webHidden/>
              </w:rPr>
              <w:tab/>
            </w:r>
            <w:r>
              <w:rPr>
                <w:noProof/>
                <w:webHidden/>
              </w:rPr>
              <w:fldChar w:fldCharType="begin"/>
            </w:r>
            <w:r w:rsidR="00025E2C">
              <w:rPr>
                <w:noProof/>
                <w:webHidden/>
              </w:rPr>
              <w:instrText xml:space="preserve"> PAGEREF _Toc225603247 \h </w:instrText>
            </w:r>
            <w:r>
              <w:rPr>
                <w:noProof/>
                <w:webHidden/>
              </w:rPr>
            </w:r>
            <w:r>
              <w:rPr>
                <w:noProof/>
                <w:webHidden/>
              </w:rPr>
              <w:fldChar w:fldCharType="separate"/>
            </w:r>
            <w:r w:rsidR="00025E2C">
              <w:rPr>
                <w:noProof/>
                <w:webHidden/>
              </w:rPr>
              <w:t>13</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48" w:history="1">
            <w:r w:rsidR="00025E2C" w:rsidRPr="00286AF3">
              <w:rPr>
                <w:rStyle w:val="Hyperlink"/>
                <w:noProof/>
              </w:rPr>
              <w:t>International and Ethical Considerations</w:t>
            </w:r>
            <w:r w:rsidR="00025E2C">
              <w:rPr>
                <w:noProof/>
                <w:webHidden/>
              </w:rPr>
              <w:tab/>
            </w:r>
            <w:r>
              <w:rPr>
                <w:noProof/>
                <w:webHidden/>
              </w:rPr>
              <w:fldChar w:fldCharType="begin"/>
            </w:r>
            <w:r w:rsidR="00025E2C">
              <w:rPr>
                <w:noProof/>
                <w:webHidden/>
              </w:rPr>
              <w:instrText xml:space="preserve"> PAGEREF _Toc225603248 \h </w:instrText>
            </w:r>
            <w:r>
              <w:rPr>
                <w:noProof/>
                <w:webHidden/>
              </w:rPr>
            </w:r>
            <w:r>
              <w:rPr>
                <w:noProof/>
                <w:webHidden/>
              </w:rPr>
              <w:fldChar w:fldCharType="separate"/>
            </w:r>
            <w:r w:rsidR="00025E2C">
              <w:rPr>
                <w:noProof/>
                <w:webHidden/>
              </w:rPr>
              <w:t>14</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49" w:history="1">
            <w:r w:rsidR="00025E2C" w:rsidRPr="00286AF3">
              <w:rPr>
                <w:rStyle w:val="Hyperlink"/>
                <w:noProof/>
              </w:rPr>
              <w:t>Cash Flow and Present Value Calculations</w:t>
            </w:r>
            <w:r w:rsidR="00025E2C">
              <w:rPr>
                <w:noProof/>
                <w:webHidden/>
              </w:rPr>
              <w:tab/>
            </w:r>
            <w:r>
              <w:rPr>
                <w:noProof/>
                <w:webHidden/>
              </w:rPr>
              <w:fldChar w:fldCharType="begin"/>
            </w:r>
            <w:r w:rsidR="00025E2C">
              <w:rPr>
                <w:noProof/>
                <w:webHidden/>
              </w:rPr>
              <w:instrText xml:space="preserve"> PAGEREF _Toc225603249 \h </w:instrText>
            </w:r>
            <w:r>
              <w:rPr>
                <w:noProof/>
                <w:webHidden/>
              </w:rPr>
            </w:r>
            <w:r>
              <w:rPr>
                <w:noProof/>
                <w:webHidden/>
              </w:rPr>
              <w:fldChar w:fldCharType="separate"/>
            </w:r>
            <w:r w:rsidR="00025E2C">
              <w:rPr>
                <w:noProof/>
                <w:webHidden/>
              </w:rPr>
              <w:t>15</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50" w:history="1">
            <w:r w:rsidR="00025E2C" w:rsidRPr="00286AF3">
              <w:rPr>
                <w:rStyle w:val="Hyperlink"/>
                <w:noProof/>
              </w:rPr>
              <w:t>Payback Period (PBP)</w:t>
            </w:r>
            <w:r w:rsidR="00025E2C">
              <w:rPr>
                <w:noProof/>
                <w:webHidden/>
              </w:rPr>
              <w:tab/>
            </w:r>
            <w:r>
              <w:rPr>
                <w:noProof/>
                <w:webHidden/>
              </w:rPr>
              <w:fldChar w:fldCharType="begin"/>
            </w:r>
            <w:r w:rsidR="00025E2C">
              <w:rPr>
                <w:noProof/>
                <w:webHidden/>
              </w:rPr>
              <w:instrText xml:space="preserve"> PAGEREF _Toc225603250 \h </w:instrText>
            </w:r>
            <w:r>
              <w:rPr>
                <w:noProof/>
                <w:webHidden/>
              </w:rPr>
            </w:r>
            <w:r>
              <w:rPr>
                <w:noProof/>
                <w:webHidden/>
              </w:rPr>
              <w:fldChar w:fldCharType="separate"/>
            </w:r>
            <w:r w:rsidR="00025E2C">
              <w:rPr>
                <w:noProof/>
                <w:webHidden/>
              </w:rPr>
              <w:t>16</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51" w:history="1">
            <w:r w:rsidR="00025E2C" w:rsidRPr="00286AF3">
              <w:rPr>
                <w:rStyle w:val="Hyperlink"/>
                <w:noProof/>
              </w:rPr>
              <w:t>Accounting Rate of Return (ARR)</w:t>
            </w:r>
            <w:r w:rsidR="00025E2C">
              <w:rPr>
                <w:noProof/>
                <w:webHidden/>
              </w:rPr>
              <w:tab/>
            </w:r>
            <w:r>
              <w:rPr>
                <w:noProof/>
                <w:webHidden/>
              </w:rPr>
              <w:fldChar w:fldCharType="begin"/>
            </w:r>
            <w:r w:rsidR="00025E2C">
              <w:rPr>
                <w:noProof/>
                <w:webHidden/>
              </w:rPr>
              <w:instrText xml:space="preserve"> PAGEREF _Toc225603251 \h </w:instrText>
            </w:r>
            <w:r>
              <w:rPr>
                <w:noProof/>
                <w:webHidden/>
              </w:rPr>
            </w:r>
            <w:r>
              <w:rPr>
                <w:noProof/>
                <w:webHidden/>
              </w:rPr>
              <w:fldChar w:fldCharType="separate"/>
            </w:r>
            <w:r w:rsidR="00025E2C">
              <w:rPr>
                <w:noProof/>
                <w:webHidden/>
              </w:rPr>
              <w:t>16</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52" w:history="1">
            <w:r w:rsidR="00025E2C" w:rsidRPr="00286AF3">
              <w:rPr>
                <w:rStyle w:val="Hyperlink"/>
                <w:noProof/>
              </w:rPr>
              <w:t>Net Present Value (NPV)</w:t>
            </w:r>
            <w:r w:rsidR="00025E2C">
              <w:rPr>
                <w:noProof/>
                <w:webHidden/>
              </w:rPr>
              <w:tab/>
            </w:r>
            <w:r>
              <w:rPr>
                <w:noProof/>
                <w:webHidden/>
              </w:rPr>
              <w:fldChar w:fldCharType="begin"/>
            </w:r>
            <w:r w:rsidR="00025E2C">
              <w:rPr>
                <w:noProof/>
                <w:webHidden/>
              </w:rPr>
              <w:instrText xml:space="preserve"> PAGEREF _Toc225603252 \h </w:instrText>
            </w:r>
            <w:r>
              <w:rPr>
                <w:noProof/>
                <w:webHidden/>
              </w:rPr>
            </w:r>
            <w:r>
              <w:rPr>
                <w:noProof/>
                <w:webHidden/>
              </w:rPr>
              <w:fldChar w:fldCharType="separate"/>
            </w:r>
            <w:r w:rsidR="00025E2C">
              <w:rPr>
                <w:noProof/>
                <w:webHidden/>
              </w:rPr>
              <w:t>16</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53" w:history="1">
            <w:r w:rsidR="00025E2C" w:rsidRPr="00286AF3">
              <w:rPr>
                <w:rStyle w:val="Hyperlink"/>
                <w:noProof/>
              </w:rPr>
              <w:t>Profitability Index (PI)</w:t>
            </w:r>
            <w:r w:rsidR="00025E2C">
              <w:rPr>
                <w:noProof/>
                <w:webHidden/>
              </w:rPr>
              <w:tab/>
            </w:r>
            <w:r>
              <w:rPr>
                <w:noProof/>
                <w:webHidden/>
              </w:rPr>
              <w:fldChar w:fldCharType="begin"/>
            </w:r>
            <w:r w:rsidR="00025E2C">
              <w:rPr>
                <w:noProof/>
                <w:webHidden/>
              </w:rPr>
              <w:instrText xml:space="preserve"> PAGEREF _Toc225603253 \h </w:instrText>
            </w:r>
            <w:r>
              <w:rPr>
                <w:noProof/>
                <w:webHidden/>
              </w:rPr>
            </w:r>
            <w:r>
              <w:rPr>
                <w:noProof/>
                <w:webHidden/>
              </w:rPr>
              <w:fldChar w:fldCharType="separate"/>
            </w:r>
            <w:r w:rsidR="00025E2C">
              <w:rPr>
                <w:noProof/>
                <w:webHidden/>
              </w:rPr>
              <w:t>17</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54" w:history="1">
            <w:r w:rsidR="00025E2C" w:rsidRPr="00286AF3">
              <w:rPr>
                <w:rStyle w:val="Hyperlink"/>
                <w:noProof/>
              </w:rPr>
              <w:t>Internal Rate of Return (IRR)</w:t>
            </w:r>
            <w:r w:rsidR="00025E2C">
              <w:rPr>
                <w:noProof/>
                <w:webHidden/>
              </w:rPr>
              <w:tab/>
            </w:r>
            <w:r>
              <w:rPr>
                <w:noProof/>
                <w:webHidden/>
              </w:rPr>
              <w:fldChar w:fldCharType="begin"/>
            </w:r>
            <w:r w:rsidR="00025E2C">
              <w:rPr>
                <w:noProof/>
                <w:webHidden/>
              </w:rPr>
              <w:instrText xml:space="preserve"> PAGEREF _Toc225603254 \h </w:instrText>
            </w:r>
            <w:r>
              <w:rPr>
                <w:noProof/>
                <w:webHidden/>
              </w:rPr>
            </w:r>
            <w:r>
              <w:rPr>
                <w:noProof/>
                <w:webHidden/>
              </w:rPr>
              <w:fldChar w:fldCharType="separate"/>
            </w:r>
            <w:r w:rsidR="00025E2C">
              <w:rPr>
                <w:noProof/>
                <w:webHidden/>
              </w:rPr>
              <w:t>17</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55" w:history="1">
            <w:r w:rsidR="00025E2C" w:rsidRPr="00286AF3">
              <w:rPr>
                <w:rStyle w:val="Hyperlink"/>
                <w:noProof/>
              </w:rPr>
              <w:t>Project Recommendation</w:t>
            </w:r>
            <w:r w:rsidR="00025E2C">
              <w:rPr>
                <w:noProof/>
                <w:webHidden/>
              </w:rPr>
              <w:tab/>
            </w:r>
            <w:r>
              <w:rPr>
                <w:noProof/>
                <w:webHidden/>
              </w:rPr>
              <w:fldChar w:fldCharType="begin"/>
            </w:r>
            <w:r w:rsidR="00025E2C">
              <w:rPr>
                <w:noProof/>
                <w:webHidden/>
              </w:rPr>
              <w:instrText xml:space="preserve"> PAGEREF _Toc225603255 \h </w:instrText>
            </w:r>
            <w:r>
              <w:rPr>
                <w:noProof/>
                <w:webHidden/>
              </w:rPr>
            </w:r>
            <w:r>
              <w:rPr>
                <w:noProof/>
                <w:webHidden/>
              </w:rPr>
              <w:fldChar w:fldCharType="separate"/>
            </w:r>
            <w:r w:rsidR="00025E2C">
              <w:rPr>
                <w:noProof/>
                <w:webHidden/>
              </w:rPr>
              <w:t>17</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56" w:history="1">
            <w:r w:rsidR="00025E2C" w:rsidRPr="00286AF3">
              <w:rPr>
                <w:rStyle w:val="Hyperlink"/>
                <w:noProof/>
              </w:rPr>
              <w:t>Capital Rationing Decision (£100 million constraint)</w:t>
            </w:r>
            <w:r w:rsidR="00025E2C">
              <w:rPr>
                <w:noProof/>
                <w:webHidden/>
              </w:rPr>
              <w:tab/>
            </w:r>
            <w:r>
              <w:rPr>
                <w:noProof/>
                <w:webHidden/>
              </w:rPr>
              <w:fldChar w:fldCharType="begin"/>
            </w:r>
            <w:r w:rsidR="00025E2C">
              <w:rPr>
                <w:noProof/>
                <w:webHidden/>
              </w:rPr>
              <w:instrText xml:space="preserve"> PAGEREF _Toc225603256 \h </w:instrText>
            </w:r>
            <w:r>
              <w:rPr>
                <w:noProof/>
                <w:webHidden/>
              </w:rPr>
            </w:r>
            <w:r>
              <w:rPr>
                <w:noProof/>
                <w:webHidden/>
              </w:rPr>
              <w:fldChar w:fldCharType="separate"/>
            </w:r>
            <w:r w:rsidR="00025E2C">
              <w:rPr>
                <w:noProof/>
                <w:webHidden/>
              </w:rPr>
              <w:t>18</w:t>
            </w:r>
            <w:r>
              <w:rPr>
                <w:noProof/>
                <w:webHidden/>
              </w:rPr>
              <w:fldChar w:fldCharType="end"/>
            </w:r>
          </w:hyperlink>
        </w:p>
        <w:p w:rsidR="00025E2C" w:rsidRDefault="0024705A">
          <w:pPr>
            <w:pStyle w:val="TOC1"/>
            <w:tabs>
              <w:tab w:val="right" w:leader="dot" w:pos="9350"/>
            </w:tabs>
            <w:rPr>
              <w:rFonts w:asciiTheme="minorHAnsi" w:eastAsiaTheme="minorEastAsia" w:hAnsiTheme="minorHAnsi"/>
              <w:noProof/>
              <w:sz w:val="22"/>
            </w:rPr>
          </w:pPr>
          <w:hyperlink w:anchor="_Toc225603257" w:history="1">
            <w:r w:rsidR="00025E2C" w:rsidRPr="00286AF3">
              <w:rPr>
                <w:rStyle w:val="Hyperlink"/>
                <w:noProof/>
              </w:rPr>
              <w:t>Conclusion</w:t>
            </w:r>
            <w:r w:rsidR="00025E2C">
              <w:rPr>
                <w:noProof/>
                <w:webHidden/>
              </w:rPr>
              <w:tab/>
            </w:r>
            <w:r>
              <w:rPr>
                <w:noProof/>
                <w:webHidden/>
              </w:rPr>
              <w:fldChar w:fldCharType="begin"/>
            </w:r>
            <w:r w:rsidR="00025E2C">
              <w:rPr>
                <w:noProof/>
                <w:webHidden/>
              </w:rPr>
              <w:instrText xml:space="preserve"> PAGEREF _Toc225603257 \h </w:instrText>
            </w:r>
            <w:r>
              <w:rPr>
                <w:noProof/>
                <w:webHidden/>
              </w:rPr>
            </w:r>
            <w:r>
              <w:rPr>
                <w:noProof/>
                <w:webHidden/>
              </w:rPr>
              <w:fldChar w:fldCharType="separate"/>
            </w:r>
            <w:r w:rsidR="00025E2C">
              <w:rPr>
                <w:noProof/>
                <w:webHidden/>
              </w:rPr>
              <w:t>18</w:t>
            </w:r>
            <w:r>
              <w:rPr>
                <w:noProof/>
                <w:webHidden/>
              </w:rPr>
              <w:fldChar w:fldCharType="end"/>
            </w:r>
          </w:hyperlink>
        </w:p>
        <w:p w:rsidR="00025E2C" w:rsidRDefault="0024705A">
          <w:pPr>
            <w:pStyle w:val="TOC1"/>
            <w:tabs>
              <w:tab w:val="right" w:leader="dot" w:pos="9350"/>
            </w:tabs>
            <w:rPr>
              <w:rFonts w:asciiTheme="minorHAnsi" w:eastAsiaTheme="minorEastAsia" w:hAnsiTheme="minorHAnsi"/>
              <w:noProof/>
              <w:sz w:val="22"/>
            </w:rPr>
          </w:pPr>
          <w:hyperlink w:anchor="_Toc225603258" w:history="1">
            <w:r w:rsidR="00025E2C" w:rsidRPr="00286AF3">
              <w:rPr>
                <w:rStyle w:val="Hyperlink"/>
                <w:noProof/>
              </w:rPr>
              <w:t>Reference</w:t>
            </w:r>
            <w:r w:rsidR="00025E2C">
              <w:rPr>
                <w:noProof/>
                <w:webHidden/>
              </w:rPr>
              <w:tab/>
            </w:r>
            <w:r>
              <w:rPr>
                <w:noProof/>
                <w:webHidden/>
              </w:rPr>
              <w:fldChar w:fldCharType="begin"/>
            </w:r>
            <w:r w:rsidR="00025E2C">
              <w:rPr>
                <w:noProof/>
                <w:webHidden/>
              </w:rPr>
              <w:instrText xml:space="preserve"> PAGEREF _Toc225603258 \h </w:instrText>
            </w:r>
            <w:r>
              <w:rPr>
                <w:noProof/>
                <w:webHidden/>
              </w:rPr>
            </w:r>
            <w:r>
              <w:rPr>
                <w:noProof/>
                <w:webHidden/>
              </w:rPr>
              <w:fldChar w:fldCharType="separate"/>
            </w:r>
            <w:r w:rsidR="00025E2C">
              <w:rPr>
                <w:noProof/>
                <w:webHidden/>
              </w:rPr>
              <w:t>20</w:t>
            </w:r>
            <w:r>
              <w:rPr>
                <w:noProof/>
                <w:webHidden/>
              </w:rPr>
              <w:fldChar w:fldCharType="end"/>
            </w:r>
          </w:hyperlink>
        </w:p>
        <w:p w:rsidR="00025E2C" w:rsidRDefault="0024705A">
          <w:pPr>
            <w:pStyle w:val="TOC1"/>
            <w:tabs>
              <w:tab w:val="right" w:leader="dot" w:pos="9350"/>
            </w:tabs>
            <w:rPr>
              <w:rFonts w:asciiTheme="minorHAnsi" w:eastAsiaTheme="minorEastAsia" w:hAnsiTheme="minorHAnsi"/>
              <w:noProof/>
              <w:sz w:val="22"/>
            </w:rPr>
          </w:pPr>
          <w:hyperlink w:anchor="_Toc225603259" w:history="1">
            <w:r w:rsidR="00025E2C" w:rsidRPr="00286AF3">
              <w:rPr>
                <w:rStyle w:val="Hyperlink"/>
                <w:noProof/>
              </w:rPr>
              <w:t>Appendix</w:t>
            </w:r>
            <w:r w:rsidR="00025E2C">
              <w:rPr>
                <w:noProof/>
                <w:webHidden/>
              </w:rPr>
              <w:tab/>
            </w:r>
            <w:r>
              <w:rPr>
                <w:noProof/>
                <w:webHidden/>
              </w:rPr>
              <w:fldChar w:fldCharType="begin"/>
            </w:r>
            <w:r w:rsidR="00025E2C">
              <w:rPr>
                <w:noProof/>
                <w:webHidden/>
              </w:rPr>
              <w:instrText xml:space="preserve"> PAGEREF _Toc225603259 \h </w:instrText>
            </w:r>
            <w:r>
              <w:rPr>
                <w:noProof/>
                <w:webHidden/>
              </w:rPr>
            </w:r>
            <w:r>
              <w:rPr>
                <w:noProof/>
                <w:webHidden/>
              </w:rPr>
              <w:fldChar w:fldCharType="separate"/>
            </w:r>
            <w:r w:rsidR="00025E2C">
              <w:rPr>
                <w:noProof/>
                <w:webHidden/>
              </w:rPr>
              <w:t>24</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60" w:history="1">
            <w:r w:rsidR="00025E2C" w:rsidRPr="00286AF3">
              <w:rPr>
                <w:rStyle w:val="Hyperlink"/>
                <w:noProof/>
              </w:rPr>
              <w:t>Appendix A: Ratio Tables</w:t>
            </w:r>
            <w:r w:rsidR="00025E2C">
              <w:rPr>
                <w:noProof/>
                <w:webHidden/>
              </w:rPr>
              <w:tab/>
            </w:r>
            <w:r>
              <w:rPr>
                <w:noProof/>
                <w:webHidden/>
              </w:rPr>
              <w:fldChar w:fldCharType="begin"/>
            </w:r>
            <w:r w:rsidR="00025E2C">
              <w:rPr>
                <w:noProof/>
                <w:webHidden/>
              </w:rPr>
              <w:instrText xml:space="preserve"> PAGEREF _Toc225603260 \h </w:instrText>
            </w:r>
            <w:r>
              <w:rPr>
                <w:noProof/>
                <w:webHidden/>
              </w:rPr>
            </w:r>
            <w:r>
              <w:rPr>
                <w:noProof/>
                <w:webHidden/>
              </w:rPr>
              <w:fldChar w:fldCharType="separate"/>
            </w:r>
            <w:r w:rsidR="00025E2C">
              <w:rPr>
                <w:noProof/>
                <w:webHidden/>
              </w:rPr>
              <w:t>24</w:t>
            </w:r>
            <w:r>
              <w:rPr>
                <w:noProof/>
                <w:webHidden/>
              </w:rPr>
              <w:fldChar w:fldCharType="end"/>
            </w:r>
          </w:hyperlink>
        </w:p>
        <w:p w:rsidR="00025E2C" w:rsidRDefault="0024705A">
          <w:pPr>
            <w:pStyle w:val="TOC2"/>
            <w:tabs>
              <w:tab w:val="right" w:leader="dot" w:pos="9350"/>
            </w:tabs>
            <w:rPr>
              <w:rFonts w:asciiTheme="minorHAnsi" w:eastAsiaTheme="minorEastAsia" w:hAnsiTheme="minorHAnsi"/>
              <w:noProof/>
              <w:sz w:val="22"/>
            </w:rPr>
          </w:pPr>
          <w:hyperlink w:anchor="_Toc225603261" w:history="1">
            <w:r w:rsidR="00025E2C" w:rsidRPr="00286AF3">
              <w:rPr>
                <w:rStyle w:val="Hyperlink"/>
                <w:noProof/>
              </w:rPr>
              <w:t>Appendix B: Investment Appraisal Calculations</w:t>
            </w:r>
            <w:r w:rsidR="00025E2C">
              <w:rPr>
                <w:noProof/>
                <w:webHidden/>
              </w:rPr>
              <w:tab/>
            </w:r>
            <w:r>
              <w:rPr>
                <w:noProof/>
                <w:webHidden/>
              </w:rPr>
              <w:fldChar w:fldCharType="begin"/>
            </w:r>
            <w:r w:rsidR="00025E2C">
              <w:rPr>
                <w:noProof/>
                <w:webHidden/>
              </w:rPr>
              <w:instrText xml:space="preserve"> PAGEREF _Toc225603261 \h </w:instrText>
            </w:r>
            <w:r>
              <w:rPr>
                <w:noProof/>
                <w:webHidden/>
              </w:rPr>
            </w:r>
            <w:r>
              <w:rPr>
                <w:noProof/>
                <w:webHidden/>
              </w:rPr>
              <w:fldChar w:fldCharType="separate"/>
            </w:r>
            <w:r w:rsidR="00025E2C">
              <w:rPr>
                <w:noProof/>
                <w:webHidden/>
              </w:rPr>
              <w:t>26</w:t>
            </w:r>
            <w:r>
              <w:rPr>
                <w:noProof/>
                <w:webHidden/>
              </w:rPr>
              <w:fldChar w:fldCharType="end"/>
            </w:r>
          </w:hyperlink>
        </w:p>
        <w:p w:rsidR="008A65FF" w:rsidRDefault="0024705A">
          <w:r>
            <w:rPr>
              <w:b/>
              <w:bCs/>
              <w:noProof/>
            </w:rPr>
            <w:fldChar w:fldCharType="end"/>
          </w:r>
        </w:p>
      </w:sdtContent>
    </w:sdt>
    <w:p w:rsidR="008A65FF" w:rsidRDefault="008A65FF">
      <w:pPr>
        <w:spacing w:line="276" w:lineRule="auto"/>
        <w:jc w:val="left"/>
        <w:rPr>
          <w:rFonts w:eastAsiaTheme="majorEastAsia" w:cstheme="majorBidi"/>
          <w:b/>
          <w:bCs/>
          <w:color w:val="365F91" w:themeColor="accent1" w:themeShade="BF"/>
          <w:sz w:val="32"/>
          <w:szCs w:val="28"/>
        </w:rPr>
      </w:pPr>
      <w:r>
        <w:br w:type="page"/>
      </w:r>
    </w:p>
    <w:p w:rsidR="004827EB" w:rsidRDefault="004827EB" w:rsidP="004827EB">
      <w:pPr>
        <w:pStyle w:val="Heading1"/>
      </w:pPr>
      <w:bookmarkStart w:id="0" w:name="_Toc225603234"/>
      <w:r>
        <w:lastRenderedPageBreak/>
        <w:t>Introduction</w:t>
      </w:r>
      <w:bookmarkEnd w:id="0"/>
    </w:p>
    <w:p w:rsidR="004827EB" w:rsidRDefault="00BA1F25" w:rsidP="004827EB">
      <w:r w:rsidRPr="00BA1F25">
        <w:t>The given report is an in-depth financial discussion of Tesla Inc., its 2019-2023 performance, and strategic financial suggestions.</w:t>
      </w:r>
      <w:r w:rsidR="00C64C29" w:rsidRPr="00C64C29">
        <w:t xml:space="preserve"> Tesla, as a major producer of electric vehicles in the world, is in a highly competitive and capital-intensive industry that requires financial efficiency and strategic decision-making as the key to successful growth in the long run. The report has started with a thorough financial analysis of the health of the company based on ratio analysis to appreciate profitability, liquidity, efficiency, gearing, and cash flow performance. It next analyses the management of working capital in Tesla that includes the cash operating cycle and the liquidity optimisation strategies. Additionally, a strategic financial restructuring plan is also formulated to increase shareholders' value and increase the flexibility of operations, taking into account international and ethical issues. Lastly, the methods of appraisal of investments are used to measure the alternative projects and aid in decision-making about the capital budget. The analysis will set an objective to evaluate the long-term viability of the financial growth of Tesla, as well as propose the measures which will ensure the value creation in the long run.</w:t>
      </w:r>
    </w:p>
    <w:p w:rsidR="004827EB" w:rsidRDefault="004827EB" w:rsidP="004827EB">
      <w:pPr>
        <w:pStyle w:val="Heading1"/>
      </w:pPr>
      <w:bookmarkStart w:id="1" w:name="_Toc225603235"/>
      <w:r>
        <w:t>Financial Health Check of Tesla Inc. (2019–2023)</w:t>
      </w:r>
      <w:bookmarkEnd w:id="1"/>
    </w:p>
    <w:p w:rsidR="00266AA7" w:rsidRDefault="00266AA7" w:rsidP="00266AA7">
      <w:pPr>
        <w:jc w:val="center"/>
      </w:pPr>
      <w:r>
        <w:rPr>
          <w:noProof/>
        </w:rPr>
        <w:drawing>
          <wp:inline distT="0" distB="0" distL="0" distR="0">
            <wp:extent cx="3886200" cy="2178929"/>
            <wp:effectExtent l="0" t="0" r="0" b="0"/>
            <wp:docPr id="8" name="Picture 8" descr="Tesla Full Year 2023 Analysis — A Review of Actual Performance &amp; My  Financial Forecast | by Abdulmajid B. Isah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 Full Year 2023 Analysis — A Review of Actual Performance &amp; My  Financial Forecast | by Abdulmajid B. Isah | Medium"/>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907475" cy="2190857"/>
                    </a:xfrm>
                    <a:prstGeom prst="rect">
                      <a:avLst/>
                    </a:prstGeom>
                    <a:noFill/>
                    <a:ln>
                      <a:noFill/>
                    </a:ln>
                  </pic:spPr>
                </pic:pic>
              </a:graphicData>
            </a:graphic>
          </wp:inline>
        </w:drawing>
      </w:r>
    </w:p>
    <w:p w:rsidR="00266AA7" w:rsidRDefault="00266AA7" w:rsidP="00266AA7">
      <w:pPr>
        <w:jc w:val="center"/>
      </w:pPr>
      <w:r>
        <w:t xml:space="preserve">Figure 1: </w:t>
      </w:r>
      <w:r w:rsidRPr="00266AA7">
        <w:t>Financial Health Check of Tesla Inc. (2019–2023)</w:t>
      </w:r>
    </w:p>
    <w:p w:rsidR="00266AA7" w:rsidRPr="00266AA7" w:rsidRDefault="00041B2D" w:rsidP="00266AA7">
      <w:pPr>
        <w:jc w:val="center"/>
      </w:pPr>
      <w:r>
        <w:t>Source:</w:t>
      </w:r>
      <w:r w:rsidR="00266AA7">
        <w:rPr>
          <w:color w:val="222222"/>
          <w:shd w:val="clear" w:color="auto" w:fill="FFFFFF"/>
        </w:rPr>
        <w:t>(Huang, 2023)</w:t>
      </w:r>
    </w:p>
    <w:p w:rsidR="00C64C29" w:rsidRDefault="00C64C29" w:rsidP="00C64C29">
      <w:r>
        <w:t xml:space="preserve">To examine the financial health thoroughly, one has to not only analyse the growth, but also examine the sustainability and quality of such growth with time. The financial results of Tesla </w:t>
      </w:r>
      <w:r>
        <w:lastRenderedPageBreak/>
        <w:t>Inc. between 2019 and 2023 can be considered an impressive transition of an unstable, loss-making company into a highly successful and world-leading company in the production of electric vehicles</w:t>
      </w:r>
      <w:r w:rsidR="00C62D34">
        <w:rPr>
          <w:color w:val="222222"/>
          <w:shd w:val="clear" w:color="auto" w:fill="FFFFFF"/>
        </w:rPr>
        <w:t>(Huang, 2023)</w:t>
      </w:r>
      <w:r>
        <w:t>. This rapid growth should be evaluated with absolute care because high increases in revenue do not always translate to the attainment of long-term financial stability.</w:t>
      </w:r>
    </w:p>
    <w:p w:rsidR="004827EB" w:rsidRDefault="00C64C29" w:rsidP="00C64C29">
      <w:r>
        <w:t>This part will assess Tesla based on the ratio analysis of profitability, liquidity, efficiency, gearing, investment performance, and cash flow using the same data accessed by the Tesla annual reports. All the figures are given in approximate pound sterling (£) equivalents for uniformity</w:t>
      </w:r>
      <w:r w:rsidR="00C62D34">
        <w:rPr>
          <w:color w:val="222222"/>
          <w:shd w:val="clear" w:color="auto" w:fill="FFFFFF"/>
        </w:rPr>
        <w:t>(Ouyang, 2023)</w:t>
      </w:r>
      <w:r>
        <w:t>. The analysis should also facilitate concluding whether the financial gains of Tesla are structural or if the unknown risks can jeopardise its future performance.</w:t>
      </w:r>
    </w:p>
    <w:p w:rsidR="004827EB" w:rsidRDefault="004827EB" w:rsidP="004827EB">
      <w:pPr>
        <w:pStyle w:val="Heading2"/>
      </w:pPr>
      <w:bookmarkStart w:id="2" w:name="_Toc225603236"/>
      <w:r>
        <w:t>Profitability Analysis</w:t>
      </w:r>
      <w:bookmarkEnd w:id="2"/>
    </w:p>
    <w:p w:rsidR="002F2E98" w:rsidRDefault="002F2E98" w:rsidP="002F2E98">
      <w:r>
        <w:t>The five-year record of profitability of Tesla reflects an unsustainable but rapid increase.</w:t>
      </w:r>
    </w:p>
    <w:p w:rsidR="002F2E98" w:rsidRDefault="002F2E98" w:rsidP="002F2E98">
      <w:r>
        <w:t xml:space="preserve">Tesla earned </w:t>
      </w:r>
      <w:r w:rsidR="00041B2D">
        <w:t>revenue</w:t>
      </w:r>
      <w:r>
        <w:t xml:space="preserve"> of approximately £19.5 billion and a negative net loss of £0.7 billion in 2019, which gave rise to a net margin of -3.5. It was one of the early indications of the strain of increased production expenses, high levels of research and development expenditure, and capital investment (Purnawan, 2024).</w:t>
      </w:r>
    </w:p>
    <w:p w:rsidR="002F2E98" w:rsidRDefault="002F2E98" w:rsidP="002F2E98">
      <w:r>
        <w:t>2020 marked a turning point. The revenue and net income stood at £25 billion and £0.6 billion, respectively, at a net margin of 2.3. This change, however small, was an improvement in cost discipline and operational efficiency. Tesla began to reap the benefits of scale during manufacturing, particularly its Gigafactory expansion.</w:t>
      </w:r>
    </w:p>
    <w:p w:rsidR="002F2E98" w:rsidRDefault="002F2E98" w:rsidP="002F2E98">
      <w:r>
        <w:t>The level of profitability improved swiftly in 2021-2022. It has a higher net margin of over 10%, and the 2021 revenue amounted to £43 billion, and the net income was £4.4 billion. The revenues have grown to £65 billion in 2022, net income was almost £10 billion, and the net margin was approximately 15%. Its operations had margins of 16-17, which is far better compared to the conventional automotive makers. These are the consequences that were attributed to the complete effect of economies of scale, production effectiveness, and pricing strength (Thulin and Povlsen, 2024).</w:t>
      </w:r>
    </w:p>
    <w:p w:rsidR="002F2E98" w:rsidRDefault="002F2E98" w:rsidP="002F2E98">
      <w:r>
        <w:lastRenderedPageBreak/>
        <w:t>In 2023, performance worsened. The revenue expanded to approximately £77 billion, but net income growth declined, and the operating margins reduced to 9-10%. This was principally because aggressive price cuts were practised and implemented to defend sales volumes in a very competitive environment. Tesla switched to a strategy of retaining market share instead of maximising margins.</w:t>
      </w:r>
    </w:p>
    <w:p w:rsidR="004827EB" w:rsidRDefault="002F2E98" w:rsidP="002F2E98">
      <w:r>
        <w:t>This trend of profitability demonstrates strength and weakness. Tesla was able to modify its business model to a highly profitable organisation, yet its margins were prone to competition. The 2023 shrinkage means that Tesla is struggling to sustain the highest level of profitability as the market of electric vehicles matures. The high level of shareholder value-generating activity indicated by a recent high level of 25% or higher return on equity in 2022 is under pressure because the margins are on a decline (Li, 2025).</w:t>
      </w:r>
      <w:r w:rsidR="007E0280">
        <w:t xml:space="preserve"> The profitability of Tesla should thus be described as cyclical but not structurally superior.</w:t>
      </w:r>
    </w:p>
    <w:p w:rsidR="004827EB" w:rsidRDefault="004827EB" w:rsidP="004827EB">
      <w:pPr>
        <w:pStyle w:val="Heading2"/>
      </w:pPr>
      <w:bookmarkStart w:id="3" w:name="_Toc225603237"/>
      <w:r>
        <w:t>Liquidity Analysis</w:t>
      </w:r>
      <w:bookmarkEnd w:id="3"/>
    </w:p>
    <w:p w:rsidR="007E0280" w:rsidRDefault="007E0280" w:rsidP="007E0280">
      <w:r>
        <w:t>The liquidity position at Tesla has greatly improved in the last five years, signifying enhanced financial stability in the short term.</w:t>
      </w:r>
    </w:p>
    <w:p w:rsidR="007E0280" w:rsidRDefault="007E0280" w:rsidP="007E0280">
      <w:r>
        <w:t>£9.6 billion current assets and £8.5 billion current liabilities in 2019 yielded a current ratio of around 1.1%. This margin was tight enough to address short-term liabilities, but left Tesla vulnerable to liquidity strains when the business faced operating stresses</w:t>
      </w:r>
      <w:r w:rsidR="00C62D34">
        <w:rPr>
          <w:color w:val="222222"/>
          <w:shd w:val="clear" w:color="auto" w:fill="FFFFFF"/>
        </w:rPr>
        <w:t>(Wang, 2025)</w:t>
      </w:r>
      <w:r>
        <w:t>.</w:t>
      </w:r>
    </w:p>
    <w:p w:rsidR="006C3608" w:rsidRDefault="007E0280" w:rsidP="006C3608">
      <w:r>
        <w:t xml:space="preserve">As of 2022, the situation had improved significantly. The current assets totalled over £32 billion with liabilities of about £21 billion, giving a current ratio of about 1.5%. </w:t>
      </w:r>
      <w:r w:rsidR="006C3608">
        <w:t>There was more than £17 billion in cash and cash equivalents, and the presence of a higher quick ratio was promising that the liquidity would not be tied to inventory conversion.</w:t>
      </w:r>
    </w:p>
    <w:p w:rsidR="007E0280" w:rsidRDefault="006C3608" w:rsidP="006C3608">
      <w:r>
        <w:t>These cash reserves only grew even higher, up to approximately £23 billion in 2023, which provides Tesla with a significant financial buffer. This spurs investment in growth and innovation and reduces the reliance on external funding to finance short-term shocks.</w:t>
      </w:r>
    </w:p>
    <w:p w:rsidR="007E0280" w:rsidRDefault="007E0280" w:rsidP="007E0280">
      <w:r>
        <w:t>A more prudent look triggers crucial inquiries</w:t>
      </w:r>
      <w:r w:rsidR="00C62D34">
        <w:rPr>
          <w:color w:val="222222"/>
          <w:shd w:val="clear" w:color="auto" w:fill="FFFFFF"/>
        </w:rPr>
        <w:t>(Lu, 2025)</w:t>
      </w:r>
      <w:r>
        <w:t xml:space="preserve">. External capital raising and favourable market conditions contributed to Tesla's liquidity improvement, but not operational cash </w:t>
      </w:r>
      <w:r>
        <w:lastRenderedPageBreak/>
        <w:t>generation. This difference is important since liquidity based on fickle factors is not as reliable as liquidity based on constant internal cash flows.</w:t>
      </w:r>
    </w:p>
    <w:p w:rsidR="004827EB" w:rsidRDefault="007E0280" w:rsidP="007E0280">
      <w:r>
        <w:t>Tesla is currently in a good place, but its sustainability will be determined by the capacity of the company to translate revenue into a long-term, sustainable cash flow. Temporary capital infusions and market tailwinds are temporary and cannot replace structurally healthy cash generation as a source of sustainable financial strength.</w:t>
      </w:r>
    </w:p>
    <w:p w:rsidR="004827EB" w:rsidRDefault="004827EB" w:rsidP="004827EB">
      <w:pPr>
        <w:pStyle w:val="Heading2"/>
      </w:pPr>
      <w:bookmarkStart w:id="4" w:name="_Toc225603238"/>
      <w:r>
        <w:t>Efficiency Analysis</w:t>
      </w:r>
      <w:bookmarkEnd w:id="4"/>
    </w:p>
    <w:p w:rsidR="005235FA" w:rsidRDefault="005235FA" w:rsidP="005235FA">
      <w:r>
        <w:t>Efficiency ratios evaluate the efficiency with which Tesla has been using its assets and operating its business processes. In the past five years, Tesla has recorded high efficiency in operation, mostly with improvements in asset utilisation as well as inventory management.</w:t>
      </w:r>
    </w:p>
    <w:p w:rsidR="005235FA" w:rsidRDefault="005235FA" w:rsidP="005235FA">
      <w:r>
        <w:t>The ratio of the asset turnover improved as the revenue increased more than the growth in the asset base of Tesla</w:t>
      </w:r>
      <w:r w:rsidR="009A66E5">
        <w:rPr>
          <w:color w:val="222222"/>
          <w:shd w:val="clear" w:color="auto" w:fill="FFFFFF"/>
        </w:rPr>
        <w:t>(Han et al., 2024)</w:t>
      </w:r>
      <w:r>
        <w:t>. This means that the company was able to be more effective in creating sales out of its investments in production plants and infrastructure. Gigafactories' expansion, which occurred in several areas, helped Tesla increase the level of output, as it was able to divide the fixed cost among the volume of production.</w:t>
      </w:r>
    </w:p>
    <w:p w:rsidR="005235FA" w:rsidRDefault="005235FA" w:rsidP="005235FA">
      <w:r>
        <w:t>The period also showed an improvement in inventory turnover that indicated improved production cycle and effective supply chain management</w:t>
      </w:r>
      <w:r w:rsidR="009A66E5">
        <w:rPr>
          <w:color w:val="222222"/>
          <w:shd w:val="clear" w:color="auto" w:fill="FFFFFF"/>
        </w:rPr>
        <w:t>(Zhao et al., 2025)</w:t>
      </w:r>
      <w:r>
        <w:t>. Tesla's direct-to-consumer model will limit its dependence on dealerships and allow Tesla to have closer control over the level of inventory and convert it into sales. This also positively impacts the cash flow and minimises excess stock risk.</w:t>
      </w:r>
    </w:p>
    <w:p w:rsidR="005235FA" w:rsidRDefault="005235FA" w:rsidP="005235FA">
      <w:r>
        <w:t>The gain in efficiency should be taken with caution. The fact that Tesla continues to invest in additional plants and production facilities brings its asset base to a higher level. In case the growth of demand decelerates or becomes fluctuating, it is possible that the utilisation of the assets decreases, which would result in a decrease in efficiency ratios. Besides, the occurrence of global supply chain disruption and high prices of inputs could hamper the efficiency of operations in the future</w:t>
      </w:r>
      <w:r w:rsidR="00C62D34">
        <w:rPr>
          <w:color w:val="222222"/>
          <w:shd w:val="clear" w:color="auto" w:fill="FFFFFF"/>
        </w:rPr>
        <w:t>(Nabieu et al., 2025)</w:t>
      </w:r>
      <w:r>
        <w:t>.</w:t>
      </w:r>
    </w:p>
    <w:p w:rsidR="004827EB" w:rsidRDefault="005235FA" w:rsidP="005235FA">
      <w:r>
        <w:lastRenderedPageBreak/>
        <w:t>Tesla has been successfully enhancing its efficiency, but at the cost of funding these achievements with maintained increases in demand rates and could become fragile during the more volatile economic conditions.</w:t>
      </w:r>
    </w:p>
    <w:p w:rsidR="004827EB" w:rsidRDefault="004827EB" w:rsidP="004827EB">
      <w:pPr>
        <w:pStyle w:val="Heading2"/>
      </w:pPr>
      <w:bookmarkStart w:id="5" w:name="_Toc225603239"/>
      <w:r>
        <w:t>Gearing (Leverage) Analysis</w:t>
      </w:r>
      <w:bookmarkEnd w:id="5"/>
    </w:p>
    <w:p w:rsidR="005235FA" w:rsidRDefault="005235FA" w:rsidP="005235FA">
      <w:r>
        <w:t>The capital structure of Tesla has been changing greatly as there is a decisive drop in financial leverage during the period of five years. The firm is very much dependent on debt financing in the year 2019 and therefore had a relatively high debt-to-equity ratio. This augmented economic danger, more so since the organisation was not hugely profitable during that period.</w:t>
      </w:r>
    </w:p>
    <w:p w:rsidR="005235FA" w:rsidRDefault="005235FA" w:rsidP="005235FA">
      <w:r>
        <w:t>By 2022 and 2023, Tesla was able to decrease its debt significantly, with the help of an increase in profit and a high production of cash</w:t>
      </w:r>
      <w:r w:rsidR="00C62D34">
        <w:rPr>
          <w:color w:val="222222"/>
          <w:shd w:val="clear" w:color="auto" w:fill="FFFFFF"/>
        </w:rPr>
        <w:t>(Purnawan, 2024)</w:t>
      </w:r>
      <w:r>
        <w:t>. The leverage-to-equity ratio also decreased greatly, signifying that it was inclined towards a more conservative capital structure. This decrease in leverage minimises the financial risk and boosts the ability of the company to survive an economic recession.</w:t>
      </w:r>
    </w:p>
    <w:p w:rsidR="005235FA" w:rsidRDefault="005235FA" w:rsidP="005235FA">
      <w:r>
        <w:t>Coverage of interest also improved significantly over the period, and it indicated a higher capacity of Tesla to pay interest charges using operating profits. This enhances the creditworthiness of the company and minimises the chances of financial distress.</w:t>
      </w:r>
    </w:p>
    <w:p w:rsidR="005235FA" w:rsidRDefault="005235FA" w:rsidP="005235FA">
      <w:r>
        <w:t>The conservative capital structure of Tesla can be a less-than-ideal one. The company will be leaving financial leverage as a method of increasing its shareholder returns by minimising its dependence on debt</w:t>
      </w:r>
      <w:r w:rsidR="00C62D34">
        <w:rPr>
          <w:color w:val="222222"/>
          <w:shd w:val="clear" w:color="auto" w:fill="FFFFFF"/>
        </w:rPr>
        <w:t>(WU et al., 2022)</w:t>
      </w:r>
      <w:r>
        <w:t>. With a low-interest-rate environment, moderate debt utilisation would also likely lead to an enhanced capital efficiency without risking a great deal.</w:t>
      </w:r>
    </w:p>
    <w:p w:rsidR="004827EB" w:rsidRDefault="005235FA" w:rsidP="005235FA">
      <w:r>
        <w:t>Although Tesla has a lower gearing ratio to enhance its financial stability, it can also be construed that it is more conservative and will not give high returns to its shareholders.</w:t>
      </w:r>
    </w:p>
    <w:p w:rsidR="004827EB" w:rsidRDefault="004827EB" w:rsidP="004827EB">
      <w:pPr>
        <w:pStyle w:val="Heading2"/>
      </w:pPr>
      <w:bookmarkStart w:id="6" w:name="_Toc225603240"/>
      <w:r>
        <w:t>Investment and Cash Flow Analysis</w:t>
      </w:r>
      <w:bookmarkEnd w:id="6"/>
    </w:p>
    <w:p w:rsidR="005235FA" w:rsidRDefault="005235FA" w:rsidP="005235FA">
      <w:r>
        <w:t xml:space="preserve">The performance of investments and cash flow of Tesla present the most important indicators of the financial sustainability of the company. There was an increase in earnings per share with a considerable growth in profitability, which underpins the confidence of the investors. Tesla is a highly valued stock when compared to mainstream car manufacturers, which implies that it has </w:t>
      </w:r>
      <w:r>
        <w:lastRenderedPageBreak/>
        <w:t>the largest share price change due to its long-term growth potential as opposed to its actual performance</w:t>
      </w:r>
      <w:r w:rsidR="00C62D34">
        <w:rPr>
          <w:color w:val="222222"/>
          <w:shd w:val="clear" w:color="auto" w:fill="FFFFFF"/>
        </w:rPr>
        <w:t>(Ding, 2025)</w:t>
      </w:r>
      <w:r>
        <w:t>.</w:t>
      </w:r>
    </w:p>
    <w:p w:rsidR="005235FA" w:rsidRDefault="005235FA" w:rsidP="005235FA">
      <w:r>
        <w:t>Tesla does not give a dividend, but invests profits into growth and technologies. Although this has been within its growth strategy, it puts the investors at a higher risk if the anticipated growth fails to materialise.</w:t>
      </w:r>
    </w:p>
    <w:p w:rsidR="005235FA" w:rsidRDefault="005235FA" w:rsidP="005235FA">
      <w:r>
        <w:t>The cash flow analysis shows that the operating cash flow improved significantly since 2020, when it became strongly positive. This means that Tesla has also stopped using additional financing and has started to make cash within itself. Free cash flow also rose, which helped the company to finance the expansion initiatives, like new Gigafactories, without necessarily engaging in a lot of borrowing</w:t>
      </w:r>
      <w:r w:rsidR="00266AA7">
        <w:rPr>
          <w:color w:val="222222"/>
          <w:shd w:val="clear" w:color="auto" w:fill="FFFFFF"/>
        </w:rPr>
        <w:t>(Pan, 2022)</w:t>
      </w:r>
      <w:r>
        <w:t>.</w:t>
      </w:r>
    </w:p>
    <w:p w:rsidR="004D51EF" w:rsidRDefault="005235FA" w:rsidP="005235FA">
      <w:r>
        <w:t>The capital expenditure of Tesla is highly maintained, representing the capital-intensive business model. This puts continuous strain on the cash and needs consistent operational performance to sustain the finances.</w:t>
      </w:r>
    </w:p>
    <w:p w:rsidR="004827EB" w:rsidRDefault="004827EB" w:rsidP="004827EB">
      <w:pPr>
        <w:pStyle w:val="Heading1"/>
      </w:pPr>
      <w:bookmarkStart w:id="7" w:name="_Toc225603241"/>
      <w:r>
        <w:t>Working Capital Management Analysis of Tesla Inc.</w:t>
      </w:r>
      <w:bookmarkEnd w:id="7"/>
    </w:p>
    <w:p w:rsidR="004827EB" w:rsidRDefault="005235FA" w:rsidP="004827EB">
      <w:r w:rsidRPr="005235FA">
        <w:t>Proper working capital management is vital in staying afloat, efficient in operation, and achieving sustainable growth. In the case of Tesla, due to the fact that it is a fast-growing and capital-intensive manufacturing company, short-term management of assets and liabilities is of special importance. In this section, the cash operating cycle of Tesla is assessed, the efficiency of its working capital management is also assessed, and the ways to improve its liquidity and its strategies are also evaluated critically</w:t>
      </w:r>
      <w:r w:rsidR="00266AA7">
        <w:rPr>
          <w:color w:val="222222"/>
          <w:shd w:val="clear" w:color="auto" w:fill="FFFFFF"/>
        </w:rPr>
        <w:t>(Thomas, 2023)</w:t>
      </w:r>
      <w:r w:rsidRPr="005235FA">
        <w:t>. It also indicates the suitability of short-term and long-term funding in the support of the financial strategy of Tesla.</w:t>
      </w:r>
    </w:p>
    <w:p w:rsidR="004827EB" w:rsidRDefault="004827EB" w:rsidP="004827EB">
      <w:pPr>
        <w:pStyle w:val="Heading2"/>
      </w:pPr>
      <w:bookmarkStart w:id="8" w:name="_Toc225603242"/>
      <w:r>
        <w:t>Cash Operating Cycle Assessment</w:t>
      </w:r>
      <w:bookmarkEnd w:id="8"/>
    </w:p>
    <w:p w:rsidR="005235FA" w:rsidRDefault="005235FA" w:rsidP="005235FA">
      <w:r>
        <w:t>Cash operating cycle (CCC) is a measure of the duration to convert investments in the company's inventory and other resources into sales cash flows. It is estimated by adding inventory days plus receivables days and deducting the payables days. A smaller or even a negative cash operating cycle is a good sign of working capital management.</w:t>
      </w:r>
    </w:p>
    <w:p w:rsidR="005235FA" w:rsidRDefault="005235FA" w:rsidP="005235FA">
      <w:r>
        <w:lastRenderedPageBreak/>
        <w:t>This business model has allowed Tesla to have a relatively favourable cash operating cycle in comparison to well-established auto manufacturing companies</w:t>
      </w:r>
      <w:r w:rsidR="00C62D34">
        <w:rPr>
          <w:color w:val="222222"/>
          <w:shd w:val="clear" w:color="auto" w:fill="FFFFFF"/>
        </w:rPr>
        <w:t>(Fang, 2022)</w:t>
      </w:r>
      <w:r>
        <w:t>. Improvement in the production efficiency and increased speed in the delivery of the vehicles have reduced the inventory days of the company over time. The vertically combined manufacturing organisation and the real-time alterations in Tesla manufacturing can enable the company to reduce inventory holding time to shorten storage expenses and lessen the risk of obsolescence.</w:t>
      </w:r>
    </w:p>
    <w:p w:rsidR="005235FA" w:rsidRDefault="005235FA" w:rsidP="005235FA">
      <w:r>
        <w:t>Tesla has low receivables days due to the fact that the company has a huge direct-to-consumer sales model, where the customers usually pay before delivery or immediately after delivery. This minimises the chances of late payments and improves cash collections. Tesla has the advantage of having faster cash conversion on sales compared to traditional car manufacturers, who depend on dealership networks and long lines of credit.</w:t>
      </w:r>
    </w:p>
    <w:p w:rsidR="005235FA" w:rsidRDefault="005235FA" w:rsidP="005235FA">
      <w:r>
        <w:t>The characteristic most unique to the Tesla management of working capital is the comparatively high payables period. Suppliers have traditionally agreed to give the company good terms of credit, which is good at postponing cash outflows</w:t>
      </w:r>
      <w:r w:rsidR="00012906">
        <w:rPr>
          <w:color w:val="222222"/>
          <w:shd w:val="clear" w:color="auto" w:fill="FFFFFF"/>
        </w:rPr>
        <w:t>(Qingren, 2023)</w:t>
      </w:r>
      <w:r>
        <w:t>. This helps to have a shorter and sometimes negative cash operating cycle</w:t>
      </w:r>
      <w:r w:rsidR="009A66E5">
        <w:t xml:space="preserve">. </w:t>
      </w:r>
      <w:r>
        <w:t>Tesla can receive cash through customers before it can give cash to suppliers.</w:t>
      </w:r>
    </w:p>
    <w:p w:rsidR="004827EB" w:rsidRDefault="005235FA" w:rsidP="005235FA">
      <w:r>
        <w:t>This stand is to be taken seriously. The bargaining power and relationship with suppliers can be critical towards Tesla to sustain a favourable payables period. With the growing competition in the EV market and stricter supply chains, suppliers might insist on shorter payment terms, which can undermine the cash operating cycle of Tesla. Also, fast growth and higher complexities in production can strain inventory management, and this may increase the cycle time later on.</w:t>
      </w:r>
    </w:p>
    <w:p w:rsidR="004827EB" w:rsidRDefault="004827EB" w:rsidP="004827EB">
      <w:pPr>
        <w:pStyle w:val="Heading2"/>
      </w:pPr>
      <w:bookmarkStart w:id="9" w:name="_Toc225603243"/>
      <w:r>
        <w:t>Strategies to Improve Liquidity through Working Capital Reforms</w:t>
      </w:r>
      <w:bookmarkEnd w:id="9"/>
    </w:p>
    <w:p w:rsidR="00DF1D37" w:rsidRDefault="002B5F0D" w:rsidP="00DF1D37">
      <w:r>
        <w:t xml:space="preserve">Despite Tesla showing comparatively good working capital management, it is possible to suggest several aspects in which additional work could increase liquidity and financial stability. </w:t>
      </w:r>
      <w:r w:rsidR="00DF1D37">
        <w:t>The initial of these measures is efficient inventory management (Matevosyan et al., 2025). In the case of inventory reduction, Tesla has already reduced its inventory by days, but additional investment in advanced demand forecasting, AI, and integration of a supply chain will result in the minimisation of excess inventory and will increase the turnover rates. This is particularly important in light of the risk of obsolete technology in the EV industry.</w:t>
      </w:r>
    </w:p>
    <w:p w:rsidR="002B5F0D" w:rsidRDefault="00DF1D37" w:rsidP="00DF1D37">
      <w:r>
        <w:lastRenderedPageBreak/>
        <w:t>Another useful reform is related to the supplier payment strategy.</w:t>
      </w:r>
      <w:r w:rsidR="002B5F0D">
        <w:t xml:space="preserve"> Although lengthening payables has helped Tesla to maintain its liquidity, overreliance on delayed payments would impinge on supplier relationships and heighten supply chain risk. More balanced, like dynamic discounting or strategic alliances with key suppliers, might enable Tesla to still have favourable terms but also guarantee long-term supply stability</w:t>
      </w:r>
      <w:r w:rsidR="00C62D34">
        <w:rPr>
          <w:color w:val="222222"/>
          <w:shd w:val="clear" w:color="auto" w:fill="FFFFFF"/>
        </w:rPr>
        <w:t>(Ren, 2025)</w:t>
      </w:r>
      <w:r w:rsidR="002B5F0D">
        <w:t>.</w:t>
      </w:r>
    </w:p>
    <w:p w:rsidR="002B5F0D" w:rsidRDefault="002B5F0D" w:rsidP="002B5F0D">
      <w:r>
        <w:t>Tesla could also strengthen liquidity by increasing the predictability of cash flows. It can be done by ensuring that the production schedules and demand patterns are closely matched, minimising fluctuations in working capital requirements. Furthermore, the company may consider more organised working capital financing options, including supply chain financing, to streamline its cash flows without adversely affecting suppliers.</w:t>
      </w:r>
    </w:p>
    <w:p w:rsidR="004827EB" w:rsidRDefault="002B5F0D" w:rsidP="002B5F0D">
      <w:r>
        <w:t>Critically, the current working capital strategy of Tesla is extremely reliant on ongoing growth and intense demand</w:t>
      </w:r>
      <w:r w:rsidR="00C62D34">
        <w:rPr>
          <w:color w:val="222222"/>
          <w:shd w:val="clear" w:color="auto" w:fill="FFFFFF"/>
        </w:rPr>
        <w:t>(Barnabas and Oloyede, 2024)</w:t>
      </w:r>
      <w:r>
        <w:t>. When market conditions deteriorate, the company might struggle with effective inventory turnover and good payment conditions.</w:t>
      </w:r>
    </w:p>
    <w:p w:rsidR="004827EB" w:rsidRDefault="004827EB" w:rsidP="004827EB">
      <w:pPr>
        <w:pStyle w:val="Heading2"/>
      </w:pPr>
      <w:bookmarkStart w:id="10" w:name="_Toc225603244"/>
      <w:r>
        <w:t>Short-Term vs Long-Term Financing Options</w:t>
      </w:r>
      <w:bookmarkEnd w:id="10"/>
    </w:p>
    <w:p w:rsidR="002B5F0D" w:rsidRDefault="002B5F0D" w:rsidP="002B5F0D">
      <w:r>
        <w:t>The decision of long-term or short-term financing is critical in aiding working capital management. Day-to-day operations are usually funded by short-term facilities like trade credit, bank overdrafts and short-term loans. These sources are liquid and tend to be less costly in the short run and, are applicable in addressing temporary liquidity requirements.</w:t>
      </w:r>
    </w:p>
    <w:p w:rsidR="002B5F0D" w:rsidRDefault="002B5F0D" w:rsidP="002B5F0D">
      <w:r>
        <w:t>Historically, trade credit has been a significant source of short-term financing used by Tesla, as indicated by its long payables</w:t>
      </w:r>
      <w:r w:rsidR="00C26405">
        <w:rPr>
          <w:color w:val="222222"/>
          <w:shd w:val="clear" w:color="auto" w:fill="FFFFFF"/>
        </w:rPr>
        <w:t>(Roy et al., 2025)</w:t>
      </w:r>
      <w:r>
        <w:t>. This has enabled the company to minimise its dependence on external financing and yet remain liquid in its operations in the short run. Short-term financing has refinancing risk and can become less cheap or less available in economic uncertainties.</w:t>
      </w:r>
    </w:p>
    <w:p w:rsidR="002B5F0D" w:rsidRDefault="002B5F0D" w:rsidP="002B5F0D">
      <w:r>
        <w:t>Conversely, long-term financing sources, including equity financing and long-term debt, are more stable and less prone to liquidity shortages. Increasingly, Tesla has been depending on internal cash generation and retained earnings as long-term sources of funds, which decreases its reliance on external debt</w:t>
      </w:r>
      <w:r w:rsidR="00C26405">
        <w:rPr>
          <w:color w:val="222222"/>
          <w:shd w:val="clear" w:color="auto" w:fill="FFFFFF"/>
        </w:rPr>
        <w:t>(Helmold, 2022)</w:t>
      </w:r>
      <w:r>
        <w:t>. This has built its financial strength and reduced financial risk.</w:t>
      </w:r>
    </w:p>
    <w:p w:rsidR="004827EB" w:rsidRDefault="002B5F0D" w:rsidP="002B5F0D">
      <w:r>
        <w:lastRenderedPageBreak/>
        <w:t xml:space="preserve">To critically evaluate, Tesla could use a more balanced strategy. Although long-term financing leads to increased stability, it can also turn expensive when overextended. On the other hand, overreliance on short-term funding may subject the business to liquidity risk. </w:t>
      </w:r>
      <w:r w:rsidR="00C26405">
        <w:t>So,</w:t>
      </w:r>
      <w:r>
        <w:t xml:space="preserve"> a combination of both should be considered to achieve the best financing strategy to ensure the maturity of financing corresponds with the nature of assets and operational requirements.</w:t>
      </w:r>
    </w:p>
    <w:p w:rsidR="004827EB" w:rsidRDefault="004827EB" w:rsidP="004827EB">
      <w:pPr>
        <w:pStyle w:val="Heading1"/>
      </w:pPr>
      <w:bookmarkStart w:id="11" w:name="_Toc225603245"/>
      <w:r>
        <w:t>Strategic Financial Restructuring Plan of Tesla Inc.</w:t>
      </w:r>
      <w:bookmarkEnd w:id="11"/>
    </w:p>
    <w:p w:rsidR="004827EB" w:rsidRDefault="00B96DB5" w:rsidP="004827EB">
      <w:r w:rsidRPr="00B96DB5">
        <w:t>As Tesla reaches a more mature and competitive phase of the electric vehicle market, a global market will force the shift of its financial plan to slower and more sustainable value creation and risk control. Although its profitability and liquidity have been good in recent years, challenges are surfacing, such as the decline in its margins, the intensifying competition, and the high capital expenditure requirements, and it needs a strategic financial structuring (McMillan et al., 2025). This paragraph proposes valuable restructuring options, evaluates the consequences of each of the options on shareholder value, capital structure, and operational flexibility, and discusses the international and ethical sides of the options.</w:t>
      </w:r>
    </w:p>
    <w:p w:rsidR="004827EB" w:rsidRDefault="004827EB" w:rsidP="004827EB">
      <w:pPr>
        <w:pStyle w:val="Heading2"/>
      </w:pPr>
      <w:bookmarkStart w:id="12" w:name="_Toc225603246"/>
      <w:r>
        <w:t>Recommended Financial Restructuring Options</w:t>
      </w:r>
      <w:bookmarkEnd w:id="12"/>
    </w:p>
    <w:p w:rsidR="00D65463" w:rsidRDefault="00D65463" w:rsidP="00D65463">
      <w:r>
        <w:t>The divestiture in question is a highly applicable restructuring strategy in the Tesla case, considering that the company operates in the automotive sales market, energy production and storage tools, and software development. Although diversification might be a strategically advantageous decision, a small number of different segments can and do not contribute to profitability (Xu, 2024). The sale or partial merging of underperforming or non-core operations gives Tesla the chance to dedicate resources to the high velocity operations, i.e. the production of vehicles and autonomous driving systems. The strategy will increase the efficiency of capital and decrease the financial burden of investments that do not pay off.</w:t>
      </w:r>
    </w:p>
    <w:p w:rsidR="00D65463" w:rsidRDefault="00D65463" w:rsidP="00D65463">
      <w:r>
        <w:t xml:space="preserve">Mergers or strategic alliances can also be viewed as another viable restructuring strategy, especially when undertaking business in foreign markets. Tesla has been globalising, and it presents the firm with operational and regulatory risks. Joint ventures with local manufacturers or technology companies can lower the cost of entry, reduce risks, and enhance market penetration </w:t>
      </w:r>
      <w:r w:rsidR="00342223">
        <w:t>(</w:t>
      </w:r>
      <w:r w:rsidR="00342223" w:rsidRPr="008A65FF">
        <w:rPr>
          <w:shd w:val="clear" w:color="auto" w:fill="FFFFFF"/>
          <w:lang w:bidi="bn-IN"/>
        </w:rPr>
        <w:t>De Almeida</w:t>
      </w:r>
      <w:r>
        <w:t xml:space="preserve">, 2024). Alliances in the manufacture of batteries or charging networks </w:t>
      </w:r>
      <w:r>
        <w:lastRenderedPageBreak/>
        <w:t>may help speed up the innovation in technology, but they should be handled carefully to avoid the brand and creative competitive advantage of Tesla.</w:t>
      </w:r>
    </w:p>
    <w:p w:rsidR="00D65463" w:rsidRDefault="00D65463" w:rsidP="00D65463">
      <w:r>
        <w:t xml:space="preserve">Another possible tool that could be utilised to promote big-propensity projects is equity injection, Gigafactories and advanced research programs. Although Tesla has </w:t>
      </w:r>
      <w:r w:rsidR="005A57EE">
        <w:t>good</w:t>
      </w:r>
      <w:r>
        <w:t xml:space="preserve"> cash position at the moment, further expansion will demand much capital. Expansion can be financed by the issuance of new equity, as it does not result in a higher amount of debt but can dilute current shareholders and indicate dependence on external funding (Olugbenga, 2025).</w:t>
      </w:r>
    </w:p>
    <w:p w:rsidR="004827EB" w:rsidRDefault="00D65463" w:rsidP="00D65463">
      <w:r>
        <w:t>The Tesla program that would be restructured, balancing selective divestiture, strategic partnership and controlled equity, would entail a balanced strategy. Such a combined strategy would facilitate the expansion and increase the efficiency of the financial unit, as well as risk exposure control, which would put Tesla in a sustainable long-term perspective of development.</w:t>
      </w:r>
    </w:p>
    <w:p w:rsidR="004827EB" w:rsidRDefault="004827EB" w:rsidP="004827EB">
      <w:pPr>
        <w:pStyle w:val="Heading2"/>
      </w:pPr>
      <w:bookmarkStart w:id="13" w:name="_Toc225603247"/>
      <w:r>
        <w:t>Impact on Shareholder Value, Debt Structure, and Operational Flexibility</w:t>
      </w:r>
      <w:bookmarkEnd w:id="13"/>
    </w:p>
    <w:p w:rsidR="003515F5" w:rsidRDefault="003515F5" w:rsidP="003515F5">
      <w:r>
        <w:t>The proposed reorganisation strategies have huge consequences for the shareholder value. Liquidation of non-performing assets enables Tesla to re-invest in high-growth, high-margin products, which boosts profitability and ROI on investment. These efficiency gains are presumably going to boost profits and have a positive impact on the share price of Tesla, which will result in long-term shareholder value (Chap &amp; Liu, 2024).</w:t>
      </w:r>
    </w:p>
    <w:p w:rsidR="003515F5" w:rsidRDefault="003515F5" w:rsidP="003515F5">
      <w:r>
        <w:t>Careful equity injection may have both positive and negative impacts. It will raise the capital required to grow and innovate, but it will also dilute current stock ownership and will cause a lowering in earnings per share in the short run. This is likely to be seen negatively by investors unless there is a clear indication within the new investments that will yield more returns than the cost of capital will entail. Equity financing should be successful as Tesla will be able to create value out of new investment projects.</w:t>
      </w:r>
    </w:p>
    <w:p w:rsidR="003515F5" w:rsidRDefault="003515F5" w:rsidP="003515F5">
      <w:r>
        <w:t>The efficiency of financial leverage is restricted, as Tesla has a low amount of debt leverage, which offers financial stability. The moderate level of long-term debt might be the most appropriate capital structure that would decrease the total cost of capital and maximise returns on equity. Nonetheless, too much borrowing raises the level of financial risk, especially in a fluctuating industry (Enkhtuvshin, 2024). There is a need to have a balanced mix of equity, internal financing and manageable debt.</w:t>
      </w:r>
    </w:p>
    <w:p w:rsidR="004827EB" w:rsidRDefault="003515F5" w:rsidP="003515F5">
      <w:r>
        <w:lastRenderedPageBreak/>
        <w:t>Restructuring also influences operational flexibility. Divesting makes things easier and saves on needless management that would otherwise complicate the processes to enable prioritising core competencies. Strategic alliances can make operations more flexible with the distribution of resources and risks to be more responsive to the market. Nevertheless, excessive reliance on partnerships might undermine strategic sovereignty (Nielsen and Shepherd, 2025). It requires skilful execution in order to balance the financial performance, flexibility, and shareholder returns.</w:t>
      </w:r>
    </w:p>
    <w:p w:rsidR="004827EB" w:rsidRDefault="004827EB" w:rsidP="004827EB">
      <w:pPr>
        <w:pStyle w:val="Heading2"/>
      </w:pPr>
      <w:bookmarkStart w:id="14" w:name="_Toc225603248"/>
      <w:r>
        <w:t>International and Ethical Considerations</w:t>
      </w:r>
      <w:bookmarkEnd w:id="14"/>
    </w:p>
    <w:p w:rsidR="002831B9" w:rsidRDefault="002831B9" w:rsidP="002831B9">
      <w:r>
        <w:t>It is a global company that comes with significant financial and ethical challenges in its operation that any restructuring initiative should address.</w:t>
      </w:r>
    </w:p>
    <w:p w:rsidR="002831B9" w:rsidRDefault="002831B9" w:rsidP="002831B9">
      <w:r>
        <w:t>Taxation is a main issue. Operating in several jurisdictions can enable tax optimisation, but aggressive practices can be examined by regulators and lose their reputation. Tesla also has to align its tax practises with international standards and be transparent (Lei, 2025).</w:t>
      </w:r>
    </w:p>
    <w:p w:rsidR="002831B9" w:rsidRDefault="002831B9" w:rsidP="002831B9">
      <w:r>
        <w:t>Another remarkable risk is currency risk. Tesla is earning and paying using various currencies, which subjects the company to the risk of the volatility of the foreign exchange, which can strip the company of its profitability in case the American dollar appreciates. This exposure has to be managed through proper hedging policies and diversification of geographical revenues. In any international partnerships or investments, currency volatility should be considered.</w:t>
      </w:r>
    </w:p>
    <w:p w:rsidR="002831B9" w:rsidRDefault="002831B9" w:rsidP="002831B9">
      <w:r>
        <w:t>The other challenge is inflation, and in particular, rising prices of raw materials and energy. Tesla's profitability also depends on the price of inputs (lithium and other battery materials) (Ghar, 2024). The critical supply chains, such as vertical integration and long-term supply contracts, are available cost inflation control measures.</w:t>
      </w:r>
    </w:p>
    <w:p w:rsidR="002831B9" w:rsidRDefault="002831B9" w:rsidP="002831B9">
      <w:r>
        <w:t>Tesla is based on moral obligations. It rests on the concept of sustainability, though its activities ought to cover labour practices, supply chain ethics, and the environmental impact. Sourcing of batteries poses a problem of environmental degradation and abuse of human rights. A successful reorganising plan must revolve around ethical sourcing, transparency, and the need to comply with the international sustainability standards.</w:t>
      </w:r>
    </w:p>
    <w:p w:rsidR="002831B9" w:rsidRDefault="002831B9" w:rsidP="002831B9">
      <w:r>
        <w:lastRenderedPageBreak/>
        <w:t>The inability to deal with these concerns exposes Tesla to fines by regulators, the loss of finances, and reputation. It is often said that restructuring must then be economically-driven and socially and environmentally responsible (Loureiro, 2025).</w:t>
      </w:r>
    </w:p>
    <w:p w:rsidR="004827EB" w:rsidRDefault="002831B9" w:rsidP="002831B9">
      <w:r>
        <w:t>Investment appraisal is also needed on a capital-intensive company like Tesla. The level of capital expenditure is high, profitability keeps fluctuating, and one should select the projects that will maximise his or her shareholder valuation and be able to sustain financial performance. The three investment projects are applied using Payback Period, Accounting rate of Return, Net Present Value, Profitability Index, and internal rate of Return, considering a discount rate of 10% and schemes, and straight-line depreciation. The alignment of every project to the financial position of Tesla and its exposure to the external risks are also assessed.</w:t>
      </w:r>
    </w:p>
    <w:p w:rsidR="004827EB" w:rsidRDefault="004827EB" w:rsidP="004827EB">
      <w:pPr>
        <w:pStyle w:val="Heading2"/>
      </w:pPr>
      <w:bookmarkStart w:id="15" w:name="_Toc225603249"/>
      <w:r>
        <w:t>Cash Flow and Present Value Calculations</w:t>
      </w:r>
      <w:bookmarkEnd w:id="15"/>
    </w:p>
    <w:p w:rsidR="004827EB" w:rsidRDefault="00EF126D" w:rsidP="004827EB">
      <w:r w:rsidRPr="00EF126D">
        <w:t>All three projects require £50million upfront investment. Present values are computed using the discount factor of 10%.</w:t>
      </w:r>
    </w:p>
    <w:p w:rsidR="004827EB" w:rsidRPr="004827EB" w:rsidRDefault="004827EB" w:rsidP="004827EB">
      <w:pPr>
        <w:rPr>
          <w:b/>
        </w:rPr>
      </w:pPr>
      <w:r w:rsidRPr="004827EB">
        <w:rPr>
          <w:b/>
        </w:rPr>
        <w:t>Discount Factors (10%)</w:t>
      </w:r>
    </w:p>
    <w:tbl>
      <w:tblPr>
        <w:tblStyle w:val="TableGrid"/>
        <w:tblW w:w="9686" w:type="dxa"/>
        <w:tblLook w:val="04A0"/>
      </w:tblPr>
      <w:tblGrid>
        <w:gridCol w:w="2740"/>
        <w:gridCol w:w="6946"/>
      </w:tblGrid>
      <w:tr w:rsidR="004827EB" w:rsidRPr="004827EB" w:rsidTr="004827EB">
        <w:trPr>
          <w:trHeight w:val="307"/>
        </w:trPr>
        <w:tc>
          <w:tcPr>
            <w:tcW w:w="0" w:type="auto"/>
            <w:hideMark/>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Year</w:t>
            </w:r>
          </w:p>
        </w:tc>
        <w:tc>
          <w:tcPr>
            <w:tcW w:w="0" w:type="auto"/>
            <w:hideMark/>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Discount Factor</w:t>
            </w:r>
          </w:p>
        </w:tc>
      </w:tr>
      <w:tr w:rsidR="004827EB" w:rsidRPr="004827EB" w:rsidTr="004827EB">
        <w:trPr>
          <w:trHeight w:val="307"/>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1</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0.909</w:t>
            </w:r>
          </w:p>
        </w:tc>
      </w:tr>
      <w:tr w:rsidR="004827EB" w:rsidRPr="004827EB" w:rsidTr="004827EB">
        <w:trPr>
          <w:trHeight w:val="307"/>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2</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0.826</w:t>
            </w:r>
          </w:p>
        </w:tc>
      </w:tr>
      <w:tr w:rsidR="004827EB" w:rsidRPr="004827EB" w:rsidTr="004827EB">
        <w:trPr>
          <w:trHeight w:val="294"/>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3</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0.751</w:t>
            </w:r>
          </w:p>
        </w:tc>
      </w:tr>
      <w:tr w:rsidR="004827EB" w:rsidRPr="004827EB" w:rsidTr="004827EB">
        <w:trPr>
          <w:trHeight w:val="307"/>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4</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0.683</w:t>
            </w:r>
          </w:p>
        </w:tc>
      </w:tr>
      <w:tr w:rsidR="004827EB" w:rsidRPr="004827EB" w:rsidTr="004827EB">
        <w:trPr>
          <w:trHeight w:val="322"/>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5</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0.621</w:t>
            </w:r>
          </w:p>
        </w:tc>
      </w:tr>
    </w:tbl>
    <w:p w:rsidR="004827EB" w:rsidRPr="004827EB" w:rsidRDefault="004827EB" w:rsidP="004827EB">
      <w:pPr>
        <w:rPr>
          <w:b/>
        </w:rPr>
      </w:pPr>
      <w:r w:rsidRPr="004827EB">
        <w:rPr>
          <w:b/>
        </w:rPr>
        <w:t>Present Value of Cash Inflows (£ million)</w:t>
      </w:r>
    </w:p>
    <w:tbl>
      <w:tblPr>
        <w:tblStyle w:val="TableGrid"/>
        <w:tblW w:w="9799" w:type="dxa"/>
        <w:tblLook w:val="04A0"/>
      </w:tblPr>
      <w:tblGrid>
        <w:gridCol w:w="2377"/>
        <w:gridCol w:w="2483"/>
        <w:gridCol w:w="2456"/>
        <w:gridCol w:w="2483"/>
      </w:tblGrid>
      <w:tr w:rsidR="004827EB" w:rsidRPr="004827EB" w:rsidTr="004827EB">
        <w:trPr>
          <w:trHeight w:val="287"/>
        </w:trPr>
        <w:tc>
          <w:tcPr>
            <w:tcW w:w="0" w:type="auto"/>
            <w:hideMark/>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Year</w:t>
            </w:r>
          </w:p>
        </w:tc>
        <w:tc>
          <w:tcPr>
            <w:tcW w:w="0" w:type="auto"/>
            <w:hideMark/>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Project A</w:t>
            </w:r>
          </w:p>
        </w:tc>
        <w:tc>
          <w:tcPr>
            <w:tcW w:w="0" w:type="auto"/>
            <w:hideMark/>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Project B</w:t>
            </w:r>
          </w:p>
        </w:tc>
        <w:tc>
          <w:tcPr>
            <w:tcW w:w="0" w:type="auto"/>
            <w:hideMark/>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Project C</w:t>
            </w:r>
          </w:p>
        </w:tc>
      </w:tr>
      <w:tr w:rsidR="004827EB" w:rsidRPr="004827EB" w:rsidTr="004827EB">
        <w:trPr>
          <w:trHeight w:val="287"/>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1</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9.09</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10.00</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4.55</w:t>
            </w:r>
          </w:p>
        </w:tc>
      </w:tr>
      <w:tr w:rsidR="004827EB" w:rsidRPr="004827EB" w:rsidTr="004827EB">
        <w:trPr>
          <w:trHeight w:val="275"/>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2</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9.91</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9.09</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8.26</w:t>
            </w:r>
          </w:p>
        </w:tc>
      </w:tr>
      <w:tr w:rsidR="004827EB" w:rsidRPr="004827EB" w:rsidTr="004827EB">
        <w:trPr>
          <w:trHeight w:val="287"/>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3</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10.51</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8.26</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15.02</w:t>
            </w:r>
          </w:p>
        </w:tc>
      </w:tr>
      <w:tr w:rsidR="004827EB" w:rsidRPr="004827EB" w:rsidTr="004827EB">
        <w:trPr>
          <w:trHeight w:val="287"/>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4</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6.83</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7.51</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17.08</w:t>
            </w:r>
          </w:p>
        </w:tc>
      </w:tr>
      <w:tr w:rsidR="004827EB" w:rsidRPr="004827EB" w:rsidTr="004827EB">
        <w:trPr>
          <w:trHeight w:val="287"/>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5</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4.97</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6.83</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3.11</w:t>
            </w:r>
          </w:p>
        </w:tc>
      </w:tr>
      <w:tr w:rsidR="004827EB" w:rsidRPr="004827EB" w:rsidTr="004827EB">
        <w:trPr>
          <w:trHeight w:val="301"/>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b/>
                <w:bCs/>
                <w:szCs w:val="24"/>
              </w:rPr>
              <w:t>Total PV</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b/>
                <w:bCs/>
                <w:szCs w:val="24"/>
              </w:rPr>
              <w:t>41.31</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b/>
                <w:bCs/>
                <w:szCs w:val="24"/>
              </w:rPr>
              <w:t>41.69</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b/>
                <w:bCs/>
                <w:szCs w:val="24"/>
              </w:rPr>
              <w:t>48.02</w:t>
            </w:r>
          </w:p>
        </w:tc>
      </w:tr>
    </w:tbl>
    <w:p w:rsidR="004827EB" w:rsidRDefault="004827EB" w:rsidP="004827EB">
      <w:pPr>
        <w:pStyle w:val="Heading2"/>
      </w:pPr>
      <w:bookmarkStart w:id="16" w:name="_Toc225603250"/>
      <w:r>
        <w:lastRenderedPageBreak/>
        <w:t>Payback Period (PBP)</w:t>
      </w:r>
      <w:bookmarkEnd w:id="16"/>
    </w:p>
    <w:p w:rsidR="00B756A9" w:rsidRDefault="00B756A9" w:rsidP="00B756A9">
      <w:r>
        <w:t>Payback Period calculates the rate at which an initial investment is paid back.</w:t>
      </w:r>
    </w:p>
    <w:p w:rsidR="00B756A9" w:rsidRDefault="00B756A9" w:rsidP="00B756A9">
      <w:r>
        <w:t>In the case of Project A, cumulative cash inflows show £50 million during Year 4-Year 5, giving it a payback of about 4.3 years. Project B has constant inflows, and its investment is recouped in about 4.5 years. Project C recovers its original investment faster, in Years 3-4, and has a payback period of about 3.2 years.</w:t>
      </w:r>
    </w:p>
    <w:p w:rsidR="004827EB" w:rsidRDefault="00B756A9" w:rsidP="00B756A9">
      <w:r>
        <w:t>Liquidity-wise, Project C is the most appealing, since it generates capital faster, which is significant to Tesla with its high capital expenditure needs.</w:t>
      </w:r>
    </w:p>
    <w:p w:rsidR="004827EB" w:rsidRDefault="004827EB" w:rsidP="004827EB">
      <w:pPr>
        <w:pStyle w:val="Heading2"/>
      </w:pPr>
      <w:bookmarkStart w:id="17" w:name="_Toc225603251"/>
      <w:r>
        <w:t>Accounting Rate of Return (ARR)</w:t>
      </w:r>
      <w:bookmarkEnd w:id="17"/>
    </w:p>
    <w:p w:rsidR="004827EB" w:rsidRDefault="00EF126D" w:rsidP="004827EB">
      <w:r w:rsidRPr="00EF126D">
        <w:t>ARR is computed as the mean annual profit/initial investment. Under straight-line depreciation, the depreciation is £10 million annually.</w:t>
      </w:r>
    </w:p>
    <w:p w:rsidR="004827EB" w:rsidRPr="004827EB" w:rsidRDefault="004827EB" w:rsidP="004827EB">
      <w:pPr>
        <w:rPr>
          <w:b/>
        </w:rPr>
      </w:pPr>
      <w:r w:rsidRPr="004827EB">
        <w:rPr>
          <w:b/>
        </w:rPr>
        <w:t>ARR Calculation</w:t>
      </w:r>
    </w:p>
    <w:tbl>
      <w:tblPr>
        <w:tblStyle w:val="TableGrid"/>
        <w:tblW w:w="9566" w:type="dxa"/>
        <w:jc w:val="center"/>
        <w:tblLook w:val="04A0"/>
      </w:tblPr>
      <w:tblGrid>
        <w:gridCol w:w="1341"/>
        <w:gridCol w:w="4175"/>
        <w:gridCol w:w="2389"/>
        <w:gridCol w:w="1661"/>
      </w:tblGrid>
      <w:tr w:rsidR="004827EB" w:rsidRPr="004827EB" w:rsidTr="004827EB">
        <w:trPr>
          <w:trHeight w:val="300"/>
          <w:jc w:val="center"/>
        </w:trPr>
        <w:tc>
          <w:tcPr>
            <w:tcW w:w="0" w:type="auto"/>
            <w:hideMark/>
          </w:tcPr>
          <w:p w:rsidR="004827EB" w:rsidRPr="004827EB" w:rsidRDefault="004827EB" w:rsidP="004827EB">
            <w:pPr>
              <w:spacing w:line="276" w:lineRule="auto"/>
              <w:jc w:val="center"/>
              <w:rPr>
                <w:rFonts w:eastAsia="Times New Roman" w:cs="Times New Roman"/>
                <w:b/>
                <w:bCs/>
                <w:szCs w:val="24"/>
              </w:rPr>
            </w:pPr>
            <w:r w:rsidRPr="004827EB">
              <w:rPr>
                <w:rFonts w:eastAsia="Times New Roman" w:cs="Times New Roman"/>
                <w:b/>
                <w:bCs/>
                <w:szCs w:val="24"/>
              </w:rPr>
              <w:t>Project</w:t>
            </w:r>
          </w:p>
        </w:tc>
        <w:tc>
          <w:tcPr>
            <w:tcW w:w="0" w:type="auto"/>
            <w:hideMark/>
          </w:tcPr>
          <w:p w:rsidR="004827EB" w:rsidRPr="004827EB" w:rsidRDefault="004827EB" w:rsidP="004827EB">
            <w:pPr>
              <w:spacing w:line="276" w:lineRule="auto"/>
              <w:jc w:val="center"/>
              <w:rPr>
                <w:rFonts w:eastAsia="Times New Roman" w:cs="Times New Roman"/>
                <w:b/>
                <w:bCs/>
                <w:szCs w:val="24"/>
              </w:rPr>
            </w:pPr>
            <w:r w:rsidRPr="004827EB">
              <w:rPr>
                <w:rFonts w:eastAsia="Times New Roman" w:cs="Times New Roman"/>
                <w:b/>
                <w:bCs/>
                <w:szCs w:val="24"/>
              </w:rPr>
              <w:t>Average Annual Cash Flow</w:t>
            </w:r>
          </w:p>
        </w:tc>
        <w:tc>
          <w:tcPr>
            <w:tcW w:w="0" w:type="auto"/>
            <w:hideMark/>
          </w:tcPr>
          <w:p w:rsidR="004827EB" w:rsidRPr="004827EB" w:rsidRDefault="004827EB" w:rsidP="004827EB">
            <w:pPr>
              <w:spacing w:line="276" w:lineRule="auto"/>
              <w:jc w:val="center"/>
              <w:rPr>
                <w:rFonts w:eastAsia="Times New Roman" w:cs="Times New Roman"/>
                <w:b/>
                <w:bCs/>
                <w:szCs w:val="24"/>
              </w:rPr>
            </w:pPr>
            <w:r w:rsidRPr="004827EB">
              <w:rPr>
                <w:rFonts w:eastAsia="Times New Roman" w:cs="Times New Roman"/>
                <w:b/>
                <w:bCs/>
                <w:szCs w:val="24"/>
              </w:rPr>
              <w:t>Average Profit</w:t>
            </w:r>
          </w:p>
        </w:tc>
        <w:tc>
          <w:tcPr>
            <w:tcW w:w="0" w:type="auto"/>
            <w:hideMark/>
          </w:tcPr>
          <w:p w:rsidR="004827EB" w:rsidRPr="004827EB" w:rsidRDefault="004827EB" w:rsidP="004827EB">
            <w:pPr>
              <w:spacing w:line="276" w:lineRule="auto"/>
              <w:jc w:val="center"/>
              <w:rPr>
                <w:rFonts w:eastAsia="Times New Roman" w:cs="Times New Roman"/>
                <w:b/>
                <w:bCs/>
                <w:szCs w:val="24"/>
              </w:rPr>
            </w:pPr>
            <w:r w:rsidRPr="004827EB">
              <w:rPr>
                <w:rFonts w:eastAsia="Times New Roman" w:cs="Times New Roman"/>
                <w:b/>
                <w:bCs/>
                <w:szCs w:val="24"/>
              </w:rPr>
              <w:t>ARR (%)</w:t>
            </w:r>
          </w:p>
        </w:tc>
      </w:tr>
      <w:tr w:rsidR="004827EB" w:rsidRPr="004827EB" w:rsidTr="004827EB">
        <w:trPr>
          <w:trHeight w:val="287"/>
          <w:jc w:val="center"/>
        </w:trPr>
        <w:tc>
          <w:tcPr>
            <w:tcW w:w="0" w:type="auto"/>
            <w:hideMark/>
          </w:tcPr>
          <w:p w:rsidR="004827EB" w:rsidRPr="004827EB" w:rsidRDefault="004827EB" w:rsidP="004827EB">
            <w:pPr>
              <w:spacing w:line="276" w:lineRule="auto"/>
              <w:jc w:val="left"/>
              <w:rPr>
                <w:rFonts w:eastAsia="Times New Roman" w:cs="Times New Roman"/>
                <w:szCs w:val="24"/>
              </w:rPr>
            </w:pPr>
            <w:r w:rsidRPr="004827EB">
              <w:rPr>
                <w:rFonts w:eastAsia="Times New Roman" w:cs="Times New Roman"/>
                <w:szCs w:val="24"/>
              </w:rPr>
              <w:t>A</w:t>
            </w:r>
          </w:p>
        </w:tc>
        <w:tc>
          <w:tcPr>
            <w:tcW w:w="0" w:type="auto"/>
            <w:hideMark/>
          </w:tcPr>
          <w:p w:rsidR="004827EB" w:rsidRPr="004827EB" w:rsidRDefault="004827EB" w:rsidP="004827EB">
            <w:pPr>
              <w:spacing w:line="276" w:lineRule="auto"/>
              <w:jc w:val="left"/>
              <w:rPr>
                <w:rFonts w:eastAsia="Times New Roman" w:cs="Times New Roman"/>
                <w:szCs w:val="24"/>
              </w:rPr>
            </w:pPr>
            <w:r w:rsidRPr="004827EB">
              <w:rPr>
                <w:rFonts w:eastAsia="Times New Roman" w:cs="Times New Roman"/>
                <w:szCs w:val="24"/>
              </w:rPr>
              <w:t>10.8</w:t>
            </w:r>
          </w:p>
        </w:tc>
        <w:tc>
          <w:tcPr>
            <w:tcW w:w="0" w:type="auto"/>
            <w:hideMark/>
          </w:tcPr>
          <w:p w:rsidR="004827EB" w:rsidRPr="004827EB" w:rsidRDefault="004827EB" w:rsidP="004827EB">
            <w:pPr>
              <w:spacing w:line="276" w:lineRule="auto"/>
              <w:jc w:val="left"/>
              <w:rPr>
                <w:rFonts w:eastAsia="Times New Roman" w:cs="Times New Roman"/>
                <w:szCs w:val="24"/>
              </w:rPr>
            </w:pPr>
            <w:r w:rsidRPr="004827EB">
              <w:rPr>
                <w:rFonts w:eastAsia="Times New Roman" w:cs="Times New Roman"/>
                <w:szCs w:val="24"/>
              </w:rPr>
              <w:t>0.8</w:t>
            </w:r>
          </w:p>
        </w:tc>
        <w:tc>
          <w:tcPr>
            <w:tcW w:w="0" w:type="auto"/>
            <w:hideMark/>
          </w:tcPr>
          <w:p w:rsidR="004827EB" w:rsidRPr="004827EB" w:rsidRDefault="004827EB" w:rsidP="004827EB">
            <w:pPr>
              <w:spacing w:line="276" w:lineRule="auto"/>
              <w:jc w:val="left"/>
              <w:rPr>
                <w:rFonts w:eastAsia="Times New Roman" w:cs="Times New Roman"/>
                <w:szCs w:val="24"/>
              </w:rPr>
            </w:pPr>
            <w:r w:rsidRPr="004827EB">
              <w:rPr>
                <w:rFonts w:eastAsia="Times New Roman" w:cs="Times New Roman"/>
                <w:szCs w:val="24"/>
              </w:rPr>
              <w:t>1.6%</w:t>
            </w:r>
          </w:p>
        </w:tc>
      </w:tr>
      <w:tr w:rsidR="004827EB" w:rsidRPr="004827EB" w:rsidTr="004827EB">
        <w:trPr>
          <w:trHeight w:val="287"/>
          <w:jc w:val="center"/>
        </w:trPr>
        <w:tc>
          <w:tcPr>
            <w:tcW w:w="0" w:type="auto"/>
            <w:hideMark/>
          </w:tcPr>
          <w:p w:rsidR="004827EB" w:rsidRPr="004827EB" w:rsidRDefault="004827EB" w:rsidP="004827EB">
            <w:pPr>
              <w:spacing w:line="276" w:lineRule="auto"/>
              <w:jc w:val="left"/>
              <w:rPr>
                <w:rFonts w:eastAsia="Times New Roman" w:cs="Times New Roman"/>
                <w:szCs w:val="24"/>
              </w:rPr>
            </w:pPr>
            <w:r w:rsidRPr="004827EB">
              <w:rPr>
                <w:rFonts w:eastAsia="Times New Roman" w:cs="Times New Roman"/>
                <w:szCs w:val="24"/>
              </w:rPr>
              <w:t>B</w:t>
            </w:r>
          </w:p>
        </w:tc>
        <w:tc>
          <w:tcPr>
            <w:tcW w:w="0" w:type="auto"/>
            <w:hideMark/>
          </w:tcPr>
          <w:p w:rsidR="004827EB" w:rsidRPr="004827EB" w:rsidRDefault="004827EB" w:rsidP="004827EB">
            <w:pPr>
              <w:spacing w:line="276" w:lineRule="auto"/>
              <w:jc w:val="left"/>
              <w:rPr>
                <w:rFonts w:eastAsia="Times New Roman" w:cs="Times New Roman"/>
                <w:szCs w:val="24"/>
              </w:rPr>
            </w:pPr>
            <w:r w:rsidRPr="004827EB">
              <w:rPr>
                <w:rFonts w:eastAsia="Times New Roman" w:cs="Times New Roman"/>
                <w:szCs w:val="24"/>
              </w:rPr>
              <w:t>11.0</w:t>
            </w:r>
          </w:p>
        </w:tc>
        <w:tc>
          <w:tcPr>
            <w:tcW w:w="0" w:type="auto"/>
            <w:hideMark/>
          </w:tcPr>
          <w:p w:rsidR="004827EB" w:rsidRPr="004827EB" w:rsidRDefault="004827EB" w:rsidP="004827EB">
            <w:pPr>
              <w:spacing w:line="276" w:lineRule="auto"/>
              <w:jc w:val="left"/>
              <w:rPr>
                <w:rFonts w:eastAsia="Times New Roman" w:cs="Times New Roman"/>
                <w:szCs w:val="24"/>
              </w:rPr>
            </w:pPr>
            <w:r w:rsidRPr="004827EB">
              <w:rPr>
                <w:rFonts w:eastAsia="Times New Roman" w:cs="Times New Roman"/>
                <w:szCs w:val="24"/>
              </w:rPr>
              <w:t>1.0</w:t>
            </w:r>
          </w:p>
        </w:tc>
        <w:tc>
          <w:tcPr>
            <w:tcW w:w="0" w:type="auto"/>
            <w:hideMark/>
          </w:tcPr>
          <w:p w:rsidR="004827EB" w:rsidRPr="004827EB" w:rsidRDefault="004827EB" w:rsidP="004827EB">
            <w:pPr>
              <w:spacing w:line="276" w:lineRule="auto"/>
              <w:jc w:val="left"/>
              <w:rPr>
                <w:rFonts w:eastAsia="Times New Roman" w:cs="Times New Roman"/>
                <w:szCs w:val="24"/>
              </w:rPr>
            </w:pPr>
            <w:r w:rsidRPr="004827EB">
              <w:rPr>
                <w:rFonts w:eastAsia="Times New Roman" w:cs="Times New Roman"/>
                <w:szCs w:val="24"/>
              </w:rPr>
              <w:t>2.0%</w:t>
            </w:r>
          </w:p>
        </w:tc>
      </w:tr>
      <w:tr w:rsidR="004827EB" w:rsidRPr="004827EB" w:rsidTr="004827EB">
        <w:trPr>
          <w:trHeight w:val="287"/>
          <w:jc w:val="center"/>
        </w:trPr>
        <w:tc>
          <w:tcPr>
            <w:tcW w:w="0" w:type="auto"/>
            <w:hideMark/>
          </w:tcPr>
          <w:p w:rsidR="004827EB" w:rsidRPr="004827EB" w:rsidRDefault="004827EB" w:rsidP="004827EB">
            <w:pPr>
              <w:spacing w:line="276" w:lineRule="auto"/>
              <w:jc w:val="left"/>
              <w:rPr>
                <w:rFonts w:eastAsia="Times New Roman" w:cs="Times New Roman"/>
                <w:szCs w:val="24"/>
              </w:rPr>
            </w:pPr>
            <w:r w:rsidRPr="004827EB">
              <w:rPr>
                <w:rFonts w:eastAsia="Times New Roman" w:cs="Times New Roman"/>
                <w:szCs w:val="24"/>
              </w:rPr>
              <w:t>C</w:t>
            </w:r>
          </w:p>
        </w:tc>
        <w:tc>
          <w:tcPr>
            <w:tcW w:w="0" w:type="auto"/>
            <w:hideMark/>
          </w:tcPr>
          <w:p w:rsidR="004827EB" w:rsidRPr="004827EB" w:rsidRDefault="004827EB" w:rsidP="004827EB">
            <w:pPr>
              <w:spacing w:line="276" w:lineRule="auto"/>
              <w:jc w:val="left"/>
              <w:rPr>
                <w:rFonts w:eastAsia="Times New Roman" w:cs="Times New Roman"/>
                <w:szCs w:val="24"/>
              </w:rPr>
            </w:pPr>
            <w:r w:rsidRPr="004827EB">
              <w:rPr>
                <w:rFonts w:eastAsia="Times New Roman" w:cs="Times New Roman"/>
                <w:szCs w:val="24"/>
              </w:rPr>
              <w:t>13.0</w:t>
            </w:r>
          </w:p>
        </w:tc>
        <w:tc>
          <w:tcPr>
            <w:tcW w:w="0" w:type="auto"/>
            <w:hideMark/>
          </w:tcPr>
          <w:p w:rsidR="004827EB" w:rsidRPr="004827EB" w:rsidRDefault="004827EB" w:rsidP="004827EB">
            <w:pPr>
              <w:spacing w:line="276" w:lineRule="auto"/>
              <w:jc w:val="left"/>
              <w:rPr>
                <w:rFonts w:eastAsia="Times New Roman" w:cs="Times New Roman"/>
                <w:szCs w:val="24"/>
              </w:rPr>
            </w:pPr>
            <w:r w:rsidRPr="004827EB">
              <w:rPr>
                <w:rFonts w:eastAsia="Times New Roman" w:cs="Times New Roman"/>
                <w:szCs w:val="24"/>
              </w:rPr>
              <w:t>3.0</w:t>
            </w:r>
          </w:p>
        </w:tc>
        <w:tc>
          <w:tcPr>
            <w:tcW w:w="0" w:type="auto"/>
            <w:hideMark/>
          </w:tcPr>
          <w:p w:rsidR="004827EB" w:rsidRPr="004827EB" w:rsidRDefault="004827EB" w:rsidP="004827EB">
            <w:pPr>
              <w:spacing w:line="276" w:lineRule="auto"/>
              <w:jc w:val="left"/>
              <w:rPr>
                <w:rFonts w:eastAsia="Times New Roman" w:cs="Times New Roman"/>
                <w:szCs w:val="24"/>
              </w:rPr>
            </w:pPr>
            <w:r w:rsidRPr="004827EB">
              <w:rPr>
                <w:rFonts w:eastAsia="Times New Roman" w:cs="Times New Roman"/>
                <w:szCs w:val="24"/>
              </w:rPr>
              <w:t>6.0%</w:t>
            </w:r>
          </w:p>
        </w:tc>
      </w:tr>
    </w:tbl>
    <w:p w:rsidR="004827EB" w:rsidRDefault="00EF126D" w:rsidP="004827EB">
      <w:r w:rsidRPr="00EF126D">
        <w:t>Project C would generate the best ARR, which shows greater accounting profitability. ARR disregards the time value of money and thus needs to be met with caution.</w:t>
      </w:r>
    </w:p>
    <w:p w:rsidR="004827EB" w:rsidRDefault="004827EB" w:rsidP="004827EB">
      <w:pPr>
        <w:pStyle w:val="Heading2"/>
      </w:pPr>
      <w:bookmarkStart w:id="18" w:name="_Toc225603252"/>
      <w:r>
        <w:t>Net Present Value (NPV)</w:t>
      </w:r>
      <w:bookmarkEnd w:id="18"/>
    </w:p>
    <w:p w:rsidR="004827EB" w:rsidRDefault="00EF126D" w:rsidP="004827EB">
      <w:r w:rsidRPr="00EF126D">
        <w:t>NPV is the most valid way of examining investment decisions because it takes into account the time value of money and the general value creation.</w:t>
      </w:r>
    </w:p>
    <w:p w:rsidR="004827EB" w:rsidRPr="004827EB" w:rsidRDefault="004827EB" w:rsidP="004827EB">
      <w:pPr>
        <w:rPr>
          <w:b/>
        </w:rPr>
      </w:pPr>
      <w:r w:rsidRPr="004827EB">
        <w:rPr>
          <w:b/>
        </w:rPr>
        <w:t>NPV Calculation (£ million)</w:t>
      </w:r>
    </w:p>
    <w:tbl>
      <w:tblPr>
        <w:tblStyle w:val="TableGrid"/>
        <w:tblW w:w="9623" w:type="dxa"/>
        <w:tblLook w:val="04A0"/>
      </w:tblPr>
      <w:tblGrid>
        <w:gridCol w:w="1567"/>
        <w:gridCol w:w="3579"/>
        <w:gridCol w:w="3302"/>
        <w:gridCol w:w="1175"/>
      </w:tblGrid>
      <w:tr w:rsidR="004827EB" w:rsidRPr="004827EB" w:rsidTr="004827EB">
        <w:trPr>
          <w:trHeight w:val="377"/>
        </w:trPr>
        <w:tc>
          <w:tcPr>
            <w:tcW w:w="0" w:type="auto"/>
            <w:hideMark/>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Project</w:t>
            </w:r>
          </w:p>
        </w:tc>
        <w:tc>
          <w:tcPr>
            <w:tcW w:w="0" w:type="auto"/>
            <w:hideMark/>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Total PV of Inflows</w:t>
            </w:r>
          </w:p>
        </w:tc>
        <w:tc>
          <w:tcPr>
            <w:tcW w:w="0" w:type="auto"/>
            <w:hideMark/>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Initial Investment</w:t>
            </w:r>
          </w:p>
        </w:tc>
        <w:tc>
          <w:tcPr>
            <w:tcW w:w="0" w:type="auto"/>
            <w:hideMark/>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NPV</w:t>
            </w:r>
          </w:p>
        </w:tc>
      </w:tr>
      <w:tr w:rsidR="004827EB" w:rsidRPr="004827EB" w:rsidTr="004827EB">
        <w:trPr>
          <w:trHeight w:val="377"/>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A</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41.31</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50</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-8.69</w:t>
            </w:r>
          </w:p>
        </w:tc>
      </w:tr>
      <w:tr w:rsidR="004827EB" w:rsidRPr="004827EB" w:rsidTr="004827EB">
        <w:trPr>
          <w:trHeight w:val="377"/>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B</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41.69</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50</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-8.31</w:t>
            </w:r>
          </w:p>
        </w:tc>
      </w:tr>
      <w:tr w:rsidR="004827EB" w:rsidRPr="004827EB" w:rsidTr="004827EB">
        <w:trPr>
          <w:trHeight w:val="394"/>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C</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48.02</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50</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-1.98</w:t>
            </w:r>
          </w:p>
        </w:tc>
      </w:tr>
    </w:tbl>
    <w:p w:rsidR="004827EB" w:rsidRDefault="007E0BFE" w:rsidP="004827EB">
      <w:r w:rsidRPr="007E0BFE">
        <w:lastRenderedPageBreak/>
        <w:t>None of the projects meets the required rate of return, as all three of the projects have negative NPVs at 10% discount rate. Project C is the least value-destructive because of the lowest negative NPV.</w:t>
      </w:r>
    </w:p>
    <w:p w:rsidR="004827EB" w:rsidRDefault="004827EB" w:rsidP="004827EB">
      <w:pPr>
        <w:pStyle w:val="Heading2"/>
      </w:pPr>
      <w:bookmarkStart w:id="19" w:name="_Toc225603253"/>
      <w:r>
        <w:t>Profitability Index (PI)</w:t>
      </w:r>
      <w:bookmarkEnd w:id="19"/>
    </w:p>
    <w:p w:rsidR="004827EB" w:rsidRDefault="004827EB" w:rsidP="004827EB">
      <w:r>
        <w:t>Profitability Index measures the value created per unit of investment.</w:t>
      </w:r>
    </w:p>
    <w:p w:rsidR="004827EB" w:rsidRPr="004827EB" w:rsidRDefault="004827EB" w:rsidP="004827EB">
      <w:pPr>
        <w:rPr>
          <w:b/>
        </w:rPr>
      </w:pPr>
      <w:r w:rsidRPr="004827EB">
        <w:rPr>
          <w:b/>
        </w:rPr>
        <w:t>PI Calculation</w:t>
      </w:r>
    </w:p>
    <w:tbl>
      <w:tblPr>
        <w:tblStyle w:val="TableGrid"/>
        <w:tblW w:w="9570" w:type="dxa"/>
        <w:tblLook w:val="04A0"/>
      </w:tblPr>
      <w:tblGrid>
        <w:gridCol w:w="2017"/>
        <w:gridCol w:w="3363"/>
        <w:gridCol w:w="2843"/>
        <w:gridCol w:w="1347"/>
      </w:tblGrid>
      <w:tr w:rsidR="004827EB" w:rsidRPr="004827EB" w:rsidTr="004827EB">
        <w:trPr>
          <w:trHeight w:val="348"/>
        </w:trPr>
        <w:tc>
          <w:tcPr>
            <w:tcW w:w="0" w:type="auto"/>
            <w:hideMark/>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Project</w:t>
            </w:r>
          </w:p>
        </w:tc>
        <w:tc>
          <w:tcPr>
            <w:tcW w:w="0" w:type="auto"/>
            <w:hideMark/>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PV of Inflows</w:t>
            </w:r>
          </w:p>
        </w:tc>
        <w:tc>
          <w:tcPr>
            <w:tcW w:w="0" w:type="auto"/>
            <w:hideMark/>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Investment</w:t>
            </w:r>
          </w:p>
        </w:tc>
        <w:tc>
          <w:tcPr>
            <w:tcW w:w="0" w:type="auto"/>
            <w:hideMark/>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PI</w:t>
            </w:r>
          </w:p>
        </w:tc>
      </w:tr>
      <w:tr w:rsidR="004827EB" w:rsidRPr="004827EB" w:rsidTr="004827EB">
        <w:trPr>
          <w:trHeight w:val="348"/>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A</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41.31</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50</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0.83</w:t>
            </w:r>
          </w:p>
        </w:tc>
      </w:tr>
      <w:tr w:rsidR="004827EB" w:rsidRPr="004827EB" w:rsidTr="004827EB">
        <w:trPr>
          <w:trHeight w:val="332"/>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B</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41.69</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50</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0.83</w:t>
            </w:r>
          </w:p>
        </w:tc>
      </w:tr>
      <w:tr w:rsidR="004827EB" w:rsidRPr="004827EB" w:rsidTr="004827EB">
        <w:trPr>
          <w:trHeight w:val="364"/>
        </w:trPr>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C</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48.02</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50</w:t>
            </w:r>
          </w:p>
        </w:tc>
        <w:tc>
          <w:tcPr>
            <w:tcW w:w="0" w:type="auto"/>
            <w:hideMark/>
          </w:tcPr>
          <w:p w:rsidR="004827EB" w:rsidRPr="004827EB" w:rsidRDefault="004827EB" w:rsidP="004827EB">
            <w:pPr>
              <w:jc w:val="center"/>
              <w:rPr>
                <w:rFonts w:eastAsia="Times New Roman" w:cs="Times New Roman"/>
                <w:szCs w:val="24"/>
              </w:rPr>
            </w:pPr>
            <w:r w:rsidRPr="004827EB">
              <w:rPr>
                <w:rFonts w:eastAsia="Times New Roman" w:cs="Times New Roman"/>
                <w:szCs w:val="24"/>
              </w:rPr>
              <w:t>0.96</w:t>
            </w:r>
          </w:p>
        </w:tc>
      </w:tr>
    </w:tbl>
    <w:p w:rsidR="004827EB" w:rsidRDefault="004827EB" w:rsidP="004827EB">
      <w:r>
        <w:t>A PI below 1 indicates that the project destroys value. Project C again performs best, although it still does not meet the required threshold.</w:t>
      </w:r>
    </w:p>
    <w:p w:rsidR="004827EB" w:rsidRDefault="004827EB" w:rsidP="004827EB">
      <w:pPr>
        <w:pStyle w:val="Heading2"/>
      </w:pPr>
      <w:bookmarkStart w:id="20" w:name="_Toc225603254"/>
      <w:r>
        <w:t>Internal Rate of Return (IRR)</w:t>
      </w:r>
      <w:bookmarkEnd w:id="20"/>
    </w:p>
    <w:p w:rsidR="004827EB" w:rsidRDefault="004827EB" w:rsidP="004827EB">
      <w:r>
        <w:t>IRR represents the discount rate at which NPV equals zero. Based on approximation:</w:t>
      </w:r>
    </w:p>
    <w:p w:rsidR="004827EB" w:rsidRDefault="004827EB" w:rsidP="004827EB">
      <w:pPr>
        <w:pStyle w:val="ListParagraph"/>
        <w:numPr>
          <w:ilvl w:val="0"/>
          <w:numId w:val="1"/>
        </w:numPr>
      </w:pPr>
      <w:r>
        <w:t>Project A IRR ≈ 5–6%</w:t>
      </w:r>
    </w:p>
    <w:p w:rsidR="004827EB" w:rsidRDefault="004827EB" w:rsidP="004827EB">
      <w:pPr>
        <w:pStyle w:val="ListParagraph"/>
        <w:numPr>
          <w:ilvl w:val="0"/>
          <w:numId w:val="1"/>
        </w:numPr>
      </w:pPr>
      <w:r>
        <w:t>Project B IRR ≈ 5–6%</w:t>
      </w:r>
    </w:p>
    <w:p w:rsidR="004827EB" w:rsidRDefault="004827EB" w:rsidP="004827EB">
      <w:pPr>
        <w:pStyle w:val="ListParagraph"/>
        <w:numPr>
          <w:ilvl w:val="0"/>
          <w:numId w:val="1"/>
        </w:numPr>
      </w:pPr>
      <w:r>
        <w:t>Project C IRR ≈ 8–9%</w:t>
      </w:r>
    </w:p>
    <w:p w:rsidR="004827EB" w:rsidRDefault="004827EB" w:rsidP="004827EB">
      <w:r>
        <w:t>Project C provides the highest IRR, although it still falls below the required 10% cost of capital.</w:t>
      </w:r>
    </w:p>
    <w:p w:rsidR="004827EB" w:rsidRDefault="004827EB" w:rsidP="004827EB">
      <w:pPr>
        <w:pStyle w:val="Heading2"/>
      </w:pPr>
      <w:bookmarkStart w:id="21" w:name="_Toc225603255"/>
      <w:r>
        <w:t>Project Recommendation</w:t>
      </w:r>
      <w:bookmarkEnd w:id="21"/>
    </w:p>
    <w:p w:rsidR="006F1BFB" w:rsidRDefault="006F1BFB" w:rsidP="006F1BFB">
      <w:r>
        <w:t>No project can be accepted in terms of the financial aspect, as the projects are all pegged with negative NPVs and lower IRR than they ought to be. As a matter of fact, there are often strategic investments by companies like Tesla that are not limited to short-term profits.</w:t>
      </w:r>
    </w:p>
    <w:p w:rsidR="006F1BFB" w:rsidRDefault="006F1BFB" w:rsidP="006F1BFB">
      <w:r>
        <w:t>The most preferable of the three alternative projects is Project C. It has the smallest payback period and the highest ARR, the highest IRR and the lowest negative NPV. This shows that it generates high initial cash flows and enhances liquidity.</w:t>
      </w:r>
    </w:p>
    <w:p w:rsidR="006F1BFB" w:rsidRDefault="006F1BFB" w:rsidP="006F1BFB">
      <w:r>
        <w:lastRenderedPageBreak/>
        <w:t>Considering the financial results of Tesla, particularly the decrease in margins of operations and capital expenditures, liquidity is even more important (Shang et al., 2024). Project C will be applicable to this need, where the returns will be realised in the initial years, and the financial pressure will be relieved. In addition, the mass-expansion strategy of Tesla focuses on innovation and growth, and it potentially serves as a reason why the desire to accept slightly unfavourable financial payback projects is accepted to create a competitive edge in the long term.</w:t>
      </w:r>
    </w:p>
    <w:p w:rsidR="004827EB" w:rsidRDefault="006F1BFB" w:rsidP="006F1BFB">
      <w:r>
        <w:t>Non-financial risks are also in existence. With a higher level of operational or market risks, an uneven cash flow, as in the case of Project C, may be attributed to it. Return may be very sensitive to the political risks, such as regulatory changes in the international market, and changes in the demand by the customers. More than that, customer loyalty within a competitive EV market is to be secured by continuous innovation, and this may be the reason to invest in less payback investments.</w:t>
      </w:r>
    </w:p>
    <w:p w:rsidR="004827EB" w:rsidRDefault="004827EB" w:rsidP="004827EB">
      <w:pPr>
        <w:pStyle w:val="Heading2"/>
      </w:pPr>
      <w:bookmarkStart w:id="22" w:name="_Toc225603256"/>
      <w:r>
        <w:t>Capital Rationing Decision (£100 million constraint)</w:t>
      </w:r>
      <w:bookmarkEnd w:id="22"/>
    </w:p>
    <w:p w:rsidR="004827EB" w:rsidRDefault="004827EB" w:rsidP="004827EB">
      <w:r>
        <w:t>Given a maximum investment budget of £100 million, Tesla can undertake two projects. The objective is to select the combination that maximises total NPV.</w:t>
      </w:r>
    </w:p>
    <w:p w:rsidR="004827EB" w:rsidRPr="004827EB" w:rsidRDefault="004827EB" w:rsidP="004827EB">
      <w:pPr>
        <w:rPr>
          <w:b/>
        </w:rPr>
      </w:pPr>
      <w:r w:rsidRPr="004827EB">
        <w:rPr>
          <w:b/>
        </w:rPr>
        <w:t>Project Combination Analysis</w:t>
      </w:r>
    </w:p>
    <w:tbl>
      <w:tblPr>
        <w:tblStyle w:val="TableGrid"/>
        <w:tblW w:w="0" w:type="auto"/>
        <w:tblLook w:val="04A0"/>
      </w:tblPr>
      <w:tblGrid>
        <w:gridCol w:w="3192"/>
        <w:gridCol w:w="3192"/>
        <w:gridCol w:w="3192"/>
      </w:tblGrid>
      <w:tr w:rsidR="004827EB" w:rsidTr="00403451">
        <w:tc>
          <w:tcPr>
            <w:tcW w:w="3192" w:type="dxa"/>
            <w:vAlign w:val="center"/>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Combination</w:t>
            </w:r>
          </w:p>
        </w:tc>
        <w:tc>
          <w:tcPr>
            <w:tcW w:w="3192" w:type="dxa"/>
            <w:vAlign w:val="center"/>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Total Investment</w:t>
            </w:r>
          </w:p>
        </w:tc>
        <w:tc>
          <w:tcPr>
            <w:tcW w:w="3192" w:type="dxa"/>
            <w:vAlign w:val="center"/>
          </w:tcPr>
          <w:p w:rsidR="004827EB" w:rsidRPr="004827EB" w:rsidRDefault="004827EB" w:rsidP="004827EB">
            <w:pPr>
              <w:jc w:val="center"/>
              <w:rPr>
                <w:rFonts w:eastAsia="Times New Roman" w:cs="Times New Roman"/>
                <w:b/>
                <w:bCs/>
                <w:szCs w:val="24"/>
              </w:rPr>
            </w:pPr>
            <w:r w:rsidRPr="004827EB">
              <w:rPr>
                <w:rFonts w:eastAsia="Times New Roman" w:cs="Times New Roman"/>
                <w:b/>
                <w:bCs/>
                <w:szCs w:val="24"/>
              </w:rPr>
              <w:t>Total NPV</w:t>
            </w:r>
          </w:p>
        </w:tc>
      </w:tr>
      <w:tr w:rsidR="004827EB" w:rsidTr="00390392">
        <w:tc>
          <w:tcPr>
            <w:tcW w:w="3192" w:type="dxa"/>
            <w:vAlign w:val="center"/>
          </w:tcPr>
          <w:p w:rsidR="004827EB" w:rsidRPr="004827EB" w:rsidRDefault="004827EB" w:rsidP="004827EB">
            <w:pPr>
              <w:jc w:val="center"/>
              <w:rPr>
                <w:rFonts w:eastAsia="Times New Roman" w:cs="Times New Roman"/>
                <w:szCs w:val="24"/>
              </w:rPr>
            </w:pPr>
            <w:r w:rsidRPr="004827EB">
              <w:rPr>
                <w:rFonts w:eastAsia="Times New Roman" w:cs="Times New Roman"/>
                <w:szCs w:val="24"/>
              </w:rPr>
              <w:t>A + B</w:t>
            </w:r>
          </w:p>
        </w:tc>
        <w:tc>
          <w:tcPr>
            <w:tcW w:w="3192" w:type="dxa"/>
            <w:vAlign w:val="center"/>
          </w:tcPr>
          <w:p w:rsidR="004827EB" w:rsidRPr="004827EB" w:rsidRDefault="004827EB" w:rsidP="004827EB">
            <w:pPr>
              <w:jc w:val="center"/>
              <w:rPr>
                <w:rFonts w:eastAsia="Times New Roman" w:cs="Times New Roman"/>
                <w:szCs w:val="24"/>
              </w:rPr>
            </w:pPr>
            <w:r w:rsidRPr="004827EB">
              <w:rPr>
                <w:rFonts w:eastAsia="Times New Roman" w:cs="Times New Roman"/>
                <w:szCs w:val="24"/>
              </w:rPr>
              <w:t>100</w:t>
            </w:r>
          </w:p>
        </w:tc>
        <w:tc>
          <w:tcPr>
            <w:tcW w:w="3192" w:type="dxa"/>
            <w:vAlign w:val="center"/>
          </w:tcPr>
          <w:p w:rsidR="004827EB" w:rsidRPr="004827EB" w:rsidRDefault="004827EB" w:rsidP="004827EB">
            <w:pPr>
              <w:jc w:val="center"/>
              <w:rPr>
                <w:rFonts w:eastAsia="Times New Roman" w:cs="Times New Roman"/>
                <w:szCs w:val="24"/>
              </w:rPr>
            </w:pPr>
            <w:r w:rsidRPr="004827EB">
              <w:rPr>
                <w:rFonts w:eastAsia="Times New Roman" w:cs="Times New Roman"/>
                <w:szCs w:val="24"/>
              </w:rPr>
              <w:t>-17.00</w:t>
            </w:r>
          </w:p>
        </w:tc>
      </w:tr>
      <w:tr w:rsidR="004827EB" w:rsidTr="00BD3299">
        <w:tc>
          <w:tcPr>
            <w:tcW w:w="3192" w:type="dxa"/>
            <w:vAlign w:val="center"/>
          </w:tcPr>
          <w:p w:rsidR="004827EB" w:rsidRPr="004827EB" w:rsidRDefault="004827EB" w:rsidP="004827EB">
            <w:pPr>
              <w:jc w:val="center"/>
              <w:rPr>
                <w:rFonts w:eastAsia="Times New Roman" w:cs="Times New Roman"/>
                <w:szCs w:val="24"/>
              </w:rPr>
            </w:pPr>
            <w:r w:rsidRPr="004827EB">
              <w:rPr>
                <w:rFonts w:eastAsia="Times New Roman" w:cs="Times New Roman"/>
                <w:szCs w:val="24"/>
              </w:rPr>
              <w:t>A + C</w:t>
            </w:r>
          </w:p>
        </w:tc>
        <w:tc>
          <w:tcPr>
            <w:tcW w:w="3192" w:type="dxa"/>
            <w:vAlign w:val="center"/>
          </w:tcPr>
          <w:p w:rsidR="004827EB" w:rsidRPr="004827EB" w:rsidRDefault="004827EB" w:rsidP="004827EB">
            <w:pPr>
              <w:jc w:val="center"/>
              <w:rPr>
                <w:rFonts w:eastAsia="Times New Roman" w:cs="Times New Roman"/>
                <w:szCs w:val="24"/>
              </w:rPr>
            </w:pPr>
            <w:r w:rsidRPr="004827EB">
              <w:rPr>
                <w:rFonts w:eastAsia="Times New Roman" w:cs="Times New Roman"/>
                <w:szCs w:val="24"/>
              </w:rPr>
              <w:t>100</w:t>
            </w:r>
          </w:p>
        </w:tc>
        <w:tc>
          <w:tcPr>
            <w:tcW w:w="3192" w:type="dxa"/>
            <w:vAlign w:val="center"/>
          </w:tcPr>
          <w:p w:rsidR="004827EB" w:rsidRPr="004827EB" w:rsidRDefault="004827EB" w:rsidP="004827EB">
            <w:pPr>
              <w:jc w:val="center"/>
              <w:rPr>
                <w:rFonts w:eastAsia="Times New Roman" w:cs="Times New Roman"/>
                <w:szCs w:val="24"/>
              </w:rPr>
            </w:pPr>
            <w:r w:rsidRPr="004827EB">
              <w:rPr>
                <w:rFonts w:eastAsia="Times New Roman" w:cs="Times New Roman"/>
                <w:szCs w:val="24"/>
              </w:rPr>
              <w:t>-10.67</w:t>
            </w:r>
          </w:p>
        </w:tc>
      </w:tr>
      <w:tr w:rsidR="004827EB" w:rsidTr="00BD3299">
        <w:tc>
          <w:tcPr>
            <w:tcW w:w="3192" w:type="dxa"/>
            <w:vAlign w:val="center"/>
          </w:tcPr>
          <w:p w:rsidR="004827EB" w:rsidRPr="004827EB" w:rsidRDefault="004827EB" w:rsidP="004827EB">
            <w:pPr>
              <w:jc w:val="center"/>
              <w:rPr>
                <w:rFonts w:eastAsia="Times New Roman" w:cs="Times New Roman"/>
                <w:szCs w:val="24"/>
              </w:rPr>
            </w:pPr>
            <w:r w:rsidRPr="004827EB">
              <w:rPr>
                <w:rFonts w:eastAsia="Times New Roman" w:cs="Times New Roman"/>
                <w:szCs w:val="24"/>
              </w:rPr>
              <w:t>B + C</w:t>
            </w:r>
          </w:p>
        </w:tc>
        <w:tc>
          <w:tcPr>
            <w:tcW w:w="3192" w:type="dxa"/>
            <w:vAlign w:val="center"/>
          </w:tcPr>
          <w:p w:rsidR="004827EB" w:rsidRPr="004827EB" w:rsidRDefault="004827EB" w:rsidP="004827EB">
            <w:pPr>
              <w:jc w:val="center"/>
              <w:rPr>
                <w:rFonts w:eastAsia="Times New Roman" w:cs="Times New Roman"/>
                <w:szCs w:val="24"/>
              </w:rPr>
            </w:pPr>
            <w:r w:rsidRPr="004827EB">
              <w:rPr>
                <w:rFonts w:eastAsia="Times New Roman" w:cs="Times New Roman"/>
                <w:szCs w:val="24"/>
              </w:rPr>
              <w:t>100</w:t>
            </w:r>
          </w:p>
        </w:tc>
        <w:tc>
          <w:tcPr>
            <w:tcW w:w="3192" w:type="dxa"/>
            <w:vAlign w:val="center"/>
          </w:tcPr>
          <w:p w:rsidR="004827EB" w:rsidRPr="004827EB" w:rsidRDefault="004827EB" w:rsidP="004827EB">
            <w:pPr>
              <w:jc w:val="center"/>
              <w:rPr>
                <w:rFonts w:eastAsia="Times New Roman" w:cs="Times New Roman"/>
                <w:szCs w:val="24"/>
              </w:rPr>
            </w:pPr>
            <w:r w:rsidRPr="004827EB">
              <w:rPr>
                <w:rFonts w:eastAsia="Times New Roman" w:cs="Times New Roman"/>
                <w:szCs w:val="24"/>
              </w:rPr>
              <w:t>-10.29</w:t>
            </w:r>
          </w:p>
        </w:tc>
      </w:tr>
    </w:tbl>
    <w:p w:rsidR="004827EB" w:rsidRDefault="004827EB" w:rsidP="004827EB">
      <w:pPr>
        <w:pStyle w:val="Heading1"/>
      </w:pPr>
      <w:bookmarkStart w:id="23" w:name="_Toc225603257"/>
      <w:r>
        <w:t>Conclusion</w:t>
      </w:r>
      <w:bookmarkEnd w:id="23"/>
    </w:p>
    <w:p w:rsidR="00002662" w:rsidRDefault="007E0BFE" w:rsidP="004827EB">
      <w:r w:rsidRPr="007E0BFE">
        <w:t xml:space="preserve">Tesla has shown great financial improvement in the last five years and is no longer a loss-making company but a very profitable and financially sound firm. As the analysis provides, this growth carries with it emerging challenges, such as falling profitability, large capital expenditures, and rising competitive intensity. Although Tesla is highly liquid and efficient in terms of its operations, its future performance will be determined by its capacity to prioritise growth and profitability. The working capital analysis reveals the relevance of the effective cash operating cycle, and the restructuring plan underlines the necessity of the proper allocation of resources </w:t>
      </w:r>
      <w:r w:rsidRPr="007E0BFE">
        <w:lastRenderedPageBreak/>
        <w:t>and regulation of risks. Appraisal results show that Project C, and a combination of Projects B and C under capital rationing, present an opportunity amidst financial constraints. Altogether, Tesla needs to follow a balanced financial approach to remain competitive and guarantee long-term shareholder value.</w:t>
      </w:r>
    </w:p>
    <w:p w:rsidR="00002662" w:rsidRDefault="00002662">
      <w:pPr>
        <w:spacing w:line="276" w:lineRule="auto"/>
        <w:jc w:val="left"/>
      </w:pPr>
      <w:r>
        <w:br w:type="page"/>
      </w:r>
    </w:p>
    <w:p w:rsidR="00002662" w:rsidRPr="008A65FF" w:rsidRDefault="00002662" w:rsidP="00002662">
      <w:pPr>
        <w:pStyle w:val="Heading1"/>
        <w:rPr>
          <w:lang w:bidi="bn-IN"/>
        </w:rPr>
      </w:pPr>
      <w:bookmarkStart w:id="24" w:name="_Toc225603258"/>
      <w:r w:rsidRPr="008A65FF">
        <w:lastRenderedPageBreak/>
        <w:t>Reference</w:t>
      </w:r>
      <w:bookmarkEnd w:id="24"/>
    </w:p>
    <w:p w:rsidR="00002662" w:rsidRPr="008A65FF" w:rsidRDefault="00002662" w:rsidP="00002662">
      <w:pPr>
        <w:rPr>
          <w:lang w:bidi="bn-IN"/>
        </w:rPr>
      </w:pPr>
      <w:r w:rsidRPr="008A65FF">
        <w:rPr>
          <w:shd w:val="clear" w:color="auto" w:fill="FFFFFF"/>
          <w:lang w:bidi="bn-IN"/>
        </w:rPr>
        <w:t xml:space="preserve">Barnabas, B., and Oloyede, J. (2024). Cash flow optimization: Strategies for enhancing short-term liquidity. </w:t>
      </w:r>
      <w:r w:rsidRPr="008A65FF">
        <w:rPr>
          <w:i/>
          <w:iCs/>
          <w:shd w:val="clear" w:color="auto" w:fill="FFFFFF"/>
          <w:lang w:bidi="bn-IN"/>
        </w:rPr>
        <w:t>Available at SSRN 5004465</w:t>
      </w:r>
      <w:r w:rsidRPr="008A65FF">
        <w:rPr>
          <w:shd w:val="clear" w:color="auto" w:fill="FFFFFF"/>
          <w:lang w:bidi="bn-IN"/>
        </w:rPr>
        <w:t>.</w:t>
      </w:r>
    </w:p>
    <w:p w:rsidR="00002662" w:rsidRPr="008A65FF" w:rsidRDefault="00002662" w:rsidP="00002662">
      <w:pPr>
        <w:rPr>
          <w:lang w:bidi="bn-IN"/>
        </w:rPr>
      </w:pPr>
      <w:r w:rsidRPr="008A65FF">
        <w:rPr>
          <w:shd w:val="clear" w:color="auto" w:fill="FFFFFF"/>
          <w:lang w:bidi="bn-IN"/>
        </w:rPr>
        <w:t>Chap, S., and Liu, J. (2024). Debt Risk Analysis of Automotive Enterprises.</w:t>
      </w:r>
      <w:r w:rsidRPr="008A65FF">
        <w:rPr>
          <w:i/>
          <w:iCs/>
          <w:shd w:val="clear" w:color="auto" w:fill="FFFFFF"/>
          <w:lang w:bidi="bn-IN"/>
        </w:rPr>
        <w:t>Economics and Management Information</w:t>
      </w:r>
      <w:r w:rsidRPr="008A65FF">
        <w:rPr>
          <w:shd w:val="clear" w:color="auto" w:fill="FFFFFF"/>
          <w:lang w:bidi="bn-IN"/>
        </w:rPr>
        <w:t>, 1-15.</w:t>
      </w:r>
    </w:p>
    <w:p w:rsidR="00002662" w:rsidRPr="008A65FF" w:rsidRDefault="00342223" w:rsidP="00002662">
      <w:pPr>
        <w:rPr>
          <w:lang w:bidi="bn-IN"/>
        </w:rPr>
      </w:pPr>
      <w:r w:rsidRPr="008A65FF">
        <w:rPr>
          <w:shd w:val="clear" w:color="auto" w:fill="FFFFFF"/>
          <w:lang w:bidi="bn-IN"/>
        </w:rPr>
        <w:t>De</w:t>
      </w:r>
      <w:r w:rsidR="00002662" w:rsidRPr="008A65FF">
        <w:rPr>
          <w:shd w:val="clear" w:color="auto" w:fill="FFFFFF"/>
          <w:lang w:bidi="bn-IN"/>
        </w:rPr>
        <w:t xml:space="preserve"> Almeida, J. B. T. (2024). </w:t>
      </w:r>
      <w:r w:rsidR="00002662" w:rsidRPr="008A65FF">
        <w:rPr>
          <w:i/>
          <w:iCs/>
          <w:shd w:val="clear" w:color="auto" w:fill="FFFFFF"/>
          <w:lang w:bidi="bn-IN"/>
        </w:rPr>
        <w:t>Unraveling the Tesla phenomenon: A comprehensive analysis of stock valuation and discrepancy between price and value factors</w:t>
      </w:r>
      <w:r w:rsidR="00002662" w:rsidRPr="008A65FF">
        <w:rPr>
          <w:shd w:val="clear" w:color="auto" w:fill="FFFFFF"/>
          <w:lang w:bidi="bn-IN"/>
        </w:rPr>
        <w:t xml:space="preserve"> (Master's thesis, ISCTE-InstitutoUniversitario de Lisboa (Portugal)).</w:t>
      </w:r>
    </w:p>
    <w:p w:rsidR="00002662" w:rsidRPr="008A65FF" w:rsidRDefault="00002662" w:rsidP="00002662">
      <w:pPr>
        <w:rPr>
          <w:lang w:bidi="bn-IN"/>
        </w:rPr>
      </w:pPr>
      <w:r w:rsidRPr="008A65FF">
        <w:rPr>
          <w:shd w:val="clear" w:color="auto" w:fill="FFFFFF"/>
          <w:lang w:bidi="bn-IN"/>
        </w:rPr>
        <w:t xml:space="preserve">Ding, R. (2025). Value Investing in the EV Industry: A Case Study of Tesla. In </w:t>
      </w:r>
      <w:r w:rsidRPr="008A65FF">
        <w:rPr>
          <w:i/>
          <w:iCs/>
          <w:shd w:val="clear" w:color="auto" w:fill="FFFFFF"/>
          <w:lang w:bidi="bn-IN"/>
        </w:rPr>
        <w:t>2025 International Conference on Financial Risk and Investment Management (ICFRIM 2025)</w:t>
      </w:r>
      <w:r w:rsidRPr="008A65FF">
        <w:rPr>
          <w:shd w:val="clear" w:color="auto" w:fill="FFFFFF"/>
          <w:lang w:bidi="bn-IN"/>
        </w:rPr>
        <w:t xml:space="preserve"> (pp. 929-937).Atlantis Press.</w:t>
      </w:r>
    </w:p>
    <w:p w:rsidR="00002662" w:rsidRPr="008A65FF" w:rsidRDefault="00002662" w:rsidP="00002662">
      <w:pPr>
        <w:rPr>
          <w:lang w:bidi="bn-IN"/>
        </w:rPr>
      </w:pPr>
      <w:r w:rsidRPr="008A65FF">
        <w:rPr>
          <w:shd w:val="clear" w:color="auto" w:fill="FFFFFF"/>
          <w:lang w:bidi="bn-IN"/>
        </w:rPr>
        <w:t>Enkhtuvshin, E. (2024). Tesla-Addressing eco challenges globally.</w:t>
      </w:r>
    </w:p>
    <w:p w:rsidR="00002662" w:rsidRPr="008A65FF" w:rsidRDefault="00002662" w:rsidP="00002662">
      <w:pPr>
        <w:rPr>
          <w:lang w:bidi="bn-IN"/>
        </w:rPr>
      </w:pPr>
      <w:r w:rsidRPr="008A65FF">
        <w:rPr>
          <w:shd w:val="clear" w:color="auto" w:fill="FFFFFF"/>
          <w:lang w:bidi="bn-IN"/>
        </w:rPr>
        <w:t xml:space="preserve">Fang, J. (2022, July). An Overall Financial Analysis of Tesla.In </w:t>
      </w:r>
      <w:r w:rsidRPr="008A65FF">
        <w:rPr>
          <w:i/>
          <w:iCs/>
          <w:shd w:val="clear" w:color="auto" w:fill="FFFFFF"/>
          <w:lang w:bidi="bn-IN"/>
        </w:rPr>
        <w:t>2022 2nd International Conference on Enterprise Management and Economic Development (ICEMED 2022)</w:t>
      </w:r>
      <w:r w:rsidRPr="008A65FF">
        <w:rPr>
          <w:shd w:val="clear" w:color="auto" w:fill="FFFFFF"/>
          <w:lang w:bidi="bn-IN"/>
        </w:rPr>
        <w:t xml:space="preserve"> (pp. 1233-1238).Atlantis Press.</w:t>
      </w:r>
    </w:p>
    <w:p w:rsidR="00002662" w:rsidRPr="008A65FF" w:rsidRDefault="00002662" w:rsidP="00002662">
      <w:pPr>
        <w:rPr>
          <w:lang w:bidi="bn-IN"/>
        </w:rPr>
      </w:pPr>
      <w:r w:rsidRPr="008A65FF">
        <w:rPr>
          <w:shd w:val="clear" w:color="auto" w:fill="FFFFFF"/>
          <w:lang w:bidi="bn-IN"/>
        </w:rPr>
        <w:t>Ghar, S. (2024).Tesla's International Business Strategy.</w:t>
      </w:r>
      <w:hyperlink r:id="rId10" w:history="1">
        <w:r w:rsidR="00365825" w:rsidRPr="001C78C9">
          <w:rPr>
            <w:rStyle w:val="Hyperlink"/>
            <w:shd w:val="clear" w:color="auto" w:fill="FFFFFF"/>
            <w:lang w:bidi="bn-IN"/>
          </w:rPr>
          <w:t>https://doi.org/10.13140/RG.2.2.35668.00648</w:t>
        </w:r>
      </w:hyperlink>
    </w:p>
    <w:p w:rsidR="00002662" w:rsidRPr="008A65FF" w:rsidRDefault="00002662" w:rsidP="00002662">
      <w:pPr>
        <w:rPr>
          <w:lang w:bidi="bn-IN"/>
        </w:rPr>
      </w:pPr>
      <w:r w:rsidRPr="008A65FF">
        <w:rPr>
          <w:shd w:val="clear" w:color="auto" w:fill="FFFFFF"/>
          <w:lang w:bidi="bn-IN"/>
        </w:rPr>
        <w:t>Han, Q., Lai, W., Liu, Z., Li, L., and Li, W. (2024). A comparative study of enhanced thermal performance in Tesla-type microchannels.</w:t>
      </w:r>
      <w:r w:rsidRPr="008A65FF">
        <w:rPr>
          <w:i/>
          <w:iCs/>
          <w:shd w:val="clear" w:color="auto" w:fill="FFFFFF"/>
          <w:lang w:bidi="bn-IN"/>
        </w:rPr>
        <w:t>Applied Thermal Engineering</w:t>
      </w:r>
      <w:r w:rsidRPr="008A65FF">
        <w:rPr>
          <w:shd w:val="clear" w:color="auto" w:fill="FFFFFF"/>
          <w:lang w:bidi="bn-IN"/>
        </w:rPr>
        <w:t xml:space="preserve">, </w:t>
      </w:r>
      <w:r w:rsidRPr="008A65FF">
        <w:rPr>
          <w:i/>
          <w:iCs/>
          <w:shd w:val="clear" w:color="auto" w:fill="FFFFFF"/>
          <w:lang w:bidi="bn-IN"/>
        </w:rPr>
        <w:t>239</w:t>
      </w:r>
      <w:r w:rsidRPr="008A65FF">
        <w:rPr>
          <w:shd w:val="clear" w:color="auto" w:fill="FFFFFF"/>
          <w:lang w:bidi="bn-IN"/>
        </w:rPr>
        <w:t>, 122157.</w:t>
      </w:r>
    </w:p>
    <w:p w:rsidR="00002662" w:rsidRPr="008A65FF" w:rsidRDefault="00002662" w:rsidP="00002662">
      <w:pPr>
        <w:rPr>
          <w:lang w:bidi="bn-IN"/>
        </w:rPr>
      </w:pPr>
      <w:r w:rsidRPr="008A65FF">
        <w:rPr>
          <w:shd w:val="clear" w:color="auto" w:fill="FFFFFF"/>
          <w:lang w:bidi="bn-IN"/>
        </w:rPr>
        <w:t xml:space="preserve">Helmold, M., KüçükYılmaz, A., Dathe, T., and Flouris, T. G. (2022).Financial SCRM and Mitigation Management. In </w:t>
      </w:r>
      <w:r w:rsidRPr="008A65FF">
        <w:rPr>
          <w:i/>
          <w:iCs/>
          <w:shd w:val="clear" w:color="auto" w:fill="FFFFFF"/>
          <w:lang w:bidi="bn-IN"/>
        </w:rPr>
        <w:t>Supply Chain Risk Management: Cases and Industry Insights</w:t>
      </w:r>
      <w:r w:rsidRPr="008A65FF">
        <w:rPr>
          <w:shd w:val="clear" w:color="auto" w:fill="FFFFFF"/>
          <w:lang w:bidi="bn-IN"/>
        </w:rPr>
        <w:t xml:space="preserve"> (pp. 161-177). Cham: Springer International Publishing.</w:t>
      </w:r>
    </w:p>
    <w:p w:rsidR="00002662" w:rsidRPr="008A65FF" w:rsidRDefault="00002662" w:rsidP="00002662">
      <w:pPr>
        <w:rPr>
          <w:lang w:bidi="bn-IN"/>
        </w:rPr>
      </w:pPr>
      <w:r w:rsidRPr="008A65FF">
        <w:rPr>
          <w:shd w:val="clear" w:color="auto" w:fill="FFFFFF"/>
          <w:lang w:bidi="bn-IN"/>
        </w:rPr>
        <w:t>Huang, W. (2023).Understanding Tesla’s Financial Strength: Analysis of Financial Reports and DuPont Analysis.</w:t>
      </w:r>
      <w:r w:rsidRPr="008A65FF">
        <w:rPr>
          <w:i/>
          <w:iCs/>
          <w:shd w:val="clear" w:color="auto" w:fill="FFFFFF"/>
          <w:lang w:bidi="bn-IN"/>
        </w:rPr>
        <w:t>Highlights in Business, Economics and Management</w:t>
      </w:r>
      <w:r w:rsidRPr="008A65FF">
        <w:rPr>
          <w:shd w:val="clear" w:color="auto" w:fill="FFFFFF"/>
          <w:lang w:bidi="bn-IN"/>
        </w:rPr>
        <w:t xml:space="preserve">, </w:t>
      </w:r>
      <w:r w:rsidRPr="008A65FF">
        <w:rPr>
          <w:i/>
          <w:iCs/>
          <w:shd w:val="clear" w:color="auto" w:fill="FFFFFF"/>
          <w:lang w:bidi="bn-IN"/>
        </w:rPr>
        <w:t>6</w:t>
      </w:r>
      <w:r w:rsidRPr="008A65FF">
        <w:rPr>
          <w:shd w:val="clear" w:color="auto" w:fill="FFFFFF"/>
          <w:lang w:bidi="bn-IN"/>
        </w:rPr>
        <w:t>, 250-261.</w:t>
      </w:r>
    </w:p>
    <w:p w:rsidR="00002662" w:rsidRPr="008A65FF" w:rsidRDefault="00002662" w:rsidP="00002662">
      <w:pPr>
        <w:rPr>
          <w:lang w:bidi="bn-IN"/>
        </w:rPr>
      </w:pPr>
      <w:r w:rsidRPr="008A65FF">
        <w:rPr>
          <w:shd w:val="clear" w:color="auto" w:fill="FFFFFF"/>
          <w:lang w:bidi="bn-IN"/>
        </w:rPr>
        <w:lastRenderedPageBreak/>
        <w:t xml:space="preserve">Lei, C. (2025).Analysis of Tesla International Strategies. In </w:t>
      </w:r>
      <w:r w:rsidRPr="008A65FF">
        <w:rPr>
          <w:i/>
          <w:iCs/>
          <w:shd w:val="clear" w:color="auto" w:fill="FFFFFF"/>
          <w:lang w:bidi="bn-IN"/>
        </w:rPr>
        <w:t>Sustainable Data Management: Navigating Big Data, Communication Technology, and Business Digital Leadership. Volume 1</w:t>
      </w:r>
      <w:r w:rsidRPr="008A65FF">
        <w:rPr>
          <w:shd w:val="clear" w:color="auto" w:fill="FFFFFF"/>
          <w:lang w:bidi="bn-IN"/>
        </w:rPr>
        <w:t xml:space="preserve"> (pp. 237-246). Cham: Springer Nature Switzerland.</w:t>
      </w:r>
    </w:p>
    <w:p w:rsidR="00002662" w:rsidRPr="008A65FF" w:rsidRDefault="00002662" w:rsidP="00002662">
      <w:pPr>
        <w:rPr>
          <w:lang w:bidi="bn-IN"/>
        </w:rPr>
      </w:pPr>
      <w:r w:rsidRPr="008A65FF">
        <w:rPr>
          <w:shd w:val="clear" w:color="auto" w:fill="FFFFFF"/>
          <w:lang w:bidi="bn-IN"/>
        </w:rPr>
        <w:t xml:space="preserve">Li, Y. (2025, November). Analysis of Company’s Financial Situation: Taking Tesla Company as an Example. In </w:t>
      </w:r>
      <w:r w:rsidRPr="008A65FF">
        <w:rPr>
          <w:i/>
          <w:iCs/>
          <w:shd w:val="clear" w:color="auto" w:fill="FFFFFF"/>
          <w:lang w:bidi="bn-IN"/>
        </w:rPr>
        <w:t>2025 International Conference on Financial Innovation and Marketing Management (FIMM 2025)</w:t>
      </w:r>
      <w:r w:rsidRPr="008A65FF">
        <w:rPr>
          <w:shd w:val="clear" w:color="auto" w:fill="FFFFFF"/>
          <w:lang w:bidi="bn-IN"/>
        </w:rPr>
        <w:t xml:space="preserve"> (pp. 845-852).Atlantis Press.</w:t>
      </w:r>
    </w:p>
    <w:p w:rsidR="00002662" w:rsidRPr="008A65FF" w:rsidRDefault="00002662" w:rsidP="00002662">
      <w:pPr>
        <w:rPr>
          <w:lang w:bidi="bn-IN"/>
        </w:rPr>
      </w:pPr>
      <w:r w:rsidRPr="008A65FF">
        <w:rPr>
          <w:shd w:val="clear" w:color="auto" w:fill="FFFFFF"/>
          <w:lang w:bidi="bn-IN"/>
        </w:rPr>
        <w:t>Loureiro, T. (2025). Tesla’s Governance Model: Leadership, Accountability, and Performance Consequences.</w:t>
      </w:r>
    </w:p>
    <w:p w:rsidR="00002662" w:rsidRPr="008A65FF" w:rsidRDefault="00002662" w:rsidP="00002662">
      <w:pPr>
        <w:rPr>
          <w:lang w:bidi="bn-IN"/>
        </w:rPr>
      </w:pPr>
      <w:r w:rsidRPr="008A65FF">
        <w:rPr>
          <w:shd w:val="clear" w:color="auto" w:fill="FFFFFF"/>
          <w:lang w:bidi="bn-IN"/>
        </w:rPr>
        <w:t xml:space="preserve">Lu, Z. (2025, July). An Analysis of Tesla’s Market Position and Future Prospects.In </w:t>
      </w:r>
      <w:r w:rsidRPr="008A65FF">
        <w:rPr>
          <w:i/>
          <w:iCs/>
          <w:shd w:val="clear" w:color="auto" w:fill="FFFFFF"/>
          <w:lang w:bidi="bn-IN"/>
        </w:rPr>
        <w:t>2025 International Conference on Financial Risk and Investment Management (ICFRIM 2025)</w:t>
      </w:r>
      <w:r w:rsidRPr="008A65FF">
        <w:rPr>
          <w:shd w:val="clear" w:color="auto" w:fill="FFFFFF"/>
          <w:lang w:bidi="bn-IN"/>
        </w:rPr>
        <w:t xml:space="preserve"> (pp. 919-928).Atlantis Press.</w:t>
      </w:r>
    </w:p>
    <w:p w:rsidR="00002662" w:rsidRPr="008A65FF" w:rsidRDefault="00002662" w:rsidP="00002662">
      <w:pPr>
        <w:rPr>
          <w:lang w:bidi="bn-IN"/>
        </w:rPr>
      </w:pPr>
      <w:r w:rsidRPr="008A65FF">
        <w:rPr>
          <w:shd w:val="clear" w:color="auto" w:fill="FFFFFF"/>
          <w:lang w:bidi="bn-IN"/>
        </w:rPr>
        <w:t xml:space="preserve">Matevosyan, A. V., Grigoryan, A. Z., Matevosyan, M. H., Nersisyan, A. V., and Baghdasaryan, V. G. (2025). Proposed approach capital structure management related to AI: Evidence from automobile manufacturing companies. </w:t>
      </w:r>
      <w:r w:rsidRPr="008A65FF">
        <w:rPr>
          <w:i/>
          <w:iCs/>
          <w:shd w:val="clear" w:color="auto" w:fill="FFFFFF"/>
          <w:lang w:bidi="bn-IN"/>
        </w:rPr>
        <w:t>Journal of Trends and Challenges in Artificial Intelligence</w:t>
      </w:r>
      <w:r w:rsidRPr="008A65FF">
        <w:rPr>
          <w:shd w:val="clear" w:color="auto" w:fill="FFFFFF"/>
          <w:lang w:bidi="bn-IN"/>
        </w:rPr>
        <w:t xml:space="preserve">, </w:t>
      </w:r>
      <w:r w:rsidRPr="008A65FF">
        <w:rPr>
          <w:i/>
          <w:iCs/>
          <w:shd w:val="clear" w:color="auto" w:fill="FFFFFF"/>
          <w:lang w:bidi="bn-IN"/>
        </w:rPr>
        <w:t>3</w:t>
      </w:r>
      <w:r w:rsidRPr="008A65FF">
        <w:rPr>
          <w:shd w:val="clear" w:color="auto" w:fill="FFFFFF"/>
          <w:lang w:bidi="bn-IN"/>
        </w:rPr>
        <w:t>(1), 39-46.</w:t>
      </w:r>
    </w:p>
    <w:p w:rsidR="00002662" w:rsidRPr="008A65FF" w:rsidRDefault="00002662" w:rsidP="00002662">
      <w:pPr>
        <w:rPr>
          <w:lang w:bidi="bn-IN"/>
        </w:rPr>
      </w:pPr>
      <w:r w:rsidRPr="008A65FF">
        <w:rPr>
          <w:shd w:val="clear" w:color="auto" w:fill="FFFFFF"/>
          <w:lang w:bidi="bn-IN"/>
        </w:rPr>
        <w:t xml:space="preserve">McMillan, K., Kates, A., and Kesler, G. (Eds.). (2025). </w:t>
      </w:r>
      <w:r w:rsidRPr="008A65FF">
        <w:rPr>
          <w:i/>
          <w:iCs/>
          <w:shd w:val="clear" w:color="auto" w:fill="FFFFFF"/>
          <w:lang w:bidi="bn-IN"/>
        </w:rPr>
        <w:t>Rethinking Operating Models: Designing People and Technology Powered Organizations</w:t>
      </w:r>
      <w:r w:rsidRPr="008A65FF">
        <w:rPr>
          <w:shd w:val="clear" w:color="auto" w:fill="FFFFFF"/>
          <w:lang w:bidi="bn-IN"/>
        </w:rPr>
        <w:t>. Kogan Page Publishers.</w:t>
      </w:r>
    </w:p>
    <w:p w:rsidR="00002662" w:rsidRPr="008A65FF" w:rsidRDefault="00002662" w:rsidP="00002662">
      <w:pPr>
        <w:rPr>
          <w:lang w:bidi="bn-IN"/>
        </w:rPr>
      </w:pPr>
      <w:r w:rsidRPr="008A65FF">
        <w:rPr>
          <w:shd w:val="clear" w:color="auto" w:fill="FFFFFF"/>
          <w:lang w:bidi="bn-IN"/>
        </w:rPr>
        <w:t xml:space="preserve">Nabieu, G. A., Amoah, L., and Graham, M. (2025). Capital structure and firm financing decisions. In </w:t>
      </w:r>
      <w:r w:rsidRPr="008A65FF">
        <w:rPr>
          <w:i/>
          <w:iCs/>
          <w:shd w:val="clear" w:color="auto" w:fill="FFFFFF"/>
          <w:lang w:bidi="bn-IN"/>
        </w:rPr>
        <w:t>The Elgar Companion to Financial Economics</w:t>
      </w:r>
      <w:r w:rsidRPr="008A65FF">
        <w:rPr>
          <w:shd w:val="clear" w:color="auto" w:fill="FFFFFF"/>
          <w:lang w:bidi="bn-IN"/>
        </w:rPr>
        <w:t xml:space="preserve"> (pp. 66-91).Edward Elgar Publishing.</w:t>
      </w:r>
    </w:p>
    <w:p w:rsidR="00002662" w:rsidRPr="008A65FF" w:rsidRDefault="00002662" w:rsidP="00002662">
      <w:pPr>
        <w:rPr>
          <w:lang w:bidi="bn-IN"/>
        </w:rPr>
      </w:pPr>
      <w:r w:rsidRPr="008A65FF">
        <w:rPr>
          <w:shd w:val="clear" w:color="auto" w:fill="FFFFFF"/>
          <w:lang w:bidi="bn-IN"/>
        </w:rPr>
        <w:t>Nielsen, S., and Shepherd, M. (2025). From Admiration to Ambivalence: Understanding Consumer Responses to Tesla’s Ethical Decline.</w:t>
      </w:r>
    </w:p>
    <w:p w:rsidR="00002662" w:rsidRPr="008A65FF" w:rsidRDefault="00002662" w:rsidP="00002662">
      <w:pPr>
        <w:rPr>
          <w:lang w:bidi="bn-IN"/>
        </w:rPr>
      </w:pPr>
      <w:r w:rsidRPr="008A65FF">
        <w:rPr>
          <w:shd w:val="clear" w:color="auto" w:fill="FFFFFF"/>
          <w:lang w:bidi="bn-IN"/>
        </w:rPr>
        <w:t xml:space="preserve">Olugbenga, A. F. (2025). Corporate Financing of Mega Projects: Analyzing the Impact of Capital Structure Choices on Project Viability and Profitability (2018–2025). </w:t>
      </w:r>
      <w:r w:rsidRPr="008A65FF">
        <w:rPr>
          <w:i/>
          <w:iCs/>
          <w:shd w:val="clear" w:color="auto" w:fill="FFFFFF"/>
          <w:lang w:bidi="bn-IN"/>
        </w:rPr>
        <w:t>Journal of Banking and Financial Dynamics</w:t>
      </w:r>
      <w:r w:rsidRPr="008A65FF">
        <w:rPr>
          <w:shd w:val="clear" w:color="auto" w:fill="FFFFFF"/>
          <w:lang w:bidi="bn-IN"/>
        </w:rPr>
        <w:t xml:space="preserve">, </w:t>
      </w:r>
      <w:r w:rsidRPr="008A65FF">
        <w:rPr>
          <w:i/>
          <w:iCs/>
          <w:shd w:val="clear" w:color="auto" w:fill="FFFFFF"/>
          <w:lang w:bidi="bn-IN"/>
        </w:rPr>
        <w:t>9</w:t>
      </w:r>
      <w:r w:rsidRPr="008A65FF">
        <w:rPr>
          <w:shd w:val="clear" w:color="auto" w:fill="FFFFFF"/>
          <w:lang w:bidi="bn-IN"/>
        </w:rPr>
        <w:t>(12), 30-41.</w:t>
      </w:r>
    </w:p>
    <w:p w:rsidR="00002662" w:rsidRPr="008A65FF" w:rsidRDefault="00002662" w:rsidP="00002662">
      <w:pPr>
        <w:rPr>
          <w:lang w:bidi="bn-IN"/>
        </w:rPr>
      </w:pPr>
      <w:r w:rsidRPr="008A65FF">
        <w:rPr>
          <w:shd w:val="clear" w:color="auto" w:fill="FFFFFF"/>
          <w:lang w:bidi="bn-IN"/>
        </w:rPr>
        <w:t>Ouyang, J. (2023). Analysis of Tesla's Earnings Quality in 2022.</w:t>
      </w:r>
      <w:r w:rsidRPr="008A65FF">
        <w:rPr>
          <w:i/>
          <w:iCs/>
          <w:shd w:val="clear" w:color="auto" w:fill="FFFFFF"/>
          <w:lang w:bidi="bn-IN"/>
        </w:rPr>
        <w:t>Frontiers</w:t>
      </w:r>
      <w:r w:rsidRPr="008A65FF">
        <w:rPr>
          <w:shd w:val="clear" w:color="auto" w:fill="FFFFFF"/>
          <w:lang w:bidi="bn-IN"/>
        </w:rPr>
        <w:t xml:space="preserve">, </w:t>
      </w:r>
      <w:r w:rsidRPr="008A65FF">
        <w:rPr>
          <w:i/>
          <w:iCs/>
          <w:shd w:val="clear" w:color="auto" w:fill="FFFFFF"/>
          <w:lang w:bidi="bn-IN"/>
        </w:rPr>
        <w:t>4</w:t>
      </w:r>
      <w:r w:rsidRPr="008A65FF">
        <w:rPr>
          <w:shd w:val="clear" w:color="auto" w:fill="FFFFFF"/>
          <w:lang w:bidi="bn-IN"/>
        </w:rPr>
        <w:t>(10).</w:t>
      </w:r>
    </w:p>
    <w:p w:rsidR="00002662" w:rsidRPr="008A65FF" w:rsidRDefault="00002662" w:rsidP="00002662">
      <w:pPr>
        <w:rPr>
          <w:lang w:bidi="bn-IN"/>
        </w:rPr>
      </w:pPr>
      <w:r w:rsidRPr="008A65FF">
        <w:rPr>
          <w:shd w:val="clear" w:color="auto" w:fill="FFFFFF"/>
          <w:lang w:bidi="bn-IN"/>
        </w:rPr>
        <w:lastRenderedPageBreak/>
        <w:t xml:space="preserve">Pan, J. (2022, December). Application and Feasibility Analysis of DCF Model in Corporate Valuation: A Case Study of Tesla, Inc. In </w:t>
      </w:r>
      <w:r w:rsidRPr="008A65FF">
        <w:rPr>
          <w:i/>
          <w:iCs/>
          <w:shd w:val="clear" w:color="auto" w:fill="FFFFFF"/>
          <w:lang w:bidi="bn-IN"/>
        </w:rPr>
        <w:t>2022 International Conference on Economics, Smart Finance and Contemporary Trade (ESFCT 2022)</w:t>
      </w:r>
      <w:r w:rsidRPr="008A65FF">
        <w:rPr>
          <w:shd w:val="clear" w:color="auto" w:fill="FFFFFF"/>
          <w:lang w:bidi="bn-IN"/>
        </w:rPr>
        <w:t xml:space="preserve"> (pp. 1005-1023).Atlantis Press.</w:t>
      </w:r>
    </w:p>
    <w:p w:rsidR="00002662" w:rsidRPr="008A65FF" w:rsidRDefault="00002662" w:rsidP="00002662">
      <w:pPr>
        <w:rPr>
          <w:lang w:bidi="bn-IN"/>
        </w:rPr>
      </w:pPr>
      <w:r w:rsidRPr="008A65FF">
        <w:rPr>
          <w:shd w:val="clear" w:color="auto" w:fill="FFFFFF"/>
          <w:lang w:bidi="bn-IN"/>
        </w:rPr>
        <w:t>Purnawan, B. G. (2024). Accelerating the Future Tesla Market Strategy and Growth Opportunities.</w:t>
      </w:r>
    </w:p>
    <w:p w:rsidR="00002662" w:rsidRPr="008A65FF" w:rsidRDefault="00002662" w:rsidP="00002662">
      <w:pPr>
        <w:rPr>
          <w:lang w:bidi="bn-IN"/>
        </w:rPr>
      </w:pPr>
      <w:r w:rsidRPr="008A65FF">
        <w:rPr>
          <w:shd w:val="clear" w:color="auto" w:fill="FFFFFF"/>
          <w:lang w:bidi="bn-IN"/>
        </w:rPr>
        <w:t>Qingren, W. (2023).Analysis of Tesla Company's Operations Based on Panel Data.</w:t>
      </w:r>
      <w:r w:rsidRPr="008A65FF">
        <w:rPr>
          <w:i/>
          <w:iCs/>
          <w:shd w:val="clear" w:color="auto" w:fill="FFFFFF"/>
          <w:lang w:bidi="bn-IN"/>
        </w:rPr>
        <w:t>Academic Journal of Humanities and Social Sciences</w:t>
      </w:r>
      <w:r w:rsidRPr="008A65FF">
        <w:rPr>
          <w:shd w:val="clear" w:color="auto" w:fill="FFFFFF"/>
          <w:lang w:bidi="bn-IN"/>
        </w:rPr>
        <w:t xml:space="preserve">, </w:t>
      </w:r>
      <w:r w:rsidRPr="008A65FF">
        <w:rPr>
          <w:i/>
          <w:iCs/>
          <w:shd w:val="clear" w:color="auto" w:fill="FFFFFF"/>
          <w:lang w:bidi="bn-IN"/>
        </w:rPr>
        <w:t>6</w:t>
      </w:r>
      <w:r w:rsidRPr="008A65FF">
        <w:rPr>
          <w:shd w:val="clear" w:color="auto" w:fill="FFFFFF"/>
          <w:lang w:bidi="bn-IN"/>
        </w:rPr>
        <w:t>(18), 50-58.</w:t>
      </w:r>
    </w:p>
    <w:p w:rsidR="00002662" w:rsidRPr="008A65FF" w:rsidRDefault="00002662" w:rsidP="00002662">
      <w:pPr>
        <w:rPr>
          <w:lang w:bidi="bn-IN"/>
        </w:rPr>
      </w:pPr>
      <w:r w:rsidRPr="008A65FF">
        <w:rPr>
          <w:shd w:val="clear" w:color="auto" w:fill="FFFFFF"/>
          <w:lang w:bidi="bn-IN"/>
        </w:rPr>
        <w:t xml:space="preserve">Ren, P., Shi, B., Xue, Q., and Zang, W. (2025). Enterprise Supplier Management and Sustainable Development: A Case Study of Tesla Supplier Management. </w:t>
      </w:r>
      <w:r w:rsidRPr="008A65FF">
        <w:rPr>
          <w:i/>
          <w:iCs/>
          <w:shd w:val="clear" w:color="auto" w:fill="FFFFFF"/>
          <w:lang w:bidi="bn-IN"/>
        </w:rPr>
        <w:t>Journal of Education, Humanities and Social Sciences</w:t>
      </w:r>
      <w:r w:rsidRPr="008A65FF">
        <w:rPr>
          <w:shd w:val="clear" w:color="auto" w:fill="FFFFFF"/>
          <w:lang w:bidi="bn-IN"/>
        </w:rPr>
        <w:t xml:space="preserve">, </w:t>
      </w:r>
      <w:r w:rsidRPr="008A65FF">
        <w:rPr>
          <w:i/>
          <w:iCs/>
          <w:shd w:val="clear" w:color="auto" w:fill="FFFFFF"/>
          <w:lang w:bidi="bn-IN"/>
        </w:rPr>
        <w:t>61</w:t>
      </w:r>
      <w:r w:rsidRPr="008A65FF">
        <w:rPr>
          <w:shd w:val="clear" w:color="auto" w:fill="FFFFFF"/>
          <w:lang w:bidi="bn-IN"/>
        </w:rPr>
        <w:t>, 129-133.</w:t>
      </w:r>
    </w:p>
    <w:p w:rsidR="00002662" w:rsidRPr="008A65FF" w:rsidRDefault="00002662" w:rsidP="00002662">
      <w:pPr>
        <w:rPr>
          <w:lang w:bidi="bn-IN"/>
        </w:rPr>
      </w:pPr>
      <w:r w:rsidRPr="008A65FF">
        <w:rPr>
          <w:shd w:val="clear" w:color="auto" w:fill="FFFFFF"/>
          <w:lang w:bidi="bn-IN"/>
        </w:rPr>
        <w:t xml:space="preserve">Roy, A., Ara, J., Ghodke, S., and Akter, J. (2025). Artificial intelligence in corporate financial strategy: transforming long-term investment and capital budgeting decisions. </w:t>
      </w:r>
      <w:r w:rsidRPr="008A65FF">
        <w:rPr>
          <w:i/>
          <w:iCs/>
          <w:shd w:val="clear" w:color="auto" w:fill="FFFFFF"/>
          <w:lang w:bidi="bn-IN"/>
        </w:rPr>
        <w:t>Journal of Economics, Finance and Accounting Studies</w:t>
      </w:r>
      <w:r w:rsidRPr="008A65FF">
        <w:rPr>
          <w:shd w:val="clear" w:color="auto" w:fill="FFFFFF"/>
          <w:lang w:bidi="bn-IN"/>
        </w:rPr>
        <w:t xml:space="preserve">, </w:t>
      </w:r>
      <w:r w:rsidRPr="008A65FF">
        <w:rPr>
          <w:i/>
          <w:iCs/>
          <w:shd w:val="clear" w:color="auto" w:fill="FFFFFF"/>
          <w:lang w:bidi="bn-IN"/>
        </w:rPr>
        <w:t>7</w:t>
      </w:r>
      <w:r w:rsidRPr="008A65FF">
        <w:rPr>
          <w:shd w:val="clear" w:color="auto" w:fill="FFFFFF"/>
          <w:lang w:bidi="bn-IN"/>
        </w:rPr>
        <w:t>(5), 50-59.</w:t>
      </w:r>
    </w:p>
    <w:p w:rsidR="00002662" w:rsidRPr="00886CCB" w:rsidRDefault="00002662" w:rsidP="00002662">
      <w:pPr>
        <w:rPr>
          <w:shd w:val="clear" w:color="auto" w:fill="FFFFFF"/>
        </w:rPr>
      </w:pPr>
      <w:r w:rsidRPr="00886CCB">
        <w:rPr>
          <w:shd w:val="clear" w:color="auto" w:fill="FFFFFF"/>
        </w:rPr>
        <w:t>Shang, W. L., Zhang, J., Wang, K., Yang, H., &amp;Ochieng, W. (2024). Can financial subsidy increase electric vehicle (EV) penetration---evidence from a quasi-natural experiment. </w:t>
      </w:r>
      <w:r w:rsidRPr="00886CCB">
        <w:rPr>
          <w:i/>
          <w:iCs/>
          <w:shd w:val="clear" w:color="auto" w:fill="FFFFFF"/>
        </w:rPr>
        <w:t>Renewable and Sustainable Energy Reviews</w:t>
      </w:r>
      <w:r w:rsidRPr="00886CCB">
        <w:rPr>
          <w:shd w:val="clear" w:color="auto" w:fill="FFFFFF"/>
        </w:rPr>
        <w:t>, </w:t>
      </w:r>
      <w:r w:rsidRPr="00886CCB">
        <w:rPr>
          <w:i/>
          <w:iCs/>
          <w:shd w:val="clear" w:color="auto" w:fill="FFFFFF"/>
        </w:rPr>
        <w:t>190</w:t>
      </w:r>
      <w:r w:rsidRPr="00886CCB">
        <w:rPr>
          <w:shd w:val="clear" w:color="auto" w:fill="FFFFFF"/>
        </w:rPr>
        <w:t>, 114021.</w:t>
      </w:r>
    </w:p>
    <w:p w:rsidR="00002662" w:rsidRPr="008A65FF" w:rsidRDefault="00002662" w:rsidP="00002662">
      <w:pPr>
        <w:rPr>
          <w:lang w:bidi="bn-IN"/>
        </w:rPr>
      </w:pPr>
      <w:r w:rsidRPr="008A65FF">
        <w:rPr>
          <w:shd w:val="clear" w:color="auto" w:fill="FFFFFF"/>
          <w:lang w:bidi="bn-IN"/>
        </w:rPr>
        <w:t xml:space="preserve">Thomas, J. (2023). A Study of Negative Working Capital Verses Profitability with Reference to Tesla Inc. </w:t>
      </w:r>
      <w:r w:rsidRPr="008A65FF">
        <w:rPr>
          <w:i/>
          <w:iCs/>
          <w:shd w:val="clear" w:color="auto" w:fill="FFFFFF"/>
          <w:lang w:bidi="bn-IN"/>
        </w:rPr>
        <w:t>Abhigyan</w:t>
      </w:r>
      <w:r w:rsidRPr="008A65FF">
        <w:rPr>
          <w:shd w:val="clear" w:color="auto" w:fill="FFFFFF"/>
          <w:lang w:bidi="bn-IN"/>
        </w:rPr>
        <w:t xml:space="preserve">, </w:t>
      </w:r>
      <w:r w:rsidRPr="008A65FF">
        <w:rPr>
          <w:i/>
          <w:iCs/>
          <w:shd w:val="clear" w:color="auto" w:fill="FFFFFF"/>
          <w:lang w:bidi="bn-IN"/>
        </w:rPr>
        <w:t>40</w:t>
      </w:r>
      <w:r w:rsidRPr="008A65FF">
        <w:rPr>
          <w:shd w:val="clear" w:color="auto" w:fill="FFFFFF"/>
          <w:lang w:bidi="bn-IN"/>
        </w:rPr>
        <w:t>(4), 34-41.</w:t>
      </w:r>
    </w:p>
    <w:p w:rsidR="00002662" w:rsidRPr="008A65FF" w:rsidRDefault="00002662" w:rsidP="00002662">
      <w:pPr>
        <w:rPr>
          <w:lang w:bidi="bn-IN"/>
        </w:rPr>
      </w:pPr>
      <w:r w:rsidRPr="008A65FF">
        <w:rPr>
          <w:shd w:val="clear" w:color="auto" w:fill="FFFFFF"/>
          <w:lang w:bidi="bn-IN"/>
        </w:rPr>
        <w:t>Thulin, C. K., and Povlsen, S. B. (2024).</w:t>
      </w:r>
      <w:r w:rsidRPr="008A65FF">
        <w:rPr>
          <w:i/>
          <w:iCs/>
          <w:shd w:val="clear" w:color="auto" w:fill="FFFFFF"/>
          <w:lang w:bidi="bn-IN"/>
        </w:rPr>
        <w:t>Navigating the road ahead: Tesla’s resilience in the face of emerging rivals</w:t>
      </w:r>
      <w:r w:rsidRPr="008A65FF">
        <w:rPr>
          <w:shd w:val="clear" w:color="auto" w:fill="FFFFFF"/>
          <w:lang w:bidi="bn-IN"/>
        </w:rPr>
        <w:t xml:space="preserve"> (Doctoral dissertation, Master’s thesis, Copenhagen Business School, MSc Economics and Business Administration Program).</w:t>
      </w:r>
    </w:p>
    <w:p w:rsidR="00002662" w:rsidRPr="008A65FF" w:rsidRDefault="00002662" w:rsidP="00002662">
      <w:pPr>
        <w:rPr>
          <w:lang w:bidi="bn-IN"/>
        </w:rPr>
      </w:pPr>
      <w:r w:rsidRPr="008A65FF">
        <w:rPr>
          <w:shd w:val="clear" w:color="auto" w:fill="FFFFFF"/>
          <w:lang w:bidi="bn-IN"/>
        </w:rPr>
        <w:t>Wang, Y. (2025). Liquidity Management and Financial Stability in High-Growth Tech Companies.</w:t>
      </w:r>
      <w:r w:rsidRPr="008A65FF">
        <w:rPr>
          <w:i/>
          <w:iCs/>
          <w:shd w:val="clear" w:color="auto" w:fill="FFFFFF"/>
          <w:lang w:bidi="bn-IN"/>
        </w:rPr>
        <w:t>Advances in Economics, Management and Political Sciences</w:t>
      </w:r>
      <w:r w:rsidRPr="008A65FF">
        <w:rPr>
          <w:shd w:val="clear" w:color="auto" w:fill="FFFFFF"/>
          <w:lang w:bidi="bn-IN"/>
        </w:rPr>
        <w:t xml:space="preserve">, </w:t>
      </w:r>
      <w:r w:rsidRPr="008A65FF">
        <w:rPr>
          <w:i/>
          <w:iCs/>
          <w:shd w:val="clear" w:color="auto" w:fill="FFFFFF"/>
          <w:lang w:bidi="bn-IN"/>
        </w:rPr>
        <w:t>146</w:t>
      </w:r>
      <w:r w:rsidRPr="008A65FF">
        <w:rPr>
          <w:shd w:val="clear" w:color="auto" w:fill="FFFFFF"/>
          <w:lang w:bidi="bn-IN"/>
        </w:rPr>
        <w:t>, 37-43.</w:t>
      </w:r>
    </w:p>
    <w:p w:rsidR="00002662" w:rsidRPr="008A65FF" w:rsidRDefault="00002662" w:rsidP="00002662">
      <w:pPr>
        <w:rPr>
          <w:lang w:bidi="bn-IN"/>
        </w:rPr>
      </w:pPr>
      <w:r w:rsidRPr="008A65FF">
        <w:rPr>
          <w:shd w:val="clear" w:color="auto" w:fill="FFFFFF"/>
          <w:lang w:bidi="bn-IN"/>
        </w:rPr>
        <w:t>WU, Z. Q., NGUYEN, P. Q., PHANKASEMSAN, I., and WOLF, E. (2022). Driving Sustainability and Electric Vehicles Evolution: Tesla Company's Success Strategies.</w:t>
      </w:r>
    </w:p>
    <w:p w:rsidR="00002662" w:rsidRPr="008A65FF" w:rsidRDefault="00002662" w:rsidP="00002662">
      <w:pPr>
        <w:rPr>
          <w:lang w:bidi="bn-IN"/>
        </w:rPr>
      </w:pPr>
      <w:r w:rsidRPr="008A65FF">
        <w:rPr>
          <w:shd w:val="clear" w:color="auto" w:fill="FFFFFF"/>
          <w:lang w:bidi="bn-IN"/>
        </w:rPr>
        <w:lastRenderedPageBreak/>
        <w:t xml:space="preserve">Xu, J. (2024). </w:t>
      </w:r>
      <w:r w:rsidRPr="008A65FF">
        <w:rPr>
          <w:i/>
          <w:iCs/>
          <w:shd w:val="clear" w:color="auto" w:fill="FFFFFF"/>
          <w:lang w:bidi="bn-IN"/>
        </w:rPr>
        <w:t>Strategic Emerging Industry: Analysis of Development of New Energy Vehicles</w:t>
      </w:r>
      <w:r w:rsidRPr="008A65FF">
        <w:rPr>
          <w:shd w:val="clear" w:color="auto" w:fill="FFFFFF"/>
          <w:lang w:bidi="bn-IN"/>
        </w:rPr>
        <w:t xml:space="preserve"> (Doctoral dissertation, Politecnico di Torino).</w:t>
      </w:r>
    </w:p>
    <w:p w:rsidR="004827EB" w:rsidRDefault="00002662" w:rsidP="00002662">
      <w:r w:rsidRPr="008A65FF">
        <w:rPr>
          <w:shd w:val="clear" w:color="auto" w:fill="FFFFFF"/>
          <w:lang w:bidi="bn-IN"/>
        </w:rPr>
        <w:t>Zhao, Y., Teng, S., An, D., and Xi, H. (2025). Performance analysis and optimization of Tesla turbine based on comprehensive operational and structural parameters.</w:t>
      </w:r>
      <w:r w:rsidRPr="008A65FF">
        <w:rPr>
          <w:i/>
          <w:iCs/>
          <w:shd w:val="clear" w:color="auto" w:fill="FFFFFF"/>
          <w:lang w:bidi="bn-IN"/>
        </w:rPr>
        <w:t>Energy Conversion and Management</w:t>
      </w:r>
      <w:r w:rsidRPr="008A65FF">
        <w:rPr>
          <w:shd w:val="clear" w:color="auto" w:fill="FFFFFF"/>
          <w:lang w:bidi="bn-IN"/>
        </w:rPr>
        <w:t xml:space="preserve">, </w:t>
      </w:r>
      <w:r w:rsidRPr="008A65FF">
        <w:rPr>
          <w:i/>
          <w:iCs/>
          <w:shd w:val="clear" w:color="auto" w:fill="FFFFFF"/>
          <w:lang w:bidi="bn-IN"/>
        </w:rPr>
        <w:t>332</w:t>
      </w:r>
      <w:r w:rsidRPr="008A65FF">
        <w:rPr>
          <w:shd w:val="clear" w:color="auto" w:fill="FFFFFF"/>
          <w:lang w:bidi="bn-IN"/>
        </w:rPr>
        <w:t>, 119757.</w:t>
      </w:r>
    </w:p>
    <w:p w:rsidR="00F92C05" w:rsidRDefault="00F92C05" w:rsidP="004827EB"/>
    <w:p w:rsidR="00F92C05" w:rsidRDefault="00F92C05" w:rsidP="004827EB"/>
    <w:p w:rsidR="00F92C05" w:rsidRDefault="00F92C05" w:rsidP="004827EB"/>
    <w:p w:rsidR="00F92C05" w:rsidRDefault="00F92C05" w:rsidP="004827EB"/>
    <w:p w:rsidR="00F92C05" w:rsidRDefault="00F92C05" w:rsidP="004827EB"/>
    <w:p w:rsidR="00F92C05" w:rsidRDefault="00F92C05" w:rsidP="004827EB"/>
    <w:p w:rsidR="00F92C05" w:rsidRDefault="00F92C05" w:rsidP="004827EB"/>
    <w:p w:rsidR="00F92C05" w:rsidRDefault="00F92C05" w:rsidP="004827EB"/>
    <w:p w:rsidR="00F92C05" w:rsidRDefault="00F92C05" w:rsidP="004827EB"/>
    <w:p w:rsidR="00F92C05" w:rsidRDefault="00F92C05" w:rsidP="004827EB"/>
    <w:p w:rsidR="00F92C05" w:rsidRDefault="00F92C05" w:rsidP="004827EB"/>
    <w:p w:rsidR="004827EB" w:rsidRDefault="004827EB" w:rsidP="004827EB">
      <w:pPr>
        <w:pStyle w:val="Heading1"/>
      </w:pPr>
      <w:bookmarkStart w:id="25" w:name="_Toc225603259"/>
      <w:r>
        <w:lastRenderedPageBreak/>
        <w:t>Appendix</w:t>
      </w:r>
      <w:bookmarkEnd w:id="25"/>
    </w:p>
    <w:p w:rsidR="004827EB" w:rsidRDefault="004827EB" w:rsidP="004827EB">
      <w:pPr>
        <w:pStyle w:val="Heading2"/>
      </w:pPr>
      <w:bookmarkStart w:id="26" w:name="_Toc225603260"/>
      <w:r>
        <w:t>Appendix A: Ratio Tables</w:t>
      </w:r>
      <w:bookmarkEnd w:id="26"/>
    </w:p>
    <w:p w:rsidR="004827EB" w:rsidRDefault="004827EB" w:rsidP="004827EB">
      <w:pPr>
        <w:jc w:val="center"/>
      </w:pPr>
      <w:r>
        <w:rPr>
          <w:noProof/>
        </w:rPr>
        <w:drawing>
          <wp:inline distT="0" distB="0" distL="0" distR="0">
            <wp:extent cx="5391150" cy="2066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391150" cy="2066925"/>
                    </a:xfrm>
                    <a:prstGeom prst="rect">
                      <a:avLst/>
                    </a:prstGeom>
                  </pic:spPr>
                </pic:pic>
              </a:graphicData>
            </a:graphic>
          </wp:inline>
        </w:drawing>
      </w:r>
    </w:p>
    <w:p w:rsidR="004827EB" w:rsidRDefault="004827EB" w:rsidP="004827EB">
      <w:pPr>
        <w:jc w:val="center"/>
      </w:pPr>
      <w:r>
        <w:rPr>
          <w:noProof/>
        </w:rPr>
        <w:drawing>
          <wp:inline distT="0" distB="0" distL="0" distR="0">
            <wp:extent cx="5143500" cy="1962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143500" cy="1962150"/>
                    </a:xfrm>
                    <a:prstGeom prst="rect">
                      <a:avLst/>
                    </a:prstGeom>
                  </pic:spPr>
                </pic:pic>
              </a:graphicData>
            </a:graphic>
          </wp:inline>
        </w:drawing>
      </w:r>
      <w:r>
        <w:rPr>
          <w:noProof/>
        </w:rPr>
        <w:drawing>
          <wp:inline distT="0" distB="0" distL="0" distR="0">
            <wp:extent cx="5162550" cy="2181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162550" cy="2181225"/>
                    </a:xfrm>
                    <a:prstGeom prst="rect">
                      <a:avLst/>
                    </a:prstGeom>
                  </pic:spPr>
                </pic:pic>
              </a:graphicData>
            </a:graphic>
          </wp:inline>
        </w:drawing>
      </w:r>
    </w:p>
    <w:p w:rsidR="004827EB" w:rsidRDefault="004827EB" w:rsidP="004827EB">
      <w:pPr>
        <w:jc w:val="center"/>
      </w:pPr>
      <w:r>
        <w:rPr>
          <w:noProof/>
        </w:rPr>
        <w:lastRenderedPageBreak/>
        <w:drawing>
          <wp:inline distT="0" distB="0" distL="0" distR="0">
            <wp:extent cx="5124450" cy="22955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124450" cy="2295525"/>
                    </a:xfrm>
                    <a:prstGeom prst="rect">
                      <a:avLst/>
                    </a:prstGeom>
                  </pic:spPr>
                </pic:pic>
              </a:graphicData>
            </a:graphic>
          </wp:inline>
        </w:drawing>
      </w:r>
    </w:p>
    <w:p w:rsidR="004827EB" w:rsidRDefault="004827EB" w:rsidP="004827EB">
      <w:r>
        <w:rPr>
          <w:noProof/>
        </w:rPr>
        <w:drawing>
          <wp:inline distT="0" distB="0" distL="0" distR="0">
            <wp:extent cx="5153025" cy="22574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153025" cy="2257425"/>
                    </a:xfrm>
                    <a:prstGeom prst="rect">
                      <a:avLst/>
                    </a:prstGeom>
                  </pic:spPr>
                </pic:pic>
              </a:graphicData>
            </a:graphic>
          </wp:inline>
        </w:drawing>
      </w:r>
    </w:p>
    <w:p w:rsidR="004827EB" w:rsidRDefault="004827EB" w:rsidP="004827EB">
      <w:pPr>
        <w:pStyle w:val="Heading2"/>
      </w:pPr>
      <w:bookmarkStart w:id="27" w:name="_Toc225603261"/>
      <w:r>
        <w:lastRenderedPageBreak/>
        <w:t>Appendix B: Investment Appraisal Calculations</w:t>
      </w:r>
      <w:bookmarkEnd w:id="27"/>
    </w:p>
    <w:p w:rsidR="007E0BFE" w:rsidRDefault="004827EB" w:rsidP="004827EB">
      <w:r>
        <w:rPr>
          <w:noProof/>
        </w:rPr>
        <w:drawing>
          <wp:inline distT="0" distB="0" distL="0" distR="0">
            <wp:extent cx="5295900" cy="5962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295900" cy="5962650"/>
                    </a:xfrm>
                    <a:prstGeom prst="rect">
                      <a:avLst/>
                    </a:prstGeom>
                  </pic:spPr>
                </pic:pic>
              </a:graphicData>
            </a:graphic>
          </wp:inline>
        </w:drawing>
      </w:r>
    </w:p>
    <w:p w:rsidR="00886CCB" w:rsidRPr="00002662" w:rsidRDefault="00886CCB" w:rsidP="00002662">
      <w:pPr>
        <w:spacing w:line="276" w:lineRule="auto"/>
        <w:jc w:val="left"/>
      </w:pPr>
    </w:p>
    <w:sectPr w:rsidR="00886CCB" w:rsidRPr="00002662" w:rsidSect="0024705A">
      <w:footerReference w:type="default" r:id="rId1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A0D48" w:rsidRDefault="00CA0D48" w:rsidP="000623DA">
      <w:pPr>
        <w:spacing w:after="0" w:line="240" w:lineRule="auto"/>
      </w:pPr>
      <w:r>
        <w:separator/>
      </w:r>
    </w:p>
  </w:endnote>
  <w:endnote w:type="continuationSeparator" w:id="1">
    <w:p w:rsidR="00CA0D48" w:rsidRDefault="00CA0D48" w:rsidP="000623D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7258405"/>
      <w:docPartObj>
        <w:docPartGallery w:val="Page Numbers (Bottom of Page)"/>
        <w:docPartUnique/>
      </w:docPartObj>
    </w:sdtPr>
    <w:sdtEndPr>
      <w:rPr>
        <w:noProof/>
      </w:rPr>
    </w:sdtEndPr>
    <w:sdtContent>
      <w:p w:rsidR="00F6090C" w:rsidRDefault="0024705A">
        <w:pPr>
          <w:pStyle w:val="Footer"/>
          <w:jc w:val="center"/>
        </w:pPr>
        <w:r>
          <w:fldChar w:fldCharType="begin"/>
        </w:r>
        <w:r w:rsidR="00F6090C">
          <w:instrText xml:space="preserve"> PAGE   \* MERGEFORMAT </w:instrText>
        </w:r>
        <w:r>
          <w:fldChar w:fldCharType="separate"/>
        </w:r>
        <w:r w:rsidR="00FA30E0">
          <w:rPr>
            <w:noProof/>
          </w:rPr>
          <w:t>1</w:t>
        </w:r>
        <w:r>
          <w:rPr>
            <w:noProof/>
          </w:rPr>
          <w:fldChar w:fldCharType="end"/>
        </w:r>
      </w:p>
    </w:sdtContent>
  </w:sdt>
  <w:p w:rsidR="00B405CE" w:rsidRPr="00324248" w:rsidRDefault="00B405CE" w:rsidP="0032424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A0D48" w:rsidRDefault="00CA0D48" w:rsidP="000623DA">
      <w:pPr>
        <w:spacing w:after="0" w:line="240" w:lineRule="auto"/>
      </w:pPr>
      <w:r>
        <w:separator/>
      </w:r>
    </w:p>
  </w:footnote>
  <w:footnote w:type="continuationSeparator" w:id="1">
    <w:p w:rsidR="00CA0D48" w:rsidRDefault="00CA0D48" w:rsidP="000623D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D9C2C9B"/>
    <w:multiLevelType w:val="hybridMultilevel"/>
    <w:tmpl w:val="F378C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4827EB"/>
    <w:rsid w:val="00002662"/>
    <w:rsid w:val="00012906"/>
    <w:rsid w:val="00020767"/>
    <w:rsid w:val="00025E2C"/>
    <w:rsid w:val="00041B2D"/>
    <w:rsid w:val="000623DA"/>
    <w:rsid w:val="000852D3"/>
    <w:rsid w:val="00107844"/>
    <w:rsid w:val="001D6839"/>
    <w:rsid w:val="001E6B7C"/>
    <w:rsid w:val="0024705A"/>
    <w:rsid w:val="00266AA7"/>
    <w:rsid w:val="002831B9"/>
    <w:rsid w:val="002B5F0D"/>
    <w:rsid w:val="002F2E98"/>
    <w:rsid w:val="00324248"/>
    <w:rsid w:val="00330F3C"/>
    <w:rsid w:val="00342223"/>
    <w:rsid w:val="003515F5"/>
    <w:rsid w:val="00365691"/>
    <w:rsid w:val="00365825"/>
    <w:rsid w:val="00396E86"/>
    <w:rsid w:val="003A3D23"/>
    <w:rsid w:val="00454B68"/>
    <w:rsid w:val="0046402D"/>
    <w:rsid w:val="004827EB"/>
    <w:rsid w:val="004A5FEB"/>
    <w:rsid w:val="004D51EF"/>
    <w:rsid w:val="005235FA"/>
    <w:rsid w:val="00541019"/>
    <w:rsid w:val="005A53EE"/>
    <w:rsid w:val="005A57EE"/>
    <w:rsid w:val="006C3608"/>
    <w:rsid w:val="006F1BFB"/>
    <w:rsid w:val="00727EBA"/>
    <w:rsid w:val="00750ED2"/>
    <w:rsid w:val="007E0280"/>
    <w:rsid w:val="007E0BFE"/>
    <w:rsid w:val="008612C9"/>
    <w:rsid w:val="00886CCB"/>
    <w:rsid w:val="008877FF"/>
    <w:rsid w:val="008A65FF"/>
    <w:rsid w:val="009429D8"/>
    <w:rsid w:val="009910B1"/>
    <w:rsid w:val="009A66E5"/>
    <w:rsid w:val="00A55001"/>
    <w:rsid w:val="00B05C31"/>
    <w:rsid w:val="00B13EBF"/>
    <w:rsid w:val="00B405CE"/>
    <w:rsid w:val="00B756A9"/>
    <w:rsid w:val="00B96DB5"/>
    <w:rsid w:val="00BA1F25"/>
    <w:rsid w:val="00C26405"/>
    <w:rsid w:val="00C37CC6"/>
    <w:rsid w:val="00C62D34"/>
    <w:rsid w:val="00C64C29"/>
    <w:rsid w:val="00C90F43"/>
    <w:rsid w:val="00C915D3"/>
    <w:rsid w:val="00CA0D48"/>
    <w:rsid w:val="00D65463"/>
    <w:rsid w:val="00D868E9"/>
    <w:rsid w:val="00DC0207"/>
    <w:rsid w:val="00DC58CE"/>
    <w:rsid w:val="00DF1D37"/>
    <w:rsid w:val="00EB3EEF"/>
    <w:rsid w:val="00EF126D"/>
    <w:rsid w:val="00F40BB9"/>
    <w:rsid w:val="00F429FE"/>
    <w:rsid w:val="00F6090C"/>
    <w:rsid w:val="00F92C05"/>
    <w:rsid w:val="00F949BA"/>
    <w:rsid w:val="00FA30E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27E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27EB"/>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4827EB"/>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4827E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827E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4827EB"/>
    <w:rPr>
      <w:b/>
      <w:bCs/>
    </w:rPr>
  </w:style>
  <w:style w:type="paragraph" w:styleId="ListParagraph">
    <w:name w:val="List Paragraph"/>
    <w:basedOn w:val="Normal"/>
    <w:uiPriority w:val="34"/>
    <w:qFormat/>
    <w:rsid w:val="004827EB"/>
    <w:pPr>
      <w:ind w:left="720"/>
      <w:contextualSpacing/>
    </w:pPr>
  </w:style>
  <w:style w:type="character" w:customStyle="1" w:styleId="Heading1Char">
    <w:name w:val="Heading 1 Char"/>
    <w:basedOn w:val="DefaultParagraphFont"/>
    <w:link w:val="Heading1"/>
    <w:uiPriority w:val="9"/>
    <w:rsid w:val="004827EB"/>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827EB"/>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rsid w:val="004827EB"/>
    <w:rPr>
      <w:rFonts w:asciiTheme="majorHAnsi" w:eastAsiaTheme="majorEastAsia" w:hAnsiTheme="majorHAnsi" w:cstheme="majorBidi"/>
      <w:b/>
      <w:bCs/>
      <w:color w:val="4F81BD" w:themeColor="accent1"/>
      <w:sz w:val="24"/>
    </w:rPr>
  </w:style>
  <w:style w:type="paragraph" w:styleId="BalloonText">
    <w:name w:val="Balloon Text"/>
    <w:basedOn w:val="Normal"/>
    <w:link w:val="BalloonTextChar"/>
    <w:uiPriority w:val="99"/>
    <w:semiHidden/>
    <w:unhideWhenUsed/>
    <w:rsid w:val="004827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27EB"/>
    <w:rPr>
      <w:rFonts w:ascii="Tahoma" w:hAnsi="Tahoma" w:cs="Tahoma"/>
      <w:sz w:val="16"/>
      <w:szCs w:val="16"/>
    </w:rPr>
  </w:style>
  <w:style w:type="paragraph" w:styleId="Header">
    <w:name w:val="header"/>
    <w:basedOn w:val="Normal"/>
    <w:link w:val="HeaderChar"/>
    <w:uiPriority w:val="99"/>
    <w:unhideWhenUsed/>
    <w:rsid w:val="000623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23DA"/>
    <w:rPr>
      <w:rFonts w:ascii="Times New Roman" w:hAnsi="Times New Roman"/>
      <w:sz w:val="24"/>
    </w:rPr>
  </w:style>
  <w:style w:type="paragraph" w:styleId="Footer">
    <w:name w:val="footer"/>
    <w:basedOn w:val="Normal"/>
    <w:link w:val="FooterChar"/>
    <w:uiPriority w:val="99"/>
    <w:unhideWhenUsed/>
    <w:rsid w:val="000623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23DA"/>
    <w:rPr>
      <w:rFonts w:ascii="Times New Roman" w:hAnsi="Times New Roman"/>
      <w:sz w:val="24"/>
    </w:rPr>
  </w:style>
  <w:style w:type="paragraph" w:styleId="NormalWeb">
    <w:name w:val="Normal (Web)"/>
    <w:basedOn w:val="Normal"/>
    <w:uiPriority w:val="99"/>
    <w:semiHidden/>
    <w:unhideWhenUsed/>
    <w:rsid w:val="008A65FF"/>
    <w:pPr>
      <w:spacing w:before="100" w:beforeAutospacing="1" w:after="100" w:afterAutospacing="1" w:line="240" w:lineRule="auto"/>
      <w:jc w:val="left"/>
    </w:pPr>
    <w:rPr>
      <w:rFonts w:eastAsia="Times New Roman" w:cs="Times New Roman"/>
      <w:szCs w:val="24"/>
      <w:lang w:bidi="bn-IN"/>
    </w:rPr>
  </w:style>
  <w:style w:type="paragraph" w:styleId="TOCHeading">
    <w:name w:val="TOC Heading"/>
    <w:basedOn w:val="Heading1"/>
    <w:next w:val="Normal"/>
    <w:uiPriority w:val="39"/>
    <w:unhideWhenUsed/>
    <w:qFormat/>
    <w:rsid w:val="008A65FF"/>
    <w:pPr>
      <w:spacing w:before="240" w:line="259" w:lineRule="auto"/>
      <w:jc w:val="left"/>
      <w:outlineLvl w:val="9"/>
    </w:pPr>
    <w:rPr>
      <w:rFonts w:asciiTheme="majorHAnsi" w:hAnsiTheme="majorHAnsi"/>
      <w:b w:val="0"/>
      <w:bCs w:val="0"/>
      <w:szCs w:val="32"/>
    </w:rPr>
  </w:style>
  <w:style w:type="paragraph" w:styleId="TOC1">
    <w:name w:val="toc 1"/>
    <w:basedOn w:val="Normal"/>
    <w:next w:val="Normal"/>
    <w:autoRedefine/>
    <w:uiPriority w:val="39"/>
    <w:unhideWhenUsed/>
    <w:rsid w:val="008A65FF"/>
    <w:pPr>
      <w:spacing w:after="100"/>
    </w:pPr>
  </w:style>
  <w:style w:type="paragraph" w:styleId="TOC2">
    <w:name w:val="toc 2"/>
    <w:basedOn w:val="Normal"/>
    <w:next w:val="Normal"/>
    <w:autoRedefine/>
    <w:uiPriority w:val="39"/>
    <w:unhideWhenUsed/>
    <w:rsid w:val="008A65FF"/>
    <w:pPr>
      <w:spacing w:after="100"/>
      <w:ind w:left="240"/>
    </w:pPr>
  </w:style>
  <w:style w:type="character" w:styleId="Hyperlink">
    <w:name w:val="Hyperlink"/>
    <w:basedOn w:val="DefaultParagraphFont"/>
    <w:uiPriority w:val="99"/>
    <w:unhideWhenUsed/>
    <w:rsid w:val="008A65F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27E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27EB"/>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4827EB"/>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4827E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827E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4827EB"/>
    <w:rPr>
      <w:b/>
      <w:bCs/>
    </w:rPr>
  </w:style>
  <w:style w:type="paragraph" w:styleId="ListParagraph">
    <w:name w:val="List Paragraph"/>
    <w:basedOn w:val="Normal"/>
    <w:uiPriority w:val="34"/>
    <w:qFormat/>
    <w:rsid w:val="004827EB"/>
    <w:pPr>
      <w:ind w:left="720"/>
      <w:contextualSpacing/>
    </w:pPr>
  </w:style>
  <w:style w:type="character" w:customStyle="1" w:styleId="Heading1Char">
    <w:name w:val="Heading 1 Char"/>
    <w:basedOn w:val="DefaultParagraphFont"/>
    <w:link w:val="Heading1"/>
    <w:uiPriority w:val="9"/>
    <w:rsid w:val="004827EB"/>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827EB"/>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rsid w:val="004827EB"/>
    <w:rPr>
      <w:rFonts w:asciiTheme="majorHAnsi" w:eastAsiaTheme="majorEastAsia" w:hAnsiTheme="majorHAnsi" w:cstheme="majorBidi"/>
      <w:b/>
      <w:bCs/>
      <w:color w:val="4F81BD" w:themeColor="accent1"/>
      <w:sz w:val="24"/>
    </w:rPr>
  </w:style>
  <w:style w:type="paragraph" w:styleId="BalloonText">
    <w:name w:val="Balloon Text"/>
    <w:basedOn w:val="Normal"/>
    <w:link w:val="BalloonTextChar"/>
    <w:uiPriority w:val="99"/>
    <w:semiHidden/>
    <w:unhideWhenUsed/>
    <w:rsid w:val="004827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27EB"/>
    <w:rPr>
      <w:rFonts w:ascii="Tahoma" w:hAnsi="Tahoma" w:cs="Tahoma"/>
      <w:sz w:val="16"/>
      <w:szCs w:val="16"/>
    </w:rPr>
  </w:style>
  <w:style w:type="paragraph" w:styleId="Header">
    <w:name w:val="header"/>
    <w:basedOn w:val="Normal"/>
    <w:link w:val="HeaderChar"/>
    <w:uiPriority w:val="99"/>
    <w:unhideWhenUsed/>
    <w:rsid w:val="000623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23DA"/>
    <w:rPr>
      <w:rFonts w:ascii="Times New Roman" w:hAnsi="Times New Roman"/>
      <w:sz w:val="24"/>
    </w:rPr>
  </w:style>
  <w:style w:type="paragraph" w:styleId="Footer">
    <w:name w:val="footer"/>
    <w:basedOn w:val="Normal"/>
    <w:link w:val="FooterChar"/>
    <w:uiPriority w:val="99"/>
    <w:unhideWhenUsed/>
    <w:rsid w:val="000623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23DA"/>
    <w:rPr>
      <w:rFonts w:ascii="Times New Roman" w:hAnsi="Times New Roman"/>
      <w:sz w:val="24"/>
    </w:rPr>
  </w:style>
  <w:style w:type="paragraph" w:styleId="NormalWeb">
    <w:name w:val="Normal (Web)"/>
    <w:basedOn w:val="Normal"/>
    <w:uiPriority w:val="99"/>
    <w:semiHidden/>
    <w:unhideWhenUsed/>
    <w:rsid w:val="008A65FF"/>
    <w:pPr>
      <w:spacing w:before="100" w:beforeAutospacing="1" w:after="100" w:afterAutospacing="1" w:line="240" w:lineRule="auto"/>
      <w:jc w:val="left"/>
    </w:pPr>
    <w:rPr>
      <w:rFonts w:eastAsia="Times New Roman" w:cs="Times New Roman"/>
      <w:szCs w:val="24"/>
      <w:lang w:bidi="bn-IN"/>
    </w:rPr>
  </w:style>
  <w:style w:type="paragraph" w:styleId="TOCHeading">
    <w:name w:val="TOC Heading"/>
    <w:basedOn w:val="Heading1"/>
    <w:next w:val="Normal"/>
    <w:uiPriority w:val="39"/>
    <w:unhideWhenUsed/>
    <w:qFormat/>
    <w:rsid w:val="008A65FF"/>
    <w:pPr>
      <w:spacing w:before="240" w:line="259" w:lineRule="auto"/>
      <w:jc w:val="left"/>
      <w:outlineLvl w:val="9"/>
    </w:pPr>
    <w:rPr>
      <w:rFonts w:asciiTheme="majorHAnsi" w:hAnsiTheme="majorHAnsi"/>
      <w:b w:val="0"/>
      <w:bCs w:val="0"/>
      <w:szCs w:val="32"/>
    </w:rPr>
  </w:style>
  <w:style w:type="paragraph" w:styleId="TOC1">
    <w:name w:val="toc 1"/>
    <w:basedOn w:val="Normal"/>
    <w:next w:val="Normal"/>
    <w:autoRedefine/>
    <w:uiPriority w:val="39"/>
    <w:unhideWhenUsed/>
    <w:rsid w:val="008A65FF"/>
    <w:pPr>
      <w:spacing w:after="100"/>
    </w:pPr>
  </w:style>
  <w:style w:type="paragraph" w:styleId="TOC2">
    <w:name w:val="toc 2"/>
    <w:basedOn w:val="Normal"/>
    <w:next w:val="Normal"/>
    <w:autoRedefine/>
    <w:uiPriority w:val="39"/>
    <w:unhideWhenUsed/>
    <w:rsid w:val="008A65FF"/>
    <w:pPr>
      <w:spacing w:after="100"/>
      <w:ind w:left="240"/>
    </w:pPr>
  </w:style>
  <w:style w:type="character" w:styleId="Hyperlink">
    <w:name w:val="Hyperlink"/>
    <w:basedOn w:val="DefaultParagraphFont"/>
    <w:uiPriority w:val="99"/>
    <w:unhideWhenUsed/>
    <w:rsid w:val="008A65FF"/>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286669018">
      <w:bodyDiv w:val="1"/>
      <w:marLeft w:val="0"/>
      <w:marRight w:val="0"/>
      <w:marTop w:val="0"/>
      <w:marBottom w:val="0"/>
      <w:divBdr>
        <w:top w:val="none" w:sz="0" w:space="0" w:color="auto"/>
        <w:left w:val="none" w:sz="0" w:space="0" w:color="auto"/>
        <w:bottom w:val="none" w:sz="0" w:space="0" w:color="auto"/>
        <w:right w:val="none" w:sz="0" w:space="0" w:color="auto"/>
      </w:divBdr>
    </w:div>
    <w:div w:id="400060871">
      <w:bodyDiv w:val="1"/>
      <w:marLeft w:val="0"/>
      <w:marRight w:val="0"/>
      <w:marTop w:val="0"/>
      <w:marBottom w:val="0"/>
      <w:divBdr>
        <w:top w:val="none" w:sz="0" w:space="0" w:color="auto"/>
        <w:left w:val="none" w:sz="0" w:space="0" w:color="auto"/>
        <w:bottom w:val="none" w:sz="0" w:space="0" w:color="auto"/>
        <w:right w:val="none" w:sz="0" w:space="0" w:color="auto"/>
      </w:divBdr>
    </w:div>
    <w:div w:id="477069247">
      <w:bodyDiv w:val="1"/>
      <w:marLeft w:val="0"/>
      <w:marRight w:val="0"/>
      <w:marTop w:val="0"/>
      <w:marBottom w:val="0"/>
      <w:divBdr>
        <w:top w:val="none" w:sz="0" w:space="0" w:color="auto"/>
        <w:left w:val="none" w:sz="0" w:space="0" w:color="auto"/>
        <w:bottom w:val="none" w:sz="0" w:space="0" w:color="auto"/>
        <w:right w:val="none" w:sz="0" w:space="0" w:color="auto"/>
      </w:divBdr>
    </w:div>
    <w:div w:id="734355340">
      <w:bodyDiv w:val="1"/>
      <w:marLeft w:val="0"/>
      <w:marRight w:val="0"/>
      <w:marTop w:val="0"/>
      <w:marBottom w:val="0"/>
      <w:divBdr>
        <w:top w:val="none" w:sz="0" w:space="0" w:color="auto"/>
        <w:left w:val="none" w:sz="0" w:space="0" w:color="auto"/>
        <w:bottom w:val="none" w:sz="0" w:space="0" w:color="auto"/>
        <w:right w:val="none" w:sz="0" w:space="0" w:color="auto"/>
      </w:divBdr>
    </w:div>
    <w:div w:id="844368024">
      <w:bodyDiv w:val="1"/>
      <w:marLeft w:val="0"/>
      <w:marRight w:val="0"/>
      <w:marTop w:val="0"/>
      <w:marBottom w:val="0"/>
      <w:divBdr>
        <w:top w:val="none" w:sz="0" w:space="0" w:color="auto"/>
        <w:left w:val="none" w:sz="0" w:space="0" w:color="auto"/>
        <w:bottom w:val="none" w:sz="0" w:space="0" w:color="auto"/>
        <w:right w:val="none" w:sz="0" w:space="0" w:color="auto"/>
      </w:divBdr>
    </w:div>
    <w:div w:id="1063873167">
      <w:bodyDiv w:val="1"/>
      <w:marLeft w:val="0"/>
      <w:marRight w:val="0"/>
      <w:marTop w:val="0"/>
      <w:marBottom w:val="0"/>
      <w:divBdr>
        <w:top w:val="none" w:sz="0" w:space="0" w:color="auto"/>
        <w:left w:val="none" w:sz="0" w:space="0" w:color="auto"/>
        <w:bottom w:val="none" w:sz="0" w:space="0" w:color="auto"/>
        <w:right w:val="none" w:sz="0" w:space="0" w:color="auto"/>
      </w:divBdr>
    </w:div>
    <w:div w:id="1112675954">
      <w:bodyDiv w:val="1"/>
      <w:marLeft w:val="0"/>
      <w:marRight w:val="0"/>
      <w:marTop w:val="0"/>
      <w:marBottom w:val="0"/>
      <w:divBdr>
        <w:top w:val="none" w:sz="0" w:space="0" w:color="auto"/>
        <w:left w:val="none" w:sz="0" w:space="0" w:color="auto"/>
        <w:bottom w:val="none" w:sz="0" w:space="0" w:color="auto"/>
        <w:right w:val="none" w:sz="0" w:space="0" w:color="auto"/>
      </w:divBdr>
      <w:divsChild>
        <w:div w:id="185411091">
          <w:marLeft w:val="0"/>
          <w:marRight w:val="0"/>
          <w:marTop w:val="0"/>
          <w:marBottom w:val="0"/>
          <w:divBdr>
            <w:top w:val="none" w:sz="0" w:space="0" w:color="auto"/>
            <w:left w:val="none" w:sz="0" w:space="0" w:color="auto"/>
            <w:bottom w:val="none" w:sz="0" w:space="0" w:color="auto"/>
            <w:right w:val="none" w:sz="0" w:space="0" w:color="auto"/>
          </w:divBdr>
          <w:divsChild>
            <w:div w:id="196708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339482">
      <w:bodyDiv w:val="1"/>
      <w:marLeft w:val="0"/>
      <w:marRight w:val="0"/>
      <w:marTop w:val="0"/>
      <w:marBottom w:val="0"/>
      <w:divBdr>
        <w:top w:val="none" w:sz="0" w:space="0" w:color="auto"/>
        <w:left w:val="none" w:sz="0" w:space="0" w:color="auto"/>
        <w:bottom w:val="none" w:sz="0" w:space="0" w:color="auto"/>
        <w:right w:val="none" w:sz="0" w:space="0" w:color="auto"/>
      </w:divBdr>
    </w:div>
    <w:div w:id="1247037992">
      <w:bodyDiv w:val="1"/>
      <w:marLeft w:val="0"/>
      <w:marRight w:val="0"/>
      <w:marTop w:val="0"/>
      <w:marBottom w:val="0"/>
      <w:divBdr>
        <w:top w:val="none" w:sz="0" w:space="0" w:color="auto"/>
        <w:left w:val="none" w:sz="0" w:space="0" w:color="auto"/>
        <w:bottom w:val="none" w:sz="0" w:space="0" w:color="auto"/>
        <w:right w:val="none" w:sz="0" w:space="0" w:color="auto"/>
      </w:divBdr>
    </w:div>
    <w:div w:id="1432891022">
      <w:bodyDiv w:val="1"/>
      <w:marLeft w:val="0"/>
      <w:marRight w:val="0"/>
      <w:marTop w:val="0"/>
      <w:marBottom w:val="0"/>
      <w:divBdr>
        <w:top w:val="none" w:sz="0" w:space="0" w:color="auto"/>
        <w:left w:val="none" w:sz="0" w:space="0" w:color="auto"/>
        <w:bottom w:val="none" w:sz="0" w:space="0" w:color="auto"/>
        <w:right w:val="none" w:sz="0" w:space="0" w:color="auto"/>
      </w:divBdr>
    </w:div>
    <w:div w:id="1454864110">
      <w:bodyDiv w:val="1"/>
      <w:marLeft w:val="0"/>
      <w:marRight w:val="0"/>
      <w:marTop w:val="0"/>
      <w:marBottom w:val="0"/>
      <w:divBdr>
        <w:top w:val="none" w:sz="0" w:space="0" w:color="auto"/>
        <w:left w:val="none" w:sz="0" w:space="0" w:color="auto"/>
        <w:bottom w:val="none" w:sz="0" w:space="0" w:color="auto"/>
        <w:right w:val="none" w:sz="0" w:space="0" w:color="auto"/>
      </w:divBdr>
    </w:div>
    <w:div w:id="1783840687">
      <w:bodyDiv w:val="1"/>
      <w:marLeft w:val="0"/>
      <w:marRight w:val="0"/>
      <w:marTop w:val="0"/>
      <w:marBottom w:val="0"/>
      <w:divBdr>
        <w:top w:val="none" w:sz="0" w:space="0" w:color="auto"/>
        <w:left w:val="none" w:sz="0" w:space="0" w:color="auto"/>
        <w:bottom w:val="none" w:sz="0" w:space="0" w:color="auto"/>
        <w:right w:val="none" w:sz="0" w:space="0" w:color="auto"/>
      </w:divBdr>
    </w:div>
    <w:div w:id="1848514567">
      <w:bodyDiv w:val="1"/>
      <w:marLeft w:val="0"/>
      <w:marRight w:val="0"/>
      <w:marTop w:val="0"/>
      <w:marBottom w:val="0"/>
      <w:divBdr>
        <w:top w:val="none" w:sz="0" w:space="0" w:color="auto"/>
        <w:left w:val="none" w:sz="0" w:space="0" w:color="auto"/>
        <w:bottom w:val="none" w:sz="0" w:space="0" w:color="auto"/>
        <w:right w:val="none" w:sz="0" w:space="0" w:color="auto"/>
      </w:divBdr>
    </w:div>
    <w:div w:id="1874346750">
      <w:bodyDiv w:val="1"/>
      <w:marLeft w:val="0"/>
      <w:marRight w:val="0"/>
      <w:marTop w:val="0"/>
      <w:marBottom w:val="0"/>
      <w:divBdr>
        <w:top w:val="none" w:sz="0" w:space="0" w:color="auto"/>
        <w:left w:val="none" w:sz="0" w:space="0" w:color="auto"/>
        <w:bottom w:val="none" w:sz="0" w:space="0" w:color="auto"/>
        <w:right w:val="none" w:sz="0" w:space="0" w:color="auto"/>
      </w:divBdr>
    </w:div>
    <w:div w:id="1950889138">
      <w:bodyDiv w:val="1"/>
      <w:marLeft w:val="0"/>
      <w:marRight w:val="0"/>
      <w:marTop w:val="0"/>
      <w:marBottom w:val="0"/>
      <w:divBdr>
        <w:top w:val="none" w:sz="0" w:space="0" w:color="auto"/>
        <w:left w:val="none" w:sz="0" w:space="0" w:color="auto"/>
        <w:bottom w:val="none" w:sz="0" w:space="0" w:color="auto"/>
        <w:right w:val="none" w:sz="0" w:space="0" w:color="auto"/>
      </w:divBdr>
    </w:div>
    <w:div w:id="2046320620">
      <w:bodyDiv w:val="1"/>
      <w:marLeft w:val="0"/>
      <w:marRight w:val="0"/>
      <w:marTop w:val="0"/>
      <w:marBottom w:val="0"/>
      <w:divBdr>
        <w:top w:val="none" w:sz="0" w:space="0" w:color="auto"/>
        <w:left w:val="none" w:sz="0" w:space="0" w:color="auto"/>
        <w:bottom w:val="none" w:sz="0" w:space="0" w:color="auto"/>
        <w:right w:val="none" w:sz="0" w:space="0" w:color="auto"/>
      </w:divBdr>
    </w:div>
    <w:div w:id="2059473488">
      <w:bodyDiv w:val="1"/>
      <w:marLeft w:val="0"/>
      <w:marRight w:val="0"/>
      <w:marTop w:val="0"/>
      <w:marBottom w:val="0"/>
      <w:divBdr>
        <w:top w:val="none" w:sz="0" w:space="0" w:color="auto"/>
        <w:left w:val="none" w:sz="0" w:space="0" w:color="auto"/>
        <w:bottom w:val="none" w:sz="0" w:space="0" w:color="auto"/>
        <w:right w:val="none" w:sz="0" w:space="0" w:color="auto"/>
      </w:divBdr>
    </w:div>
    <w:div w:id="2062943372">
      <w:bodyDiv w:val="1"/>
      <w:marLeft w:val="0"/>
      <w:marRight w:val="0"/>
      <w:marTop w:val="0"/>
      <w:marBottom w:val="0"/>
      <w:divBdr>
        <w:top w:val="none" w:sz="0" w:space="0" w:color="auto"/>
        <w:left w:val="none" w:sz="0" w:space="0" w:color="auto"/>
        <w:bottom w:val="none" w:sz="0" w:space="0" w:color="auto"/>
        <w:right w:val="none" w:sz="0" w:space="0" w:color="auto"/>
      </w:divBdr>
    </w:div>
    <w:div w:id="2079204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https://doi.org/10.13140/RG.2.2.35668.0064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68E61D-ECA4-4EBA-90B5-2F7605FEC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5941</Words>
  <Characters>33864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39726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2026-03-28T09:13:00Z</dcterms:created>
  <dcterms:modified xsi:type="dcterms:W3CDTF">2026-03-28T11:30:00Z</dcterms:modified>
</cp:coreProperties>
</file>