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DB92B" w14:textId="77777777" w:rsidR="00BB58AB" w:rsidRPr="00EC170D" w:rsidRDefault="00BB58AB" w:rsidP="00BB58AB">
      <w:pPr>
        <w:rPr>
          <w:rFonts w:asciiTheme="majorBidi" w:hAnsiTheme="majorBidi" w:cstheme="majorBidi"/>
          <w:sz w:val="36"/>
          <w:szCs w:val="36"/>
        </w:rPr>
      </w:pPr>
      <w:r w:rsidRPr="00EC170D">
        <w:rPr>
          <w:rFonts w:asciiTheme="majorBidi" w:hAnsiTheme="majorBidi" w:cstheme="majorBidi"/>
          <w:sz w:val="36"/>
          <w:szCs w:val="36"/>
        </w:rPr>
        <w:t>CRIMINAL LIABILITY</w:t>
      </w:r>
    </w:p>
    <w:p w14:paraId="4FD58B06" w14:textId="77777777" w:rsidR="00BB58AB" w:rsidRPr="00EC170D" w:rsidRDefault="00BB58AB" w:rsidP="00BB58AB">
      <w:pPr>
        <w:rPr>
          <w:rFonts w:asciiTheme="majorBidi" w:hAnsiTheme="majorBidi" w:cstheme="majorBidi"/>
          <w:sz w:val="24"/>
          <w:szCs w:val="24"/>
        </w:rPr>
      </w:pPr>
    </w:p>
    <w:p w14:paraId="4E434E4E" w14:textId="02A73D34" w:rsidR="00BB58AB" w:rsidRPr="00EC170D" w:rsidRDefault="00BB58AB" w:rsidP="00BB58AB">
      <w:pPr>
        <w:rPr>
          <w:rFonts w:asciiTheme="majorBidi" w:eastAsia="Times New Roman" w:hAnsiTheme="majorBidi" w:cstheme="majorBidi"/>
          <w:sz w:val="24"/>
          <w:szCs w:val="24"/>
        </w:rPr>
      </w:pPr>
      <w:r w:rsidRPr="00EC170D">
        <w:rPr>
          <w:rFonts w:asciiTheme="majorBidi" w:eastAsia="Times New Roman" w:hAnsiTheme="majorBidi" w:cstheme="majorBidi"/>
          <w:sz w:val="24"/>
          <w:szCs w:val="24"/>
        </w:rPr>
        <w:t xml:space="preserve">Criminal liability can be defined as the person who can be held legally responsible for breaking the law. This means that the person who had committed the crime or is suspected of committing a crime and if liability is proved the person will be held responsible and actions will be taken accordingly (Ashworth. 2018). Criminal liability depends on two elements, the actual </w:t>
      </w:r>
      <w:r w:rsidRPr="00EC170D">
        <w:rPr>
          <w:rFonts w:asciiTheme="majorBidi" w:eastAsia="Times New Roman" w:hAnsiTheme="majorBidi" w:cstheme="majorBidi"/>
          <w:sz w:val="24"/>
          <w:szCs w:val="24"/>
        </w:rPr>
        <w:t>negligence</w:t>
      </w:r>
      <w:r w:rsidRPr="00EC170D">
        <w:rPr>
          <w:rFonts w:asciiTheme="majorBidi" w:eastAsia="Times New Roman" w:hAnsiTheme="majorBidi" w:cstheme="majorBidi"/>
          <w:sz w:val="24"/>
          <w:szCs w:val="24"/>
        </w:rPr>
        <w:t xml:space="preserve">, the original act of omission that violated the law, and men’s rea which is a guilty state of mind. In the present study, various ways to detect crime and laws related to crime will be discussed. In </w:t>
      </w:r>
      <w:r w:rsidRPr="00EC170D">
        <w:rPr>
          <w:rFonts w:asciiTheme="majorBidi" w:eastAsia="Times New Roman" w:hAnsiTheme="majorBidi" w:cstheme="majorBidi"/>
          <w:sz w:val="24"/>
          <w:szCs w:val="24"/>
        </w:rPr>
        <w:t>this regard</w:t>
      </w:r>
      <w:r w:rsidRPr="00EC170D">
        <w:rPr>
          <w:rFonts w:asciiTheme="majorBidi" w:eastAsia="Times New Roman" w:hAnsiTheme="majorBidi" w:cstheme="majorBidi"/>
          <w:sz w:val="24"/>
          <w:szCs w:val="24"/>
        </w:rPr>
        <w:t xml:space="preserve">, the essay also discussed all the specific aspects relating to the case law </w:t>
      </w:r>
      <w:r w:rsidRPr="00EC170D">
        <w:rPr>
          <w:rFonts w:asciiTheme="majorBidi" w:eastAsia="Times New Roman" w:hAnsiTheme="majorBidi" w:cstheme="majorBidi"/>
          <w:sz w:val="24"/>
          <w:szCs w:val="24"/>
        </w:rPr>
        <w:t>Gribben’s and</w:t>
      </w:r>
      <w:r w:rsidRPr="00EC170D">
        <w:rPr>
          <w:rFonts w:asciiTheme="majorBidi" w:eastAsia="Times New Roman" w:hAnsiTheme="majorBidi" w:cstheme="majorBidi"/>
          <w:sz w:val="24"/>
          <w:szCs w:val="24"/>
        </w:rPr>
        <w:t xml:space="preserve"> proctor (1918).</w:t>
      </w:r>
    </w:p>
    <w:p w14:paraId="071FDA1C" w14:textId="1CFDE841" w:rsidR="00BB58AB" w:rsidRPr="00EC170D" w:rsidRDefault="00BB58AB" w:rsidP="00BB58AB">
      <w:pPr>
        <w:rPr>
          <w:rFonts w:asciiTheme="majorBidi" w:eastAsia="Times New Roman" w:hAnsiTheme="majorBidi" w:cstheme="majorBidi"/>
          <w:sz w:val="24"/>
          <w:szCs w:val="24"/>
        </w:rPr>
      </w:pPr>
      <w:r w:rsidRPr="00EC170D">
        <w:rPr>
          <w:rFonts w:asciiTheme="majorBidi" w:eastAsia="Times New Roman" w:hAnsiTheme="majorBidi" w:cstheme="majorBidi"/>
          <w:sz w:val="24"/>
          <w:szCs w:val="24"/>
        </w:rPr>
        <w:t xml:space="preserve">In </w:t>
      </w:r>
      <w:r w:rsidRPr="00EC170D">
        <w:rPr>
          <w:rFonts w:asciiTheme="majorBidi" w:eastAsia="Times New Roman" w:hAnsiTheme="majorBidi" w:cstheme="majorBidi"/>
          <w:sz w:val="24"/>
          <w:szCs w:val="24"/>
        </w:rPr>
        <w:t>this regard</w:t>
      </w:r>
      <w:r w:rsidRPr="00EC170D">
        <w:rPr>
          <w:rFonts w:asciiTheme="majorBidi" w:eastAsia="Times New Roman" w:hAnsiTheme="majorBidi" w:cstheme="majorBidi"/>
          <w:sz w:val="24"/>
          <w:szCs w:val="24"/>
        </w:rPr>
        <w:t xml:space="preserve">, a failure to act can be defined as the act which is the duty of the person to perform and acts </w:t>
      </w:r>
      <w:r w:rsidRPr="00EC170D">
        <w:rPr>
          <w:rFonts w:asciiTheme="majorBidi" w:eastAsia="Times New Roman" w:hAnsiTheme="majorBidi" w:cstheme="majorBidi"/>
          <w:sz w:val="24"/>
          <w:szCs w:val="24"/>
        </w:rPr>
        <w:t>against</w:t>
      </w:r>
      <w:r w:rsidRPr="00EC170D">
        <w:rPr>
          <w:rFonts w:asciiTheme="majorBidi" w:eastAsia="Times New Roman" w:hAnsiTheme="majorBidi" w:cstheme="majorBidi"/>
          <w:sz w:val="24"/>
          <w:szCs w:val="24"/>
        </w:rPr>
        <w:t xml:space="preserve"> it. People have a duty to act in a certain way that does not involve harming people or violating the law. It is seen in the case </w:t>
      </w:r>
      <w:r w:rsidRPr="00EC170D">
        <w:rPr>
          <w:rFonts w:asciiTheme="majorBidi" w:eastAsia="Times New Roman" w:hAnsiTheme="majorBidi" w:cstheme="majorBidi"/>
          <w:sz w:val="24"/>
          <w:szCs w:val="24"/>
        </w:rPr>
        <w:t>of</w:t>
      </w:r>
      <w:r w:rsidRPr="00EC170D">
        <w:rPr>
          <w:rFonts w:asciiTheme="majorBidi" w:eastAsia="Times New Roman" w:hAnsiTheme="majorBidi" w:cstheme="majorBidi"/>
          <w:sz w:val="24"/>
          <w:szCs w:val="24"/>
        </w:rPr>
        <w:t xml:space="preserve"> </w:t>
      </w:r>
      <w:proofErr w:type="spellStart"/>
      <w:r w:rsidRPr="00EC170D">
        <w:rPr>
          <w:rFonts w:asciiTheme="majorBidi" w:eastAsia="Times New Roman" w:hAnsiTheme="majorBidi" w:cstheme="majorBidi"/>
          <w:sz w:val="24"/>
          <w:szCs w:val="24"/>
        </w:rPr>
        <w:t>G</w:t>
      </w:r>
      <w:r w:rsidRPr="00EC170D">
        <w:rPr>
          <w:rFonts w:asciiTheme="majorBidi" w:eastAsia="Times New Roman" w:hAnsiTheme="majorBidi" w:cstheme="majorBidi"/>
          <w:sz w:val="24"/>
          <w:szCs w:val="24"/>
        </w:rPr>
        <w:t>r</w:t>
      </w:r>
      <w:r w:rsidRPr="00EC170D">
        <w:rPr>
          <w:rFonts w:asciiTheme="majorBidi" w:eastAsia="Times New Roman" w:hAnsiTheme="majorBidi" w:cstheme="majorBidi"/>
          <w:sz w:val="24"/>
          <w:szCs w:val="24"/>
        </w:rPr>
        <w:t>ibbins</w:t>
      </w:r>
      <w:proofErr w:type="spellEnd"/>
      <w:r w:rsidRPr="00EC170D">
        <w:rPr>
          <w:rFonts w:asciiTheme="majorBidi" w:eastAsia="Times New Roman" w:hAnsiTheme="majorBidi" w:cstheme="majorBidi"/>
          <w:sz w:val="24"/>
          <w:szCs w:val="24"/>
        </w:rPr>
        <w:t xml:space="preserve"> and proctor </w:t>
      </w:r>
      <w:r w:rsidRPr="00EC170D">
        <w:rPr>
          <w:rFonts w:asciiTheme="majorBidi" w:eastAsia="Times New Roman" w:hAnsiTheme="majorBidi" w:cstheme="majorBidi"/>
          <w:sz w:val="24"/>
          <w:szCs w:val="24"/>
        </w:rPr>
        <w:t>case, it</w:t>
      </w:r>
      <w:r w:rsidRPr="00EC170D">
        <w:rPr>
          <w:rFonts w:asciiTheme="majorBidi" w:eastAsia="Times New Roman" w:hAnsiTheme="majorBidi" w:cstheme="majorBidi"/>
          <w:sz w:val="24"/>
          <w:szCs w:val="24"/>
        </w:rPr>
        <w:t xml:space="preserve"> can be they had a duty to feed to seven-year-old daughter. Gibbins had a regular job and was able to feed his daughter. This falls under the </w:t>
      </w:r>
      <w:r w:rsidRPr="00EC170D">
        <w:rPr>
          <w:rFonts w:asciiTheme="majorBidi" w:eastAsia="Times New Roman" w:hAnsiTheme="majorBidi" w:cstheme="majorBidi"/>
          <w:sz w:val="24"/>
          <w:szCs w:val="24"/>
        </w:rPr>
        <w:t>category</w:t>
      </w:r>
      <w:r w:rsidRPr="00EC170D">
        <w:rPr>
          <w:rFonts w:asciiTheme="majorBidi" w:eastAsia="Times New Roman" w:hAnsiTheme="majorBidi" w:cstheme="majorBidi"/>
          <w:sz w:val="24"/>
          <w:szCs w:val="24"/>
        </w:rPr>
        <w:t xml:space="preserve"> of failure to act (peng.2019</w:t>
      </w:r>
      <w:r w:rsidRPr="00EC170D">
        <w:rPr>
          <w:rFonts w:asciiTheme="majorBidi" w:eastAsia="Times New Roman" w:hAnsiTheme="majorBidi" w:cstheme="majorBidi"/>
          <w:sz w:val="24"/>
          <w:szCs w:val="24"/>
        </w:rPr>
        <w:t>). As</w:t>
      </w:r>
      <w:r w:rsidRPr="00EC170D">
        <w:rPr>
          <w:rFonts w:asciiTheme="majorBidi" w:eastAsia="Times New Roman" w:hAnsiTheme="majorBidi" w:cstheme="majorBidi"/>
          <w:sz w:val="24"/>
          <w:szCs w:val="24"/>
        </w:rPr>
        <w:t xml:space="preserve"> they were able to feed the daughter and it was the duty of the </w:t>
      </w:r>
      <w:r w:rsidRPr="00EC170D">
        <w:rPr>
          <w:rFonts w:asciiTheme="majorBidi" w:eastAsia="Times New Roman" w:hAnsiTheme="majorBidi" w:cstheme="majorBidi"/>
          <w:sz w:val="24"/>
          <w:szCs w:val="24"/>
        </w:rPr>
        <w:t>Gribben’s</w:t>
      </w:r>
      <w:r w:rsidRPr="00EC170D">
        <w:rPr>
          <w:rFonts w:asciiTheme="majorBidi" w:eastAsia="Times New Roman" w:hAnsiTheme="majorBidi" w:cstheme="majorBidi"/>
          <w:sz w:val="24"/>
          <w:szCs w:val="24"/>
        </w:rPr>
        <w:t xml:space="preserve"> to serve their daughter even though the child was not hers. It is a criminal liability as it had the intent and the motive and acted against the normal behavior patterns of a human being.</w:t>
      </w:r>
    </w:p>
    <w:p w14:paraId="6BFF1A7E" w14:textId="1E0BCDBD" w:rsidR="00BB58AB" w:rsidRPr="00EC170D" w:rsidRDefault="00BB58AB" w:rsidP="00BB58AB">
      <w:pPr>
        <w:rPr>
          <w:rFonts w:asciiTheme="majorBidi" w:eastAsia="Times New Roman" w:hAnsiTheme="majorBidi" w:cstheme="majorBidi"/>
          <w:sz w:val="24"/>
          <w:szCs w:val="24"/>
        </w:rPr>
      </w:pPr>
      <w:r w:rsidRPr="00EC170D">
        <w:rPr>
          <w:rFonts w:asciiTheme="majorBidi" w:eastAsia="Times New Roman" w:hAnsiTheme="majorBidi" w:cstheme="majorBidi"/>
          <w:sz w:val="24"/>
          <w:szCs w:val="24"/>
          <w:highlight w:val="yellow"/>
        </w:rPr>
        <w:t xml:space="preserve">On the other </w:t>
      </w:r>
      <w:r w:rsidRPr="00EC170D">
        <w:rPr>
          <w:rFonts w:asciiTheme="majorBidi" w:eastAsia="Times New Roman" w:hAnsiTheme="majorBidi" w:cstheme="majorBidi"/>
          <w:sz w:val="24"/>
          <w:szCs w:val="24"/>
          <w:highlight w:val="yellow"/>
        </w:rPr>
        <w:t>hand, it</w:t>
      </w:r>
      <w:r w:rsidRPr="00EC170D">
        <w:rPr>
          <w:rFonts w:asciiTheme="majorBidi" w:eastAsia="Times New Roman" w:hAnsiTheme="majorBidi" w:cstheme="majorBidi"/>
          <w:sz w:val="24"/>
          <w:szCs w:val="24"/>
          <w:highlight w:val="yellow"/>
        </w:rPr>
        <w:t xml:space="preserve"> is required to be </w:t>
      </w:r>
      <w:r w:rsidRPr="00EC170D">
        <w:rPr>
          <w:rFonts w:asciiTheme="majorBidi" w:eastAsia="Times New Roman" w:hAnsiTheme="majorBidi" w:cstheme="majorBidi"/>
          <w:sz w:val="24"/>
          <w:szCs w:val="24"/>
          <w:highlight w:val="yellow"/>
        </w:rPr>
        <w:t>comprehended</w:t>
      </w:r>
      <w:r w:rsidRPr="00EC170D">
        <w:rPr>
          <w:rFonts w:asciiTheme="majorBidi" w:eastAsia="Times New Roman" w:hAnsiTheme="majorBidi" w:cstheme="majorBidi"/>
          <w:sz w:val="24"/>
          <w:szCs w:val="24"/>
          <w:highlight w:val="yellow"/>
        </w:rPr>
        <w:t xml:space="preserve"> that there is </w:t>
      </w:r>
      <w:r w:rsidRPr="00EC170D">
        <w:rPr>
          <w:rFonts w:asciiTheme="majorBidi" w:eastAsia="Times New Roman" w:hAnsiTheme="majorBidi" w:cstheme="majorBidi"/>
          <w:sz w:val="24"/>
          <w:szCs w:val="24"/>
          <w:highlight w:val="yellow"/>
        </w:rPr>
        <w:t>no</w:t>
      </w:r>
      <w:r w:rsidRPr="00EC170D">
        <w:rPr>
          <w:rFonts w:asciiTheme="majorBidi" w:eastAsia="Times New Roman" w:hAnsiTheme="majorBidi" w:cstheme="majorBidi"/>
          <w:sz w:val="24"/>
          <w:szCs w:val="24"/>
        </w:rPr>
        <w:t xml:space="preserve"> general</w:t>
      </w:r>
      <w:r w:rsidRPr="00EC170D">
        <w:rPr>
          <w:rFonts w:asciiTheme="majorBidi" w:eastAsia="Times New Roman" w:hAnsiTheme="majorBidi" w:cstheme="majorBidi"/>
          <w:sz w:val="24"/>
          <w:szCs w:val="24"/>
        </w:rPr>
        <w:t xml:space="preserve"> duty to act in criminal law as the law revolves around, three ways, the mental state of the person, the </w:t>
      </w:r>
      <w:r w:rsidR="00882901" w:rsidRPr="00EC170D">
        <w:rPr>
          <w:rFonts w:asciiTheme="majorBidi" w:eastAsia="Times New Roman" w:hAnsiTheme="majorBidi" w:cstheme="majorBidi"/>
          <w:sz w:val="24"/>
          <w:szCs w:val="24"/>
        </w:rPr>
        <w:t>motivation to</w:t>
      </w:r>
      <w:r w:rsidRPr="00EC170D">
        <w:rPr>
          <w:rFonts w:asciiTheme="majorBidi" w:eastAsia="Times New Roman" w:hAnsiTheme="majorBidi" w:cstheme="majorBidi"/>
          <w:sz w:val="24"/>
          <w:szCs w:val="24"/>
        </w:rPr>
        <w:t xml:space="preserve"> commit the crime, and lastly the act. According to criminal liability, and </w:t>
      </w:r>
      <w:r w:rsidRPr="00EC170D">
        <w:rPr>
          <w:rFonts w:asciiTheme="majorBidi" w:eastAsia="Times New Roman" w:hAnsiTheme="majorBidi" w:cstheme="majorBidi"/>
          <w:sz w:val="24"/>
          <w:szCs w:val="24"/>
          <w:highlight w:val="yellow"/>
        </w:rPr>
        <w:t xml:space="preserve">individual cannot be charged as a criminal if that </w:t>
      </w:r>
      <w:r w:rsidRPr="00EC170D">
        <w:rPr>
          <w:rFonts w:asciiTheme="majorBidi" w:eastAsia="Times New Roman" w:hAnsiTheme="majorBidi" w:cstheme="majorBidi"/>
          <w:sz w:val="24"/>
          <w:szCs w:val="24"/>
          <w:highlight w:val="yellow"/>
        </w:rPr>
        <w:t xml:space="preserve">individual </w:t>
      </w:r>
      <w:r w:rsidRPr="00EC170D">
        <w:rPr>
          <w:rFonts w:asciiTheme="majorBidi" w:eastAsia="Times New Roman" w:hAnsiTheme="majorBidi" w:cstheme="majorBidi"/>
          <w:sz w:val="24"/>
          <w:szCs w:val="24"/>
        </w:rPr>
        <w:t>fails</w:t>
      </w:r>
      <w:r w:rsidRPr="00EC170D">
        <w:rPr>
          <w:rFonts w:asciiTheme="majorBidi" w:eastAsia="Times New Roman" w:hAnsiTheme="majorBidi" w:cstheme="majorBidi"/>
          <w:sz w:val="24"/>
          <w:szCs w:val="24"/>
        </w:rPr>
        <w:t xml:space="preserve"> to commit a crime. The general duty lies around the three parts of criminal liability which define criminality. In the UK the general duty of the act can be charged against the crime as it falls under the act of criminal liability. The lack of general duty can </w:t>
      </w:r>
      <w:r w:rsidRPr="00EC170D">
        <w:rPr>
          <w:rFonts w:asciiTheme="majorBidi" w:eastAsia="Times New Roman" w:hAnsiTheme="majorBidi" w:cstheme="majorBidi"/>
          <w:sz w:val="24"/>
          <w:szCs w:val="24"/>
        </w:rPr>
        <w:t xml:space="preserve">reside </w:t>
      </w:r>
      <w:r w:rsidR="00882901" w:rsidRPr="00EC170D">
        <w:rPr>
          <w:rFonts w:asciiTheme="majorBidi" w:eastAsia="Times New Roman" w:hAnsiTheme="majorBidi" w:cstheme="majorBidi"/>
          <w:sz w:val="24"/>
          <w:szCs w:val="24"/>
        </w:rPr>
        <w:t>in the</w:t>
      </w:r>
      <w:r w:rsidRPr="00EC170D">
        <w:rPr>
          <w:rFonts w:asciiTheme="majorBidi" w:eastAsia="Times New Roman" w:hAnsiTheme="majorBidi" w:cstheme="majorBidi"/>
          <w:sz w:val="24"/>
          <w:szCs w:val="24"/>
        </w:rPr>
        <w:t xml:space="preserve"> laws that are provided for criminal liability who have certain obligations in defining a criminal act, whatever things that </w:t>
      </w:r>
      <w:r w:rsidR="00882901" w:rsidRPr="00EC170D">
        <w:rPr>
          <w:rFonts w:asciiTheme="majorBidi" w:eastAsia="Times New Roman" w:hAnsiTheme="majorBidi" w:cstheme="majorBidi"/>
          <w:sz w:val="24"/>
          <w:szCs w:val="24"/>
        </w:rPr>
        <w:t xml:space="preserve">do not </w:t>
      </w:r>
      <w:r w:rsidRPr="00EC170D">
        <w:rPr>
          <w:rFonts w:asciiTheme="majorBidi" w:eastAsia="Times New Roman" w:hAnsiTheme="majorBidi" w:cstheme="majorBidi"/>
          <w:sz w:val="24"/>
          <w:szCs w:val="24"/>
        </w:rPr>
        <w:t xml:space="preserve">constitute the guidelines of the liability law will not be deemed as a criminal </w:t>
      </w:r>
      <w:r w:rsidRPr="00EC170D">
        <w:rPr>
          <w:rFonts w:asciiTheme="majorBidi" w:eastAsia="Times New Roman" w:hAnsiTheme="majorBidi" w:cstheme="majorBidi"/>
          <w:sz w:val="24"/>
          <w:szCs w:val="24"/>
          <w:highlight w:val="yellow"/>
        </w:rPr>
        <w:t xml:space="preserve">act (Criminal act or </w:t>
      </w:r>
      <w:r w:rsidR="00882901" w:rsidRPr="00EC170D">
        <w:rPr>
          <w:rFonts w:asciiTheme="majorBidi" w:eastAsia="Times New Roman" w:hAnsiTheme="majorBidi" w:cstheme="majorBidi"/>
          <w:sz w:val="24"/>
          <w:szCs w:val="24"/>
          <w:highlight w:val="yellow"/>
        </w:rPr>
        <w:t>omission: Legal</w:t>
      </w:r>
      <w:r w:rsidRPr="00EC170D">
        <w:rPr>
          <w:rFonts w:asciiTheme="majorBidi" w:eastAsia="Times New Roman" w:hAnsiTheme="majorBidi" w:cstheme="majorBidi"/>
          <w:sz w:val="24"/>
          <w:szCs w:val="24"/>
          <w:highlight w:val="yellow"/>
        </w:rPr>
        <w:t xml:space="preserve"> guidance,2022). </w:t>
      </w:r>
      <w:r w:rsidRPr="00EC170D">
        <w:rPr>
          <w:rFonts w:asciiTheme="majorBidi" w:eastAsia="Times New Roman" w:hAnsiTheme="majorBidi" w:cstheme="majorBidi"/>
          <w:sz w:val="24"/>
          <w:szCs w:val="24"/>
        </w:rPr>
        <w:t xml:space="preserve">The act will be considered criminal when there is a duty imposed to act and the </w:t>
      </w:r>
      <w:r w:rsidR="00882901" w:rsidRPr="00EC170D">
        <w:rPr>
          <w:rFonts w:asciiTheme="majorBidi" w:eastAsia="Times New Roman" w:hAnsiTheme="majorBidi" w:cstheme="majorBidi"/>
          <w:sz w:val="24"/>
          <w:szCs w:val="24"/>
        </w:rPr>
        <w:t>person breaches</w:t>
      </w:r>
      <w:r w:rsidRPr="00EC170D">
        <w:rPr>
          <w:rFonts w:asciiTheme="majorBidi" w:eastAsia="Times New Roman" w:hAnsiTheme="majorBidi" w:cstheme="majorBidi"/>
          <w:sz w:val="24"/>
          <w:szCs w:val="24"/>
        </w:rPr>
        <w:t xml:space="preserve"> or violates the law.</w:t>
      </w:r>
    </w:p>
    <w:p w14:paraId="34A84810" w14:textId="0737845C" w:rsidR="00BB58AB" w:rsidRPr="00EC170D" w:rsidRDefault="00BB58AB" w:rsidP="00BB58AB">
      <w:pPr>
        <w:rPr>
          <w:rFonts w:asciiTheme="majorBidi" w:eastAsia="Times New Roman" w:hAnsiTheme="majorBidi" w:cstheme="majorBidi"/>
          <w:sz w:val="24"/>
          <w:szCs w:val="24"/>
        </w:rPr>
      </w:pPr>
      <w:r w:rsidRPr="00EC170D">
        <w:rPr>
          <w:rFonts w:asciiTheme="majorBidi" w:eastAsia="Times New Roman" w:hAnsiTheme="majorBidi" w:cstheme="majorBidi"/>
          <w:sz w:val="24"/>
          <w:szCs w:val="24"/>
        </w:rPr>
        <w:t xml:space="preserve">In order to consider an </w:t>
      </w:r>
      <w:r w:rsidR="00882901" w:rsidRPr="00EC170D">
        <w:rPr>
          <w:rFonts w:asciiTheme="majorBidi" w:eastAsia="Times New Roman" w:hAnsiTheme="majorBidi" w:cstheme="majorBidi"/>
          <w:sz w:val="24"/>
          <w:szCs w:val="24"/>
        </w:rPr>
        <w:t>act,</w:t>
      </w:r>
      <w:r w:rsidRPr="00EC170D">
        <w:rPr>
          <w:rFonts w:asciiTheme="majorBidi" w:eastAsia="Times New Roman" w:hAnsiTheme="majorBidi" w:cstheme="majorBidi"/>
          <w:sz w:val="24"/>
          <w:szCs w:val="24"/>
        </w:rPr>
        <w:t xml:space="preserve"> there are certain guidelines that need to be assessed, and if the act matches the </w:t>
      </w:r>
      <w:r w:rsidR="00882901" w:rsidRPr="00EC170D">
        <w:rPr>
          <w:rFonts w:asciiTheme="majorBidi" w:eastAsia="Times New Roman" w:hAnsiTheme="majorBidi" w:cstheme="majorBidi"/>
          <w:sz w:val="24"/>
          <w:szCs w:val="24"/>
        </w:rPr>
        <w:t>criteria</w:t>
      </w:r>
      <w:r w:rsidRPr="00EC170D">
        <w:rPr>
          <w:rFonts w:asciiTheme="majorBidi" w:eastAsia="Times New Roman" w:hAnsiTheme="majorBidi" w:cstheme="majorBidi"/>
          <w:sz w:val="24"/>
          <w:szCs w:val="24"/>
        </w:rPr>
        <w:t xml:space="preserve"> of the guidelines, then it is deemed </w:t>
      </w:r>
      <w:r w:rsidR="00882901" w:rsidRPr="00EC170D">
        <w:rPr>
          <w:rFonts w:asciiTheme="majorBidi" w:eastAsia="Times New Roman" w:hAnsiTheme="majorBidi" w:cstheme="majorBidi"/>
          <w:sz w:val="24"/>
          <w:szCs w:val="24"/>
        </w:rPr>
        <w:t>as a</w:t>
      </w:r>
      <w:r w:rsidRPr="00EC170D">
        <w:rPr>
          <w:rFonts w:asciiTheme="majorBidi" w:eastAsia="Times New Roman" w:hAnsiTheme="majorBidi" w:cstheme="majorBidi"/>
          <w:sz w:val="24"/>
          <w:szCs w:val="24"/>
        </w:rPr>
        <w:t xml:space="preserve"> criminal act. The crime committed under the act of omission needs to show three elements, the duty to care, the breach of duty, and if there is a causal relationship between the breach of duty and the </w:t>
      </w:r>
      <w:r w:rsidR="00882901" w:rsidRPr="00EC170D">
        <w:rPr>
          <w:rFonts w:asciiTheme="majorBidi" w:eastAsia="Times New Roman" w:hAnsiTheme="majorBidi" w:cstheme="majorBidi"/>
          <w:sz w:val="24"/>
          <w:szCs w:val="24"/>
        </w:rPr>
        <w:t>course</w:t>
      </w:r>
      <w:r w:rsidRPr="00EC170D">
        <w:rPr>
          <w:rFonts w:asciiTheme="majorBidi" w:eastAsia="Times New Roman" w:hAnsiTheme="majorBidi" w:cstheme="majorBidi"/>
          <w:sz w:val="24"/>
          <w:szCs w:val="24"/>
        </w:rPr>
        <w:t xml:space="preserve"> of action </w:t>
      </w:r>
      <w:r w:rsidRPr="00EC170D">
        <w:rPr>
          <w:rFonts w:asciiTheme="majorBidi" w:eastAsia="Times New Roman" w:hAnsiTheme="majorBidi" w:cstheme="majorBidi"/>
          <w:sz w:val="24"/>
          <w:szCs w:val="24"/>
          <w:highlight w:val="yellow"/>
        </w:rPr>
        <w:t>(</w:t>
      </w:r>
      <w:proofErr w:type="spellStart"/>
      <w:r w:rsidRPr="00EC170D">
        <w:rPr>
          <w:rFonts w:asciiTheme="majorBidi" w:eastAsia="Times New Roman" w:hAnsiTheme="majorBidi" w:cstheme="majorBidi"/>
          <w:sz w:val="24"/>
          <w:szCs w:val="24"/>
        </w:rPr>
        <w:t>Gradinaru</w:t>
      </w:r>
      <w:proofErr w:type="spellEnd"/>
      <w:r w:rsidRPr="00EC170D">
        <w:rPr>
          <w:rFonts w:asciiTheme="majorBidi" w:eastAsia="Times New Roman" w:hAnsiTheme="majorBidi" w:cstheme="majorBidi"/>
          <w:sz w:val="24"/>
          <w:szCs w:val="24"/>
        </w:rPr>
        <w:t xml:space="preserve">, 2019). The law is applicable when there is legal duty attached to the </w:t>
      </w:r>
      <w:r w:rsidR="00882901" w:rsidRPr="00EC170D">
        <w:rPr>
          <w:rFonts w:asciiTheme="majorBidi" w:eastAsia="Times New Roman" w:hAnsiTheme="majorBidi" w:cstheme="majorBidi"/>
          <w:sz w:val="24"/>
          <w:szCs w:val="24"/>
        </w:rPr>
        <w:t>person the</w:t>
      </w:r>
      <w:r w:rsidRPr="00EC170D">
        <w:rPr>
          <w:rFonts w:asciiTheme="majorBidi" w:eastAsia="Times New Roman" w:hAnsiTheme="majorBidi" w:cstheme="majorBidi"/>
          <w:sz w:val="24"/>
          <w:szCs w:val="24"/>
        </w:rPr>
        <w:t xml:space="preserve"> person violates the duty. It can be seen in the Gibbins and proctor case</w:t>
      </w:r>
      <w:r w:rsidRPr="00EC170D">
        <w:rPr>
          <w:rFonts w:asciiTheme="majorBidi" w:eastAsia="Times New Roman" w:hAnsiTheme="majorBidi" w:cstheme="majorBidi"/>
          <w:sz w:val="24"/>
          <w:szCs w:val="24"/>
          <w:highlight w:val="yellow"/>
        </w:rPr>
        <w:t xml:space="preserve">, where the mother starved her 7-year-old daughter to death. </w:t>
      </w:r>
      <w:r w:rsidRPr="00EC170D">
        <w:rPr>
          <w:rFonts w:asciiTheme="majorBidi" w:eastAsia="Times New Roman" w:hAnsiTheme="majorBidi" w:cstheme="majorBidi"/>
          <w:sz w:val="24"/>
          <w:szCs w:val="24"/>
        </w:rPr>
        <w:t xml:space="preserve">The </w:t>
      </w:r>
      <w:r w:rsidR="00882901" w:rsidRPr="00EC170D">
        <w:rPr>
          <w:rFonts w:asciiTheme="majorBidi" w:eastAsia="Times New Roman" w:hAnsiTheme="majorBidi" w:cstheme="majorBidi"/>
          <w:sz w:val="24"/>
          <w:szCs w:val="24"/>
        </w:rPr>
        <w:t>couple was</w:t>
      </w:r>
      <w:r w:rsidRPr="00EC170D">
        <w:rPr>
          <w:rFonts w:asciiTheme="majorBidi" w:eastAsia="Times New Roman" w:hAnsiTheme="majorBidi" w:cstheme="majorBidi"/>
          <w:sz w:val="24"/>
          <w:szCs w:val="24"/>
        </w:rPr>
        <w:t xml:space="preserve"> charged with murder as the parents had a legal duty towards their daughter and they provided the necessary</w:t>
      </w:r>
    </w:p>
    <w:p w14:paraId="7FC8498B" w14:textId="77777777" w:rsidR="00BB58AB" w:rsidRPr="00EC170D" w:rsidRDefault="00BB58AB" w:rsidP="00BB58AB">
      <w:pPr>
        <w:rPr>
          <w:rFonts w:asciiTheme="majorBidi" w:eastAsia="Times New Roman" w:hAnsiTheme="majorBidi" w:cstheme="majorBidi"/>
          <w:sz w:val="24"/>
          <w:szCs w:val="24"/>
        </w:rPr>
      </w:pPr>
    </w:p>
    <w:p w14:paraId="41BA5F3E" w14:textId="4103543C" w:rsidR="00BB58AB" w:rsidRPr="00EC170D" w:rsidRDefault="00BB58AB" w:rsidP="00BB58AB">
      <w:pPr>
        <w:rPr>
          <w:rFonts w:asciiTheme="majorBidi" w:eastAsia="Times New Roman" w:hAnsiTheme="majorBidi" w:cstheme="majorBidi"/>
          <w:sz w:val="24"/>
          <w:szCs w:val="24"/>
        </w:rPr>
      </w:pPr>
      <w:r w:rsidRPr="00EC170D">
        <w:rPr>
          <w:rFonts w:asciiTheme="majorBidi" w:eastAsia="Times New Roman" w:hAnsiTheme="majorBidi" w:cstheme="majorBidi"/>
          <w:sz w:val="24"/>
          <w:szCs w:val="24"/>
        </w:rPr>
        <w:lastRenderedPageBreak/>
        <w:t xml:space="preserve">Elements to the daughter. As they violated the duty which led to the death of </w:t>
      </w:r>
      <w:r w:rsidR="00882901" w:rsidRPr="00EC170D">
        <w:rPr>
          <w:rFonts w:asciiTheme="majorBidi" w:eastAsia="Times New Roman" w:hAnsiTheme="majorBidi" w:cstheme="majorBidi"/>
          <w:sz w:val="24"/>
          <w:szCs w:val="24"/>
        </w:rPr>
        <w:t>the</w:t>
      </w:r>
      <w:r w:rsidRPr="00EC170D">
        <w:rPr>
          <w:rFonts w:asciiTheme="majorBidi" w:eastAsia="Times New Roman" w:hAnsiTheme="majorBidi" w:cstheme="majorBidi"/>
          <w:sz w:val="24"/>
          <w:szCs w:val="24"/>
        </w:rPr>
        <w:t xml:space="preserve"> daughter were sentenced by the court to murder under the act of omission. The court in this </w:t>
      </w:r>
      <w:r w:rsidR="00882901" w:rsidRPr="00EC170D">
        <w:rPr>
          <w:rFonts w:asciiTheme="majorBidi" w:eastAsia="Times New Roman" w:hAnsiTheme="majorBidi" w:cstheme="majorBidi"/>
          <w:sz w:val="24"/>
          <w:szCs w:val="24"/>
        </w:rPr>
        <w:t>does</w:t>
      </w:r>
      <w:r w:rsidRPr="00EC170D">
        <w:rPr>
          <w:rFonts w:asciiTheme="majorBidi" w:eastAsia="Times New Roman" w:hAnsiTheme="majorBidi" w:cstheme="majorBidi"/>
          <w:sz w:val="24"/>
          <w:szCs w:val="24"/>
        </w:rPr>
        <w:t xml:space="preserve"> not define the relationship but rather focuses on the legal that needs to be </w:t>
      </w:r>
      <w:r w:rsidR="00882901" w:rsidRPr="00EC170D">
        <w:rPr>
          <w:rFonts w:asciiTheme="majorBidi" w:eastAsia="Times New Roman" w:hAnsiTheme="majorBidi" w:cstheme="majorBidi"/>
          <w:sz w:val="24"/>
          <w:szCs w:val="24"/>
        </w:rPr>
        <w:t>performed</w:t>
      </w:r>
      <w:r w:rsidRPr="00EC170D">
        <w:rPr>
          <w:rFonts w:asciiTheme="majorBidi" w:eastAsia="Times New Roman" w:hAnsiTheme="majorBidi" w:cstheme="majorBidi"/>
          <w:sz w:val="24"/>
          <w:szCs w:val="24"/>
        </w:rPr>
        <w:t xml:space="preserve"> by the parents which were </w:t>
      </w:r>
      <w:r w:rsidR="00882901" w:rsidRPr="00EC170D">
        <w:rPr>
          <w:rFonts w:asciiTheme="majorBidi" w:eastAsia="Times New Roman" w:hAnsiTheme="majorBidi" w:cstheme="majorBidi"/>
          <w:sz w:val="24"/>
          <w:szCs w:val="24"/>
        </w:rPr>
        <w:t>neglected</w:t>
      </w:r>
      <w:r w:rsidRPr="00EC170D">
        <w:rPr>
          <w:rFonts w:asciiTheme="majorBidi" w:eastAsia="Times New Roman" w:hAnsiTheme="majorBidi" w:cstheme="majorBidi"/>
          <w:sz w:val="24"/>
          <w:szCs w:val="24"/>
        </w:rPr>
        <w:t xml:space="preserve"> and led to the death of a child, despite the daughter being not hers but as they lived together, under the law of omission it was suggested that it was their duty to ac</w:t>
      </w:r>
      <w:r w:rsidR="00882901" w:rsidRPr="00EC170D">
        <w:rPr>
          <w:rFonts w:asciiTheme="majorBidi" w:eastAsia="Times New Roman" w:hAnsiTheme="majorBidi" w:cstheme="majorBidi"/>
          <w:sz w:val="24"/>
          <w:szCs w:val="24"/>
        </w:rPr>
        <w:t>t</w:t>
      </w:r>
      <w:r w:rsidRPr="00EC170D">
        <w:rPr>
          <w:rFonts w:asciiTheme="majorBidi" w:eastAsia="Times New Roman" w:hAnsiTheme="majorBidi" w:cstheme="majorBidi"/>
          <w:sz w:val="24"/>
          <w:szCs w:val="24"/>
        </w:rPr>
        <w:t xml:space="preserve"> in a proper way.</w:t>
      </w:r>
    </w:p>
    <w:p w14:paraId="25E4B035" w14:textId="11E156C9" w:rsidR="00BB58AB" w:rsidRPr="00EC170D" w:rsidRDefault="00BB58AB" w:rsidP="00BB58AB">
      <w:pPr>
        <w:rPr>
          <w:rFonts w:asciiTheme="majorBidi" w:eastAsia="Times New Roman" w:hAnsiTheme="majorBidi" w:cstheme="majorBidi"/>
          <w:sz w:val="24"/>
          <w:szCs w:val="24"/>
        </w:rPr>
      </w:pPr>
      <w:r w:rsidRPr="00EC170D">
        <w:rPr>
          <w:rFonts w:asciiTheme="majorBidi" w:eastAsia="Times New Roman" w:hAnsiTheme="majorBidi" w:cstheme="majorBidi"/>
          <w:sz w:val="24"/>
          <w:szCs w:val="24"/>
          <w:highlight w:val="yellow"/>
        </w:rPr>
        <w:t>On the other hand,</w:t>
      </w:r>
      <w:r w:rsidRPr="00EC170D">
        <w:rPr>
          <w:rFonts w:asciiTheme="majorBidi" w:eastAsia="Times New Roman" w:hAnsiTheme="majorBidi" w:cstheme="majorBidi"/>
          <w:sz w:val="24"/>
          <w:szCs w:val="24"/>
        </w:rPr>
        <w:t xml:space="preserve"> statutory law is </w:t>
      </w:r>
      <w:r w:rsidR="00882901" w:rsidRPr="00EC170D">
        <w:rPr>
          <w:rFonts w:asciiTheme="majorBidi" w:eastAsia="Times New Roman" w:hAnsiTheme="majorBidi" w:cstheme="majorBidi"/>
          <w:sz w:val="24"/>
          <w:szCs w:val="24"/>
        </w:rPr>
        <w:t>legislation</w:t>
      </w:r>
      <w:r w:rsidRPr="00EC170D">
        <w:rPr>
          <w:rFonts w:asciiTheme="majorBidi" w:eastAsia="Times New Roman" w:hAnsiTheme="majorBidi" w:cstheme="majorBidi"/>
          <w:sz w:val="24"/>
          <w:szCs w:val="24"/>
        </w:rPr>
        <w:t xml:space="preserve"> that is written and passed by the </w:t>
      </w:r>
      <w:r w:rsidR="00882901" w:rsidRPr="00EC170D">
        <w:rPr>
          <w:rFonts w:asciiTheme="majorBidi" w:eastAsia="Times New Roman" w:hAnsiTheme="majorBidi" w:cstheme="majorBidi"/>
          <w:sz w:val="24"/>
          <w:szCs w:val="24"/>
        </w:rPr>
        <w:t>legislature</w:t>
      </w:r>
      <w:r w:rsidRPr="00EC170D">
        <w:rPr>
          <w:rFonts w:asciiTheme="majorBidi" w:eastAsia="Times New Roman" w:hAnsiTheme="majorBidi" w:cstheme="majorBidi"/>
          <w:sz w:val="24"/>
          <w:szCs w:val="24"/>
        </w:rPr>
        <w:t xml:space="preserve">. It can be illustrated as the duty imposed on the person under the act of omission. This means the person had to </w:t>
      </w:r>
      <w:r w:rsidR="00882901" w:rsidRPr="00EC170D">
        <w:rPr>
          <w:rFonts w:asciiTheme="majorBidi" w:eastAsia="Times New Roman" w:hAnsiTheme="majorBidi" w:cstheme="majorBidi"/>
          <w:sz w:val="24"/>
          <w:szCs w:val="24"/>
        </w:rPr>
        <w:t>perform</w:t>
      </w:r>
      <w:r w:rsidRPr="00EC170D">
        <w:rPr>
          <w:rFonts w:asciiTheme="majorBidi" w:eastAsia="Times New Roman" w:hAnsiTheme="majorBidi" w:cstheme="majorBidi"/>
          <w:sz w:val="24"/>
          <w:szCs w:val="24"/>
        </w:rPr>
        <w:t xml:space="preserve"> the legal duty and cannot violate it as the person will </w:t>
      </w:r>
      <w:r w:rsidR="00882901" w:rsidRPr="00EC170D">
        <w:rPr>
          <w:rFonts w:asciiTheme="majorBidi" w:eastAsia="Times New Roman" w:hAnsiTheme="majorBidi" w:cstheme="majorBidi"/>
          <w:sz w:val="24"/>
          <w:szCs w:val="24"/>
        </w:rPr>
        <w:t>be</w:t>
      </w:r>
      <w:r w:rsidRPr="00EC170D">
        <w:rPr>
          <w:rFonts w:asciiTheme="majorBidi" w:eastAsia="Times New Roman" w:hAnsiTheme="majorBidi" w:cstheme="majorBidi"/>
          <w:sz w:val="24"/>
          <w:szCs w:val="24"/>
        </w:rPr>
        <w:t xml:space="preserve"> charged with criminality under the law of omission. It is a necessary duty that needs to be done by the person rather than choosing the job. There are various acts in the UK, which suggests that there are certain duties that need to be done by </w:t>
      </w:r>
      <w:r w:rsidR="00882901" w:rsidRPr="00EC170D">
        <w:rPr>
          <w:rFonts w:asciiTheme="majorBidi" w:eastAsia="Times New Roman" w:hAnsiTheme="majorBidi" w:cstheme="majorBidi"/>
          <w:sz w:val="24"/>
          <w:szCs w:val="24"/>
        </w:rPr>
        <w:t>individuals</w:t>
      </w:r>
      <w:r w:rsidRPr="00EC170D">
        <w:rPr>
          <w:rFonts w:asciiTheme="majorBidi" w:eastAsia="Times New Roman" w:hAnsiTheme="majorBidi" w:cstheme="majorBidi"/>
          <w:sz w:val="24"/>
          <w:szCs w:val="24"/>
        </w:rPr>
        <w:t xml:space="preserve"> as per their job. Like a doctor has to look after a patient, and a parent has to look after their child and treat them </w:t>
      </w:r>
      <w:r w:rsidR="00882901" w:rsidRPr="00EC170D">
        <w:rPr>
          <w:rFonts w:asciiTheme="majorBidi" w:eastAsia="Times New Roman" w:hAnsiTheme="majorBidi" w:cstheme="majorBidi"/>
          <w:sz w:val="24"/>
          <w:szCs w:val="24"/>
        </w:rPr>
        <w:t>fairly</w:t>
      </w:r>
      <w:r w:rsidRPr="00EC170D">
        <w:rPr>
          <w:rFonts w:asciiTheme="majorBidi" w:eastAsia="Times New Roman" w:hAnsiTheme="majorBidi" w:cstheme="majorBidi"/>
          <w:sz w:val="24"/>
          <w:szCs w:val="24"/>
        </w:rPr>
        <w:t xml:space="preserve"> for progress (Heinze, 2018). These duties can be defined as statutory duties, the duties that need to be </w:t>
      </w:r>
      <w:r w:rsidR="00882901" w:rsidRPr="00EC170D">
        <w:rPr>
          <w:rFonts w:asciiTheme="majorBidi" w:eastAsia="Times New Roman" w:hAnsiTheme="majorBidi" w:cstheme="majorBidi"/>
          <w:sz w:val="24"/>
          <w:szCs w:val="24"/>
        </w:rPr>
        <w:t>performed</w:t>
      </w:r>
      <w:r w:rsidRPr="00EC170D">
        <w:rPr>
          <w:rFonts w:asciiTheme="majorBidi" w:eastAsia="Times New Roman" w:hAnsiTheme="majorBidi" w:cstheme="majorBidi"/>
          <w:sz w:val="24"/>
          <w:szCs w:val="24"/>
        </w:rPr>
        <w:t xml:space="preserve"> rather than questioning them. It was seen in the case of Stone </w:t>
      </w:r>
      <w:r w:rsidR="00882901" w:rsidRPr="00EC170D">
        <w:rPr>
          <w:rFonts w:asciiTheme="majorBidi" w:eastAsia="Times New Roman" w:hAnsiTheme="majorBidi" w:cstheme="majorBidi"/>
          <w:sz w:val="24"/>
          <w:szCs w:val="24"/>
        </w:rPr>
        <w:t>and Dobinson</w:t>
      </w:r>
      <w:r w:rsidRPr="00EC170D">
        <w:rPr>
          <w:rFonts w:asciiTheme="majorBidi" w:eastAsia="Times New Roman" w:hAnsiTheme="majorBidi" w:cstheme="majorBidi"/>
          <w:sz w:val="24"/>
          <w:szCs w:val="24"/>
        </w:rPr>
        <w:t xml:space="preserve">. 1977 that when the Stone and Dobinson </w:t>
      </w:r>
      <w:r w:rsidR="00882901" w:rsidRPr="00EC170D">
        <w:rPr>
          <w:rFonts w:asciiTheme="majorBidi" w:eastAsia="Times New Roman" w:hAnsiTheme="majorBidi" w:cstheme="majorBidi"/>
          <w:sz w:val="24"/>
          <w:szCs w:val="24"/>
        </w:rPr>
        <w:t>took in</w:t>
      </w:r>
      <w:r w:rsidRPr="00EC170D">
        <w:rPr>
          <w:rFonts w:asciiTheme="majorBidi" w:eastAsia="Times New Roman" w:hAnsiTheme="majorBidi" w:cstheme="majorBidi"/>
          <w:sz w:val="24"/>
          <w:szCs w:val="24"/>
        </w:rPr>
        <w:t xml:space="preserve"> Stone’s sister to care for her, but due to their low intelligence and casual activities the health of the </w:t>
      </w:r>
      <w:r w:rsidR="00882901" w:rsidRPr="00EC170D">
        <w:rPr>
          <w:rFonts w:asciiTheme="majorBidi" w:eastAsia="Times New Roman" w:hAnsiTheme="majorBidi" w:cstheme="majorBidi"/>
          <w:sz w:val="24"/>
          <w:szCs w:val="24"/>
        </w:rPr>
        <w:t>girl deteriorated</w:t>
      </w:r>
      <w:r w:rsidRPr="00EC170D">
        <w:rPr>
          <w:rFonts w:asciiTheme="majorBidi" w:eastAsia="Times New Roman" w:hAnsiTheme="majorBidi" w:cstheme="majorBidi"/>
          <w:sz w:val="24"/>
          <w:szCs w:val="24"/>
        </w:rPr>
        <w:t xml:space="preserve"> and she died. This led to the violation of the statuary act as they </w:t>
      </w:r>
      <w:r w:rsidR="00882901" w:rsidRPr="00EC170D">
        <w:rPr>
          <w:rFonts w:asciiTheme="majorBidi" w:eastAsia="Times New Roman" w:hAnsiTheme="majorBidi" w:cstheme="majorBidi"/>
          <w:sz w:val="24"/>
          <w:szCs w:val="24"/>
          <w:highlight w:val="yellow"/>
        </w:rPr>
        <w:t>man slaughtered</w:t>
      </w:r>
      <w:r w:rsidRPr="00EC170D">
        <w:rPr>
          <w:rFonts w:asciiTheme="majorBidi" w:eastAsia="Times New Roman" w:hAnsiTheme="majorBidi" w:cstheme="majorBidi"/>
          <w:sz w:val="24"/>
          <w:szCs w:val="24"/>
        </w:rPr>
        <w:t xml:space="preserve"> </w:t>
      </w:r>
      <w:r w:rsidR="00882901" w:rsidRPr="00EC170D">
        <w:rPr>
          <w:rFonts w:asciiTheme="majorBidi" w:eastAsia="Times New Roman" w:hAnsiTheme="majorBidi" w:cstheme="majorBidi"/>
          <w:sz w:val="24"/>
          <w:szCs w:val="24"/>
        </w:rPr>
        <w:t>a girl</w:t>
      </w:r>
      <w:r w:rsidRPr="00EC170D">
        <w:rPr>
          <w:rFonts w:asciiTheme="majorBidi" w:eastAsia="Times New Roman" w:hAnsiTheme="majorBidi" w:cstheme="majorBidi"/>
          <w:sz w:val="24"/>
          <w:szCs w:val="24"/>
        </w:rPr>
        <w:t>, irrespective of their intelligence level (Griffith, 2019).</w:t>
      </w:r>
    </w:p>
    <w:p w14:paraId="5AD6CACD" w14:textId="77777777" w:rsidR="005E74E8" w:rsidRDefault="00BB58AB" w:rsidP="00BB58AB">
      <w:pPr>
        <w:rPr>
          <w:rFonts w:asciiTheme="majorBidi" w:eastAsia="Times New Roman" w:hAnsiTheme="majorBidi" w:cstheme="majorBidi"/>
          <w:sz w:val="24"/>
          <w:szCs w:val="24"/>
          <w:highlight w:val="yellow"/>
        </w:rPr>
      </w:pPr>
      <w:r w:rsidRPr="00EC170D">
        <w:rPr>
          <w:rFonts w:asciiTheme="majorBidi" w:eastAsia="Times New Roman" w:hAnsiTheme="majorBidi" w:cstheme="majorBidi"/>
          <w:sz w:val="24"/>
          <w:szCs w:val="24"/>
          <w:highlight w:val="yellow"/>
        </w:rPr>
        <w:t xml:space="preserve">Contractual or duty based on office </w:t>
      </w:r>
    </w:p>
    <w:p w14:paraId="51489D32" w14:textId="4B107568" w:rsidR="00BB58AB" w:rsidRPr="005E74E8" w:rsidRDefault="005E74E8" w:rsidP="005E74E8">
      <w:pPr>
        <w:rPr>
          <w:rFonts w:asciiTheme="majorBidi" w:eastAsia="Times New Roman" w:hAnsiTheme="majorBidi" w:cstheme="majorBidi"/>
          <w:sz w:val="24"/>
          <w:szCs w:val="24"/>
          <w:highlight w:val="yellow"/>
        </w:rPr>
      </w:pPr>
      <w:r w:rsidRPr="005E74E8">
        <w:rPr>
          <w:rFonts w:asciiTheme="majorBidi" w:eastAsia="Times New Roman" w:hAnsiTheme="majorBidi" w:cstheme="majorBidi"/>
          <w:sz w:val="24"/>
          <w:szCs w:val="24"/>
        </w:rPr>
        <w:t xml:space="preserve">Contractual or duty based on office </w:t>
      </w:r>
      <w:r w:rsidRPr="005E74E8">
        <w:rPr>
          <w:rFonts w:asciiTheme="majorBidi" w:eastAsia="Times New Roman" w:hAnsiTheme="majorBidi" w:cstheme="majorBidi"/>
          <w:sz w:val="24"/>
          <w:szCs w:val="24"/>
        </w:rPr>
        <w:t>c</w:t>
      </w:r>
      <w:r w:rsidR="00BB58AB" w:rsidRPr="005E74E8">
        <w:rPr>
          <w:rFonts w:asciiTheme="majorBidi" w:eastAsia="Times New Roman" w:hAnsiTheme="majorBidi" w:cstheme="majorBidi"/>
          <w:sz w:val="24"/>
          <w:szCs w:val="24"/>
        </w:rPr>
        <w:t>an be</w:t>
      </w:r>
      <w:r w:rsidR="00BB58AB" w:rsidRPr="00EC170D">
        <w:rPr>
          <w:rFonts w:asciiTheme="majorBidi" w:eastAsia="Times New Roman" w:hAnsiTheme="majorBidi" w:cstheme="majorBidi"/>
          <w:sz w:val="24"/>
          <w:szCs w:val="24"/>
        </w:rPr>
        <w:t xml:space="preserve"> defined as duty that is based on the contract that is formed under the </w:t>
      </w:r>
      <w:r w:rsidR="00882901" w:rsidRPr="00EC170D">
        <w:rPr>
          <w:rFonts w:asciiTheme="majorBidi" w:eastAsia="Times New Roman" w:hAnsiTheme="majorBidi" w:cstheme="majorBidi"/>
          <w:sz w:val="24"/>
          <w:szCs w:val="24"/>
        </w:rPr>
        <w:t>legal guidance</w:t>
      </w:r>
      <w:r w:rsidR="00BB58AB" w:rsidRPr="00EC170D">
        <w:rPr>
          <w:rFonts w:asciiTheme="majorBidi" w:eastAsia="Times New Roman" w:hAnsiTheme="majorBidi" w:cstheme="majorBidi"/>
          <w:sz w:val="24"/>
          <w:szCs w:val="24"/>
        </w:rPr>
        <w:t xml:space="preserve"> of omission which state if the person’s duty is sanctioned under the legal duty, then </w:t>
      </w:r>
      <w:r w:rsidR="00882901" w:rsidRPr="00EC170D">
        <w:rPr>
          <w:rFonts w:asciiTheme="majorBidi" w:eastAsia="Times New Roman" w:hAnsiTheme="majorBidi" w:cstheme="majorBidi"/>
          <w:sz w:val="24"/>
          <w:szCs w:val="24"/>
        </w:rPr>
        <w:t>they have</w:t>
      </w:r>
      <w:r w:rsidR="00BB58AB" w:rsidRPr="00EC170D">
        <w:rPr>
          <w:rFonts w:asciiTheme="majorBidi" w:eastAsia="Times New Roman" w:hAnsiTheme="majorBidi" w:cstheme="majorBidi"/>
          <w:sz w:val="24"/>
          <w:szCs w:val="24"/>
        </w:rPr>
        <w:t xml:space="preserve"> to </w:t>
      </w:r>
      <w:r w:rsidR="00882901" w:rsidRPr="00EC170D">
        <w:rPr>
          <w:rFonts w:asciiTheme="majorBidi" w:eastAsia="Times New Roman" w:hAnsiTheme="majorBidi" w:cstheme="majorBidi"/>
          <w:sz w:val="24"/>
          <w:szCs w:val="24"/>
        </w:rPr>
        <w:t>perform</w:t>
      </w:r>
      <w:r w:rsidR="00BB58AB" w:rsidRPr="00EC170D">
        <w:rPr>
          <w:rFonts w:asciiTheme="majorBidi" w:eastAsia="Times New Roman" w:hAnsiTheme="majorBidi" w:cstheme="majorBidi"/>
          <w:sz w:val="24"/>
          <w:szCs w:val="24"/>
        </w:rPr>
        <w:t xml:space="preserve"> the duty. If the legal duty is breached then the party will be commissioned under the act of omission and will serve </w:t>
      </w:r>
      <w:r w:rsidR="00882901" w:rsidRPr="00EC170D">
        <w:rPr>
          <w:rFonts w:asciiTheme="majorBidi" w:eastAsia="Times New Roman" w:hAnsiTheme="majorBidi" w:cstheme="majorBidi"/>
          <w:sz w:val="24"/>
          <w:szCs w:val="24"/>
        </w:rPr>
        <w:t>legal</w:t>
      </w:r>
      <w:r w:rsidR="00BB58AB" w:rsidRPr="00EC170D">
        <w:rPr>
          <w:rFonts w:asciiTheme="majorBidi" w:eastAsia="Times New Roman" w:hAnsiTheme="majorBidi" w:cstheme="majorBidi"/>
          <w:sz w:val="24"/>
          <w:szCs w:val="24"/>
        </w:rPr>
        <w:t xml:space="preserve"> judgment for the course of action. It can be seen in the case of </w:t>
      </w:r>
      <w:proofErr w:type="spellStart"/>
      <w:r w:rsidR="00BB58AB" w:rsidRPr="00EC170D">
        <w:rPr>
          <w:rFonts w:asciiTheme="majorBidi" w:eastAsia="Times New Roman" w:hAnsiTheme="majorBidi" w:cstheme="majorBidi"/>
          <w:sz w:val="24"/>
          <w:szCs w:val="24"/>
        </w:rPr>
        <w:t>pittwood</w:t>
      </w:r>
      <w:proofErr w:type="spellEnd"/>
      <w:r w:rsidR="00BB58AB" w:rsidRPr="00EC170D">
        <w:rPr>
          <w:rFonts w:asciiTheme="majorBidi" w:eastAsia="Times New Roman" w:hAnsiTheme="majorBidi" w:cstheme="majorBidi"/>
          <w:sz w:val="24"/>
          <w:szCs w:val="24"/>
        </w:rPr>
        <w:t xml:space="preserve"> (1902), where the railway gatekeeper opened the gate for the carts to go through but forgot to close and open the gate and he went to lunch, and then a man was struck by the gate and died (</w:t>
      </w:r>
      <w:proofErr w:type="spellStart"/>
      <w:r w:rsidR="00BB58AB" w:rsidRPr="00EC170D">
        <w:rPr>
          <w:rFonts w:asciiTheme="majorBidi" w:eastAsia="Times New Roman" w:hAnsiTheme="majorBidi" w:cstheme="majorBidi"/>
          <w:sz w:val="24"/>
          <w:szCs w:val="24"/>
        </w:rPr>
        <w:t>Henne</w:t>
      </w:r>
      <w:proofErr w:type="spellEnd"/>
      <w:r w:rsidR="00BB58AB" w:rsidRPr="00EC170D">
        <w:rPr>
          <w:rFonts w:asciiTheme="majorBidi" w:eastAsia="Times New Roman" w:hAnsiTheme="majorBidi" w:cstheme="majorBidi"/>
          <w:sz w:val="24"/>
          <w:szCs w:val="24"/>
        </w:rPr>
        <w:t xml:space="preserve"> et al. 2019). This led to an act of criminality under omission as it was the duty of the gatekeeper to close and open the gate, as he was bounded by a contract. This led the court to change him under the law of omission for breaching duty and charged him with manslaughter.</w:t>
      </w:r>
    </w:p>
    <w:p w14:paraId="69C36CFD" w14:textId="221E9A69" w:rsidR="00BB58AB" w:rsidRPr="00EC170D" w:rsidRDefault="00BB58AB" w:rsidP="00BB58AB">
      <w:pPr>
        <w:rPr>
          <w:rFonts w:asciiTheme="majorBidi" w:eastAsia="Times New Roman" w:hAnsiTheme="majorBidi" w:cstheme="majorBidi"/>
          <w:sz w:val="24"/>
          <w:szCs w:val="24"/>
        </w:rPr>
      </w:pPr>
      <w:r w:rsidRPr="00EC170D">
        <w:rPr>
          <w:rFonts w:asciiTheme="majorBidi" w:eastAsia="Times New Roman" w:hAnsiTheme="majorBidi" w:cstheme="majorBidi"/>
          <w:sz w:val="24"/>
          <w:szCs w:val="24"/>
          <w:highlight w:val="yellow"/>
        </w:rPr>
        <w:t xml:space="preserve">The act of common law duty can be </w:t>
      </w:r>
      <w:r w:rsidR="00882901" w:rsidRPr="00EC170D">
        <w:rPr>
          <w:rFonts w:asciiTheme="majorBidi" w:eastAsia="Times New Roman" w:hAnsiTheme="majorBidi" w:cstheme="majorBidi"/>
          <w:sz w:val="24"/>
          <w:szCs w:val="24"/>
          <w:highlight w:val="yellow"/>
        </w:rPr>
        <w:t>perceived</w:t>
      </w:r>
      <w:r w:rsidRPr="00EC170D">
        <w:rPr>
          <w:rFonts w:asciiTheme="majorBidi" w:eastAsia="Times New Roman" w:hAnsiTheme="majorBidi" w:cstheme="majorBidi"/>
          <w:sz w:val="24"/>
          <w:szCs w:val="24"/>
        </w:rPr>
        <w:t xml:space="preserve"> as the common duty of the people care that is imposed on the people to </w:t>
      </w:r>
      <w:r w:rsidR="00882901" w:rsidRPr="00EC170D">
        <w:rPr>
          <w:rFonts w:asciiTheme="majorBidi" w:eastAsia="Times New Roman" w:hAnsiTheme="majorBidi" w:cstheme="majorBidi"/>
          <w:sz w:val="24"/>
          <w:szCs w:val="24"/>
        </w:rPr>
        <w:t>provide</w:t>
      </w:r>
      <w:r w:rsidRPr="00EC170D">
        <w:rPr>
          <w:rFonts w:asciiTheme="majorBidi" w:eastAsia="Times New Roman" w:hAnsiTheme="majorBidi" w:cstheme="majorBidi"/>
          <w:sz w:val="24"/>
          <w:szCs w:val="24"/>
        </w:rPr>
        <w:t xml:space="preserve"> care to the people and also prevent them from getting injured. The law coexists with the statutory law where people who have to </w:t>
      </w:r>
      <w:r w:rsidR="00882901" w:rsidRPr="00EC170D">
        <w:rPr>
          <w:rFonts w:asciiTheme="majorBidi" w:eastAsia="Times New Roman" w:hAnsiTheme="majorBidi" w:cstheme="majorBidi"/>
          <w:sz w:val="24"/>
          <w:szCs w:val="24"/>
        </w:rPr>
        <w:t>perform</w:t>
      </w:r>
      <w:r w:rsidRPr="00EC170D">
        <w:rPr>
          <w:rFonts w:asciiTheme="majorBidi" w:eastAsia="Times New Roman" w:hAnsiTheme="majorBidi" w:cstheme="majorBidi"/>
          <w:sz w:val="24"/>
          <w:szCs w:val="24"/>
        </w:rPr>
        <w:t xml:space="preserve"> the duty otherwise have to face legal ramification under the court of law, omission, and while being charged as </w:t>
      </w:r>
      <w:r w:rsidR="00882901" w:rsidRPr="00EC170D">
        <w:rPr>
          <w:rFonts w:asciiTheme="majorBidi" w:eastAsia="Times New Roman" w:hAnsiTheme="majorBidi" w:cstheme="majorBidi"/>
          <w:sz w:val="24"/>
          <w:szCs w:val="24"/>
        </w:rPr>
        <w:t>liability (</w:t>
      </w:r>
      <w:proofErr w:type="spellStart"/>
      <w:r w:rsidRPr="00EC170D">
        <w:rPr>
          <w:rFonts w:asciiTheme="majorBidi" w:eastAsia="Times New Roman" w:hAnsiTheme="majorBidi" w:cstheme="majorBidi"/>
          <w:sz w:val="24"/>
          <w:szCs w:val="24"/>
        </w:rPr>
        <w:t>Hessick</w:t>
      </w:r>
      <w:proofErr w:type="spellEnd"/>
      <w:r w:rsidRPr="00EC170D">
        <w:rPr>
          <w:rFonts w:asciiTheme="majorBidi" w:eastAsia="Times New Roman" w:hAnsiTheme="majorBidi" w:cstheme="majorBidi"/>
          <w:sz w:val="24"/>
          <w:szCs w:val="24"/>
        </w:rPr>
        <w:t xml:space="preserve">, 2019). The common law duty of care arises from the </w:t>
      </w:r>
      <w:r w:rsidR="00882901" w:rsidRPr="00EC170D">
        <w:rPr>
          <w:rFonts w:asciiTheme="majorBidi" w:eastAsia="Times New Roman" w:hAnsiTheme="majorBidi" w:cstheme="majorBidi"/>
          <w:sz w:val="24"/>
          <w:szCs w:val="24"/>
        </w:rPr>
        <w:t>performance</w:t>
      </w:r>
      <w:r w:rsidRPr="00EC170D">
        <w:rPr>
          <w:rFonts w:asciiTheme="majorBidi" w:eastAsia="Times New Roman" w:hAnsiTheme="majorBidi" w:cstheme="majorBidi"/>
          <w:sz w:val="24"/>
          <w:szCs w:val="24"/>
        </w:rPr>
        <w:t xml:space="preserve"> of legal duty or it can arise from relationship between individuals who are preforming the statuary duty.</w:t>
      </w:r>
    </w:p>
    <w:p w14:paraId="09392059" w14:textId="775523C8" w:rsidR="00BB58AB" w:rsidRPr="00EC170D" w:rsidRDefault="00BB58AB" w:rsidP="00BB58AB">
      <w:pPr>
        <w:rPr>
          <w:rFonts w:asciiTheme="majorBidi" w:eastAsia="Times New Roman" w:hAnsiTheme="majorBidi" w:cstheme="majorBidi"/>
          <w:sz w:val="24"/>
          <w:szCs w:val="24"/>
        </w:rPr>
      </w:pPr>
      <w:r w:rsidRPr="00EC170D">
        <w:rPr>
          <w:rFonts w:asciiTheme="majorBidi" w:eastAsia="Times New Roman" w:hAnsiTheme="majorBidi" w:cstheme="majorBidi"/>
          <w:sz w:val="24"/>
          <w:szCs w:val="24"/>
        </w:rPr>
        <w:t xml:space="preserve">Furthermore, a duty to act can be defined as the person taking necessary steps to prevent harm of other individuals. In a court of law, especially under the act of omission, if an individual does not provide necessary care to the individual to prevent harm, then it should be charged with criminal </w:t>
      </w:r>
      <w:r w:rsidR="00882901" w:rsidRPr="00EC170D">
        <w:rPr>
          <w:rFonts w:asciiTheme="majorBidi" w:eastAsia="Times New Roman" w:hAnsiTheme="majorBidi" w:cstheme="majorBidi"/>
          <w:sz w:val="24"/>
          <w:szCs w:val="24"/>
        </w:rPr>
        <w:t>liability, as</w:t>
      </w:r>
      <w:r w:rsidRPr="00EC170D">
        <w:rPr>
          <w:rFonts w:asciiTheme="majorBidi" w:eastAsia="Times New Roman" w:hAnsiTheme="majorBidi" w:cstheme="majorBidi"/>
          <w:sz w:val="24"/>
          <w:szCs w:val="24"/>
        </w:rPr>
        <w:t xml:space="preserve"> it is against legal duty. A duty of act often </w:t>
      </w:r>
      <w:r w:rsidR="00882901" w:rsidRPr="00EC170D">
        <w:rPr>
          <w:rFonts w:asciiTheme="majorBidi" w:eastAsia="Times New Roman" w:hAnsiTheme="majorBidi" w:cstheme="majorBidi"/>
          <w:sz w:val="24"/>
          <w:szCs w:val="24"/>
        </w:rPr>
        <w:t>resides in</w:t>
      </w:r>
      <w:r w:rsidRPr="00EC170D">
        <w:rPr>
          <w:rFonts w:asciiTheme="majorBidi" w:eastAsia="Times New Roman" w:hAnsiTheme="majorBidi" w:cstheme="majorBidi"/>
          <w:sz w:val="24"/>
          <w:szCs w:val="24"/>
        </w:rPr>
        <w:t xml:space="preserve"> individuals who are bounded by legal like </w:t>
      </w:r>
      <w:r w:rsidR="00882901" w:rsidRPr="00EC170D">
        <w:rPr>
          <w:rFonts w:asciiTheme="majorBidi" w:eastAsia="Times New Roman" w:hAnsiTheme="majorBidi" w:cstheme="majorBidi"/>
          <w:sz w:val="24"/>
          <w:szCs w:val="24"/>
        </w:rPr>
        <w:t>doctors, nurses</w:t>
      </w:r>
      <w:r w:rsidRPr="00EC170D">
        <w:rPr>
          <w:rFonts w:asciiTheme="majorBidi" w:eastAsia="Times New Roman" w:hAnsiTheme="majorBidi" w:cstheme="majorBidi"/>
          <w:sz w:val="24"/>
          <w:szCs w:val="24"/>
        </w:rPr>
        <w:t>,</w:t>
      </w:r>
      <w:r w:rsidR="00882901" w:rsidRPr="00EC170D">
        <w:rPr>
          <w:rFonts w:asciiTheme="majorBidi" w:eastAsia="Times New Roman" w:hAnsiTheme="majorBidi" w:cstheme="majorBidi"/>
          <w:sz w:val="24"/>
          <w:szCs w:val="24"/>
        </w:rPr>
        <w:t xml:space="preserve"> </w:t>
      </w:r>
      <w:r w:rsidRPr="00EC170D">
        <w:rPr>
          <w:rFonts w:asciiTheme="majorBidi" w:eastAsia="Times New Roman" w:hAnsiTheme="majorBidi" w:cstheme="majorBidi"/>
          <w:sz w:val="24"/>
          <w:szCs w:val="24"/>
        </w:rPr>
        <w:t xml:space="preserve">and parents. They have to perform their duty to act to provide the best care for other persons and prevent harm (Monaghan, 2022). </w:t>
      </w:r>
      <w:r w:rsidR="00882901" w:rsidRPr="00EC170D">
        <w:rPr>
          <w:rFonts w:asciiTheme="majorBidi" w:eastAsia="Times New Roman" w:hAnsiTheme="majorBidi" w:cstheme="majorBidi"/>
          <w:sz w:val="24"/>
          <w:szCs w:val="24"/>
        </w:rPr>
        <w:t>A duty</w:t>
      </w:r>
      <w:r w:rsidRPr="00EC170D">
        <w:rPr>
          <w:rFonts w:asciiTheme="majorBidi" w:eastAsia="Times New Roman" w:hAnsiTheme="majorBidi" w:cstheme="majorBidi"/>
          <w:sz w:val="24"/>
          <w:szCs w:val="24"/>
        </w:rPr>
        <w:t xml:space="preserve"> to act will stop when the </w:t>
      </w:r>
      <w:r w:rsidRPr="00EC170D">
        <w:rPr>
          <w:rFonts w:asciiTheme="majorBidi" w:eastAsia="Times New Roman" w:hAnsiTheme="majorBidi" w:cstheme="majorBidi"/>
          <w:sz w:val="24"/>
          <w:szCs w:val="24"/>
        </w:rPr>
        <w:lastRenderedPageBreak/>
        <w:t xml:space="preserve">legal duty of individual is fulfilled, as per the requirements of the law of omission. Then the duty to act stop. When the legal obligation as imposed by the act of omission is removed, the duty to act of the person stops. </w:t>
      </w:r>
    </w:p>
    <w:p w14:paraId="3CFE9F4A" w14:textId="48EC29BB" w:rsidR="00882901" w:rsidRPr="00EC170D" w:rsidRDefault="00BB58AB" w:rsidP="00BB58AB">
      <w:pPr>
        <w:rPr>
          <w:rFonts w:asciiTheme="majorBidi" w:eastAsia="Times New Roman" w:hAnsiTheme="majorBidi" w:cstheme="majorBidi"/>
          <w:sz w:val="24"/>
          <w:szCs w:val="24"/>
          <w:highlight w:val="yellow"/>
        </w:rPr>
      </w:pPr>
      <w:r w:rsidRPr="00EC170D">
        <w:rPr>
          <w:rFonts w:asciiTheme="majorBidi" w:eastAsia="Times New Roman" w:hAnsiTheme="majorBidi" w:cstheme="majorBidi"/>
          <w:sz w:val="24"/>
          <w:szCs w:val="24"/>
          <w:highlight w:val="yellow"/>
        </w:rPr>
        <w:t xml:space="preserve">Now, it is important to understand whether there is a general duty to act. In </w:t>
      </w:r>
      <w:r w:rsidR="00902C9C" w:rsidRPr="00EC170D">
        <w:rPr>
          <w:rFonts w:asciiTheme="majorBidi" w:eastAsia="Times New Roman" w:hAnsiTheme="majorBidi" w:cstheme="majorBidi"/>
          <w:sz w:val="24"/>
          <w:szCs w:val="24"/>
          <w:highlight w:val="yellow"/>
        </w:rPr>
        <w:t>this regard</w:t>
      </w:r>
      <w:r w:rsidRPr="00EC170D">
        <w:rPr>
          <w:rFonts w:asciiTheme="majorBidi" w:eastAsia="Times New Roman" w:hAnsiTheme="majorBidi" w:cstheme="majorBidi"/>
          <w:sz w:val="24"/>
          <w:szCs w:val="24"/>
          <w:highlight w:val="yellow"/>
        </w:rPr>
        <w:t>,</w:t>
      </w:r>
      <w:r w:rsidRPr="00EC170D">
        <w:rPr>
          <w:rFonts w:asciiTheme="majorBidi" w:eastAsia="Times New Roman" w:hAnsiTheme="majorBidi" w:cstheme="majorBidi"/>
          <w:sz w:val="24"/>
          <w:szCs w:val="24"/>
        </w:rPr>
        <w:t xml:space="preserve"> under the law of omission in the UK, the duty is defined under the legal terms and it is the job of the individual to fulfil the duty as the omission law states, if a person performs a duty, the </w:t>
      </w:r>
      <w:r w:rsidR="00882901" w:rsidRPr="00EC170D">
        <w:rPr>
          <w:rFonts w:asciiTheme="majorBidi" w:eastAsia="Times New Roman" w:hAnsiTheme="majorBidi" w:cstheme="majorBidi"/>
          <w:sz w:val="24"/>
          <w:szCs w:val="24"/>
        </w:rPr>
        <w:t>person</w:t>
      </w:r>
      <w:r w:rsidRPr="00EC170D">
        <w:rPr>
          <w:rFonts w:asciiTheme="majorBidi" w:eastAsia="Times New Roman" w:hAnsiTheme="majorBidi" w:cstheme="majorBidi"/>
          <w:sz w:val="24"/>
          <w:szCs w:val="24"/>
        </w:rPr>
        <w:t xml:space="preserve"> must fulfil it, and otherwise they will be charged with the legal implications. There are certain pros and cons attached to the general duty of law (</w:t>
      </w:r>
      <w:proofErr w:type="spellStart"/>
      <w:r w:rsidRPr="00EC170D">
        <w:rPr>
          <w:rFonts w:asciiTheme="majorBidi" w:eastAsia="Times New Roman" w:hAnsiTheme="majorBidi" w:cstheme="majorBidi"/>
          <w:sz w:val="24"/>
          <w:szCs w:val="24"/>
        </w:rPr>
        <w:t>Beran</w:t>
      </w:r>
      <w:proofErr w:type="spellEnd"/>
      <w:r w:rsidRPr="00EC170D">
        <w:rPr>
          <w:rFonts w:asciiTheme="majorBidi" w:eastAsia="Times New Roman" w:hAnsiTheme="majorBidi" w:cstheme="majorBidi"/>
          <w:sz w:val="24"/>
          <w:szCs w:val="24"/>
        </w:rPr>
        <w:t xml:space="preserve"> et al.2019). The people how are for the law state th</w:t>
      </w:r>
      <w:r w:rsidR="00882901" w:rsidRPr="00EC170D">
        <w:rPr>
          <w:rFonts w:asciiTheme="majorBidi" w:eastAsia="Times New Roman" w:hAnsiTheme="majorBidi" w:cstheme="majorBidi"/>
          <w:sz w:val="24"/>
          <w:szCs w:val="24"/>
        </w:rPr>
        <w:t>at</w:t>
      </w:r>
      <w:r w:rsidRPr="00EC170D">
        <w:rPr>
          <w:rFonts w:asciiTheme="majorBidi" w:eastAsia="Times New Roman" w:hAnsiTheme="majorBidi" w:cstheme="majorBidi"/>
          <w:sz w:val="24"/>
          <w:szCs w:val="24"/>
        </w:rPr>
        <w:t xml:space="preserve"> it will protect people from getting harmed an get proper which is beneficial it is the duty of individuals to provide proper care and prevent people from getting harmed or injured. Under the law of omission, it states that the blameworthy will be accountable for their actions and will not escape liability. In the counterargument, it was stated </w:t>
      </w:r>
      <w:r w:rsidR="00882901" w:rsidRPr="00EC170D">
        <w:rPr>
          <w:rFonts w:asciiTheme="majorBidi" w:eastAsia="Times New Roman" w:hAnsiTheme="majorBidi" w:cstheme="majorBidi"/>
          <w:sz w:val="24"/>
          <w:szCs w:val="24"/>
        </w:rPr>
        <w:t>that</w:t>
      </w:r>
      <w:r w:rsidRPr="00EC170D">
        <w:rPr>
          <w:rFonts w:asciiTheme="majorBidi" w:eastAsia="Times New Roman" w:hAnsiTheme="majorBidi" w:cstheme="majorBidi"/>
          <w:sz w:val="24"/>
          <w:szCs w:val="24"/>
        </w:rPr>
        <w:t xml:space="preserve"> the general law will be impose a burden on the people and will treat the people unfairly, and make ordinary people’s life </w:t>
      </w:r>
      <w:r w:rsidR="00882901" w:rsidRPr="00EC170D">
        <w:rPr>
          <w:rFonts w:asciiTheme="majorBidi" w:eastAsia="Times New Roman" w:hAnsiTheme="majorBidi" w:cstheme="majorBidi"/>
          <w:sz w:val="24"/>
          <w:szCs w:val="24"/>
        </w:rPr>
        <w:t>more</w:t>
      </w:r>
      <w:r w:rsidRPr="00EC170D">
        <w:rPr>
          <w:rFonts w:asciiTheme="majorBidi" w:eastAsia="Times New Roman" w:hAnsiTheme="majorBidi" w:cstheme="majorBidi"/>
          <w:sz w:val="24"/>
          <w:szCs w:val="24"/>
        </w:rPr>
        <w:t xml:space="preserve"> restrictive. It was seen in Stone and Dobinson, 1977, where they initiated care for stones’ sister but due to their low intelligence </w:t>
      </w:r>
      <w:r w:rsidR="00882901" w:rsidRPr="00EC170D">
        <w:rPr>
          <w:rFonts w:asciiTheme="majorBidi" w:eastAsia="Times New Roman" w:hAnsiTheme="majorBidi" w:cstheme="majorBidi"/>
          <w:sz w:val="24"/>
          <w:szCs w:val="24"/>
        </w:rPr>
        <w:t>level, they</w:t>
      </w:r>
      <w:r w:rsidRPr="00EC170D">
        <w:rPr>
          <w:rFonts w:asciiTheme="majorBidi" w:eastAsia="Times New Roman" w:hAnsiTheme="majorBidi" w:cstheme="majorBidi"/>
          <w:sz w:val="24"/>
          <w:szCs w:val="24"/>
        </w:rPr>
        <w:t xml:space="preserve"> </w:t>
      </w:r>
      <w:r w:rsidRPr="00EC170D">
        <w:rPr>
          <w:rFonts w:asciiTheme="majorBidi" w:eastAsia="Times New Roman" w:hAnsiTheme="majorBidi" w:cstheme="majorBidi"/>
          <w:sz w:val="24"/>
          <w:szCs w:val="24"/>
          <w:highlight w:val="yellow"/>
        </w:rPr>
        <w:t xml:space="preserve">were unable to meet the needs of the sister and she died, but the defendants were charged with manslaughter as their actions of care involved taking care of Stone’s sister, getting her food, and </w:t>
      </w:r>
      <w:r w:rsidR="00882901" w:rsidRPr="00EC170D">
        <w:rPr>
          <w:rFonts w:asciiTheme="majorBidi" w:eastAsia="Times New Roman" w:hAnsiTheme="majorBidi" w:cstheme="majorBidi"/>
          <w:sz w:val="24"/>
          <w:szCs w:val="24"/>
          <w:highlight w:val="yellow"/>
        </w:rPr>
        <w:t>craning</w:t>
      </w:r>
      <w:r w:rsidRPr="00EC170D">
        <w:rPr>
          <w:rFonts w:asciiTheme="majorBidi" w:eastAsia="Times New Roman" w:hAnsiTheme="majorBidi" w:cstheme="majorBidi"/>
          <w:sz w:val="24"/>
          <w:szCs w:val="24"/>
          <w:highlight w:val="yellow"/>
        </w:rPr>
        <w:t xml:space="preserve"> her with the help of a </w:t>
      </w:r>
      <w:r w:rsidR="00882901" w:rsidRPr="00EC170D">
        <w:rPr>
          <w:rFonts w:asciiTheme="majorBidi" w:eastAsia="Times New Roman" w:hAnsiTheme="majorBidi" w:cstheme="majorBidi"/>
          <w:sz w:val="24"/>
          <w:szCs w:val="24"/>
          <w:highlight w:val="yellow"/>
        </w:rPr>
        <w:t>neighbor</w:t>
      </w:r>
      <w:r w:rsidRPr="00EC170D">
        <w:rPr>
          <w:rFonts w:asciiTheme="majorBidi" w:eastAsia="Times New Roman" w:hAnsiTheme="majorBidi" w:cstheme="majorBidi"/>
          <w:sz w:val="24"/>
          <w:szCs w:val="24"/>
          <w:highlight w:val="yellow"/>
        </w:rPr>
        <w:t xml:space="preserve">. </w:t>
      </w:r>
    </w:p>
    <w:p w14:paraId="7D841782" w14:textId="2D75327E" w:rsidR="00882901" w:rsidRPr="00EC170D" w:rsidRDefault="00882901" w:rsidP="00BB58AB">
      <w:pPr>
        <w:rPr>
          <w:rFonts w:asciiTheme="majorBidi" w:eastAsia="Times New Roman" w:hAnsiTheme="majorBidi" w:cstheme="majorBidi"/>
          <w:sz w:val="24"/>
          <w:szCs w:val="24"/>
        </w:rPr>
      </w:pPr>
      <w:r w:rsidRPr="00EC170D">
        <w:rPr>
          <w:rFonts w:asciiTheme="majorBidi" w:eastAsia="Times New Roman" w:hAnsiTheme="majorBidi" w:cstheme="majorBidi"/>
          <w:b/>
          <w:bCs/>
          <w:sz w:val="24"/>
          <w:szCs w:val="24"/>
        </w:rPr>
        <w:t>C</w:t>
      </w:r>
      <w:r w:rsidR="00BB58AB" w:rsidRPr="00EC170D">
        <w:rPr>
          <w:rFonts w:asciiTheme="majorBidi" w:eastAsia="Times New Roman" w:hAnsiTheme="majorBidi" w:cstheme="majorBidi"/>
          <w:b/>
          <w:bCs/>
          <w:sz w:val="24"/>
          <w:szCs w:val="24"/>
        </w:rPr>
        <w:t>onclusion</w:t>
      </w:r>
      <w:r w:rsidR="00BB58AB" w:rsidRPr="00EC170D">
        <w:rPr>
          <w:rFonts w:asciiTheme="majorBidi" w:eastAsia="Times New Roman" w:hAnsiTheme="majorBidi" w:cstheme="majorBidi"/>
          <w:sz w:val="24"/>
          <w:szCs w:val="24"/>
        </w:rPr>
        <w:t xml:space="preserve">, </w:t>
      </w:r>
    </w:p>
    <w:p w14:paraId="13CFDF77" w14:textId="09364579" w:rsidR="00BB58AB" w:rsidRDefault="00902C9C" w:rsidP="00EC170D">
      <w:pPr>
        <w:rPr>
          <w:rFonts w:asciiTheme="majorBidi" w:eastAsia="Times New Roman" w:hAnsiTheme="majorBidi" w:cstheme="majorBidi"/>
          <w:sz w:val="24"/>
          <w:szCs w:val="24"/>
        </w:rPr>
      </w:pPr>
      <w:r w:rsidRPr="00EC170D">
        <w:rPr>
          <w:rFonts w:asciiTheme="majorBidi" w:eastAsia="Times New Roman" w:hAnsiTheme="majorBidi" w:cstheme="majorBidi"/>
          <w:sz w:val="24"/>
          <w:szCs w:val="24"/>
          <w:highlight w:val="yellow"/>
        </w:rPr>
        <w:t>I</w:t>
      </w:r>
      <w:r w:rsidR="00BB58AB" w:rsidRPr="00EC170D">
        <w:rPr>
          <w:rFonts w:asciiTheme="majorBidi" w:eastAsia="Times New Roman" w:hAnsiTheme="majorBidi" w:cstheme="majorBidi"/>
          <w:sz w:val="24"/>
          <w:szCs w:val="24"/>
          <w:highlight w:val="yellow"/>
        </w:rPr>
        <w:t>t can be stated that the present study has provided</w:t>
      </w:r>
      <w:r w:rsidR="00BB58AB" w:rsidRPr="00EC170D">
        <w:rPr>
          <w:rFonts w:asciiTheme="majorBidi" w:eastAsia="Times New Roman" w:hAnsiTheme="majorBidi" w:cstheme="majorBidi"/>
          <w:sz w:val="24"/>
          <w:szCs w:val="24"/>
        </w:rPr>
        <w:t xml:space="preserve"> the opportunity to study criminal liability under the law of omission in the UK. The outcomes of this study outline the situations when criminal liability upholds for failing to act. </w:t>
      </w:r>
    </w:p>
    <w:p w14:paraId="0156387C" w14:textId="77777777" w:rsidR="00AE0611" w:rsidRPr="00EC170D" w:rsidRDefault="00AE0611" w:rsidP="00EC170D">
      <w:pPr>
        <w:rPr>
          <w:rFonts w:asciiTheme="majorBidi" w:eastAsia="Times New Roman" w:hAnsiTheme="majorBidi" w:cstheme="majorBidi"/>
          <w:sz w:val="24"/>
          <w:szCs w:val="24"/>
        </w:rPr>
      </w:pPr>
    </w:p>
    <w:p w14:paraId="1F4246B3" w14:textId="5B277567" w:rsidR="00BB58AB" w:rsidRPr="00EC170D" w:rsidRDefault="00BB58AB" w:rsidP="00BB58AB">
      <w:pPr>
        <w:rPr>
          <w:rFonts w:asciiTheme="majorBidi" w:hAnsiTheme="majorBidi" w:cstheme="majorBidi"/>
          <w:b/>
          <w:bCs/>
          <w:sz w:val="32"/>
          <w:szCs w:val="32"/>
        </w:rPr>
      </w:pPr>
      <w:r w:rsidRPr="00EC170D">
        <w:rPr>
          <w:rFonts w:asciiTheme="majorBidi" w:hAnsiTheme="majorBidi" w:cstheme="majorBidi"/>
          <w:b/>
          <w:bCs/>
          <w:sz w:val="32"/>
          <w:szCs w:val="32"/>
        </w:rPr>
        <w:t>References</w:t>
      </w:r>
    </w:p>
    <w:p w14:paraId="4C9F14CC" w14:textId="2E9250D9" w:rsidR="00BB58AB" w:rsidRPr="00EC170D" w:rsidRDefault="00BB58AB" w:rsidP="00BB58AB">
      <w:pPr>
        <w:rPr>
          <w:rFonts w:asciiTheme="majorBidi" w:hAnsiTheme="majorBidi" w:cstheme="majorBidi"/>
          <w:i/>
          <w:iCs/>
          <w:sz w:val="28"/>
          <w:szCs w:val="28"/>
        </w:rPr>
      </w:pPr>
      <w:r w:rsidRPr="00EC170D">
        <w:rPr>
          <w:rFonts w:asciiTheme="majorBidi" w:hAnsiTheme="majorBidi" w:cstheme="majorBidi"/>
          <w:sz w:val="28"/>
          <w:szCs w:val="28"/>
        </w:rPr>
        <w:t xml:space="preserve">Ashworth, A., 2018. A new generation of omissions </w:t>
      </w:r>
      <w:r w:rsidRPr="00EC170D">
        <w:rPr>
          <w:rFonts w:asciiTheme="majorBidi" w:hAnsiTheme="majorBidi" w:cstheme="majorBidi"/>
          <w:sz w:val="28"/>
          <w:szCs w:val="28"/>
        </w:rPr>
        <w:t>offences?</w:t>
      </w:r>
      <w:r w:rsidRPr="00EC170D">
        <w:rPr>
          <w:rFonts w:asciiTheme="majorBidi" w:hAnsiTheme="majorBidi" w:cstheme="majorBidi"/>
          <w:sz w:val="28"/>
          <w:szCs w:val="28"/>
        </w:rPr>
        <w:t xml:space="preserve"> </w:t>
      </w:r>
      <w:r w:rsidRPr="00EC170D">
        <w:rPr>
          <w:rFonts w:asciiTheme="majorBidi" w:hAnsiTheme="majorBidi" w:cstheme="majorBidi"/>
          <w:i/>
          <w:iCs/>
          <w:sz w:val="28"/>
          <w:szCs w:val="28"/>
        </w:rPr>
        <w:t xml:space="preserve">Criminal Law </w:t>
      </w:r>
    </w:p>
    <w:p w14:paraId="1FC41D11" w14:textId="0213FB58" w:rsidR="00902C9C" w:rsidRDefault="00BB58AB" w:rsidP="00EC170D">
      <w:pPr>
        <w:rPr>
          <w:rFonts w:asciiTheme="majorBidi" w:hAnsiTheme="majorBidi" w:cstheme="majorBidi"/>
          <w:sz w:val="28"/>
          <w:szCs w:val="28"/>
        </w:rPr>
      </w:pPr>
      <w:r w:rsidRPr="00EC170D">
        <w:rPr>
          <w:rFonts w:asciiTheme="majorBidi" w:hAnsiTheme="majorBidi" w:cstheme="majorBidi"/>
          <w:i/>
          <w:iCs/>
          <w:sz w:val="28"/>
          <w:szCs w:val="28"/>
        </w:rPr>
        <w:t>Review,</w:t>
      </w:r>
      <w:r w:rsidRPr="00EC170D">
        <w:rPr>
          <w:rFonts w:asciiTheme="majorBidi" w:hAnsiTheme="majorBidi" w:cstheme="majorBidi"/>
          <w:sz w:val="28"/>
          <w:szCs w:val="28"/>
        </w:rPr>
        <w:t xml:space="preserve"> 2018(5).</w:t>
      </w:r>
    </w:p>
    <w:p w14:paraId="59264B9C" w14:textId="77777777" w:rsidR="00EC170D" w:rsidRPr="00EC170D" w:rsidRDefault="00EC170D" w:rsidP="00EC170D">
      <w:pPr>
        <w:rPr>
          <w:rFonts w:asciiTheme="majorBidi" w:hAnsiTheme="majorBidi" w:cstheme="majorBidi"/>
          <w:sz w:val="28"/>
          <w:szCs w:val="28"/>
        </w:rPr>
      </w:pPr>
    </w:p>
    <w:p w14:paraId="0A2A199E" w14:textId="77777777" w:rsidR="00BB58AB" w:rsidRPr="00EC170D" w:rsidRDefault="00BB58AB" w:rsidP="00BB58AB">
      <w:pPr>
        <w:rPr>
          <w:rFonts w:asciiTheme="majorBidi" w:hAnsiTheme="majorBidi" w:cstheme="majorBidi"/>
          <w:sz w:val="28"/>
          <w:szCs w:val="28"/>
        </w:rPr>
      </w:pPr>
      <w:proofErr w:type="spellStart"/>
      <w:r w:rsidRPr="00EC170D">
        <w:rPr>
          <w:rFonts w:asciiTheme="majorBidi" w:hAnsiTheme="majorBidi" w:cstheme="majorBidi"/>
          <w:sz w:val="28"/>
          <w:szCs w:val="28"/>
        </w:rPr>
        <w:t>Beran</w:t>
      </w:r>
      <w:proofErr w:type="spellEnd"/>
      <w:r w:rsidRPr="00EC170D">
        <w:rPr>
          <w:rFonts w:asciiTheme="majorBidi" w:hAnsiTheme="majorBidi" w:cstheme="majorBidi"/>
          <w:sz w:val="28"/>
          <w:szCs w:val="28"/>
        </w:rPr>
        <w:t xml:space="preserve">, K. and </w:t>
      </w:r>
      <w:proofErr w:type="spellStart"/>
      <w:r w:rsidRPr="00EC170D">
        <w:rPr>
          <w:rFonts w:asciiTheme="majorBidi" w:hAnsiTheme="majorBidi" w:cstheme="majorBidi"/>
          <w:sz w:val="28"/>
          <w:szCs w:val="28"/>
        </w:rPr>
        <w:t>Elischer</w:t>
      </w:r>
      <w:proofErr w:type="spellEnd"/>
      <w:r w:rsidRPr="00EC170D">
        <w:rPr>
          <w:rFonts w:asciiTheme="majorBidi" w:hAnsiTheme="majorBidi" w:cstheme="majorBidi"/>
          <w:sz w:val="28"/>
          <w:szCs w:val="28"/>
        </w:rPr>
        <w:t xml:space="preserve">, D., 2019. Has ‘Strict </w:t>
      </w:r>
      <w:proofErr w:type="spellStart"/>
      <w:r w:rsidRPr="00EC170D">
        <w:rPr>
          <w:rFonts w:asciiTheme="majorBidi" w:hAnsiTheme="majorBidi" w:cstheme="majorBidi"/>
          <w:sz w:val="28"/>
          <w:szCs w:val="28"/>
        </w:rPr>
        <w:t>Liability’Given</w:t>
      </w:r>
      <w:proofErr w:type="spellEnd"/>
      <w:r w:rsidRPr="00EC170D">
        <w:rPr>
          <w:rFonts w:asciiTheme="majorBidi" w:hAnsiTheme="majorBidi" w:cstheme="majorBidi"/>
          <w:sz w:val="28"/>
          <w:szCs w:val="28"/>
        </w:rPr>
        <w:t xml:space="preserve"> Way to a General </w:t>
      </w:r>
    </w:p>
    <w:p w14:paraId="0C257009" w14:textId="7C50079D" w:rsidR="00BB58AB" w:rsidRPr="00EC170D" w:rsidRDefault="00BB58AB" w:rsidP="00BB58AB">
      <w:pPr>
        <w:rPr>
          <w:rFonts w:asciiTheme="majorBidi" w:hAnsiTheme="majorBidi" w:cstheme="majorBidi"/>
          <w:i/>
          <w:iCs/>
          <w:sz w:val="28"/>
          <w:szCs w:val="28"/>
        </w:rPr>
      </w:pPr>
      <w:r w:rsidRPr="00EC170D">
        <w:rPr>
          <w:rFonts w:asciiTheme="majorBidi" w:hAnsiTheme="majorBidi" w:cstheme="majorBidi"/>
          <w:sz w:val="28"/>
          <w:szCs w:val="28"/>
        </w:rPr>
        <w:t xml:space="preserve">‘Duty to Compensate </w:t>
      </w:r>
      <w:proofErr w:type="spellStart"/>
      <w:r w:rsidRPr="00EC170D">
        <w:rPr>
          <w:rFonts w:asciiTheme="majorBidi" w:hAnsiTheme="majorBidi" w:cstheme="majorBidi"/>
          <w:sz w:val="28"/>
          <w:szCs w:val="28"/>
        </w:rPr>
        <w:t>Harm’in</w:t>
      </w:r>
      <w:proofErr w:type="spellEnd"/>
      <w:r w:rsidRPr="00EC170D">
        <w:rPr>
          <w:rFonts w:asciiTheme="majorBidi" w:hAnsiTheme="majorBidi" w:cstheme="majorBidi"/>
          <w:sz w:val="28"/>
          <w:szCs w:val="28"/>
        </w:rPr>
        <w:t xml:space="preserve"> Czech </w:t>
      </w:r>
      <w:r w:rsidRPr="00EC170D">
        <w:rPr>
          <w:rFonts w:asciiTheme="majorBidi" w:hAnsiTheme="majorBidi" w:cstheme="majorBidi"/>
          <w:sz w:val="28"/>
          <w:szCs w:val="28"/>
        </w:rPr>
        <w:t>Law?</w:t>
      </w:r>
      <w:r w:rsidRPr="00EC170D">
        <w:rPr>
          <w:rFonts w:asciiTheme="majorBidi" w:hAnsiTheme="majorBidi" w:cstheme="majorBidi"/>
          <w:sz w:val="28"/>
          <w:szCs w:val="28"/>
        </w:rPr>
        <w:t xml:space="preserve"> </w:t>
      </w:r>
      <w:r w:rsidRPr="00EC170D">
        <w:rPr>
          <w:rFonts w:asciiTheme="majorBidi" w:hAnsiTheme="majorBidi" w:cstheme="majorBidi"/>
          <w:i/>
          <w:iCs/>
          <w:sz w:val="28"/>
          <w:szCs w:val="28"/>
        </w:rPr>
        <w:t xml:space="preserve">Review of Central and East </w:t>
      </w:r>
    </w:p>
    <w:p w14:paraId="3FF03647" w14:textId="4D78B5A9" w:rsidR="00BB58AB" w:rsidRDefault="00BB58AB" w:rsidP="00902C9C">
      <w:pPr>
        <w:rPr>
          <w:rFonts w:asciiTheme="majorBidi" w:hAnsiTheme="majorBidi" w:cstheme="majorBidi"/>
          <w:sz w:val="28"/>
          <w:szCs w:val="28"/>
        </w:rPr>
      </w:pPr>
      <w:r w:rsidRPr="00EC170D">
        <w:rPr>
          <w:rFonts w:asciiTheme="majorBidi" w:hAnsiTheme="majorBidi" w:cstheme="majorBidi"/>
          <w:i/>
          <w:iCs/>
          <w:sz w:val="28"/>
          <w:szCs w:val="28"/>
        </w:rPr>
        <w:t>European Law</w:t>
      </w:r>
      <w:r w:rsidRPr="00EC170D">
        <w:rPr>
          <w:rFonts w:asciiTheme="majorBidi" w:hAnsiTheme="majorBidi" w:cstheme="majorBidi"/>
          <w:sz w:val="28"/>
          <w:szCs w:val="28"/>
        </w:rPr>
        <w:t>, 44(1), pp.58-90.</w:t>
      </w:r>
    </w:p>
    <w:p w14:paraId="14C7E090" w14:textId="77777777" w:rsidR="00EC170D" w:rsidRPr="00EC170D" w:rsidRDefault="00EC170D" w:rsidP="00902C9C">
      <w:pPr>
        <w:rPr>
          <w:rFonts w:asciiTheme="majorBidi" w:hAnsiTheme="majorBidi" w:cstheme="majorBidi"/>
          <w:sz w:val="28"/>
          <w:szCs w:val="28"/>
        </w:rPr>
      </w:pPr>
    </w:p>
    <w:p w14:paraId="10761FF4" w14:textId="6773A0E7" w:rsidR="00902C9C" w:rsidRPr="00EC170D" w:rsidRDefault="00EC170D" w:rsidP="00AE0611">
      <w:pPr>
        <w:spacing w:line="480" w:lineRule="auto"/>
        <w:jc w:val="both"/>
        <w:rPr>
          <w:rFonts w:asciiTheme="majorBidi" w:hAnsiTheme="majorBidi" w:cstheme="majorBidi"/>
          <w:sz w:val="28"/>
          <w:szCs w:val="28"/>
        </w:rPr>
      </w:pPr>
      <w:r w:rsidRPr="00EC170D">
        <w:rPr>
          <w:rFonts w:asciiTheme="majorBidi" w:hAnsiTheme="majorBidi" w:cstheme="majorBidi"/>
          <w:sz w:val="28"/>
          <w:szCs w:val="28"/>
        </w:rPr>
        <w:t xml:space="preserve">Criminal act or omission: Legal guidance (2022) LexisNexis. LexisNexis. Available </w:t>
      </w:r>
      <w:proofErr w:type="gramStart"/>
      <w:r w:rsidRPr="00EC170D">
        <w:rPr>
          <w:rFonts w:asciiTheme="majorBidi" w:hAnsiTheme="majorBidi" w:cstheme="majorBidi"/>
          <w:sz w:val="28"/>
          <w:szCs w:val="28"/>
        </w:rPr>
        <w:t>at:https://www.lexisnexis.co.uk/legal/guidance/criminal-act-or-</w:t>
      </w:r>
      <w:r w:rsidRPr="00EC170D">
        <w:rPr>
          <w:rFonts w:asciiTheme="majorBidi" w:hAnsiTheme="majorBidi" w:cstheme="majorBidi"/>
          <w:sz w:val="28"/>
          <w:szCs w:val="28"/>
        </w:rPr>
        <w:lastRenderedPageBreak/>
        <w:t>omission#:~:text=There%20is%20no%20general%20duty,duty%20to%20act</w:t>
      </w:r>
      <w:proofErr w:type="gramEnd"/>
      <w:r w:rsidRPr="00EC170D">
        <w:rPr>
          <w:rFonts w:asciiTheme="majorBidi" w:hAnsiTheme="majorBidi" w:cstheme="majorBidi"/>
          <w:sz w:val="28"/>
          <w:szCs w:val="28"/>
        </w:rPr>
        <w:t xml:space="preserve">. (Accessed: March 24, 2023). </w:t>
      </w:r>
    </w:p>
    <w:p w14:paraId="7D5F1928" w14:textId="77777777" w:rsidR="00BB58AB" w:rsidRPr="00EC170D" w:rsidRDefault="00BB58AB" w:rsidP="00BB58AB">
      <w:pPr>
        <w:rPr>
          <w:rFonts w:asciiTheme="majorBidi" w:hAnsiTheme="majorBidi" w:cstheme="majorBidi"/>
          <w:i/>
          <w:iCs/>
          <w:sz w:val="28"/>
          <w:szCs w:val="28"/>
        </w:rPr>
      </w:pPr>
      <w:proofErr w:type="spellStart"/>
      <w:r w:rsidRPr="00EC170D">
        <w:rPr>
          <w:rFonts w:asciiTheme="majorBidi" w:hAnsiTheme="majorBidi" w:cstheme="majorBidi"/>
          <w:sz w:val="28"/>
          <w:szCs w:val="28"/>
        </w:rPr>
        <w:t>Gradinaru</w:t>
      </w:r>
      <w:proofErr w:type="spellEnd"/>
      <w:r w:rsidRPr="00EC170D">
        <w:rPr>
          <w:rFonts w:asciiTheme="majorBidi" w:hAnsiTheme="majorBidi" w:cstheme="majorBidi"/>
          <w:sz w:val="28"/>
          <w:szCs w:val="28"/>
        </w:rPr>
        <w:t xml:space="preserve">, D., 2018, November. The Principle of Legality. In </w:t>
      </w:r>
      <w:r w:rsidRPr="00EC170D">
        <w:rPr>
          <w:rFonts w:asciiTheme="majorBidi" w:hAnsiTheme="majorBidi" w:cstheme="majorBidi"/>
          <w:i/>
          <w:iCs/>
          <w:sz w:val="28"/>
          <w:szCs w:val="28"/>
        </w:rPr>
        <w:t xml:space="preserve">RAIS Conference </w:t>
      </w:r>
    </w:p>
    <w:p w14:paraId="44550BCB" w14:textId="77777777" w:rsidR="00BB58AB" w:rsidRDefault="00BB58AB" w:rsidP="00BB58AB">
      <w:pPr>
        <w:rPr>
          <w:rFonts w:asciiTheme="majorBidi" w:hAnsiTheme="majorBidi" w:cstheme="majorBidi"/>
          <w:sz w:val="28"/>
          <w:szCs w:val="28"/>
        </w:rPr>
      </w:pPr>
      <w:r w:rsidRPr="00EC170D">
        <w:rPr>
          <w:rFonts w:asciiTheme="majorBidi" w:hAnsiTheme="majorBidi" w:cstheme="majorBidi"/>
          <w:i/>
          <w:iCs/>
          <w:sz w:val="28"/>
          <w:szCs w:val="28"/>
        </w:rPr>
        <w:t>Proceedings- The 11th International RAIS Conference on Social Sciences</w:t>
      </w:r>
      <w:r w:rsidRPr="00EC170D">
        <w:rPr>
          <w:rFonts w:asciiTheme="majorBidi" w:hAnsiTheme="majorBidi" w:cstheme="majorBidi"/>
          <w:sz w:val="28"/>
          <w:szCs w:val="28"/>
        </w:rPr>
        <w:t>.</w:t>
      </w:r>
    </w:p>
    <w:p w14:paraId="0E862169" w14:textId="77777777" w:rsidR="00EC170D" w:rsidRPr="00EC170D" w:rsidRDefault="00EC170D" w:rsidP="00BB58AB">
      <w:pPr>
        <w:rPr>
          <w:rFonts w:asciiTheme="majorBidi" w:hAnsiTheme="majorBidi" w:cstheme="majorBidi"/>
          <w:sz w:val="28"/>
          <w:szCs w:val="28"/>
        </w:rPr>
      </w:pPr>
    </w:p>
    <w:p w14:paraId="0DB232C1" w14:textId="77777777" w:rsidR="00BB58AB" w:rsidRPr="00EC170D" w:rsidRDefault="00BB58AB" w:rsidP="00BB58AB">
      <w:pPr>
        <w:rPr>
          <w:rFonts w:asciiTheme="majorBidi" w:hAnsiTheme="majorBidi" w:cstheme="majorBidi"/>
          <w:sz w:val="28"/>
          <w:szCs w:val="28"/>
        </w:rPr>
      </w:pPr>
      <w:r w:rsidRPr="00EC170D">
        <w:rPr>
          <w:rFonts w:asciiTheme="majorBidi" w:hAnsiTheme="majorBidi" w:cstheme="majorBidi"/>
          <w:sz w:val="28"/>
          <w:szCs w:val="28"/>
        </w:rPr>
        <w:t xml:space="preserve">Griffith, R., 2018. Neglect by </w:t>
      </w:r>
      <w:proofErr w:type="spellStart"/>
      <w:r w:rsidRPr="00EC170D">
        <w:rPr>
          <w:rFonts w:asciiTheme="majorBidi" w:hAnsiTheme="majorBidi" w:cstheme="majorBidi"/>
          <w:sz w:val="28"/>
          <w:szCs w:val="28"/>
        </w:rPr>
        <w:t>carers</w:t>
      </w:r>
      <w:proofErr w:type="spellEnd"/>
      <w:r w:rsidRPr="00EC170D">
        <w:rPr>
          <w:rFonts w:asciiTheme="majorBidi" w:hAnsiTheme="majorBidi" w:cstheme="majorBidi"/>
          <w:sz w:val="28"/>
          <w:szCs w:val="28"/>
        </w:rPr>
        <w:t xml:space="preserve">. </w:t>
      </w:r>
      <w:r w:rsidRPr="00EC170D">
        <w:rPr>
          <w:rFonts w:asciiTheme="majorBidi" w:hAnsiTheme="majorBidi" w:cstheme="majorBidi"/>
          <w:i/>
          <w:iCs/>
          <w:sz w:val="28"/>
          <w:szCs w:val="28"/>
        </w:rPr>
        <w:t>British Journal of Community Nursing</w:t>
      </w:r>
      <w:r w:rsidRPr="00EC170D">
        <w:rPr>
          <w:rFonts w:asciiTheme="majorBidi" w:hAnsiTheme="majorBidi" w:cstheme="majorBidi"/>
          <w:sz w:val="28"/>
          <w:szCs w:val="28"/>
        </w:rPr>
        <w:t xml:space="preserve">, </w:t>
      </w:r>
    </w:p>
    <w:p w14:paraId="0851DEF3" w14:textId="77777777" w:rsidR="00BB58AB" w:rsidRPr="00EC170D" w:rsidRDefault="00BB58AB" w:rsidP="00BB58AB">
      <w:pPr>
        <w:rPr>
          <w:rFonts w:asciiTheme="majorBidi" w:hAnsiTheme="majorBidi" w:cstheme="majorBidi"/>
          <w:sz w:val="28"/>
          <w:szCs w:val="28"/>
          <w:rtl/>
        </w:rPr>
      </w:pPr>
      <w:r w:rsidRPr="00EC170D">
        <w:rPr>
          <w:rFonts w:asciiTheme="majorBidi" w:hAnsiTheme="majorBidi" w:cstheme="majorBidi"/>
          <w:sz w:val="28"/>
          <w:szCs w:val="28"/>
        </w:rPr>
        <w:t>23(8), pp.407-409.</w:t>
      </w:r>
    </w:p>
    <w:p w14:paraId="47E2B2AB" w14:textId="77777777" w:rsidR="00BB58AB" w:rsidRPr="00EC170D" w:rsidRDefault="00BB58AB" w:rsidP="00BB58AB">
      <w:pPr>
        <w:rPr>
          <w:rFonts w:asciiTheme="majorBidi" w:hAnsiTheme="majorBidi" w:cstheme="majorBidi"/>
          <w:sz w:val="28"/>
          <w:szCs w:val="28"/>
        </w:rPr>
      </w:pPr>
    </w:p>
    <w:p w14:paraId="5EED3245" w14:textId="77777777" w:rsidR="00BB58AB" w:rsidRPr="00EC170D" w:rsidRDefault="00BB58AB" w:rsidP="00BB58AB">
      <w:pPr>
        <w:rPr>
          <w:rFonts w:asciiTheme="majorBidi" w:hAnsiTheme="majorBidi" w:cstheme="majorBidi"/>
          <w:sz w:val="28"/>
          <w:szCs w:val="28"/>
          <w:rtl/>
        </w:rPr>
      </w:pPr>
      <w:r w:rsidRPr="00EC170D">
        <w:rPr>
          <w:rFonts w:asciiTheme="majorBidi" w:hAnsiTheme="majorBidi" w:cstheme="majorBidi"/>
          <w:sz w:val="28"/>
          <w:szCs w:val="28"/>
        </w:rPr>
        <w:t xml:space="preserve">Heinze, E.,2018. Theorizing Law and Historical Memory: Denialism and the Pre- Conditions of Human Rights. </w:t>
      </w:r>
      <w:r w:rsidRPr="005E74E8">
        <w:rPr>
          <w:rFonts w:asciiTheme="majorBidi" w:hAnsiTheme="majorBidi" w:cstheme="majorBidi"/>
          <w:i/>
          <w:iCs/>
          <w:sz w:val="28"/>
          <w:szCs w:val="28"/>
        </w:rPr>
        <w:t>J. Comp. L</w:t>
      </w:r>
      <w:r w:rsidRPr="00EC170D">
        <w:rPr>
          <w:rFonts w:asciiTheme="majorBidi" w:hAnsiTheme="majorBidi" w:cstheme="majorBidi"/>
          <w:sz w:val="28"/>
          <w:szCs w:val="28"/>
        </w:rPr>
        <w:t>., 13, p.43.</w:t>
      </w:r>
    </w:p>
    <w:p w14:paraId="4CAE6D56" w14:textId="77777777" w:rsidR="00BB58AB" w:rsidRPr="00EC170D" w:rsidRDefault="00BB58AB" w:rsidP="00BB58AB">
      <w:pPr>
        <w:rPr>
          <w:rFonts w:asciiTheme="majorBidi" w:hAnsiTheme="majorBidi" w:cstheme="majorBidi"/>
          <w:sz w:val="28"/>
          <w:szCs w:val="28"/>
        </w:rPr>
      </w:pPr>
    </w:p>
    <w:p w14:paraId="5AA56823" w14:textId="77777777" w:rsidR="00BB58AB" w:rsidRPr="00EC170D" w:rsidRDefault="00BB58AB" w:rsidP="00BB58AB">
      <w:pPr>
        <w:rPr>
          <w:rFonts w:asciiTheme="majorBidi" w:hAnsiTheme="majorBidi" w:cstheme="majorBidi"/>
          <w:sz w:val="28"/>
          <w:szCs w:val="28"/>
        </w:rPr>
      </w:pPr>
      <w:proofErr w:type="spellStart"/>
      <w:r w:rsidRPr="00EC170D">
        <w:rPr>
          <w:rFonts w:asciiTheme="majorBidi" w:hAnsiTheme="majorBidi" w:cstheme="majorBidi"/>
          <w:sz w:val="28"/>
          <w:szCs w:val="28"/>
          <w:lang w:val="en-GB"/>
        </w:rPr>
        <w:t>Henne</w:t>
      </w:r>
      <w:proofErr w:type="spellEnd"/>
      <w:r w:rsidRPr="00EC170D">
        <w:rPr>
          <w:rFonts w:asciiTheme="majorBidi" w:hAnsiTheme="majorBidi" w:cstheme="majorBidi"/>
          <w:sz w:val="28"/>
          <w:szCs w:val="28"/>
          <w:lang w:val="en-GB"/>
        </w:rPr>
        <w:t xml:space="preserve">, P., Bello, P., </w:t>
      </w:r>
      <w:proofErr w:type="spellStart"/>
      <w:r w:rsidRPr="00EC170D">
        <w:rPr>
          <w:rFonts w:asciiTheme="majorBidi" w:hAnsiTheme="majorBidi" w:cstheme="majorBidi"/>
          <w:sz w:val="28"/>
          <w:szCs w:val="28"/>
          <w:lang w:val="en-GB"/>
        </w:rPr>
        <w:t>Khemlani</w:t>
      </w:r>
      <w:proofErr w:type="spellEnd"/>
      <w:r w:rsidRPr="00EC170D">
        <w:rPr>
          <w:rFonts w:asciiTheme="majorBidi" w:hAnsiTheme="majorBidi" w:cstheme="majorBidi"/>
          <w:sz w:val="28"/>
          <w:szCs w:val="28"/>
          <w:lang w:val="en-GB"/>
        </w:rPr>
        <w:t xml:space="preserve">, S. and De </w:t>
      </w:r>
      <w:proofErr w:type="spellStart"/>
      <w:r w:rsidRPr="00EC170D">
        <w:rPr>
          <w:rFonts w:asciiTheme="majorBidi" w:hAnsiTheme="majorBidi" w:cstheme="majorBidi"/>
          <w:sz w:val="28"/>
          <w:szCs w:val="28"/>
          <w:lang w:val="en-GB"/>
        </w:rPr>
        <w:t>Brigard</w:t>
      </w:r>
      <w:proofErr w:type="spellEnd"/>
      <w:r w:rsidRPr="00EC170D">
        <w:rPr>
          <w:rFonts w:asciiTheme="majorBidi" w:hAnsiTheme="majorBidi" w:cstheme="majorBidi"/>
          <w:sz w:val="28"/>
          <w:szCs w:val="28"/>
          <w:lang w:val="en-GB"/>
        </w:rPr>
        <w:t xml:space="preserve">, F., 2019. </w:t>
      </w:r>
      <w:r w:rsidRPr="00EC170D">
        <w:rPr>
          <w:rFonts w:asciiTheme="majorBidi" w:hAnsiTheme="majorBidi" w:cstheme="majorBidi"/>
          <w:sz w:val="28"/>
          <w:szCs w:val="28"/>
        </w:rPr>
        <w:t xml:space="preserve">Norms and the </w:t>
      </w:r>
    </w:p>
    <w:p w14:paraId="1698F623" w14:textId="77777777" w:rsidR="00BB58AB" w:rsidRPr="00EC170D" w:rsidRDefault="00BB58AB" w:rsidP="00BB58AB">
      <w:pPr>
        <w:rPr>
          <w:rFonts w:asciiTheme="majorBidi" w:hAnsiTheme="majorBidi" w:cstheme="majorBidi"/>
          <w:sz w:val="28"/>
          <w:szCs w:val="28"/>
          <w:rtl/>
        </w:rPr>
      </w:pPr>
      <w:r w:rsidRPr="00EC170D">
        <w:rPr>
          <w:rFonts w:asciiTheme="majorBidi" w:hAnsiTheme="majorBidi" w:cstheme="majorBidi"/>
          <w:sz w:val="28"/>
          <w:szCs w:val="28"/>
        </w:rPr>
        <w:t>meaning of omissive enabling conditions.</w:t>
      </w:r>
    </w:p>
    <w:p w14:paraId="05275404" w14:textId="77777777" w:rsidR="00BB58AB" w:rsidRPr="00EC170D" w:rsidRDefault="00BB58AB" w:rsidP="00BB58AB">
      <w:pPr>
        <w:rPr>
          <w:rFonts w:asciiTheme="majorBidi" w:hAnsiTheme="majorBidi" w:cstheme="majorBidi"/>
          <w:sz w:val="28"/>
          <w:szCs w:val="28"/>
        </w:rPr>
      </w:pPr>
    </w:p>
    <w:p w14:paraId="50CED2E0" w14:textId="77777777" w:rsidR="00BB58AB" w:rsidRPr="00EC170D" w:rsidRDefault="00BB58AB" w:rsidP="00BB58AB">
      <w:pPr>
        <w:rPr>
          <w:rFonts w:asciiTheme="majorBidi" w:hAnsiTheme="majorBidi" w:cstheme="majorBidi"/>
          <w:sz w:val="28"/>
          <w:szCs w:val="28"/>
        </w:rPr>
      </w:pPr>
      <w:proofErr w:type="spellStart"/>
      <w:r w:rsidRPr="00EC170D">
        <w:rPr>
          <w:rFonts w:asciiTheme="majorBidi" w:hAnsiTheme="majorBidi" w:cstheme="majorBidi"/>
          <w:sz w:val="28"/>
          <w:szCs w:val="28"/>
        </w:rPr>
        <w:t>Hessick</w:t>
      </w:r>
      <w:proofErr w:type="spellEnd"/>
      <w:r w:rsidRPr="00EC170D">
        <w:rPr>
          <w:rFonts w:asciiTheme="majorBidi" w:hAnsiTheme="majorBidi" w:cstheme="majorBidi"/>
          <w:sz w:val="28"/>
          <w:szCs w:val="28"/>
        </w:rPr>
        <w:t xml:space="preserve">, C.B., 2019. The Myth of Common Law Crimes. </w:t>
      </w:r>
      <w:r w:rsidRPr="005E74E8">
        <w:rPr>
          <w:rFonts w:asciiTheme="majorBidi" w:hAnsiTheme="majorBidi" w:cstheme="majorBidi"/>
          <w:i/>
          <w:iCs/>
          <w:sz w:val="28"/>
          <w:szCs w:val="28"/>
        </w:rPr>
        <w:t>Virginia Law Review</w:t>
      </w:r>
      <w:r w:rsidRPr="00EC170D">
        <w:rPr>
          <w:rFonts w:asciiTheme="majorBidi" w:hAnsiTheme="majorBidi" w:cstheme="majorBidi"/>
          <w:sz w:val="28"/>
          <w:szCs w:val="28"/>
        </w:rPr>
        <w:t xml:space="preserve">, </w:t>
      </w:r>
    </w:p>
    <w:p w14:paraId="297CC8C6" w14:textId="77777777" w:rsidR="00BB58AB" w:rsidRDefault="00BB58AB" w:rsidP="00BB58AB">
      <w:pPr>
        <w:rPr>
          <w:rFonts w:asciiTheme="majorBidi" w:hAnsiTheme="majorBidi" w:cstheme="majorBidi"/>
          <w:sz w:val="28"/>
          <w:szCs w:val="28"/>
        </w:rPr>
      </w:pPr>
      <w:r w:rsidRPr="00EC170D">
        <w:rPr>
          <w:rFonts w:asciiTheme="majorBidi" w:hAnsiTheme="majorBidi" w:cstheme="majorBidi"/>
          <w:sz w:val="28"/>
          <w:szCs w:val="28"/>
        </w:rPr>
        <w:t>105(5), pp.965-1024.</w:t>
      </w:r>
    </w:p>
    <w:p w14:paraId="7F1C049D" w14:textId="77777777" w:rsidR="005E74E8" w:rsidRDefault="005E74E8" w:rsidP="00BB58AB">
      <w:pPr>
        <w:rPr>
          <w:rFonts w:asciiTheme="majorBidi" w:hAnsiTheme="majorBidi" w:cstheme="majorBidi"/>
          <w:sz w:val="28"/>
          <w:szCs w:val="28"/>
        </w:rPr>
      </w:pPr>
    </w:p>
    <w:p w14:paraId="332F0EE6" w14:textId="125635E2" w:rsidR="00BB58AB" w:rsidRPr="00EC170D" w:rsidRDefault="00EC170D" w:rsidP="00EC170D">
      <w:pPr>
        <w:spacing w:line="480" w:lineRule="auto"/>
        <w:jc w:val="both"/>
        <w:rPr>
          <w:rFonts w:ascii="Times New Roman" w:hAnsi="Times New Roman" w:cs="Times New Roman"/>
          <w:sz w:val="24"/>
          <w:szCs w:val="24"/>
        </w:rPr>
      </w:pPr>
      <w:r w:rsidRPr="00EC170D">
        <w:rPr>
          <w:rFonts w:ascii="Times New Roman" w:hAnsi="Times New Roman" w:cs="Times New Roman"/>
          <w:sz w:val="28"/>
          <w:szCs w:val="28"/>
        </w:rPr>
        <w:t>Monaghan, N., 2022. Criminal law directions. Oxford University Press</w:t>
      </w:r>
      <w:r w:rsidRPr="00EC170D">
        <w:rPr>
          <w:rFonts w:ascii="Times New Roman" w:hAnsi="Times New Roman" w:cs="Times New Roman"/>
          <w:sz w:val="24"/>
          <w:szCs w:val="24"/>
        </w:rPr>
        <w:t xml:space="preserve">. </w:t>
      </w:r>
    </w:p>
    <w:p w14:paraId="2F5B6586" w14:textId="77777777" w:rsidR="00BB58AB" w:rsidRPr="00EC170D" w:rsidRDefault="00BB58AB" w:rsidP="00BB58AB">
      <w:pPr>
        <w:rPr>
          <w:rFonts w:asciiTheme="majorBidi" w:hAnsiTheme="majorBidi" w:cstheme="majorBidi"/>
          <w:sz w:val="28"/>
          <w:szCs w:val="28"/>
        </w:rPr>
      </w:pPr>
      <w:r w:rsidRPr="00EC170D">
        <w:rPr>
          <w:rFonts w:asciiTheme="majorBidi" w:hAnsiTheme="majorBidi" w:cstheme="majorBidi"/>
          <w:sz w:val="28"/>
          <w:szCs w:val="28"/>
        </w:rPr>
        <w:t xml:space="preserve">Peng, S.K., 2019. Not My Decision to Make: The Courts, Best Interests, and </w:t>
      </w:r>
    </w:p>
    <w:p w14:paraId="7232F4B0" w14:textId="60528298" w:rsidR="3D7F6221" w:rsidRPr="00EC170D" w:rsidRDefault="00BB58AB" w:rsidP="00EC170D">
      <w:pPr>
        <w:rPr>
          <w:rFonts w:asciiTheme="majorBidi" w:eastAsia="Times New Roman" w:hAnsiTheme="majorBidi" w:cstheme="majorBidi"/>
          <w:sz w:val="32"/>
          <w:szCs w:val="32"/>
        </w:rPr>
      </w:pPr>
      <w:r w:rsidRPr="00EC170D">
        <w:rPr>
          <w:rFonts w:asciiTheme="majorBidi" w:hAnsiTheme="majorBidi" w:cstheme="majorBidi"/>
          <w:sz w:val="28"/>
          <w:szCs w:val="28"/>
        </w:rPr>
        <w:t xml:space="preserve">Legally Incompetent Children. </w:t>
      </w:r>
      <w:r w:rsidRPr="005E74E8">
        <w:rPr>
          <w:rFonts w:asciiTheme="majorBidi" w:hAnsiTheme="majorBidi" w:cstheme="majorBidi"/>
          <w:i/>
          <w:iCs/>
          <w:sz w:val="28"/>
          <w:szCs w:val="28"/>
        </w:rPr>
        <w:t>Sing. Comp. L. Rev</w:t>
      </w:r>
      <w:r w:rsidRPr="00EC170D">
        <w:rPr>
          <w:rFonts w:asciiTheme="majorBidi" w:hAnsiTheme="majorBidi" w:cstheme="majorBidi"/>
          <w:sz w:val="28"/>
          <w:szCs w:val="28"/>
        </w:rPr>
        <w:t>., p.174</w:t>
      </w:r>
    </w:p>
    <w:sectPr w:rsidR="3D7F6221" w:rsidRPr="00EC17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406100"/>
    <w:multiLevelType w:val="hybridMultilevel"/>
    <w:tmpl w:val="193EA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1533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99EA76"/>
    <w:rsid w:val="0016CD73"/>
    <w:rsid w:val="0049619C"/>
    <w:rsid w:val="004FC582"/>
    <w:rsid w:val="005E74E8"/>
    <w:rsid w:val="005FE29C"/>
    <w:rsid w:val="00882901"/>
    <w:rsid w:val="008A1E8B"/>
    <w:rsid w:val="00902C9C"/>
    <w:rsid w:val="009E379B"/>
    <w:rsid w:val="00AE0611"/>
    <w:rsid w:val="00BB58AB"/>
    <w:rsid w:val="00D5432B"/>
    <w:rsid w:val="00DC767F"/>
    <w:rsid w:val="00EC170D"/>
    <w:rsid w:val="00FD1EC8"/>
    <w:rsid w:val="012300F5"/>
    <w:rsid w:val="0136D7BC"/>
    <w:rsid w:val="0145BD04"/>
    <w:rsid w:val="028171FB"/>
    <w:rsid w:val="02820556"/>
    <w:rsid w:val="0305FB1F"/>
    <w:rsid w:val="0342FC18"/>
    <w:rsid w:val="03634359"/>
    <w:rsid w:val="03688886"/>
    <w:rsid w:val="0397835E"/>
    <w:rsid w:val="03C0587B"/>
    <w:rsid w:val="04370136"/>
    <w:rsid w:val="05D2D197"/>
    <w:rsid w:val="060210EE"/>
    <w:rsid w:val="069BC186"/>
    <w:rsid w:val="06CF2420"/>
    <w:rsid w:val="06D4DFCC"/>
    <w:rsid w:val="06E6DB0C"/>
    <w:rsid w:val="0754E31E"/>
    <w:rsid w:val="07959044"/>
    <w:rsid w:val="07C00046"/>
    <w:rsid w:val="0852ACCF"/>
    <w:rsid w:val="088A98F3"/>
    <w:rsid w:val="08F0B37F"/>
    <w:rsid w:val="08F23D31"/>
    <w:rsid w:val="09C1FD64"/>
    <w:rsid w:val="09D7CA0A"/>
    <w:rsid w:val="0AD12375"/>
    <w:rsid w:val="0B1FB477"/>
    <w:rsid w:val="0BA29543"/>
    <w:rsid w:val="0C285441"/>
    <w:rsid w:val="0C42131B"/>
    <w:rsid w:val="0C5905D1"/>
    <w:rsid w:val="0C937169"/>
    <w:rsid w:val="0CBB84D8"/>
    <w:rsid w:val="0CF99411"/>
    <w:rsid w:val="0D0F6ACC"/>
    <w:rsid w:val="0D3E65A4"/>
    <w:rsid w:val="0D46FBC6"/>
    <w:rsid w:val="0D4B881A"/>
    <w:rsid w:val="0D4D184C"/>
    <w:rsid w:val="0D4EFE6B"/>
    <w:rsid w:val="0D5E0A16"/>
    <w:rsid w:val="0DDBADD5"/>
    <w:rsid w:val="0DFC26A8"/>
    <w:rsid w:val="0E2F41CA"/>
    <w:rsid w:val="0E30B726"/>
    <w:rsid w:val="0E372F50"/>
    <w:rsid w:val="0E8C1D6F"/>
    <w:rsid w:val="0EB94333"/>
    <w:rsid w:val="0ECD98B7"/>
    <w:rsid w:val="0ED8FCBD"/>
    <w:rsid w:val="0F5E345D"/>
    <w:rsid w:val="0F753C40"/>
    <w:rsid w:val="0FCB122B"/>
    <w:rsid w:val="10754DA6"/>
    <w:rsid w:val="108DB6D7"/>
    <w:rsid w:val="1095AAD8"/>
    <w:rsid w:val="10C2BB8A"/>
    <w:rsid w:val="11134E97"/>
    <w:rsid w:val="111D71C4"/>
    <w:rsid w:val="118EF5FB"/>
    <w:rsid w:val="12710B62"/>
    <w:rsid w:val="129795C5"/>
    <w:rsid w:val="12B94225"/>
    <w:rsid w:val="12FB22E4"/>
    <w:rsid w:val="132AC65C"/>
    <w:rsid w:val="136EA513"/>
    <w:rsid w:val="1399377B"/>
    <w:rsid w:val="13A4BD83"/>
    <w:rsid w:val="13B21E7E"/>
    <w:rsid w:val="13DD2C39"/>
    <w:rsid w:val="14177553"/>
    <w:rsid w:val="14336626"/>
    <w:rsid w:val="14A57EE7"/>
    <w:rsid w:val="14C696BD"/>
    <w:rsid w:val="15408DE4"/>
    <w:rsid w:val="15520DAB"/>
    <w:rsid w:val="15691BFB"/>
    <w:rsid w:val="15C4CAC1"/>
    <w:rsid w:val="15E6BFBA"/>
    <w:rsid w:val="15F0E2E7"/>
    <w:rsid w:val="15F7F958"/>
    <w:rsid w:val="163BC90B"/>
    <w:rsid w:val="16424135"/>
    <w:rsid w:val="16A9D11D"/>
    <w:rsid w:val="16EDDE0C"/>
    <w:rsid w:val="176B06E8"/>
    <w:rsid w:val="17C4E939"/>
    <w:rsid w:val="17EA64B8"/>
    <w:rsid w:val="184153E2"/>
    <w:rsid w:val="18602D7D"/>
    <w:rsid w:val="18782EA6"/>
    <w:rsid w:val="1889AE6D"/>
    <w:rsid w:val="19616163"/>
    <w:rsid w:val="197B5753"/>
    <w:rsid w:val="19CF2846"/>
    <w:rsid w:val="1A06291D"/>
    <w:rsid w:val="1A13FF07"/>
    <w:rsid w:val="1AB5406B"/>
    <w:rsid w:val="1B15B258"/>
    <w:rsid w:val="1B1E4C86"/>
    <w:rsid w:val="1B3BBD12"/>
    <w:rsid w:val="1C141B52"/>
    <w:rsid w:val="1C60246B"/>
    <w:rsid w:val="1D650D16"/>
    <w:rsid w:val="1D766F20"/>
    <w:rsid w:val="1D8CC9F7"/>
    <w:rsid w:val="1E3A1056"/>
    <w:rsid w:val="1EEBA691"/>
    <w:rsid w:val="1EF9E53E"/>
    <w:rsid w:val="1F00DD77"/>
    <w:rsid w:val="1F4BBC14"/>
    <w:rsid w:val="1FFB2075"/>
    <w:rsid w:val="200327BF"/>
    <w:rsid w:val="207CD7E7"/>
    <w:rsid w:val="2083408B"/>
    <w:rsid w:val="209CADD8"/>
    <w:rsid w:val="20D4F8E8"/>
    <w:rsid w:val="215E3530"/>
    <w:rsid w:val="21E83628"/>
    <w:rsid w:val="21FA5327"/>
    <w:rsid w:val="2203F051"/>
    <w:rsid w:val="22234753"/>
    <w:rsid w:val="22B15612"/>
    <w:rsid w:val="22B95D5C"/>
    <w:rsid w:val="22BBF331"/>
    <w:rsid w:val="22BE2949"/>
    <w:rsid w:val="231A4598"/>
    <w:rsid w:val="232F5664"/>
    <w:rsid w:val="236FBF23"/>
    <w:rsid w:val="23885425"/>
    <w:rsid w:val="23AF54DE"/>
    <w:rsid w:val="23D44E9A"/>
    <w:rsid w:val="23F279E4"/>
    <w:rsid w:val="24332F1B"/>
    <w:rsid w:val="24CF282B"/>
    <w:rsid w:val="25A3534D"/>
    <w:rsid w:val="25BF800C"/>
    <w:rsid w:val="264A0499"/>
    <w:rsid w:val="269C2CFE"/>
    <w:rsid w:val="26F2820F"/>
    <w:rsid w:val="27494EED"/>
    <w:rsid w:val="27826D33"/>
    <w:rsid w:val="27CBC5F2"/>
    <w:rsid w:val="2806C8ED"/>
    <w:rsid w:val="28433046"/>
    <w:rsid w:val="285BC548"/>
    <w:rsid w:val="2887E9CC"/>
    <w:rsid w:val="288E5270"/>
    <w:rsid w:val="2917EC76"/>
    <w:rsid w:val="293ABA66"/>
    <w:rsid w:val="29A2994E"/>
    <w:rsid w:val="29F795A9"/>
    <w:rsid w:val="2A15935D"/>
    <w:rsid w:val="2BCC0FB8"/>
    <w:rsid w:val="2BCDE0B8"/>
    <w:rsid w:val="2BCE2213"/>
    <w:rsid w:val="2C308475"/>
    <w:rsid w:val="2CCC20DF"/>
    <w:rsid w:val="2D0D5580"/>
    <w:rsid w:val="2D202EE9"/>
    <w:rsid w:val="2D67E019"/>
    <w:rsid w:val="2DC57900"/>
    <w:rsid w:val="2E085C79"/>
    <w:rsid w:val="2E2581ED"/>
    <w:rsid w:val="2E441A4C"/>
    <w:rsid w:val="2E6CA570"/>
    <w:rsid w:val="2ED2F452"/>
    <w:rsid w:val="2EF72B50"/>
    <w:rsid w:val="2F7B261E"/>
    <w:rsid w:val="2FFC832C"/>
    <w:rsid w:val="3011DAD2"/>
    <w:rsid w:val="3088838D"/>
    <w:rsid w:val="30AF4B1E"/>
    <w:rsid w:val="30D9E1DB"/>
    <w:rsid w:val="30F27AAE"/>
    <w:rsid w:val="31612CE5"/>
    <w:rsid w:val="319C8D02"/>
    <w:rsid w:val="31A97648"/>
    <w:rsid w:val="31E53195"/>
    <w:rsid w:val="31EA128C"/>
    <w:rsid w:val="322ECC12"/>
    <w:rsid w:val="32315BBB"/>
    <w:rsid w:val="323534B6"/>
    <w:rsid w:val="3275B23C"/>
    <w:rsid w:val="328845C9"/>
    <w:rsid w:val="32D13CAF"/>
    <w:rsid w:val="32F1AB9F"/>
    <w:rsid w:val="32F525F8"/>
    <w:rsid w:val="33497B94"/>
    <w:rsid w:val="3385E2ED"/>
    <w:rsid w:val="33A66575"/>
    <w:rsid w:val="33CA9C73"/>
    <w:rsid w:val="34267E8E"/>
    <w:rsid w:val="3460A3A4"/>
    <w:rsid w:val="3521B34E"/>
    <w:rsid w:val="3529A0D4"/>
    <w:rsid w:val="35CAD1BC"/>
    <w:rsid w:val="35D57A21"/>
    <w:rsid w:val="35E504C5"/>
    <w:rsid w:val="3614E2E6"/>
    <w:rsid w:val="3647700E"/>
    <w:rsid w:val="36B8A2B8"/>
    <w:rsid w:val="36BD83AF"/>
    <w:rsid w:val="36C2A086"/>
    <w:rsid w:val="36C57135"/>
    <w:rsid w:val="3733F48B"/>
    <w:rsid w:val="375BB6EC"/>
    <w:rsid w:val="37694948"/>
    <w:rsid w:val="37C68010"/>
    <w:rsid w:val="37FD80E7"/>
    <w:rsid w:val="38369F2D"/>
    <w:rsid w:val="38547319"/>
    <w:rsid w:val="3897F21F"/>
    <w:rsid w:val="38EB30AF"/>
    <w:rsid w:val="3950ECE0"/>
    <w:rsid w:val="3960ED23"/>
    <w:rsid w:val="3995658C"/>
    <w:rsid w:val="39A7986C"/>
    <w:rsid w:val="39FD11F7"/>
    <w:rsid w:val="3A2D302C"/>
    <w:rsid w:val="3A3A1F82"/>
    <w:rsid w:val="3A661526"/>
    <w:rsid w:val="3AF8E837"/>
    <w:rsid w:val="3B4E27BC"/>
    <w:rsid w:val="3BB1775A"/>
    <w:rsid w:val="3C11F1F9"/>
    <w:rsid w:val="3C4B9B29"/>
    <w:rsid w:val="3CB048EE"/>
    <w:rsid w:val="3CDF392E"/>
    <w:rsid w:val="3D7F6221"/>
    <w:rsid w:val="3DD774FF"/>
    <w:rsid w:val="3DF63347"/>
    <w:rsid w:val="3E045D59"/>
    <w:rsid w:val="3E11FDC8"/>
    <w:rsid w:val="3E99EA76"/>
    <w:rsid w:val="3ED0831A"/>
    <w:rsid w:val="3EE79DBD"/>
    <w:rsid w:val="3EF77FC7"/>
    <w:rsid w:val="3F1BA544"/>
    <w:rsid w:val="3FEA4A50"/>
    <w:rsid w:val="3FF63FDA"/>
    <w:rsid w:val="406C537B"/>
    <w:rsid w:val="40A8ADDC"/>
    <w:rsid w:val="40BA92F6"/>
    <w:rsid w:val="41298342"/>
    <w:rsid w:val="41A39002"/>
    <w:rsid w:val="41A6ACA8"/>
    <w:rsid w:val="420823DC"/>
    <w:rsid w:val="42759476"/>
    <w:rsid w:val="427DE5A8"/>
    <w:rsid w:val="428BD606"/>
    <w:rsid w:val="42B791F0"/>
    <w:rsid w:val="43BC893F"/>
    <w:rsid w:val="43BCAED4"/>
    <w:rsid w:val="43DFB8DF"/>
    <w:rsid w:val="43E26EF1"/>
    <w:rsid w:val="453FC49E"/>
    <w:rsid w:val="458AE6C8"/>
    <w:rsid w:val="45C31DBC"/>
    <w:rsid w:val="45C5518D"/>
    <w:rsid w:val="45EF32B2"/>
    <w:rsid w:val="46151916"/>
    <w:rsid w:val="461D0FAD"/>
    <w:rsid w:val="4632F436"/>
    <w:rsid w:val="47725667"/>
    <w:rsid w:val="47A96118"/>
    <w:rsid w:val="47F6DC54"/>
    <w:rsid w:val="47F96439"/>
    <w:rsid w:val="480D430C"/>
    <w:rsid w:val="4812D186"/>
    <w:rsid w:val="48490A3A"/>
    <w:rsid w:val="487B872A"/>
    <w:rsid w:val="48C2878A"/>
    <w:rsid w:val="49071651"/>
    <w:rsid w:val="49453179"/>
    <w:rsid w:val="4A677DFE"/>
    <w:rsid w:val="4A88F78D"/>
    <w:rsid w:val="4AB168FE"/>
    <w:rsid w:val="4AE63037"/>
    <w:rsid w:val="4B04AD4A"/>
    <w:rsid w:val="4B3289DD"/>
    <w:rsid w:val="4B78E22A"/>
    <w:rsid w:val="4B801288"/>
    <w:rsid w:val="4B9E7942"/>
    <w:rsid w:val="4C0259B6"/>
    <w:rsid w:val="4C63FD3A"/>
    <w:rsid w:val="4CCE5A3E"/>
    <w:rsid w:val="4CD4C2E2"/>
    <w:rsid w:val="4D3E6BA1"/>
    <w:rsid w:val="4D4A5615"/>
    <w:rsid w:val="4DC0DD3F"/>
    <w:rsid w:val="4DE909C0"/>
    <w:rsid w:val="4EA6A2E8"/>
    <w:rsid w:val="4EDA3C02"/>
    <w:rsid w:val="4F3AEF21"/>
    <w:rsid w:val="4F84DA21"/>
    <w:rsid w:val="4FBC6083"/>
    <w:rsid w:val="4FE7CE0B"/>
    <w:rsid w:val="4FF39556"/>
    <w:rsid w:val="5005FB00"/>
    <w:rsid w:val="50A5DCEB"/>
    <w:rsid w:val="510AE47C"/>
    <w:rsid w:val="511B8BB4"/>
    <w:rsid w:val="5137E3DA"/>
    <w:rsid w:val="515CD885"/>
    <w:rsid w:val="5199DDDB"/>
    <w:rsid w:val="520D7713"/>
    <w:rsid w:val="526F528A"/>
    <w:rsid w:val="52BADAFA"/>
    <w:rsid w:val="533D9BC2"/>
    <w:rsid w:val="53440466"/>
    <w:rsid w:val="538CD31E"/>
    <w:rsid w:val="53DC5C8F"/>
    <w:rsid w:val="53DF656C"/>
    <w:rsid w:val="540E6044"/>
    <w:rsid w:val="542E04B6"/>
    <w:rsid w:val="543946F2"/>
    <w:rsid w:val="543F3912"/>
    <w:rsid w:val="549CDE89"/>
    <w:rsid w:val="54D96C23"/>
    <w:rsid w:val="55384707"/>
    <w:rsid w:val="554F8B59"/>
    <w:rsid w:val="55833254"/>
    <w:rsid w:val="55C9D517"/>
    <w:rsid w:val="55F1860A"/>
    <w:rsid w:val="562BA207"/>
    <w:rsid w:val="5660A133"/>
    <w:rsid w:val="5666B332"/>
    <w:rsid w:val="56798387"/>
    <w:rsid w:val="570512AE"/>
    <w:rsid w:val="57460106"/>
    <w:rsid w:val="5767BF85"/>
    <w:rsid w:val="5768FF77"/>
    <w:rsid w:val="58110CE5"/>
    <w:rsid w:val="58500589"/>
    <w:rsid w:val="586BA60A"/>
    <w:rsid w:val="588206CC"/>
    <w:rsid w:val="58B2D68F"/>
    <w:rsid w:val="590175D9"/>
    <w:rsid w:val="592BBC67"/>
    <w:rsid w:val="593D3B18"/>
    <w:rsid w:val="596342C9"/>
    <w:rsid w:val="59ACDD46"/>
    <w:rsid w:val="59B345EA"/>
    <w:rsid w:val="5A5B5358"/>
    <w:rsid w:val="5A7DA1C8"/>
    <w:rsid w:val="5AC78CC8"/>
    <w:rsid w:val="5B4F164B"/>
    <w:rsid w:val="5B6143EB"/>
    <w:rsid w:val="5B90E7BD"/>
    <w:rsid w:val="5BFB4844"/>
    <w:rsid w:val="5C635D29"/>
    <w:rsid w:val="5C9FC482"/>
    <w:rsid w:val="5CB6BA5A"/>
    <w:rsid w:val="5D7D0F91"/>
    <w:rsid w:val="5DAB7170"/>
    <w:rsid w:val="5DD05375"/>
    <w:rsid w:val="5E804E69"/>
    <w:rsid w:val="5E8D7290"/>
    <w:rsid w:val="5EA80CF0"/>
    <w:rsid w:val="5EAE6CEA"/>
    <w:rsid w:val="5FAF5E2D"/>
    <w:rsid w:val="600A14BF"/>
    <w:rsid w:val="606A0280"/>
    <w:rsid w:val="60A004D7"/>
    <w:rsid w:val="60D201D0"/>
    <w:rsid w:val="60ECE34C"/>
    <w:rsid w:val="616E54AE"/>
    <w:rsid w:val="621168E2"/>
    <w:rsid w:val="623DD357"/>
    <w:rsid w:val="63007BA8"/>
    <w:rsid w:val="634E6539"/>
    <w:rsid w:val="6353BF8C"/>
    <w:rsid w:val="640C70E0"/>
    <w:rsid w:val="646E6F0E"/>
    <w:rsid w:val="64C1CC3F"/>
    <w:rsid w:val="65511083"/>
    <w:rsid w:val="65678ED6"/>
    <w:rsid w:val="65C5049C"/>
    <w:rsid w:val="65EE341E"/>
    <w:rsid w:val="66049AD6"/>
    <w:rsid w:val="665D9CA0"/>
    <w:rsid w:val="6672DEF4"/>
    <w:rsid w:val="6740A6CF"/>
    <w:rsid w:val="67AEF6D9"/>
    <w:rsid w:val="67CC4C00"/>
    <w:rsid w:val="68751465"/>
    <w:rsid w:val="690833E9"/>
    <w:rsid w:val="691799A3"/>
    <w:rsid w:val="691AF3A2"/>
    <w:rsid w:val="6940C3E9"/>
    <w:rsid w:val="699F0D99"/>
    <w:rsid w:val="69B888EC"/>
    <w:rsid w:val="6A10E4C6"/>
    <w:rsid w:val="6A1A87BA"/>
    <w:rsid w:val="6A5B5504"/>
    <w:rsid w:val="6ABD7BBD"/>
    <w:rsid w:val="6B310DC3"/>
    <w:rsid w:val="6BEFD18A"/>
    <w:rsid w:val="6C470A1C"/>
    <w:rsid w:val="6C4C06A9"/>
    <w:rsid w:val="6C4F3A65"/>
    <w:rsid w:val="6D118AA1"/>
    <w:rsid w:val="6D3C28FE"/>
    <w:rsid w:val="6D488588"/>
    <w:rsid w:val="6DC6B316"/>
    <w:rsid w:val="6DF51259"/>
    <w:rsid w:val="6E3F057B"/>
    <w:rsid w:val="6E4635FB"/>
    <w:rsid w:val="6EBFEC43"/>
    <w:rsid w:val="6EDE4BED"/>
    <w:rsid w:val="6EE455E9"/>
    <w:rsid w:val="6F210EF2"/>
    <w:rsid w:val="6FD818DC"/>
    <w:rsid w:val="6FDF727E"/>
    <w:rsid w:val="6FE206B0"/>
    <w:rsid w:val="705AF9A8"/>
    <w:rsid w:val="706175BD"/>
    <w:rsid w:val="70B79B76"/>
    <w:rsid w:val="70C342AD"/>
    <w:rsid w:val="70D9892F"/>
    <w:rsid w:val="719DB729"/>
    <w:rsid w:val="720E7A7A"/>
    <w:rsid w:val="729A2439"/>
    <w:rsid w:val="73806374"/>
    <w:rsid w:val="74143FAA"/>
    <w:rsid w:val="7470DB51"/>
    <w:rsid w:val="747C23A1"/>
    <w:rsid w:val="74FC6A78"/>
    <w:rsid w:val="7515426E"/>
    <w:rsid w:val="7568D2AA"/>
    <w:rsid w:val="75D1C4FB"/>
    <w:rsid w:val="762E56A2"/>
    <w:rsid w:val="76A26618"/>
    <w:rsid w:val="76BFC577"/>
    <w:rsid w:val="76D0B741"/>
    <w:rsid w:val="77401F93"/>
    <w:rsid w:val="7800A18D"/>
    <w:rsid w:val="78044D8D"/>
    <w:rsid w:val="78B52C35"/>
    <w:rsid w:val="78C4AB2B"/>
    <w:rsid w:val="796DFDB4"/>
    <w:rsid w:val="7991B9FB"/>
    <w:rsid w:val="79F0A117"/>
    <w:rsid w:val="7A085803"/>
    <w:rsid w:val="7A607B8C"/>
    <w:rsid w:val="7A68D5B2"/>
    <w:rsid w:val="7A8838DF"/>
    <w:rsid w:val="7ADF269F"/>
    <w:rsid w:val="7AE17D3D"/>
    <w:rsid w:val="7B7B06B7"/>
    <w:rsid w:val="7B8C88C2"/>
    <w:rsid w:val="7C0ED152"/>
    <w:rsid w:val="7C123076"/>
    <w:rsid w:val="7C33C0D6"/>
    <w:rsid w:val="7C7D4D9E"/>
    <w:rsid w:val="7D126F5E"/>
    <w:rsid w:val="7D45663E"/>
    <w:rsid w:val="7D63D058"/>
    <w:rsid w:val="7D6D0CC7"/>
    <w:rsid w:val="7D6F40FE"/>
    <w:rsid w:val="7E191DFF"/>
    <w:rsid w:val="7E34095A"/>
    <w:rsid w:val="7EC4123A"/>
    <w:rsid w:val="7EDBC926"/>
    <w:rsid w:val="7F639012"/>
    <w:rsid w:val="7FB4EE60"/>
    <w:rsid w:val="7FCE6873"/>
    <w:rsid w:val="7FD5712F"/>
    <w:rsid w:val="7FDE5575"/>
    <w:rsid w:val="7FDF021D"/>
    <w:rsid w:val="7FFF2F7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9EA76"/>
  <w15:chartTrackingRefBased/>
  <w15:docId w15:val="{6A5FB7C8-920F-4907-97F4-7D868ACB6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170D"/>
    <w:pPr>
      <w:spacing w:after="0" w:line="276" w:lineRule="auto"/>
      <w:ind w:left="720"/>
      <w:contextualSpacing/>
    </w:pPr>
    <w:rPr>
      <w:rFonts w:ascii="Arial" w:eastAsia="Arial" w:hAnsi="Arial" w:cs="Arial"/>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4</Pages>
  <Words>1504</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Nada Hussein</dc:creator>
  <cp:keywords/>
  <dc:description/>
  <cp:lastModifiedBy>Abbasa abbasa</cp:lastModifiedBy>
  <cp:revision>3</cp:revision>
  <dcterms:created xsi:type="dcterms:W3CDTF">2023-03-28T16:25:00Z</dcterms:created>
  <dcterms:modified xsi:type="dcterms:W3CDTF">2023-03-28T17:20:00Z</dcterms:modified>
</cp:coreProperties>
</file>