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913F5E" w14:textId="77777777" w:rsidR="00C95D18" w:rsidRDefault="00C95D18" w:rsidP="00C95D18">
      <w:pPr>
        <w:jc w:val="center"/>
        <w:rPr>
          <w:b/>
        </w:rPr>
      </w:pPr>
    </w:p>
    <w:p w14:paraId="2E38AA91" w14:textId="3593C5F6" w:rsidR="00C95D18" w:rsidRDefault="00D73417" w:rsidP="00C95D18">
      <w:pPr>
        <w:jc w:val="center"/>
        <w:rPr>
          <w:b/>
        </w:rPr>
      </w:pPr>
      <w:r>
        <w:rPr>
          <w:b/>
        </w:rPr>
        <w:t>Bridging Sustainability Gaps in Budget Hospitality: A Strategic Path for Travelodge Hotel</w:t>
      </w:r>
    </w:p>
    <w:p w14:paraId="4EF43B5A" w14:textId="77777777" w:rsidR="00C95D18" w:rsidRDefault="00C95D18" w:rsidP="00C95D18">
      <w:pPr>
        <w:jc w:val="center"/>
        <w:rPr>
          <w:b/>
        </w:rPr>
      </w:pPr>
    </w:p>
    <w:p w14:paraId="0A95D682" w14:textId="7762B78B" w:rsidR="00C95D18" w:rsidRPr="00C95D18" w:rsidRDefault="00C95D18" w:rsidP="00C95D18">
      <w:pPr>
        <w:jc w:val="center"/>
        <w:rPr>
          <w:b/>
        </w:rPr>
      </w:pPr>
      <w:r w:rsidRPr="00C95D18">
        <w:rPr>
          <w:b/>
        </w:rPr>
        <w:t>Student Name</w:t>
      </w:r>
      <w:r w:rsidR="00D73417">
        <w:rPr>
          <w:b/>
        </w:rPr>
        <w:t>: Ana Maria Stoica</w:t>
      </w:r>
    </w:p>
    <w:p w14:paraId="3152FD30" w14:textId="7ACB2A77" w:rsidR="00C95D18" w:rsidRPr="00C95D18" w:rsidRDefault="00C95D18" w:rsidP="00C95D18">
      <w:pPr>
        <w:jc w:val="center"/>
        <w:rPr>
          <w:b/>
        </w:rPr>
      </w:pPr>
      <w:r w:rsidRPr="00C95D18">
        <w:rPr>
          <w:b/>
        </w:rPr>
        <w:t>Student ID Number</w:t>
      </w:r>
      <w:r w:rsidR="00D73417">
        <w:rPr>
          <w:b/>
        </w:rPr>
        <w:t>: 2245028</w:t>
      </w:r>
    </w:p>
    <w:p w14:paraId="57C7EA9C" w14:textId="77777777" w:rsidR="00C95D18" w:rsidRPr="00C95D18" w:rsidRDefault="00C95D18" w:rsidP="00C95D18">
      <w:pPr>
        <w:jc w:val="center"/>
        <w:rPr>
          <w:b/>
        </w:rPr>
      </w:pPr>
      <w:r w:rsidRPr="00C95D18">
        <w:rPr>
          <w:b/>
        </w:rPr>
        <w:t>Module Title: Sustainable Hospitality &amp; Tourism Management</w:t>
      </w:r>
    </w:p>
    <w:p w14:paraId="2B804A26" w14:textId="77777777" w:rsidR="00DE26B3" w:rsidRPr="00C95D18" w:rsidRDefault="00C95D18" w:rsidP="00C95D18">
      <w:pPr>
        <w:jc w:val="center"/>
        <w:rPr>
          <w:b/>
        </w:rPr>
      </w:pPr>
      <w:r w:rsidRPr="00C95D18">
        <w:rPr>
          <w:b/>
        </w:rPr>
        <w:t>Module Code: BMIH5006</w:t>
      </w:r>
    </w:p>
    <w:p w14:paraId="73A967B9" w14:textId="1FE3B875" w:rsidR="00C95D18" w:rsidRPr="00C95D18" w:rsidRDefault="00C95D18" w:rsidP="00C95D18">
      <w:pPr>
        <w:jc w:val="center"/>
        <w:rPr>
          <w:b/>
        </w:rPr>
      </w:pPr>
      <w:r w:rsidRPr="00C95D18">
        <w:rPr>
          <w:b/>
        </w:rPr>
        <w:t>Lecturer: Lisa Knight</w:t>
      </w:r>
    </w:p>
    <w:p w14:paraId="44FD0ED4" w14:textId="77777777" w:rsidR="00C95D18" w:rsidRDefault="00C95D18" w:rsidP="00C95D18">
      <w:pPr>
        <w:jc w:val="center"/>
        <w:rPr>
          <w:b/>
        </w:rPr>
      </w:pPr>
      <w:r w:rsidRPr="00C95D18">
        <w:rPr>
          <w:b/>
        </w:rPr>
        <w:t>Selected Hotel: The Crown Plaza London - The City</w:t>
      </w:r>
    </w:p>
    <w:p w14:paraId="0B9A09B9" w14:textId="6E1C2DA5" w:rsidR="00D73417" w:rsidRDefault="00D73417" w:rsidP="00C95D18">
      <w:pPr>
        <w:jc w:val="center"/>
        <w:rPr>
          <w:b/>
        </w:rPr>
      </w:pPr>
      <w:r>
        <w:rPr>
          <w:b/>
        </w:rPr>
        <w:t>Assignment Title: Essay</w:t>
      </w:r>
    </w:p>
    <w:p w14:paraId="3B2EC723" w14:textId="77777777" w:rsidR="00C95D18" w:rsidRDefault="00C95D18" w:rsidP="00C95D18">
      <w:r w:rsidRPr="004A452F">
        <w:rPr>
          <w:rFonts w:ascii="Times New Roman" w:hAnsi="Times New Roman" w:cs="Times New Roman"/>
          <w:noProof/>
          <w:lang w:val="en-US" w:eastAsia="en-US"/>
        </w:rPr>
        <w:drawing>
          <wp:inline distT="0" distB="0" distL="0" distR="0" wp14:anchorId="06B1B0FA" wp14:editId="69DF24EF">
            <wp:extent cx="5943600" cy="75501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755015"/>
                    </a:xfrm>
                    <a:prstGeom prst="rect">
                      <a:avLst/>
                    </a:prstGeom>
                  </pic:spPr>
                </pic:pic>
              </a:graphicData>
            </a:graphic>
          </wp:inline>
        </w:drawing>
      </w:r>
    </w:p>
    <w:p w14:paraId="0C9A67AE" w14:textId="77777777" w:rsidR="00C95D18" w:rsidRDefault="00C95D18">
      <w:pPr>
        <w:spacing w:line="259" w:lineRule="auto"/>
        <w:jc w:val="left"/>
      </w:pPr>
      <w:r>
        <w:br w:type="page"/>
      </w:r>
    </w:p>
    <w:p w14:paraId="1A882926" w14:textId="011E4B0F" w:rsidR="00454509" w:rsidRDefault="00454509" w:rsidP="00454509">
      <w:r>
        <w:lastRenderedPageBreak/>
        <w:t>The essa</w:t>
      </w:r>
      <w:r w:rsidR="002C5FF1">
        <w:t>y is about Crown Plaza London</w:t>
      </w:r>
      <w:r w:rsidR="00D641D3">
        <w:t xml:space="preserve"> </w:t>
      </w:r>
      <w:r w:rsidR="002C5FF1">
        <w:t xml:space="preserve">- </w:t>
      </w:r>
      <w:r>
        <w:t>The City, one of the leading hotels in London's heart. The hotel offers a commitment to exceptional guest experiences and strives towards sustainability. However, while implementing the potential green initiatives, the hotel also faces some definite</w:t>
      </w:r>
      <w:r w:rsidR="00E079E5">
        <w:t xml:space="preserve"> and significant</w:t>
      </w:r>
      <w:r>
        <w:t xml:space="preserve"> gaps in managing water conservation practices</w:t>
      </w:r>
      <w:r w:rsidR="00EB19B6">
        <w:t xml:space="preserve"> (</w:t>
      </w:r>
      <w:r w:rsidR="00EB19B6" w:rsidRPr="00B77F6C">
        <w:rPr>
          <w:rFonts w:cs="Arial"/>
          <w:color w:val="222222"/>
          <w:shd w:val="clear" w:color="auto" w:fill="FFFFFF"/>
        </w:rPr>
        <w:t>Tsz Wai</w:t>
      </w:r>
      <w:r w:rsidR="00EB19B6">
        <w:rPr>
          <w:rFonts w:cs="Arial"/>
          <w:color w:val="222222"/>
          <w:shd w:val="clear" w:color="auto" w:fill="FFFFFF"/>
        </w:rPr>
        <w:t xml:space="preserve"> et al., 2023)</w:t>
      </w:r>
      <w:r>
        <w:t>. The gap</w:t>
      </w:r>
      <w:r w:rsidR="00E079E5">
        <w:t>s</w:t>
      </w:r>
      <w:r>
        <w:t xml:space="preserve"> </w:t>
      </w:r>
      <w:r w:rsidR="00E079E5">
        <w:t xml:space="preserve">determine </w:t>
      </w:r>
      <w:r>
        <w:t>excessive water usage for the services in the guest rooms that develop sustainable efforts. Water conservation allows direct impacts on the available resources and changes to the environmental health that are effective for the hotels to make adaptations in the measures and reduction in the water consumption. Water conservation practices within the hospitality industry are allocated for water consumers in different operations, such as guest management, laundry, and landscaping services. To address the gap in water conservation, The Crown Plaza London needs to enhance its sustainability profile by aligning it with the TBL (Triple Bottom Line) principles and benefits for both hotel management and the overall environment</w:t>
      </w:r>
      <w:r w:rsidR="00EB19B6">
        <w:t xml:space="preserve"> (</w:t>
      </w:r>
      <w:r w:rsidR="00EB19B6" w:rsidRPr="00B77F6C">
        <w:rPr>
          <w:rFonts w:cs="Arial"/>
          <w:color w:val="222222"/>
          <w:shd w:val="clear" w:color="auto" w:fill="FFFFFF"/>
        </w:rPr>
        <w:t>Whitfield</w:t>
      </w:r>
      <w:r w:rsidR="00EB19B6">
        <w:rPr>
          <w:rFonts w:cs="Arial"/>
          <w:color w:val="222222"/>
          <w:shd w:val="clear" w:color="auto" w:fill="FFFFFF"/>
        </w:rPr>
        <w:t xml:space="preserve"> et al., 2022)</w:t>
      </w:r>
      <w:r>
        <w:t xml:space="preserve">. The essay uses theories like the Triple Bottom Line (TBL) framework to offer the importance of balancing services in economic viability, environmental management practice, and the use of social responsibility within business operations. </w:t>
      </w:r>
    </w:p>
    <w:p w14:paraId="1ECEA014" w14:textId="77777777" w:rsidR="00D73417" w:rsidRDefault="00454509" w:rsidP="00454509">
      <w:r>
        <w:t>The implication of the green practice initiative for The Crown Plaza London is implicated with using the greywater recycling process. The system allows wastewater management while generating from all the sinks, showering process, and laundry services, treating for reuse in the non-potable application system</w:t>
      </w:r>
      <w:r w:rsidR="00EB19B6">
        <w:t xml:space="preserve"> (</w:t>
      </w:r>
      <w:r w:rsidR="00EB19B6" w:rsidRPr="00B77F6C">
        <w:rPr>
          <w:rFonts w:cs="Arial"/>
          <w:color w:val="222222"/>
          <w:shd w:val="clear" w:color="auto" w:fill="FFFFFF"/>
        </w:rPr>
        <w:t>Zhang</w:t>
      </w:r>
      <w:r w:rsidR="00EB19B6">
        <w:rPr>
          <w:rFonts w:cs="Arial"/>
          <w:color w:val="222222"/>
          <w:shd w:val="clear" w:color="auto" w:fill="FFFFFF"/>
        </w:rPr>
        <w:t xml:space="preserve"> et al., 2023)</w:t>
      </w:r>
      <w:r>
        <w:t>. The system is used for toilet flushing and landscape irrigation processes. The integration based on greywater recycling addresses the hotel's water consumption and aligns the broader sustainability goals with the promotion of resource efficiency. The initiative allows urban settings for water scarcity to determine the increasing aspects that are prevalent and helpful for the hospitality sector to adapt to innovative solutions to manage water usage effectively</w:t>
      </w:r>
      <w:r w:rsidR="00EB19B6">
        <w:t xml:space="preserve"> (</w:t>
      </w:r>
      <w:r w:rsidR="00EB19B6">
        <w:rPr>
          <w:rFonts w:cs="Arial"/>
        </w:rPr>
        <w:t>Wickham, Donnelly</w:t>
      </w:r>
      <w:r w:rsidR="00D73417">
        <w:rPr>
          <w:rFonts w:cs="Arial"/>
        </w:rPr>
        <w:t>,</w:t>
      </w:r>
      <w:r w:rsidR="00EB19B6">
        <w:rPr>
          <w:rFonts w:cs="Arial"/>
        </w:rPr>
        <w:t xml:space="preserve"> </w:t>
      </w:r>
      <w:r w:rsidR="00EB19B6" w:rsidRPr="00B77F6C">
        <w:rPr>
          <w:rFonts w:cs="Arial"/>
        </w:rPr>
        <w:t>and French</w:t>
      </w:r>
      <w:r w:rsidR="00EB19B6">
        <w:rPr>
          <w:rFonts w:cs="Arial"/>
        </w:rPr>
        <w:t>, 2021)</w:t>
      </w:r>
      <w:r>
        <w:t xml:space="preserve">. Greywater recycling systems offer significant and successful implementation in different hotels worldwide. The implication allows a demonstration of the viability and greater effectiveness. </w:t>
      </w:r>
    </w:p>
    <w:p w14:paraId="749F4D59" w14:textId="06A26378" w:rsidR="00454509" w:rsidRDefault="00454509" w:rsidP="00454509">
      <w:r>
        <w:lastRenderedPageBreak/>
        <w:t xml:space="preserve">For instance, the leading hotels in the UK industry, such as Marriott and Hilton chains, have also developed similar systems for substantial reductions in the management of water consumption and operational costs. </w:t>
      </w:r>
      <w:r w:rsidR="00EB19B6">
        <w:rPr>
          <w:rFonts w:cs="Arial"/>
          <w:color w:val="222222"/>
          <w:shd w:val="clear" w:color="auto" w:fill="FFFFFF"/>
        </w:rPr>
        <w:t xml:space="preserve">Tanova </w:t>
      </w:r>
      <w:r w:rsidR="00EB19B6" w:rsidRPr="00B77F6C">
        <w:rPr>
          <w:rFonts w:cs="Arial"/>
          <w:color w:val="222222"/>
          <w:shd w:val="clear" w:color="auto" w:fill="FFFFFF"/>
        </w:rPr>
        <w:t>and</w:t>
      </w:r>
      <w:r w:rsidR="00EB19B6">
        <w:rPr>
          <w:rFonts w:cs="Arial"/>
          <w:color w:val="222222"/>
          <w:shd w:val="clear" w:color="auto" w:fill="FFFFFF"/>
        </w:rPr>
        <w:t xml:space="preserve"> Bayighomog (2022) stated that </w:t>
      </w:r>
      <w:r w:rsidR="00EB19B6">
        <w:t>t</w:t>
      </w:r>
      <w:r>
        <w:t xml:space="preserve">he implementation </w:t>
      </w:r>
      <w:r w:rsidR="00D73417">
        <w:t>of</w:t>
      </w:r>
      <w:r>
        <w:t xml:space="preserve"> the systems uses </w:t>
      </w:r>
      <w:r w:rsidR="00D73417">
        <w:t xml:space="preserve">a </w:t>
      </w:r>
      <w:r>
        <w:t xml:space="preserve">Triple Bottom Line (TBL), which </w:t>
      </w:r>
      <w:r w:rsidR="00D73417">
        <w:t>emphasizes</w:t>
      </w:r>
      <w:r>
        <w:t xml:space="preserve"> fulfilling the needs of the businesses to balance their economic, social, and environmental responsibilities. Adapting the greywater recycling system in The Crown Plaza London is essential to enhancing the sustainability profile and contributing aspects of the management of definite ecological conservation efforts.</w:t>
      </w:r>
    </w:p>
    <w:p w14:paraId="1E675887" w14:textId="12864D80" w:rsidR="00454509" w:rsidRDefault="00454509" w:rsidP="00454509">
      <w:r>
        <w:t xml:space="preserve">Implementing the greywater recycling system at the services of The Crown Plaza London is beneficial for the management. The process leads </w:t>
      </w:r>
      <w:r w:rsidR="00D73417">
        <w:t>to</w:t>
      </w:r>
      <w:r>
        <w:t xml:space="preserve"> substantial cost savings by reducing water bills and making sewer fees based on the wastewater disposal system</w:t>
      </w:r>
      <w:r w:rsidR="00EB19B6">
        <w:t xml:space="preserve"> (</w:t>
      </w:r>
      <w:r w:rsidR="00EB19B6" w:rsidRPr="00B77F6C">
        <w:rPr>
          <w:rFonts w:cs="Arial"/>
        </w:rPr>
        <w:t>Sloan</w:t>
      </w:r>
      <w:r w:rsidR="00EB19B6">
        <w:rPr>
          <w:rFonts w:cs="Arial"/>
        </w:rPr>
        <w:t xml:space="preserve"> et al., 2017)</w:t>
      </w:r>
      <w:r>
        <w:t xml:space="preserve">. It allows the system to be reused for treated greywater for non-potable purposes. The hotel reduces the reliance on managing municipal water supplies, which benefits urban areas facing increased water costs. Additionally, adopting sustainable practices helps enhance the hotel's reputation among eco-conscious </w:t>
      </w:r>
      <w:proofErr w:type="spellStart"/>
      <w:r w:rsidR="00D73417">
        <w:t>travelers</w:t>
      </w:r>
      <w:proofErr w:type="spellEnd"/>
      <w:r>
        <w:t xml:space="preserve">. It allows the segment to be attracted based on the guests while preferring environmental responsibility in selecting the stays and visits. Moreover, integrating the greywater recycling system aligns with the increasing demand </w:t>
      </w:r>
      <w:r w:rsidR="00D73417">
        <w:t>for</w:t>
      </w:r>
      <w:r>
        <w:t xml:space="preserve"> the </w:t>
      </w:r>
      <w:proofErr w:type="spellStart"/>
      <w:r w:rsidR="00D73417">
        <w:t>fulfillment</w:t>
      </w:r>
      <w:proofErr w:type="spellEnd"/>
      <w:r>
        <w:t xml:space="preserve"> of sustainable tourism practices in the leading hospitality industry</w:t>
      </w:r>
      <w:r w:rsidR="00DB3AC8">
        <w:t xml:space="preserve"> (</w:t>
      </w:r>
      <w:r w:rsidR="00DB3AC8" w:rsidRPr="00B77F6C">
        <w:rPr>
          <w:rFonts w:cs="Arial"/>
          <w:color w:val="222222"/>
          <w:shd w:val="clear" w:color="auto" w:fill="FFFFFF"/>
        </w:rPr>
        <w:t>Prakash</w:t>
      </w:r>
      <w:r w:rsidR="00DB3AC8">
        <w:rPr>
          <w:rFonts w:cs="Arial"/>
          <w:color w:val="222222"/>
          <w:shd w:val="clear" w:color="auto" w:fill="FFFFFF"/>
        </w:rPr>
        <w:t xml:space="preserve"> et al., 2023)</w:t>
      </w:r>
      <w:r>
        <w:t xml:space="preserve">. The guests and visitors are becoming aware of the emerging environmental issues, and the hotel actively demonstrates a commitment towards sustainability to enhance customer loyalty and overall guest satisfaction. </w:t>
      </w:r>
      <w:r w:rsidR="00DB3AC8" w:rsidRPr="00B77F6C">
        <w:rPr>
          <w:rFonts w:cs="Arial"/>
          <w:color w:val="222222"/>
          <w:shd w:val="clear" w:color="auto" w:fill="FFFFFF"/>
        </w:rPr>
        <w:t>Pereira-Moliner</w:t>
      </w:r>
      <w:r w:rsidR="00DB3AC8">
        <w:t xml:space="preserve"> et al. (2021) defined that t</w:t>
      </w:r>
      <w:r>
        <w:t xml:space="preserve">he Stakeholder Theory supports the development of guests, employees, and the local community by providing positive relationships in every group. </w:t>
      </w:r>
    </w:p>
    <w:p w14:paraId="621D23C0" w14:textId="77777777" w:rsidR="00D73417" w:rsidRDefault="00454509" w:rsidP="00454509">
      <w:r>
        <w:t xml:space="preserve">Using a greywater recycling system at The Crown Plaza London also has some environmental benefits. </w:t>
      </w:r>
      <w:r w:rsidR="00DB3AC8" w:rsidRPr="00B77F6C">
        <w:rPr>
          <w:rFonts w:cs="Arial"/>
          <w:color w:val="222222"/>
          <w:shd w:val="clear" w:color="auto" w:fill="FFFFFF"/>
        </w:rPr>
        <w:t>Olya</w:t>
      </w:r>
      <w:r w:rsidR="00DB3AC8">
        <w:t xml:space="preserve"> et al. (2024) elaborated that r</w:t>
      </w:r>
      <w:r>
        <w:t xml:space="preserve">eusing greywater reduces overall water consumption and alleviates pressure on local water resources. It allows the contribution to managing the environmental conservation practices and reducing the wastewater discharge for the sewage systems in the water treatment services. </w:t>
      </w:r>
    </w:p>
    <w:p w14:paraId="7DBBFCFE" w14:textId="77DFDC8E" w:rsidR="00454509" w:rsidRDefault="00454509" w:rsidP="00454509">
      <w:r>
        <w:lastRenderedPageBreak/>
        <w:t>Using potable water for non-essential needs helps preserve freshwater supplies and manage all community needs</w:t>
      </w:r>
      <w:r w:rsidR="00DB3AC8">
        <w:t xml:space="preserve"> (Moon et al., 2023)</w:t>
      </w:r>
      <w:r>
        <w:t>. Therefore, the adaptation of greywater recycling is aligned with the global sustainability goals for promoting responsible resource management. It allows the reduction of the environmental footprints. The Theory of Planned Behavior (TPB) helps manage sustainability while influencing decision-making processes based on environmental practices</w:t>
      </w:r>
      <w:r w:rsidR="003E2725">
        <w:t xml:space="preserve"> (</w:t>
      </w:r>
      <w:r w:rsidR="003E2725" w:rsidRPr="00B77F6C">
        <w:rPr>
          <w:rFonts w:cs="Arial"/>
          <w:color w:val="222222"/>
          <w:shd w:val="clear" w:color="auto" w:fill="FFFFFF"/>
        </w:rPr>
        <w:t>Legrand</w:t>
      </w:r>
      <w:r w:rsidR="003E2725">
        <w:rPr>
          <w:rFonts w:cs="Arial"/>
          <w:color w:val="222222"/>
          <w:shd w:val="clear" w:color="auto" w:fill="FFFFFF"/>
        </w:rPr>
        <w:t xml:space="preserve"> et al., 2022)</w:t>
      </w:r>
      <w:r>
        <w:t xml:space="preserve">. The hospitality industry in the UK implements eco-friendly initiatives such as using greywater recycling to make practical contributions to local environmental health and inspiring aspects in the businesses with the adaptation of the related practices. </w:t>
      </w:r>
    </w:p>
    <w:p w14:paraId="2FE5A731" w14:textId="77777777" w:rsidR="00454509" w:rsidRDefault="00454509" w:rsidP="00454509">
      <w:r>
        <w:t>For the challenging aspect, there are some issues in the greywater recycling system for presenting the benefits in The Crown Plaza London. The significant challenge is the provision of the investment that is required for installation processes and maintenance of the overall system</w:t>
      </w:r>
      <w:r w:rsidR="003E2725">
        <w:t xml:space="preserve"> (</w:t>
      </w:r>
      <w:r w:rsidR="003E2725">
        <w:rPr>
          <w:rFonts w:cs="Arial"/>
          <w:color w:val="222222"/>
          <w:shd w:val="clear" w:color="auto" w:fill="FFFFFF"/>
        </w:rPr>
        <w:t xml:space="preserve">Gallouj </w:t>
      </w:r>
      <w:r w:rsidR="003E2725" w:rsidRPr="00B77F6C">
        <w:rPr>
          <w:rFonts w:cs="Arial"/>
          <w:color w:val="222222"/>
          <w:shd w:val="clear" w:color="auto" w:fill="FFFFFF"/>
        </w:rPr>
        <w:t>and Viala</w:t>
      </w:r>
      <w:r w:rsidR="003E2725">
        <w:rPr>
          <w:rFonts w:cs="Arial"/>
          <w:color w:val="222222"/>
          <w:shd w:val="clear" w:color="auto" w:fill="FFFFFF"/>
        </w:rPr>
        <w:t>, 2023)</w:t>
      </w:r>
      <w:r>
        <w:t>. There is a lack of long-term savings processes for water bills that directly impact the costs over time. More significant numbers of people are securing funding and resources to take the initiative, which is daunting for the success of hotel management. Additionally, there are some potential regulatory hurdles associated with the changes in the health codes and navigation in the sustainable system before implementation processes</w:t>
      </w:r>
      <w:r w:rsidR="004B10A5">
        <w:t xml:space="preserve"> (</w:t>
      </w:r>
      <w:r w:rsidR="004B10A5" w:rsidRPr="00B77F6C">
        <w:rPr>
          <w:rFonts w:cs="Arial"/>
          <w:color w:val="222222"/>
          <w:shd w:val="clear" w:color="auto" w:fill="FFFFFF"/>
        </w:rPr>
        <w:t>Kozhukhіvska</w:t>
      </w:r>
      <w:r w:rsidR="004B10A5">
        <w:rPr>
          <w:rFonts w:cs="Arial"/>
          <w:color w:val="222222"/>
          <w:shd w:val="clear" w:color="auto" w:fill="FFFFFF"/>
        </w:rPr>
        <w:t xml:space="preserve"> et al., 2022)</w:t>
      </w:r>
      <w:r>
        <w:t>. Another challenge is the lack of involvement in staff training and the lack of operational adjustments essential for practical implementation in the greywater recycling process. The employees' lack of skills and abilities towards education is associated with managing system functions and providing the importance of promoting sustainability services in the operations</w:t>
      </w:r>
      <w:r w:rsidR="00966183">
        <w:t xml:space="preserve"> (</w:t>
      </w:r>
      <w:r w:rsidR="00966183" w:rsidRPr="00B77F6C">
        <w:rPr>
          <w:rFonts w:cs="Arial"/>
        </w:rPr>
        <w:t>Korstanje</w:t>
      </w:r>
      <w:r w:rsidR="00966183">
        <w:rPr>
          <w:rFonts w:cs="Arial"/>
        </w:rPr>
        <w:t xml:space="preserve"> et al., 2020)</w:t>
      </w:r>
      <w:r>
        <w:t>. The hotel faces resistance towards change within the staff or guests who are effectively concerned about the use of recycled water and make presentations of the challenges for addressing the needs through effe</w:t>
      </w:r>
      <w:r w:rsidR="00966183">
        <w:t>ctive communication strategies. Khalil et al. (2024) illustrated that a</w:t>
      </w:r>
      <w:r>
        <w:t>part from the difficulties, there is also a careful planning system and efficiency in the stakeholder engagement management to facilitate a smoother transition toward adaptation of the sustainable practice.</w:t>
      </w:r>
    </w:p>
    <w:p w14:paraId="54DAB3BE" w14:textId="77777777" w:rsidR="00D73417" w:rsidRDefault="00D73417" w:rsidP="00454509"/>
    <w:p w14:paraId="184BD380" w14:textId="12F179CF" w:rsidR="00454509" w:rsidRDefault="00454509" w:rsidP="00454509">
      <w:r>
        <w:lastRenderedPageBreak/>
        <w:t xml:space="preserve">The evaluation of the cost-effectiveness associated with implementing a greywater recycling system at The Crown Plaza London is based on short-term expenses and long-term saving options. The initial installation plan costs more, considering the equipment purchase and management of the overall setup requirements. </w:t>
      </w:r>
      <w:r w:rsidR="005050AF">
        <w:t>Karki et al. (2021) declared that h</w:t>
      </w:r>
      <w:r>
        <w:t>otels typically recoup expenses by reducing water bills in the coming years. Furthermore, the changes arise due to the challenges in the municipal water rates for increasing the demand in urban areas and the lack of investments in a greywater system to become practical and attractive from a definite economic standpoint. The differences are seen in taking the initiatives based on the feasibility and practical involvement in considering both financial implications and management of efficient operational logistics</w:t>
      </w:r>
      <w:r w:rsidR="005050AF">
        <w:t xml:space="preserve"> (Kapoor et al., 2023)</w:t>
      </w:r>
      <w:r>
        <w:t xml:space="preserve">. Successful implementation implements changes in the planning processes for managing the budget allocation, using the timeline established for the installation processes, and managing the ongoing maintenance system in the services. </w:t>
      </w:r>
      <w:r w:rsidR="005050AF" w:rsidRPr="00B77F6C">
        <w:rPr>
          <w:rFonts w:cs="Arial"/>
        </w:rPr>
        <w:t>Jauhari</w:t>
      </w:r>
      <w:r w:rsidR="005050AF">
        <w:t xml:space="preserve"> (2021) presented that t</w:t>
      </w:r>
      <w:r>
        <w:t xml:space="preserve">he experienced vendors lack engagement while </w:t>
      </w:r>
      <w:r w:rsidR="00D73417">
        <w:t>specializing</w:t>
      </w:r>
      <w:r>
        <w:t xml:space="preserve"> the greywater systems and providing valuable insights for effective practices and definite pitfalls during installation. The implication of the initiative allows the hotel to </w:t>
      </w:r>
      <w:proofErr w:type="spellStart"/>
      <w:r w:rsidR="00D73417">
        <w:t>fulfill</w:t>
      </w:r>
      <w:proofErr w:type="spellEnd"/>
      <w:r>
        <w:t xml:space="preserve"> its sustainability goals and maintain efficiency in a financially viable system in the</w:t>
      </w:r>
      <w:r w:rsidR="005050AF">
        <w:t xml:space="preserve"> competitive hospitality market (</w:t>
      </w:r>
      <w:r w:rsidR="005050AF">
        <w:rPr>
          <w:rFonts w:cs="Arial"/>
        </w:rPr>
        <w:t>Inkson</w:t>
      </w:r>
      <w:r w:rsidR="005050AF" w:rsidRPr="00B77F6C">
        <w:rPr>
          <w:rFonts w:cs="Arial"/>
        </w:rPr>
        <w:t xml:space="preserve"> and Minnaert</w:t>
      </w:r>
      <w:r w:rsidR="005050AF">
        <w:rPr>
          <w:rFonts w:cs="Arial"/>
        </w:rPr>
        <w:t>, 2018)</w:t>
      </w:r>
      <w:r w:rsidR="00200BF8">
        <w:rPr>
          <w:rFonts w:cs="Arial"/>
        </w:rPr>
        <w:t xml:space="preserve">. </w:t>
      </w:r>
    </w:p>
    <w:p w14:paraId="411A23DA" w14:textId="77777777" w:rsidR="00D73417" w:rsidRDefault="00313B8D" w:rsidP="00454509">
      <w:r w:rsidRPr="00B77F6C">
        <w:rPr>
          <w:rFonts w:cs="Arial"/>
        </w:rPr>
        <w:t>Haski-Leventhal</w:t>
      </w:r>
      <w:r>
        <w:t xml:space="preserve"> (2018) reported that f</w:t>
      </w:r>
      <w:r w:rsidR="00454509">
        <w:t>or the successful sustainable option, the hotel</w:t>
      </w:r>
      <w:r>
        <w:t>s face</w:t>
      </w:r>
      <w:r w:rsidR="00454509">
        <w:t xml:space="preserve"> challenges integrating sustainable technologies and using the definite infrastructure. The leading hotels in the UK hospitality industry, such as Crown Plaza, are struggling due to retrofitting the older buildings and fulfilling modern sustainability practices within the standards. The process increases costs and enhances operational disruptions by installing definite energy-efficient systems</w:t>
      </w:r>
      <w:r>
        <w:t xml:space="preserve"> (</w:t>
      </w:r>
      <w:r w:rsidRPr="00B77F6C">
        <w:rPr>
          <w:rFonts w:cs="Arial"/>
        </w:rPr>
        <w:t>Edgell</w:t>
      </w:r>
      <w:r>
        <w:rPr>
          <w:rFonts w:cs="Arial"/>
        </w:rPr>
        <w:t>, 2020)</w:t>
      </w:r>
      <w:r w:rsidR="00454509">
        <w:t xml:space="preserve">. The lack of efficiency in using HVAC upgrades or solar panel installations has also been seen in the services. Additionally, the hotel faces difficulties due to the resistance from staff while using traditional methods based on the operations and investing in training and change management strategies to enhance the culture of sustainability. The gap is also seen in managing food waste and the implication of single-use plastics. </w:t>
      </w:r>
      <w:r>
        <w:t xml:space="preserve">According to </w:t>
      </w:r>
      <w:r w:rsidRPr="00B77F6C">
        <w:rPr>
          <w:rFonts w:cs="Arial"/>
          <w:color w:val="222222"/>
          <w:shd w:val="clear" w:color="auto" w:fill="FFFFFF"/>
        </w:rPr>
        <w:t>de Visser-Amundson</w:t>
      </w:r>
      <w:r>
        <w:t xml:space="preserve"> (2022), t</w:t>
      </w:r>
      <w:r w:rsidR="00454509">
        <w:t>he hospitality industry allows the generation of more significant amounts of waste associated with food service operations.</w:t>
      </w:r>
    </w:p>
    <w:p w14:paraId="2FFDA107" w14:textId="652E6D0B" w:rsidR="00454509" w:rsidRDefault="00454509" w:rsidP="00454509">
      <w:r>
        <w:lastRenderedPageBreak/>
        <w:t xml:space="preserve"> The services in the Crown Plaza London implement some definite measures for reducing the waste that seems challenging for recycling initiatives and provide insufficient focus on managing surplus food. </w:t>
      </w:r>
    </w:p>
    <w:p w14:paraId="301766FB" w14:textId="70D37496" w:rsidR="00861CEC" w:rsidRDefault="00313B8D" w:rsidP="00454509">
      <w:r w:rsidRPr="00B77F6C">
        <w:rPr>
          <w:rFonts w:cs="Arial"/>
        </w:rPr>
        <w:t>Cooper</w:t>
      </w:r>
      <w:r>
        <w:t xml:space="preserve"> (2021) elaborated that t</w:t>
      </w:r>
      <w:r w:rsidR="00454509">
        <w:t>he challenge lies in establishing partnerships with local food banks or composting facilities, which requires logistical planning and coordination. Furthermore, the reliance on single-use plastics for amenities and packaging continues to be a pressing issue. Although there is a growing awareness of plastic pollution, transitioning to sustainable alternatives can be costly and logistically complex</w:t>
      </w:r>
      <w:r w:rsidR="00F67D07">
        <w:t xml:space="preserve"> (</w:t>
      </w:r>
      <w:r w:rsidR="00F67D07" w:rsidRPr="00B77F6C">
        <w:rPr>
          <w:rFonts w:cs="Arial"/>
        </w:rPr>
        <w:t>Batabyal</w:t>
      </w:r>
      <w:r w:rsidR="00F67D07">
        <w:rPr>
          <w:rFonts w:cs="Arial"/>
        </w:rPr>
        <w:t>, 2018)</w:t>
      </w:r>
      <w:r w:rsidR="00454509">
        <w:t xml:space="preserve">. The hotel also faces challenges to guest engagement in sustainability practices. Some </w:t>
      </w:r>
      <w:proofErr w:type="spellStart"/>
      <w:r w:rsidR="00D73417">
        <w:t>travelers</w:t>
      </w:r>
      <w:proofErr w:type="spellEnd"/>
      <w:r w:rsidR="00454509">
        <w:t xml:space="preserve"> expressing interest in eco-friendly options are not actively participating in initiatives such as towel re-usage programs based on energy-saving practices during their stay. The gap identifies the effective communication strategies for educating the guests and providing involvement in sustainable efforts. Implementing the incentive programs encourages greater participation and enhances the greater sense of community among the guests</w:t>
      </w:r>
      <w:r w:rsidR="00F67D07">
        <w:t xml:space="preserve"> (</w:t>
      </w:r>
      <w:r w:rsidR="00F67D07" w:rsidRPr="00B77F6C">
        <w:rPr>
          <w:rFonts w:cs="Arial"/>
          <w:color w:val="222222"/>
          <w:shd w:val="clear" w:color="auto" w:fill="FFFFFF"/>
        </w:rPr>
        <w:t>Axhami</w:t>
      </w:r>
      <w:r w:rsidR="00F67D07">
        <w:rPr>
          <w:rFonts w:cs="Arial"/>
          <w:color w:val="222222"/>
          <w:shd w:val="clear" w:color="auto" w:fill="FFFFFF"/>
        </w:rPr>
        <w:t xml:space="preserve"> et al., 2023)</w:t>
      </w:r>
      <w:r w:rsidR="00454509">
        <w:t xml:space="preserve">. There are difficulties in effectively implementing the practices and identifying the areas </w:t>
      </w:r>
      <w:r w:rsidR="00D73417">
        <w:t>for</w:t>
      </w:r>
      <w:r w:rsidR="00454509">
        <w:t xml:space="preserve"> improvement. There must be a stronger framework for managing the tracking system of sustainability performances like energy consumption, water usage processes, and waste generation systems that make data-driven decisions to enhance the positivity of green initiatives. </w:t>
      </w:r>
      <w:r w:rsidR="00861CEC">
        <w:t xml:space="preserve">The hotel management has also </w:t>
      </w:r>
      <w:r w:rsidR="00D73417">
        <w:t>faced</w:t>
      </w:r>
      <w:r w:rsidR="00861CEC">
        <w:t xml:space="preserve"> difficulties in measuring the</w:t>
      </w:r>
      <w:r w:rsidR="00861CEC" w:rsidRPr="00861CEC">
        <w:t xml:space="preserve"> impact of sustainability initiatives </w:t>
      </w:r>
      <w:r w:rsidR="00861CEC">
        <w:t>and imposing</w:t>
      </w:r>
      <w:r w:rsidR="00861CEC" w:rsidRPr="00861CEC">
        <w:t xml:space="preserve"> significant </w:t>
      </w:r>
      <w:r w:rsidR="00D73417">
        <w:t>challenges</w:t>
      </w:r>
      <w:r w:rsidR="00861CEC" w:rsidRPr="00861CEC">
        <w:t xml:space="preserve"> </w:t>
      </w:r>
      <w:r w:rsidR="00861CEC">
        <w:t>towards successful sustainable initiatives</w:t>
      </w:r>
      <w:r w:rsidR="00F67D07">
        <w:t xml:space="preserve"> (</w:t>
      </w:r>
      <w:r w:rsidR="00F67D07" w:rsidRPr="00B77F6C">
        <w:rPr>
          <w:rFonts w:cs="Arial"/>
          <w:color w:val="222222"/>
          <w:shd w:val="clear" w:color="auto" w:fill="FFFFFF"/>
        </w:rPr>
        <w:t>Tsz Wa</w:t>
      </w:r>
      <w:r w:rsidR="00F67D07">
        <w:rPr>
          <w:rFonts w:cs="Arial"/>
          <w:color w:val="222222"/>
          <w:shd w:val="clear" w:color="auto" w:fill="FFFFFF"/>
        </w:rPr>
        <w:t>i et al., 2023)</w:t>
      </w:r>
      <w:r w:rsidR="00861CEC">
        <w:t>. It seems that the</w:t>
      </w:r>
      <w:r w:rsidR="00861CEC" w:rsidRPr="00861CEC">
        <w:t xml:space="preserve"> </w:t>
      </w:r>
      <w:r w:rsidR="00861CEC">
        <w:t>un</w:t>
      </w:r>
      <w:r w:rsidR="00861CEC" w:rsidRPr="00861CEC">
        <w:t xml:space="preserve">clear metrics and </w:t>
      </w:r>
      <w:r w:rsidR="00861CEC">
        <w:t xml:space="preserve">inefficiency in the reporting mechanisms </w:t>
      </w:r>
      <w:r w:rsidR="00D73417">
        <w:t>have</w:t>
      </w:r>
      <w:r w:rsidR="00861CEC">
        <w:t xml:space="preserve"> faced some definite </w:t>
      </w:r>
      <w:r w:rsidR="00861CEC" w:rsidRPr="00861CEC">
        <w:t>difficult</w:t>
      </w:r>
      <w:r w:rsidR="00861CEC">
        <w:t>ies to assess the effectiveness based on the</w:t>
      </w:r>
      <w:r w:rsidR="00861CEC" w:rsidRPr="00861CEC">
        <w:t xml:space="preserve"> i</w:t>
      </w:r>
      <w:r w:rsidR="00861CEC">
        <w:t>mplemented practices or identification of the</w:t>
      </w:r>
      <w:r w:rsidR="00861CEC" w:rsidRPr="00861CEC">
        <w:t xml:space="preserve"> areas for improvement. </w:t>
      </w:r>
      <w:r w:rsidR="00861CEC">
        <w:t xml:space="preserve">The creation of </w:t>
      </w:r>
      <w:r w:rsidR="00D73417">
        <w:t>a</w:t>
      </w:r>
      <w:r w:rsidR="00861CEC">
        <w:t xml:space="preserve"> stronger</w:t>
      </w:r>
      <w:r w:rsidR="00861CEC" w:rsidRPr="00861CEC">
        <w:t xml:space="preserve"> framework for tracking </w:t>
      </w:r>
      <w:r w:rsidR="00861CEC">
        <w:t>sustainability performance is essential like use of the</w:t>
      </w:r>
      <w:r w:rsidR="00861CEC" w:rsidRPr="00861CEC">
        <w:t xml:space="preserve"> energy consumption, water </w:t>
      </w:r>
      <w:r w:rsidR="00861CEC">
        <w:t xml:space="preserve">management and usage, and waste generation aspects that </w:t>
      </w:r>
      <w:r w:rsidR="00861CEC" w:rsidRPr="00861CEC">
        <w:t xml:space="preserve">will enable the hotel to </w:t>
      </w:r>
      <w:r w:rsidR="00861CEC">
        <w:t>identify the</w:t>
      </w:r>
      <w:r w:rsidR="00861CEC" w:rsidRPr="00861CEC">
        <w:t xml:space="preserve"> data-driven decisions </w:t>
      </w:r>
      <w:r w:rsidR="00861CEC">
        <w:t>and enhancement towards the</w:t>
      </w:r>
      <w:r w:rsidR="00861CEC" w:rsidRPr="00861CEC">
        <w:t xml:space="preserve"> green initiatives</w:t>
      </w:r>
      <w:r w:rsidR="00F67D07">
        <w:t xml:space="preserve"> (</w:t>
      </w:r>
      <w:r w:rsidR="00F67D07" w:rsidRPr="00B77F6C">
        <w:rPr>
          <w:rFonts w:cs="Arial"/>
          <w:color w:val="222222"/>
          <w:shd w:val="clear" w:color="auto" w:fill="FFFFFF"/>
        </w:rPr>
        <w:t>Whitfield</w:t>
      </w:r>
      <w:r w:rsidR="00F67D07">
        <w:rPr>
          <w:rFonts w:cs="Arial"/>
          <w:color w:val="222222"/>
          <w:shd w:val="clear" w:color="auto" w:fill="FFFFFF"/>
        </w:rPr>
        <w:t xml:space="preserve"> et al., 2022)</w:t>
      </w:r>
      <w:r w:rsidR="00861CEC" w:rsidRPr="00861CEC">
        <w:t xml:space="preserve">. </w:t>
      </w:r>
    </w:p>
    <w:p w14:paraId="3FC0D8D3" w14:textId="77777777" w:rsidR="00D73417" w:rsidRDefault="00454509" w:rsidP="00454509">
      <w:r>
        <w:t>To summarise, the essay has elaborated on the gaps in the sustainable initiatives at the services of The Crown Plaza London-The City.</w:t>
      </w:r>
    </w:p>
    <w:p w14:paraId="0CD67212" w14:textId="22DE2868" w:rsidR="001A0070" w:rsidRDefault="00454509" w:rsidP="00454509">
      <w:r>
        <w:lastRenderedPageBreak/>
        <w:t xml:space="preserve"> The essay has presented different commendable efforts applied by the hotel management to gain sustainability; however, some significant gaps and challenges follow the attention to enhancing the green practices in the actions. Therefore, implementing a greywater recycling system has presented a viable solution for addressing the management of excessive water consumption, aligning with the broader environmental goals, and managing the definite process at the cost-saving system. For the initial investment and emerging logistical hurdles, the hotel management is taking initiatives to gain success in sustainable hospitality. Additionally, it is essential to address management issues, reduce the reliance on single-use plastics, and improve guest engagement and sustainability practices to enhance the overall environmental impact. It has been seen that The Crown Plaza London has made informed decisions to improve its green initiatives. To address the emerging challenges and gaps, the hotel management is responsible for improving operational efficiency and contributing to the positivity of the local community development and overall environment. </w:t>
      </w:r>
      <w:r w:rsidR="001A0070">
        <w:br w:type="page"/>
      </w:r>
    </w:p>
    <w:p w14:paraId="19E2C993" w14:textId="77777777" w:rsidR="00F447EC" w:rsidRDefault="001A0070" w:rsidP="001A0070">
      <w:pPr>
        <w:pStyle w:val="Heading1"/>
      </w:pPr>
      <w:r>
        <w:lastRenderedPageBreak/>
        <w:t>References</w:t>
      </w:r>
    </w:p>
    <w:p w14:paraId="2C5BC640" w14:textId="77777777" w:rsidR="00461EBD" w:rsidRPr="00B77F6C" w:rsidRDefault="00461EBD" w:rsidP="00461EBD">
      <w:pPr>
        <w:ind w:left="720" w:hanging="720"/>
        <w:rPr>
          <w:rFonts w:cs="Arial"/>
          <w:color w:val="222222"/>
          <w:shd w:val="clear" w:color="auto" w:fill="FFFFFF"/>
        </w:rPr>
      </w:pPr>
      <w:r w:rsidRPr="00B77F6C">
        <w:rPr>
          <w:rFonts w:cs="Arial"/>
          <w:color w:val="222222"/>
          <w:shd w:val="clear" w:color="auto" w:fill="FFFFFF"/>
        </w:rPr>
        <w:t>Axhami, M., Ndou, V., Milo, V. and Scorrano, P. (2023). Creating value via the circular economy: Practices in the tourism sector. </w:t>
      </w:r>
      <w:r w:rsidRPr="00B77F6C">
        <w:rPr>
          <w:rFonts w:cs="Arial"/>
          <w:i/>
          <w:iCs/>
          <w:color w:val="222222"/>
          <w:shd w:val="clear" w:color="auto" w:fill="FFFFFF"/>
        </w:rPr>
        <w:t>Administrative Sciences</w:t>
      </w:r>
      <w:r w:rsidRPr="00B77F6C">
        <w:rPr>
          <w:rFonts w:cs="Arial"/>
          <w:color w:val="222222"/>
          <w:shd w:val="clear" w:color="auto" w:fill="FFFFFF"/>
        </w:rPr>
        <w:t>, </w:t>
      </w:r>
      <w:r w:rsidRPr="00B77F6C">
        <w:rPr>
          <w:rFonts w:cs="Arial"/>
          <w:i/>
          <w:iCs/>
          <w:color w:val="222222"/>
          <w:shd w:val="clear" w:color="auto" w:fill="FFFFFF"/>
        </w:rPr>
        <w:t>13</w:t>
      </w:r>
      <w:r w:rsidRPr="00B77F6C">
        <w:rPr>
          <w:rFonts w:cs="Arial"/>
          <w:color w:val="222222"/>
          <w:shd w:val="clear" w:color="auto" w:fill="FFFFFF"/>
        </w:rPr>
        <w:t>(7), 166.</w:t>
      </w:r>
    </w:p>
    <w:p w14:paraId="57D1416B" w14:textId="77777777" w:rsidR="00461EBD" w:rsidRPr="00461EBD" w:rsidRDefault="00461EBD" w:rsidP="00461EBD">
      <w:pPr>
        <w:ind w:left="720" w:hanging="720"/>
        <w:rPr>
          <w:rFonts w:cs="Arial"/>
        </w:rPr>
      </w:pPr>
      <w:r w:rsidRPr="00B77F6C">
        <w:rPr>
          <w:rFonts w:cs="Arial"/>
        </w:rPr>
        <w:t xml:space="preserve">Batabyal. (2018). </w:t>
      </w:r>
      <w:r w:rsidRPr="00B77F6C">
        <w:rPr>
          <w:rFonts w:cs="Arial"/>
          <w:i/>
        </w:rPr>
        <w:t>Managing Sustainable Tourism Resources.</w:t>
      </w:r>
      <w:r w:rsidRPr="00B77F6C">
        <w:rPr>
          <w:rFonts w:cs="Arial"/>
        </w:rPr>
        <w:t xml:space="preserve"> IGI Global.</w:t>
      </w:r>
    </w:p>
    <w:p w14:paraId="11C77A3E" w14:textId="77777777" w:rsidR="00461EBD" w:rsidRPr="00B77F6C" w:rsidRDefault="00461EBD" w:rsidP="00461EBD">
      <w:pPr>
        <w:ind w:left="720" w:hanging="720"/>
        <w:rPr>
          <w:rFonts w:cs="Arial"/>
        </w:rPr>
      </w:pPr>
      <w:r w:rsidRPr="00B77F6C">
        <w:rPr>
          <w:rFonts w:cs="Arial"/>
        </w:rPr>
        <w:t xml:space="preserve">Cooper, C. (2021) </w:t>
      </w:r>
      <w:r w:rsidRPr="00B77F6C">
        <w:rPr>
          <w:rFonts w:cs="Arial"/>
          <w:i/>
        </w:rPr>
        <w:t>Essentials of tourism.</w:t>
      </w:r>
      <w:r w:rsidRPr="00B77F6C">
        <w:rPr>
          <w:rFonts w:cs="Arial"/>
        </w:rPr>
        <w:t xml:space="preserve"> Third edition. London: SAGE. </w:t>
      </w:r>
    </w:p>
    <w:p w14:paraId="2CA9643B" w14:textId="77777777" w:rsidR="00461EBD" w:rsidRPr="00B77F6C" w:rsidRDefault="00461EBD" w:rsidP="00461EBD">
      <w:pPr>
        <w:ind w:left="720" w:hanging="720"/>
        <w:rPr>
          <w:rFonts w:cs="Arial"/>
          <w:color w:val="222222"/>
          <w:shd w:val="clear" w:color="auto" w:fill="FFFFFF"/>
        </w:rPr>
      </w:pPr>
      <w:r w:rsidRPr="00B77F6C">
        <w:rPr>
          <w:rFonts w:cs="Arial"/>
          <w:color w:val="222222"/>
          <w:shd w:val="clear" w:color="auto" w:fill="FFFFFF"/>
        </w:rPr>
        <w:t>de Visser-Amundson, A. (2022). A multi-stakeholder partnership to fight food waste in the hospitality industry: A contribution to the United Nations Sustainable Development Goals 12 and 17. </w:t>
      </w:r>
      <w:r w:rsidRPr="00B77F6C">
        <w:rPr>
          <w:rFonts w:cs="Arial"/>
          <w:i/>
          <w:iCs/>
          <w:color w:val="222222"/>
          <w:shd w:val="clear" w:color="auto" w:fill="FFFFFF"/>
        </w:rPr>
        <w:t>Journal of Sustainable Tourism</w:t>
      </w:r>
      <w:r w:rsidRPr="00B77F6C">
        <w:rPr>
          <w:rFonts w:cs="Arial"/>
          <w:color w:val="222222"/>
          <w:shd w:val="clear" w:color="auto" w:fill="FFFFFF"/>
        </w:rPr>
        <w:t>, </w:t>
      </w:r>
      <w:r w:rsidRPr="00B77F6C">
        <w:rPr>
          <w:rFonts w:cs="Arial"/>
          <w:i/>
          <w:iCs/>
          <w:color w:val="222222"/>
          <w:shd w:val="clear" w:color="auto" w:fill="FFFFFF"/>
        </w:rPr>
        <w:t>30</w:t>
      </w:r>
      <w:r w:rsidRPr="00B77F6C">
        <w:rPr>
          <w:rFonts w:cs="Arial"/>
          <w:color w:val="222222"/>
          <w:shd w:val="clear" w:color="auto" w:fill="FFFFFF"/>
        </w:rPr>
        <w:t>(10), 2448-2475.</w:t>
      </w:r>
    </w:p>
    <w:p w14:paraId="7976FEC0" w14:textId="77777777" w:rsidR="00461EBD" w:rsidRPr="00B77F6C" w:rsidRDefault="00461EBD" w:rsidP="00461EBD">
      <w:pPr>
        <w:ind w:left="720" w:hanging="720"/>
        <w:rPr>
          <w:rFonts w:cs="Arial"/>
        </w:rPr>
      </w:pPr>
      <w:r w:rsidRPr="00B77F6C">
        <w:rPr>
          <w:rFonts w:cs="Arial"/>
        </w:rPr>
        <w:t xml:space="preserve">Edgell. (2020). </w:t>
      </w:r>
      <w:r w:rsidRPr="00B77F6C">
        <w:rPr>
          <w:rFonts w:cs="Arial"/>
          <w:i/>
        </w:rPr>
        <w:t xml:space="preserve">Managing sustainable </w:t>
      </w:r>
      <w:proofErr w:type="gramStart"/>
      <w:r w:rsidRPr="00B77F6C">
        <w:rPr>
          <w:rFonts w:cs="Arial"/>
          <w:i/>
        </w:rPr>
        <w:t>tourism :</w:t>
      </w:r>
      <w:proofErr w:type="gramEnd"/>
      <w:r w:rsidRPr="00B77F6C">
        <w:rPr>
          <w:rFonts w:cs="Arial"/>
          <w:i/>
        </w:rPr>
        <w:t xml:space="preserve"> a legacy for the future</w:t>
      </w:r>
      <w:r w:rsidRPr="00B77F6C">
        <w:rPr>
          <w:rFonts w:cs="Arial"/>
        </w:rPr>
        <w:t xml:space="preserve"> (Third edition). Routledge. </w:t>
      </w:r>
    </w:p>
    <w:p w14:paraId="65180B5A" w14:textId="794A6648" w:rsidR="00461EBD" w:rsidRPr="00B77F6C" w:rsidRDefault="00461EBD" w:rsidP="00461EBD">
      <w:pPr>
        <w:ind w:left="720" w:hanging="720"/>
        <w:rPr>
          <w:rFonts w:cs="Arial"/>
          <w:color w:val="222222"/>
          <w:shd w:val="clear" w:color="auto" w:fill="FFFFFF"/>
        </w:rPr>
      </w:pPr>
      <w:r w:rsidRPr="00B77F6C">
        <w:rPr>
          <w:rFonts w:cs="Arial"/>
          <w:color w:val="222222"/>
          <w:shd w:val="clear" w:color="auto" w:fill="FFFFFF"/>
        </w:rPr>
        <w:t xml:space="preserve">Gallouj, C. and Viala, C. (2023). Innovation trajectories and sustainable </w:t>
      </w:r>
      <w:r w:rsidR="00D73417">
        <w:rPr>
          <w:rFonts w:cs="Arial"/>
          <w:color w:val="222222"/>
          <w:shd w:val="clear" w:color="auto" w:fill="FFFFFF"/>
        </w:rPr>
        <w:t>development</w:t>
      </w:r>
      <w:r w:rsidRPr="00B77F6C">
        <w:rPr>
          <w:rFonts w:cs="Arial"/>
          <w:color w:val="222222"/>
          <w:shd w:val="clear" w:color="auto" w:fill="FFFFFF"/>
        </w:rPr>
        <w:t xml:space="preserve"> analytical framework for tourism services. </w:t>
      </w:r>
      <w:r w:rsidRPr="00B77F6C">
        <w:rPr>
          <w:rFonts w:cs="Arial"/>
          <w:i/>
          <w:iCs/>
          <w:color w:val="222222"/>
          <w:shd w:val="clear" w:color="auto" w:fill="FFFFFF"/>
        </w:rPr>
        <w:t>Revue Européenne d’Économie et Management des Services</w:t>
      </w:r>
      <w:r w:rsidRPr="00B77F6C">
        <w:rPr>
          <w:rFonts w:cs="Arial"/>
          <w:color w:val="222222"/>
          <w:shd w:val="clear" w:color="auto" w:fill="FFFFFF"/>
        </w:rPr>
        <w:t>, </w:t>
      </w:r>
      <w:r w:rsidRPr="00B77F6C">
        <w:rPr>
          <w:rFonts w:cs="Arial"/>
          <w:i/>
          <w:iCs/>
          <w:color w:val="222222"/>
          <w:shd w:val="clear" w:color="auto" w:fill="FFFFFF"/>
        </w:rPr>
        <w:t>2023</w:t>
      </w:r>
      <w:r w:rsidRPr="00B77F6C">
        <w:rPr>
          <w:rFonts w:cs="Arial"/>
          <w:color w:val="222222"/>
          <w:shd w:val="clear" w:color="auto" w:fill="FFFFFF"/>
        </w:rPr>
        <w:t>(15), 119-134.</w:t>
      </w:r>
    </w:p>
    <w:p w14:paraId="6678626C" w14:textId="77777777" w:rsidR="00461EBD" w:rsidRPr="00B77F6C" w:rsidRDefault="00461EBD" w:rsidP="00461EBD">
      <w:pPr>
        <w:ind w:left="720" w:hanging="720"/>
        <w:rPr>
          <w:rFonts w:cs="Arial"/>
        </w:rPr>
      </w:pPr>
      <w:r w:rsidRPr="00B77F6C">
        <w:rPr>
          <w:rFonts w:cs="Arial"/>
        </w:rPr>
        <w:t xml:space="preserve">Haski-Leventhal, D. (2018) </w:t>
      </w:r>
      <w:r w:rsidRPr="00B77F6C">
        <w:rPr>
          <w:rFonts w:cs="Arial"/>
          <w:i/>
        </w:rPr>
        <w:t xml:space="preserve">Strategic corporate social </w:t>
      </w:r>
      <w:proofErr w:type="gramStart"/>
      <w:r w:rsidRPr="00B77F6C">
        <w:rPr>
          <w:rFonts w:cs="Arial"/>
          <w:i/>
        </w:rPr>
        <w:t>responsibility :</w:t>
      </w:r>
      <w:proofErr w:type="gramEnd"/>
      <w:r w:rsidRPr="00B77F6C">
        <w:rPr>
          <w:rFonts w:cs="Arial"/>
          <w:i/>
        </w:rPr>
        <w:t xml:space="preserve"> tools &amp; theories for responsible management.</w:t>
      </w:r>
      <w:r w:rsidRPr="00B77F6C">
        <w:rPr>
          <w:rFonts w:cs="Arial"/>
        </w:rPr>
        <w:t xml:space="preserve"> London: SAGE. </w:t>
      </w:r>
    </w:p>
    <w:p w14:paraId="3364A433" w14:textId="77777777" w:rsidR="00461EBD" w:rsidRPr="00B77F6C" w:rsidRDefault="00461EBD" w:rsidP="00461EBD">
      <w:pPr>
        <w:ind w:left="720" w:hanging="720"/>
        <w:rPr>
          <w:rFonts w:cs="Arial"/>
        </w:rPr>
      </w:pPr>
      <w:r w:rsidRPr="00B77F6C">
        <w:rPr>
          <w:rFonts w:cs="Arial"/>
        </w:rPr>
        <w:t xml:space="preserve">Inkson, C. and Minnaert, L. (2018) </w:t>
      </w:r>
      <w:r w:rsidRPr="00B77F6C">
        <w:rPr>
          <w:rFonts w:cs="Arial"/>
          <w:i/>
        </w:rPr>
        <w:t xml:space="preserve">Tourism </w:t>
      </w:r>
      <w:proofErr w:type="gramStart"/>
      <w:r w:rsidRPr="00B77F6C">
        <w:rPr>
          <w:rFonts w:cs="Arial"/>
          <w:i/>
        </w:rPr>
        <w:t>management :</w:t>
      </w:r>
      <w:proofErr w:type="gramEnd"/>
      <w:r w:rsidRPr="00B77F6C">
        <w:rPr>
          <w:rFonts w:cs="Arial"/>
          <w:i/>
        </w:rPr>
        <w:t xml:space="preserve"> an introduction.</w:t>
      </w:r>
      <w:r w:rsidRPr="00B77F6C">
        <w:rPr>
          <w:rFonts w:cs="Arial"/>
        </w:rPr>
        <w:t xml:space="preserve"> 2nded. London: SAGE. </w:t>
      </w:r>
    </w:p>
    <w:p w14:paraId="36FBFFA3" w14:textId="77777777" w:rsidR="00461EBD" w:rsidRPr="00B77F6C" w:rsidRDefault="00461EBD" w:rsidP="00461EBD">
      <w:pPr>
        <w:ind w:left="720" w:hanging="720"/>
        <w:rPr>
          <w:rFonts w:cs="Arial"/>
        </w:rPr>
      </w:pPr>
      <w:r w:rsidRPr="00B77F6C">
        <w:rPr>
          <w:rFonts w:cs="Arial"/>
        </w:rPr>
        <w:t xml:space="preserve">Jauhari, V (2021) </w:t>
      </w:r>
      <w:r w:rsidRPr="00B77F6C">
        <w:rPr>
          <w:rFonts w:cs="Arial"/>
          <w:i/>
        </w:rPr>
        <w:t>‘Managing Sustainability in the Hospitality and Tourism Industry: Paradigms and Directions for the Futur</w:t>
      </w:r>
      <w:r w:rsidRPr="00B77F6C">
        <w:rPr>
          <w:rFonts w:cs="Arial"/>
        </w:rPr>
        <w:t>e’ 9thedn.Oakville: Apple Academic Press. Inc</w:t>
      </w:r>
    </w:p>
    <w:p w14:paraId="7C8AD226" w14:textId="1BC1C776" w:rsidR="00461EBD" w:rsidRPr="00B77F6C" w:rsidRDefault="00461EBD" w:rsidP="00461EBD">
      <w:pPr>
        <w:ind w:left="720" w:hanging="720"/>
        <w:rPr>
          <w:rFonts w:cs="Arial"/>
          <w:color w:val="222222"/>
          <w:shd w:val="clear" w:color="auto" w:fill="FFFFFF"/>
        </w:rPr>
      </w:pPr>
      <w:r w:rsidRPr="00B77F6C">
        <w:rPr>
          <w:rFonts w:cs="Arial"/>
          <w:color w:val="222222"/>
          <w:shd w:val="clear" w:color="auto" w:fill="FFFFFF"/>
        </w:rPr>
        <w:t xml:space="preserve">Kapoor, R., Singh, A. and Manchanda, G. (2023). Hospitality internships and green leaders: </w:t>
      </w:r>
      <w:proofErr w:type="spellStart"/>
      <w:r w:rsidR="00D73417">
        <w:rPr>
          <w:rFonts w:cs="Arial"/>
          <w:color w:val="222222"/>
          <w:shd w:val="clear" w:color="auto" w:fill="FFFFFF"/>
        </w:rPr>
        <w:t>analyzing</w:t>
      </w:r>
      <w:proofErr w:type="spellEnd"/>
      <w:r w:rsidRPr="00B77F6C">
        <w:rPr>
          <w:rFonts w:cs="Arial"/>
          <w:color w:val="222222"/>
          <w:shd w:val="clear" w:color="auto" w:fill="FFFFFF"/>
        </w:rPr>
        <w:t xml:space="preserve"> the engagement of interns with hotel sustainable development practices. </w:t>
      </w:r>
      <w:r w:rsidRPr="00B77F6C">
        <w:rPr>
          <w:rFonts w:cs="Arial"/>
          <w:i/>
          <w:iCs/>
          <w:color w:val="222222"/>
          <w:shd w:val="clear" w:color="auto" w:fill="FFFFFF"/>
        </w:rPr>
        <w:t>Worldwide Hospitality and Tourism Themes</w:t>
      </w:r>
      <w:r w:rsidRPr="00B77F6C">
        <w:rPr>
          <w:rFonts w:cs="Arial"/>
          <w:color w:val="222222"/>
          <w:shd w:val="clear" w:color="auto" w:fill="FFFFFF"/>
        </w:rPr>
        <w:t>, </w:t>
      </w:r>
      <w:r w:rsidRPr="00B77F6C">
        <w:rPr>
          <w:rFonts w:cs="Arial"/>
          <w:i/>
          <w:iCs/>
          <w:color w:val="222222"/>
          <w:shd w:val="clear" w:color="auto" w:fill="FFFFFF"/>
        </w:rPr>
        <w:t>15</w:t>
      </w:r>
      <w:r w:rsidRPr="00B77F6C">
        <w:rPr>
          <w:rFonts w:cs="Arial"/>
          <w:color w:val="222222"/>
          <w:shd w:val="clear" w:color="auto" w:fill="FFFFFF"/>
        </w:rPr>
        <w:t>(3), 295-307.</w:t>
      </w:r>
    </w:p>
    <w:p w14:paraId="74ACF603" w14:textId="77777777" w:rsidR="00461EBD" w:rsidRPr="00B77F6C" w:rsidRDefault="00461EBD" w:rsidP="00461EBD">
      <w:pPr>
        <w:ind w:left="720" w:hanging="720"/>
        <w:rPr>
          <w:rFonts w:cs="Arial"/>
          <w:color w:val="222222"/>
          <w:shd w:val="clear" w:color="auto" w:fill="FFFFFF"/>
        </w:rPr>
      </w:pPr>
      <w:r w:rsidRPr="00B77F6C">
        <w:rPr>
          <w:rFonts w:cs="Arial"/>
          <w:color w:val="222222"/>
          <w:shd w:val="clear" w:color="auto" w:fill="FFFFFF"/>
        </w:rPr>
        <w:t>Karki, S. T., Bennett, A. C. and Mishra, J. L. (2021). Reducing food waste and food insecurity in the UK: The architecture of surplus food distribution supply chain in addressing the sustainable development goals (Goal 2 and Goal 12.3) at a city level. </w:t>
      </w:r>
      <w:r w:rsidRPr="00B77F6C">
        <w:rPr>
          <w:rFonts w:cs="Arial"/>
          <w:i/>
          <w:iCs/>
          <w:color w:val="222222"/>
          <w:shd w:val="clear" w:color="auto" w:fill="FFFFFF"/>
        </w:rPr>
        <w:t>Industrial Marketing Management</w:t>
      </w:r>
      <w:r w:rsidRPr="00B77F6C">
        <w:rPr>
          <w:rFonts w:cs="Arial"/>
          <w:color w:val="222222"/>
          <w:shd w:val="clear" w:color="auto" w:fill="FFFFFF"/>
        </w:rPr>
        <w:t>, </w:t>
      </w:r>
      <w:r w:rsidRPr="00B77F6C">
        <w:rPr>
          <w:rFonts w:cs="Arial"/>
          <w:i/>
          <w:iCs/>
          <w:color w:val="222222"/>
          <w:shd w:val="clear" w:color="auto" w:fill="FFFFFF"/>
        </w:rPr>
        <w:t>93</w:t>
      </w:r>
      <w:r w:rsidRPr="00B77F6C">
        <w:rPr>
          <w:rFonts w:cs="Arial"/>
          <w:color w:val="222222"/>
          <w:shd w:val="clear" w:color="auto" w:fill="FFFFFF"/>
        </w:rPr>
        <w:t>, 563-577.</w:t>
      </w:r>
    </w:p>
    <w:p w14:paraId="2A66B4D2" w14:textId="77777777" w:rsidR="00461EBD" w:rsidRPr="00B77F6C" w:rsidRDefault="00461EBD" w:rsidP="00461EBD">
      <w:pPr>
        <w:ind w:left="720" w:hanging="720"/>
        <w:rPr>
          <w:rFonts w:cs="Arial"/>
          <w:color w:val="222222"/>
          <w:shd w:val="clear" w:color="auto" w:fill="FFFFFF"/>
        </w:rPr>
      </w:pPr>
      <w:r w:rsidRPr="00B77F6C">
        <w:rPr>
          <w:rFonts w:cs="Arial"/>
          <w:color w:val="222222"/>
          <w:shd w:val="clear" w:color="auto" w:fill="FFFFFF"/>
        </w:rPr>
        <w:lastRenderedPageBreak/>
        <w:t>Khalil, N., Che Abdullah, S. N., Haron, S. N. and Hamid, M. Y. (2024). A review of green practices and initiatives from stakeholder’s perspectives towards sustainable hotel operations and performance impact. </w:t>
      </w:r>
      <w:r w:rsidRPr="00B77F6C">
        <w:rPr>
          <w:rFonts w:cs="Arial"/>
          <w:i/>
          <w:iCs/>
          <w:color w:val="222222"/>
          <w:shd w:val="clear" w:color="auto" w:fill="FFFFFF"/>
        </w:rPr>
        <w:t>Journal of Facilities Management</w:t>
      </w:r>
      <w:r w:rsidRPr="00B77F6C">
        <w:rPr>
          <w:rFonts w:cs="Arial"/>
          <w:color w:val="222222"/>
          <w:shd w:val="clear" w:color="auto" w:fill="FFFFFF"/>
        </w:rPr>
        <w:t>, </w:t>
      </w:r>
      <w:r w:rsidRPr="00B77F6C">
        <w:rPr>
          <w:rFonts w:cs="Arial"/>
          <w:i/>
          <w:iCs/>
          <w:color w:val="222222"/>
          <w:shd w:val="clear" w:color="auto" w:fill="FFFFFF"/>
        </w:rPr>
        <w:t>22</w:t>
      </w:r>
      <w:r w:rsidRPr="00B77F6C">
        <w:rPr>
          <w:rFonts w:cs="Arial"/>
          <w:color w:val="222222"/>
          <w:shd w:val="clear" w:color="auto" w:fill="FFFFFF"/>
        </w:rPr>
        <w:t>(4), 653-682.</w:t>
      </w:r>
    </w:p>
    <w:p w14:paraId="4133AD23" w14:textId="77777777" w:rsidR="00461EBD" w:rsidRPr="00B77F6C" w:rsidRDefault="00461EBD" w:rsidP="00461EBD">
      <w:pPr>
        <w:ind w:left="720" w:hanging="720"/>
        <w:rPr>
          <w:rFonts w:cs="Arial"/>
        </w:rPr>
      </w:pPr>
      <w:r w:rsidRPr="00B77F6C">
        <w:rPr>
          <w:rFonts w:cs="Arial"/>
        </w:rPr>
        <w:t xml:space="preserve">Korstanje, George, B. and Nedelea, A. (2020). </w:t>
      </w:r>
      <w:r w:rsidRPr="00B77F6C">
        <w:rPr>
          <w:rFonts w:cs="Arial"/>
          <w:i/>
        </w:rPr>
        <w:t>Strategies for promoting sustainable hospitality and tourism services.</w:t>
      </w:r>
      <w:r w:rsidRPr="00B77F6C">
        <w:rPr>
          <w:rFonts w:cs="Arial"/>
        </w:rPr>
        <w:t xml:space="preserve"> IGI Global. </w:t>
      </w:r>
    </w:p>
    <w:p w14:paraId="7685F12D" w14:textId="77777777" w:rsidR="00461EBD" w:rsidRPr="00B77F6C" w:rsidRDefault="00461EBD" w:rsidP="00461EBD">
      <w:pPr>
        <w:ind w:left="720" w:hanging="720"/>
        <w:rPr>
          <w:rFonts w:cs="Arial"/>
          <w:color w:val="222222"/>
          <w:shd w:val="clear" w:color="auto" w:fill="FFFFFF"/>
        </w:rPr>
      </w:pPr>
      <w:r w:rsidRPr="00B77F6C">
        <w:rPr>
          <w:rFonts w:cs="Arial"/>
          <w:color w:val="222222"/>
          <w:shd w:val="clear" w:color="auto" w:fill="FFFFFF"/>
        </w:rPr>
        <w:t>Kozhukhіvska, R., Sakovska, О., Maslovata, S., Dluhoborskа, L. and Chuchmii, I. (2022, June). Managing innovation in tourism and hospitality industry: International experience. In </w:t>
      </w:r>
      <w:r w:rsidRPr="00B77F6C">
        <w:rPr>
          <w:rFonts w:cs="Arial"/>
          <w:i/>
          <w:iCs/>
          <w:color w:val="222222"/>
          <w:shd w:val="clear" w:color="auto" w:fill="FFFFFF"/>
        </w:rPr>
        <w:t>AIP Conference Proceedings</w:t>
      </w:r>
      <w:r w:rsidRPr="00B77F6C">
        <w:rPr>
          <w:rFonts w:cs="Arial"/>
          <w:color w:val="222222"/>
          <w:shd w:val="clear" w:color="auto" w:fill="FFFFFF"/>
        </w:rPr>
        <w:t> (Vol. 2413, No. 1). AIP Publishing.</w:t>
      </w:r>
    </w:p>
    <w:p w14:paraId="0B8246E8" w14:textId="77777777" w:rsidR="00461EBD" w:rsidRPr="00B77F6C" w:rsidRDefault="00461EBD" w:rsidP="00461EBD">
      <w:pPr>
        <w:ind w:left="720" w:hanging="720"/>
        <w:rPr>
          <w:rFonts w:cs="Arial"/>
          <w:color w:val="222222"/>
          <w:shd w:val="clear" w:color="auto" w:fill="FFFFFF"/>
        </w:rPr>
      </w:pPr>
      <w:r w:rsidRPr="00B77F6C">
        <w:rPr>
          <w:rFonts w:cs="Arial"/>
          <w:color w:val="222222"/>
          <w:shd w:val="clear" w:color="auto" w:fill="FFFFFF"/>
        </w:rPr>
        <w:t>Legrand, W., Chen, J. S. and Laeis, G. C. (2022). </w:t>
      </w:r>
      <w:r w:rsidRPr="00B77F6C">
        <w:rPr>
          <w:rFonts w:cs="Arial"/>
          <w:i/>
          <w:iCs/>
          <w:color w:val="222222"/>
          <w:shd w:val="clear" w:color="auto" w:fill="FFFFFF"/>
        </w:rPr>
        <w:t>Sustainability in the hospitality industry: Principles of sustainable operations</w:t>
      </w:r>
      <w:r w:rsidRPr="00B77F6C">
        <w:rPr>
          <w:rFonts w:cs="Arial"/>
          <w:color w:val="222222"/>
          <w:shd w:val="clear" w:color="auto" w:fill="FFFFFF"/>
        </w:rPr>
        <w:t>. Routledge.</w:t>
      </w:r>
    </w:p>
    <w:p w14:paraId="1FE6F9FD" w14:textId="0A835E19" w:rsidR="00461EBD" w:rsidRPr="00B77F6C" w:rsidRDefault="00461EBD" w:rsidP="00461EBD">
      <w:pPr>
        <w:ind w:left="720" w:hanging="720"/>
        <w:rPr>
          <w:rFonts w:cs="Arial"/>
          <w:color w:val="222222"/>
          <w:shd w:val="clear" w:color="auto" w:fill="FFFFFF"/>
        </w:rPr>
      </w:pPr>
      <w:r w:rsidRPr="00B77F6C">
        <w:rPr>
          <w:rFonts w:cs="Arial"/>
          <w:color w:val="222222"/>
          <w:shd w:val="clear" w:color="auto" w:fill="FFFFFF"/>
        </w:rPr>
        <w:t xml:space="preserve">Moon, C. J., Walmsley, A. and Apostolopoulos, N. (2023, September). Enterprise and Entrepreneurship Education: Exploring a </w:t>
      </w:r>
      <w:r w:rsidR="00D73417">
        <w:rPr>
          <w:rFonts w:cs="Arial"/>
          <w:color w:val="222222"/>
          <w:shd w:val="clear" w:color="auto" w:fill="FFFFFF"/>
        </w:rPr>
        <w:t>New</w:t>
      </w:r>
      <w:r w:rsidRPr="00B77F6C">
        <w:rPr>
          <w:rFonts w:cs="Arial"/>
          <w:color w:val="222222"/>
          <w:shd w:val="clear" w:color="auto" w:fill="FFFFFF"/>
        </w:rPr>
        <w:t xml:space="preserve"> Dynamic Model to Integrate Sustainability Within Curricula. In </w:t>
      </w:r>
      <w:r w:rsidRPr="00B77F6C">
        <w:rPr>
          <w:rFonts w:cs="Arial"/>
          <w:i/>
          <w:iCs/>
          <w:color w:val="222222"/>
          <w:shd w:val="clear" w:color="auto" w:fill="FFFFFF"/>
        </w:rPr>
        <w:t>ECIE 2023 18th European Conference on Innovation and Entrepreneurship Vol 2</w:t>
      </w:r>
      <w:r w:rsidRPr="00B77F6C">
        <w:rPr>
          <w:rFonts w:cs="Arial"/>
          <w:color w:val="222222"/>
          <w:shd w:val="clear" w:color="auto" w:fill="FFFFFF"/>
        </w:rPr>
        <w:t xml:space="preserve">. Academic Conferences and </w:t>
      </w:r>
      <w:r w:rsidR="00D73417">
        <w:rPr>
          <w:rFonts w:cs="Arial"/>
          <w:color w:val="222222"/>
          <w:shd w:val="clear" w:color="auto" w:fill="FFFFFF"/>
        </w:rPr>
        <w:t>Publishing Limited</w:t>
      </w:r>
      <w:r w:rsidRPr="00B77F6C">
        <w:rPr>
          <w:rFonts w:cs="Arial"/>
          <w:color w:val="222222"/>
          <w:shd w:val="clear" w:color="auto" w:fill="FFFFFF"/>
        </w:rPr>
        <w:t>.</w:t>
      </w:r>
    </w:p>
    <w:p w14:paraId="7B11323A" w14:textId="77777777" w:rsidR="00461EBD" w:rsidRPr="00B77F6C" w:rsidRDefault="00461EBD" w:rsidP="00461EBD">
      <w:pPr>
        <w:ind w:left="720" w:hanging="720"/>
        <w:rPr>
          <w:rFonts w:cs="Arial"/>
          <w:color w:val="222222"/>
          <w:shd w:val="clear" w:color="auto" w:fill="FFFFFF"/>
        </w:rPr>
      </w:pPr>
      <w:r w:rsidRPr="00B77F6C">
        <w:rPr>
          <w:rFonts w:cs="Arial"/>
          <w:color w:val="222222"/>
          <w:shd w:val="clear" w:color="auto" w:fill="FFFFFF"/>
        </w:rPr>
        <w:t>Olya, H., Ahmad, M. S., Abdulaziz, T. A., Khairy, H. A., Fayyad, S. and Lee, C. K. (2024). Catalyzing green change: The impact of tech</w:t>
      </w:r>
      <w:r w:rsidRPr="00B77F6C">
        <w:rPr>
          <w:rFonts w:ascii="Cambria Math" w:hAnsi="Cambria Math" w:cs="Cambria Math"/>
          <w:color w:val="222222"/>
          <w:shd w:val="clear" w:color="auto" w:fill="FFFFFF"/>
        </w:rPr>
        <w:t>‐</w:t>
      </w:r>
      <w:r w:rsidRPr="00B77F6C">
        <w:rPr>
          <w:rFonts w:cs="Arial"/>
          <w:color w:val="222222"/>
          <w:shd w:val="clear" w:color="auto" w:fill="FFFFFF"/>
        </w:rPr>
        <w:t>savvy leaders on innovative behaviors. </w:t>
      </w:r>
      <w:r w:rsidRPr="00B77F6C">
        <w:rPr>
          <w:rFonts w:cs="Arial"/>
          <w:i/>
          <w:iCs/>
          <w:color w:val="222222"/>
          <w:shd w:val="clear" w:color="auto" w:fill="FFFFFF"/>
        </w:rPr>
        <w:t>Corporate Social Responsibility and Environmental Management</w:t>
      </w:r>
      <w:r w:rsidRPr="00B77F6C">
        <w:rPr>
          <w:rFonts w:cs="Arial"/>
          <w:color w:val="222222"/>
          <w:shd w:val="clear" w:color="auto" w:fill="FFFFFF"/>
        </w:rPr>
        <w:t>, </w:t>
      </w:r>
      <w:r w:rsidRPr="00B77F6C">
        <w:rPr>
          <w:rFonts w:cs="Arial"/>
          <w:i/>
          <w:iCs/>
          <w:color w:val="222222"/>
          <w:shd w:val="clear" w:color="auto" w:fill="FFFFFF"/>
        </w:rPr>
        <w:t>31</w:t>
      </w:r>
      <w:r w:rsidRPr="00B77F6C">
        <w:rPr>
          <w:rFonts w:cs="Arial"/>
          <w:color w:val="222222"/>
          <w:shd w:val="clear" w:color="auto" w:fill="FFFFFF"/>
        </w:rPr>
        <w:t>(6), 5543-5556.</w:t>
      </w:r>
    </w:p>
    <w:p w14:paraId="5DC0DAAC" w14:textId="77777777" w:rsidR="00461EBD" w:rsidRPr="00B77F6C" w:rsidRDefault="00461EBD" w:rsidP="00461EBD">
      <w:pPr>
        <w:ind w:left="720" w:hanging="720"/>
        <w:rPr>
          <w:rFonts w:cs="Arial"/>
          <w:color w:val="222222"/>
          <w:shd w:val="clear" w:color="auto" w:fill="FFFFFF"/>
        </w:rPr>
      </w:pPr>
      <w:r w:rsidRPr="00B77F6C">
        <w:rPr>
          <w:rFonts w:cs="Arial"/>
          <w:color w:val="222222"/>
          <w:shd w:val="clear" w:color="auto" w:fill="FFFFFF"/>
        </w:rPr>
        <w:t>Pereira-Moliner, J., López-Gamero, M. D., Molina-Azorín, J. F., Tarí, J. J. and Pertusa-Ortega, E. M. (2021). Sustainability, competitive advantages and performance in the hotel industry: A synergistic relationship.</w:t>
      </w:r>
    </w:p>
    <w:p w14:paraId="4A91DF36" w14:textId="189EC9B2" w:rsidR="00461EBD" w:rsidRPr="00B77F6C" w:rsidRDefault="00461EBD" w:rsidP="00461EBD">
      <w:pPr>
        <w:ind w:left="720" w:hanging="720"/>
        <w:rPr>
          <w:rFonts w:cs="Arial"/>
          <w:color w:val="222222"/>
          <w:shd w:val="clear" w:color="auto" w:fill="FFFFFF"/>
        </w:rPr>
      </w:pPr>
      <w:r w:rsidRPr="00B77F6C">
        <w:rPr>
          <w:rFonts w:cs="Arial"/>
          <w:color w:val="222222"/>
          <w:shd w:val="clear" w:color="auto" w:fill="FFFFFF"/>
        </w:rPr>
        <w:t xml:space="preserve">Prakash, S., Sharma, V. P., Singh, R. and Vijayvargy, L. (2023). Adopting green and sustainable practices in the hotel industry </w:t>
      </w:r>
      <w:r w:rsidR="00D73417">
        <w:rPr>
          <w:rFonts w:cs="Arial"/>
          <w:color w:val="222222"/>
          <w:shd w:val="clear" w:color="auto" w:fill="FFFFFF"/>
        </w:rPr>
        <w:t>operations</w:t>
      </w:r>
      <w:r w:rsidRPr="00B77F6C">
        <w:rPr>
          <w:rFonts w:cs="Arial"/>
          <w:color w:val="222222"/>
          <w:shd w:val="clear" w:color="auto" w:fill="FFFFFF"/>
        </w:rPr>
        <w:t xml:space="preserve"> analysis of critical performance indicators for improved environmental quality. </w:t>
      </w:r>
      <w:r w:rsidRPr="00B77F6C">
        <w:rPr>
          <w:rFonts w:cs="Arial"/>
          <w:i/>
          <w:iCs/>
          <w:color w:val="222222"/>
          <w:shd w:val="clear" w:color="auto" w:fill="FFFFFF"/>
        </w:rPr>
        <w:t>Management of Environmental Quality: An International Journal</w:t>
      </w:r>
      <w:r w:rsidRPr="00B77F6C">
        <w:rPr>
          <w:rFonts w:cs="Arial"/>
          <w:color w:val="222222"/>
          <w:shd w:val="clear" w:color="auto" w:fill="FFFFFF"/>
        </w:rPr>
        <w:t>, </w:t>
      </w:r>
      <w:r w:rsidRPr="00B77F6C">
        <w:rPr>
          <w:rFonts w:cs="Arial"/>
          <w:i/>
          <w:iCs/>
          <w:color w:val="222222"/>
          <w:shd w:val="clear" w:color="auto" w:fill="FFFFFF"/>
        </w:rPr>
        <w:t>34</w:t>
      </w:r>
      <w:r w:rsidRPr="00B77F6C">
        <w:rPr>
          <w:rFonts w:cs="Arial"/>
          <w:color w:val="222222"/>
          <w:shd w:val="clear" w:color="auto" w:fill="FFFFFF"/>
        </w:rPr>
        <w:t>(4), 1057-1076.</w:t>
      </w:r>
    </w:p>
    <w:p w14:paraId="592CF594" w14:textId="77777777" w:rsidR="00461EBD" w:rsidRPr="00B77F6C" w:rsidRDefault="00461EBD" w:rsidP="00461EBD">
      <w:pPr>
        <w:ind w:left="720" w:hanging="720"/>
        <w:rPr>
          <w:rFonts w:cs="Arial"/>
        </w:rPr>
      </w:pPr>
      <w:r w:rsidRPr="00B77F6C">
        <w:rPr>
          <w:rFonts w:cs="Arial"/>
        </w:rPr>
        <w:lastRenderedPageBreak/>
        <w:t xml:space="preserve">Sloan, P., Legrand, W. and Chen, J.S. (2017) </w:t>
      </w:r>
      <w:r w:rsidRPr="00B77F6C">
        <w:rPr>
          <w:rFonts w:cs="Arial"/>
          <w:i/>
        </w:rPr>
        <w:t xml:space="preserve">Sustainability in the hospitality </w:t>
      </w:r>
      <w:proofErr w:type="gramStart"/>
      <w:r w:rsidRPr="00B77F6C">
        <w:rPr>
          <w:rFonts w:cs="Arial"/>
          <w:i/>
        </w:rPr>
        <w:t>industry :</w:t>
      </w:r>
      <w:proofErr w:type="gramEnd"/>
      <w:r w:rsidRPr="00B77F6C">
        <w:rPr>
          <w:rFonts w:cs="Arial"/>
          <w:i/>
        </w:rPr>
        <w:t xml:space="preserve"> principles of sustainable operations.</w:t>
      </w:r>
      <w:r w:rsidRPr="00B77F6C">
        <w:rPr>
          <w:rFonts w:cs="Arial"/>
        </w:rPr>
        <w:t xml:space="preserve"> 3rdedn. London: Butterworth-Heinemann. </w:t>
      </w:r>
    </w:p>
    <w:p w14:paraId="2CD61C3D" w14:textId="77777777" w:rsidR="00461EBD" w:rsidRPr="00B77F6C" w:rsidRDefault="00461EBD" w:rsidP="00461EBD">
      <w:pPr>
        <w:ind w:left="720" w:hanging="720"/>
        <w:rPr>
          <w:rFonts w:cs="Arial"/>
          <w:b/>
        </w:rPr>
      </w:pPr>
      <w:r w:rsidRPr="00B77F6C">
        <w:rPr>
          <w:rFonts w:cs="Arial"/>
          <w:color w:val="222222"/>
          <w:shd w:val="clear" w:color="auto" w:fill="FFFFFF"/>
        </w:rPr>
        <w:t>Tanova, C. and Bayighomog, S. W. (2022). Green human resource management in service industries: the construct, antecedents, consequences, and outlook. </w:t>
      </w:r>
      <w:r w:rsidRPr="00B77F6C">
        <w:rPr>
          <w:rFonts w:cs="Arial"/>
          <w:i/>
          <w:iCs/>
          <w:color w:val="222222"/>
          <w:shd w:val="clear" w:color="auto" w:fill="FFFFFF"/>
        </w:rPr>
        <w:t>The Service Industries Journal</w:t>
      </w:r>
      <w:r w:rsidRPr="00B77F6C">
        <w:rPr>
          <w:rFonts w:cs="Arial"/>
          <w:color w:val="222222"/>
          <w:shd w:val="clear" w:color="auto" w:fill="FFFFFF"/>
        </w:rPr>
        <w:t>, </w:t>
      </w:r>
      <w:r w:rsidRPr="00B77F6C">
        <w:rPr>
          <w:rFonts w:cs="Arial"/>
          <w:i/>
          <w:iCs/>
          <w:color w:val="222222"/>
          <w:shd w:val="clear" w:color="auto" w:fill="FFFFFF"/>
        </w:rPr>
        <w:t>42</w:t>
      </w:r>
      <w:r w:rsidRPr="00B77F6C">
        <w:rPr>
          <w:rFonts w:cs="Arial"/>
          <w:color w:val="222222"/>
          <w:shd w:val="clear" w:color="auto" w:fill="FFFFFF"/>
        </w:rPr>
        <w:t>(5-6), 412-452.</w:t>
      </w:r>
    </w:p>
    <w:p w14:paraId="2D061219" w14:textId="77777777" w:rsidR="00461EBD" w:rsidRPr="00B77F6C" w:rsidRDefault="00461EBD" w:rsidP="00461EBD">
      <w:pPr>
        <w:ind w:left="720" w:hanging="720"/>
        <w:rPr>
          <w:rFonts w:cs="Arial"/>
          <w:color w:val="222222"/>
          <w:shd w:val="clear" w:color="auto" w:fill="FFFFFF"/>
        </w:rPr>
      </w:pPr>
      <w:r w:rsidRPr="00B77F6C">
        <w:rPr>
          <w:rFonts w:cs="Arial"/>
          <w:color w:val="222222"/>
          <w:shd w:val="clear" w:color="auto" w:fill="FFFFFF"/>
        </w:rPr>
        <w:t>Tsz Wai, C., Wai Yi, P., Ibrahim Olanrewaju, O., Abdelmageed, S., Hussein, M., Tariq, S. and Zayed, T. (2023). A critical analysis of benefits and challenges of implementing modular integrated construction. </w:t>
      </w:r>
      <w:r w:rsidRPr="00B77F6C">
        <w:rPr>
          <w:rFonts w:cs="Arial"/>
          <w:i/>
          <w:iCs/>
          <w:color w:val="222222"/>
          <w:shd w:val="clear" w:color="auto" w:fill="FFFFFF"/>
        </w:rPr>
        <w:t>International Journal of Construction Management</w:t>
      </w:r>
      <w:r w:rsidRPr="00B77F6C">
        <w:rPr>
          <w:rFonts w:cs="Arial"/>
          <w:color w:val="222222"/>
          <w:shd w:val="clear" w:color="auto" w:fill="FFFFFF"/>
        </w:rPr>
        <w:t>, </w:t>
      </w:r>
      <w:r w:rsidRPr="00B77F6C">
        <w:rPr>
          <w:rFonts w:cs="Arial"/>
          <w:i/>
          <w:iCs/>
          <w:color w:val="222222"/>
          <w:shd w:val="clear" w:color="auto" w:fill="FFFFFF"/>
        </w:rPr>
        <w:t>23</w:t>
      </w:r>
      <w:r w:rsidRPr="00B77F6C">
        <w:rPr>
          <w:rFonts w:cs="Arial"/>
          <w:color w:val="222222"/>
          <w:shd w:val="clear" w:color="auto" w:fill="FFFFFF"/>
        </w:rPr>
        <w:t>(4), 656-668.</w:t>
      </w:r>
    </w:p>
    <w:p w14:paraId="5CF11CED" w14:textId="77777777" w:rsidR="00461EBD" w:rsidRPr="00B77F6C" w:rsidRDefault="00461EBD" w:rsidP="00461EBD">
      <w:pPr>
        <w:ind w:left="720" w:hanging="720"/>
        <w:rPr>
          <w:rFonts w:cs="Arial"/>
          <w:color w:val="222222"/>
          <w:shd w:val="clear" w:color="auto" w:fill="FFFFFF"/>
        </w:rPr>
      </w:pPr>
      <w:r w:rsidRPr="00B77F6C">
        <w:rPr>
          <w:rFonts w:cs="Arial"/>
          <w:color w:val="222222"/>
          <w:shd w:val="clear" w:color="auto" w:fill="FFFFFF"/>
        </w:rPr>
        <w:t>Whitfield, R. C., Noordzy, G. and Lin, L. C. (2022). Extending the Crowne Plaza Changi Airport: a modular hotel construction case study. </w:t>
      </w:r>
      <w:r w:rsidRPr="00B77F6C">
        <w:rPr>
          <w:rFonts w:cs="Arial"/>
          <w:i/>
          <w:iCs/>
          <w:color w:val="222222"/>
          <w:shd w:val="clear" w:color="auto" w:fill="FFFFFF"/>
        </w:rPr>
        <w:t>Journal of Teaching in Travel &amp; Tourism</w:t>
      </w:r>
      <w:r w:rsidRPr="00B77F6C">
        <w:rPr>
          <w:rFonts w:cs="Arial"/>
          <w:color w:val="222222"/>
          <w:shd w:val="clear" w:color="auto" w:fill="FFFFFF"/>
        </w:rPr>
        <w:t>, </w:t>
      </w:r>
      <w:r w:rsidRPr="00B77F6C">
        <w:rPr>
          <w:rFonts w:cs="Arial"/>
          <w:i/>
          <w:iCs/>
          <w:color w:val="222222"/>
          <w:shd w:val="clear" w:color="auto" w:fill="FFFFFF"/>
        </w:rPr>
        <w:t>22</w:t>
      </w:r>
      <w:r w:rsidRPr="00B77F6C">
        <w:rPr>
          <w:rFonts w:cs="Arial"/>
          <w:color w:val="222222"/>
          <w:shd w:val="clear" w:color="auto" w:fill="FFFFFF"/>
        </w:rPr>
        <w:t>(2), 179-187.</w:t>
      </w:r>
    </w:p>
    <w:p w14:paraId="28EF93C1" w14:textId="77777777" w:rsidR="00461EBD" w:rsidRPr="00B77F6C" w:rsidRDefault="00461EBD" w:rsidP="00461EBD">
      <w:pPr>
        <w:ind w:left="720" w:hanging="720"/>
        <w:rPr>
          <w:rFonts w:cs="Arial"/>
        </w:rPr>
      </w:pPr>
      <w:r w:rsidRPr="00B77F6C">
        <w:rPr>
          <w:rFonts w:cs="Arial"/>
        </w:rPr>
        <w:t xml:space="preserve">Wickham, Donnelly, T., and French, L. (2021). </w:t>
      </w:r>
      <w:r w:rsidRPr="00B77F6C">
        <w:rPr>
          <w:rFonts w:cs="Arial"/>
          <w:i/>
        </w:rPr>
        <w:t>Strategic Sustainability Management in the Event Sector. Event Management,</w:t>
      </w:r>
      <w:r w:rsidRPr="00B77F6C">
        <w:rPr>
          <w:rFonts w:cs="Arial"/>
        </w:rPr>
        <w:t xml:space="preserve"> </w:t>
      </w:r>
      <w:r w:rsidRPr="00B77F6C">
        <w:rPr>
          <w:rFonts w:cs="Arial"/>
          <w:i/>
        </w:rPr>
        <w:t>25</w:t>
      </w:r>
      <w:r w:rsidRPr="00B77F6C">
        <w:rPr>
          <w:rFonts w:cs="Arial"/>
        </w:rPr>
        <w:t xml:space="preserve">(3), 279–296. </w:t>
      </w:r>
    </w:p>
    <w:p w14:paraId="0A041CEC" w14:textId="77777777" w:rsidR="00461EBD" w:rsidRPr="00B77F6C" w:rsidRDefault="00461EBD" w:rsidP="00461EBD">
      <w:pPr>
        <w:ind w:left="720" w:hanging="720"/>
        <w:rPr>
          <w:rFonts w:cs="Arial"/>
          <w:color w:val="222222"/>
          <w:shd w:val="clear" w:color="auto" w:fill="FFFFFF"/>
        </w:rPr>
      </w:pPr>
      <w:r w:rsidRPr="00B77F6C">
        <w:rPr>
          <w:rFonts w:cs="Arial"/>
          <w:color w:val="222222"/>
          <w:shd w:val="clear" w:color="auto" w:fill="FFFFFF"/>
        </w:rPr>
        <w:t>Zhang, Y., Zhang, S. and Hsu, F. C. (2023). Crisis management performance of upscale hotels in the Greater Bay Area, China: A comparative study in a complex institutional situation. </w:t>
      </w:r>
      <w:r w:rsidRPr="00B77F6C">
        <w:rPr>
          <w:rFonts w:cs="Arial"/>
          <w:i/>
          <w:iCs/>
          <w:color w:val="222222"/>
          <w:shd w:val="clear" w:color="auto" w:fill="FFFFFF"/>
        </w:rPr>
        <w:t>Sustainability</w:t>
      </w:r>
      <w:r w:rsidRPr="00B77F6C">
        <w:rPr>
          <w:rFonts w:cs="Arial"/>
          <w:color w:val="222222"/>
          <w:shd w:val="clear" w:color="auto" w:fill="FFFFFF"/>
        </w:rPr>
        <w:t>, </w:t>
      </w:r>
      <w:r w:rsidRPr="00B77F6C">
        <w:rPr>
          <w:rFonts w:cs="Arial"/>
          <w:i/>
          <w:iCs/>
          <w:color w:val="222222"/>
          <w:shd w:val="clear" w:color="auto" w:fill="FFFFFF"/>
        </w:rPr>
        <w:t>15</w:t>
      </w:r>
      <w:r w:rsidRPr="00B77F6C">
        <w:rPr>
          <w:rFonts w:cs="Arial"/>
          <w:color w:val="222222"/>
          <w:shd w:val="clear" w:color="auto" w:fill="FFFFFF"/>
        </w:rPr>
        <w:t>(6), 5476.</w:t>
      </w:r>
    </w:p>
    <w:p w14:paraId="5AD639FD" w14:textId="77777777" w:rsidR="00461EBD" w:rsidRPr="00461EBD" w:rsidRDefault="00461EBD" w:rsidP="00461EBD">
      <w:pPr>
        <w:rPr>
          <w:lang w:eastAsia="en-US"/>
        </w:rPr>
      </w:pPr>
    </w:p>
    <w:p w14:paraId="677B77D9" w14:textId="77777777" w:rsidR="001A0070" w:rsidRPr="001A0070" w:rsidRDefault="001A0070" w:rsidP="001A0070">
      <w:pPr>
        <w:rPr>
          <w:lang w:eastAsia="en-US"/>
        </w:rPr>
      </w:pPr>
    </w:p>
    <w:sectPr w:rsidR="001A0070" w:rsidRPr="001A007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579CF5" w14:textId="77777777" w:rsidR="00BD2B7C" w:rsidRDefault="00BD2B7C" w:rsidP="00C95D18">
      <w:pPr>
        <w:spacing w:after="0" w:line="240" w:lineRule="auto"/>
      </w:pPr>
      <w:r>
        <w:separator/>
      </w:r>
    </w:p>
  </w:endnote>
  <w:endnote w:type="continuationSeparator" w:id="0">
    <w:p w14:paraId="16A3F1BE" w14:textId="77777777" w:rsidR="00BD2B7C" w:rsidRDefault="00BD2B7C" w:rsidP="00C95D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Arial MT">
    <w:altName w:val="Arial"/>
    <w:charset w:val="01"/>
    <w:family w:val="swiss"/>
    <w:pitch w:val="variable"/>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1397460"/>
      <w:docPartObj>
        <w:docPartGallery w:val="Page Numbers (Bottom of Page)"/>
        <w:docPartUnique/>
      </w:docPartObj>
    </w:sdtPr>
    <w:sdtEndPr>
      <w:rPr>
        <w:noProof/>
      </w:rPr>
    </w:sdtEndPr>
    <w:sdtContent>
      <w:p w14:paraId="3EB696E2" w14:textId="77777777" w:rsidR="00C95D18" w:rsidRDefault="00C95D18">
        <w:pPr>
          <w:pStyle w:val="Footer"/>
          <w:jc w:val="right"/>
        </w:pPr>
        <w:r>
          <w:fldChar w:fldCharType="begin"/>
        </w:r>
        <w:r>
          <w:instrText xml:space="preserve"> PAGE   \* MERGEFORMAT </w:instrText>
        </w:r>
        <w:r>
          <w:fldChar w:fldCharType="separate"/>
        </w:r>
        <w:r w:rsidR="00E079E5">
          <w:rPr>
            <w:noProof/>
          </w:rPr>
          <w:t>3</w:t>
        </w:r>
        <w:r>
          <w:rPr>
            <w:noProof/>
          </w:rPr>
          <w:fldChar w:fldCharType="end"/>
        </w:r>
      </w:p>
    </w:sdtContent>
  </w:sdt>
  <w:p w14:paraId="7DC71F63" w14:textId="77777777" w:rsidR="00C95D18" w:rsidRDefault="00C95D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E0189E" w14:textId="77777777" w:rsidR="00BD2B7C" w:rsidRDefault="00BD2B7C" w:rsidP="00C95D18">
      <w:pPr>
        <w:spacing w:after="0" w:line="240" w:lineRule="auto"/>
      </w:pPr>
      <w:r>
        <w:separator/>
      </w:r>
    </w:p>
  </w:footnote>
  <w:footnote w:type="continuationSeparator" w:id="0">
    <w:p w14:paraId="053D5463" w14:textId="77777777" w:rsidR="00BD2B7C" w:rsidRDefault="00BD2B7C" w:rsidP="00C95D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8A3729"/>
    <w:multiLevelType w:val="multilevel"/>
    <w:tmpl w:val="6E8EB824"/>
    <w:lvl w:ilvl="0">
      <w:start w:val="1"/>
      <w:numFmt w:val="decimal"/>
      <w:lvlText w:val="%1"/>
      <w:lvlJc w:val="left"/>
      <w:pPr>
        <w:ind w:left="432" w:hanging="432"/>
      </w:pPr>
    </w:lvl>
    <w:lvl w:ilvl="1">
      <w:start w:val="1"/>
      <w:numFmt w:val="decimal"/>
      <w:lvlText w:val="%1.%2"/>
      <w:lvlJc w:val="left"/>
      <w:pPr>
        <w:ind w:left="5256" w:hanging="576"/>
      </w:pPr>
    </w:lvl>
    <w:lvl w:ilvl="2">
      <w:start w:val="1"/>
      <w:numFmt w:val="decimal"/>
      <w:lvlText w:val="%1.%2.%3"/>
      <w:lvlJc w:val="left"/>
      <w:pPr>
        <w:ind w:left="207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43030E8F"/>
    <w:multiLevelType w:val="multilevel"/>
    <w:tmpl w:val="3BB049C2"/>
    <w:lvl w:ilvl="0">
      <w:start w:val="1"/>
      <w:numFmt w:val="decimal"/>
      <w:lvlText w:val="%1"/>
      <w:lvlJc w:val="left"/>
      <w:pPr>
        <w:ind w:left="5742" w:hanging="432"/>
      </w:pPr>
    </w:lvl>
    <w:lvl w:ilvl="1">
      <w:start w:val="1"/>
      <w:numFmt w:val="decimal"/>
      <w:lvlText w:val="%1.%2"/>
      <w:lvlJc w:val="left"/>
      <w:pPr>
        <w:ind w:left="534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70246A44"/>
    <w:multiLevelType w:val="multilevel"/>
    <w:tmpl w:val="D9564FA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466846357">
    <w:abstractNumId w:val="1"/>
  </w:num>
  <w:num w:numId="2" w16cid:durableId="1190413900">
    <w:abstractNumId w:val="1"/>
  </w:num>
  <w:num w:numId="3" w16cid:durableId="1223758691">
    <w:abstractNumId w:val="0"/>
  </w:num>
  <w:num w:numId="4" w16cid:durableId="1180923597">
    <w:abstractNumId w:val="0"/>
  </w:num>
  <w:num w:numId="5" w16cid:durableId="526798313">
    <w:abstractNumId w:val="0"/>
  </w:num>
  <w:num w:numId="6" w16cid:durableId="1720085011">
    <w:abstractNumId w:val="0"/>
  </w:num>
  <w:num w:numId="7" w16cid:durableId="1663117099">
    <w:abstractNumId w:val="0"/>
  </w:num>
  <w:num w:numId="8" w16cid:durableId="1757090023">
    <w:abstractNumId w:val="2"/>
  </w:num>
  <w:num w:numId="9" w16cid:durableId="925916830">
    <w:abstractNumId w:val="2"/>
  </w:num>
  <w:num w:numId="10" w16cid:durableId="1611743490">
    <w:abstractNumId w:val="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5D18"/>
    <w:rsid w:val="0000003F"/>
    <w:rsid w:val="0000055C"/>
    <w:rsid w:val="000056AC"/>
    <w:rsid w:val="0001440C"/>
    <w:rsid w:val="00014D58"/>
    <w:rsid w:val="000227FA"/>
    <w:rsid w:val="0003707E"/>
    <w:rsid w:val="0005275C"/>
    <w:rsid w:val="00054ADC"/>
    <w:rsid w:val="00057408"/>
    <w:rsid w:val="0005770D"/>
    <w:rsid w:val="00064292"/>
    <w:rsid w:val="00071DF5"/>
    <w:rsid w:val="00077EF7"/>
    <w:rsid w:val="0008049C"/>
    <w:rsid w:val="00082840"/>
    <w:rsid w:val="000A0B5C"/>
    <w:rsid w:val="000A1A40"/>
    <w:rsid w:val="000A2B98"/>
    <w:rsid w:val="000B2A78"/>
    <w:rsid w:val="000B2E34"/>
    <w:rsid w:val="000B5D61"/>
    <w:rsid w:val="000C4ED3"/>
    <w:rsid w:val="000C5854"/>
    <w:rsid w:val="000D51C9"/>
    <w:rsid w:val="000E7039"/>
    <w:rsid w:val="00100C16"/>
    <w:rsid w:val="00100F68"/>
    <w:rsid w:val="00104B52"/>
    <w:rsid w:val="00113F42"/>
    <w:rsid w:val="0011740D"/>
    <w:rsid w:val="001215DB"/>
    <w:rsid w:val="00124528"/>
    <w:rsid w:val="00124F3F"/>
    <w:rsid w:val="00126537"/>
    <w:rsid w:val="00127EBB"/>
    <w:rsid w:val="00136755"/>
    <w:rsid w:val="00140566"/>
    <w:rsid w:val="00146AD9"/>
    <w:rsid w:val="00151990"/>
    <w:rsid w:val="001571E6"/>
    <w:rsid w:val="00157258"/>
    <w:rsid w:val="00166207"/>
    <w:rsid w:val="00166C87"/>
    <w:rsid w:val="0017504D"/>
    <w:rsid w:val="00186F0F"/>
    <w:rsid w:val="001916EB"/>
    <w:rsid w:val="00196773"/>
    <w:rsid w:val="001A0070"/>
    <w:rsid w:val="001B2CA8"/>
    <w:rsid w:val="001C0CDA"/>
    <w:rsid w:val="001C3CB7"/>
    <w:rsid w:val="001C4834"/>
    <w:rsid w:val="001C550A"/>
    <w:rsid w:val="001D0C05"/>
    <w:rsid w:val="001D73D4"/>
    <w:rsid w:val="001D7F43"/>
    <w:rsid w:val="001E263D"/>
    <w:rsid w:val="001F501E"/>
    <w:rsid w:val="001F70D1"/>
    <w:rsid w:val="00200BF8"/>
    <w:rsid w:val="0020510E"/>
    <w:rsid w:val="0022104A"/>
    <w:rsid w:val="00222CAF"/>
    <w:rsid w:val="0023545B"/>
    <w:rsid w:val="00250D7B"/>
    <w:rsid w:val="0025204C"/>
    <w:rsid w:val="00256C94"/>
    <w:rsid w:val="00261427"/>
    <w:rsid w:val="00261D4D"/>
    <w:rsid w:val="00270F93"/>
    <w:rsid w:val="002735ED"/>
    <w:rsid w:val="00273840"/>
    <w:rsid w:val="00273870"/>
    <w:rsid w:val="00276470"/>
    <w:rsid w:val="002778BD"/>
    <w:rsid w:val="0028191A"/>
    <w:rsid w:val="00282B3E"/>
    <w:rsid w:val="00283619"/>
    <w:rsid w:val="002851FA"/>
    <w:rsid w:val="00285D65"/>
    <w:rsid w:val="0028753D"/>
    <w:rsid w:val="00292FC5"/>
    <w:rsid w:val="002A63AB"/>
    <w:rsid w:val="002A6883"/>
    <w:rsid w:val="002B5E3E"/>
    <w:rsid w:val="002B6338"/>
    <w:rsid w:val="002C32B3"/>
    <w:rsid w:val="002C5FF1"/>
    <w:rsid w:val="002D0773"/>
    <w:rsid w:val="002E5878"/>
    <w:rsid w:val="00300995"/>
    <w:rsid w:val="00313B8D"/>
    <w:rsid w:val="0031652C"/>
    <w:rsid w:val="00316704"/>
    <w:rsid w:val="0032191F"/>
    <w:rsid w:val="00323D97"/>
    <w:rsid w:val="00325BB8"/>
    <w:rsid w:val="00326CD0"/>
    <w:rsid w:val="00331618"/>
    <w:rsid w:val="003318AA"/>
    <w:rsid w:val="00332996"/>
    <w:rsid w:val="00346642"/>
    <w:rsid w:val="003470BC"/>
    <w:rsid w:val="0036374A"/>
    <w:rsid w:val="00382D30"/>
    <w:rsid w:val="003876ED"/>
    <w:rsid w:val="00395BB0"/>
    <w:rsid w:val="00397B26"/>
    <w:rsid w:val="003A1FF9"/>
    <w:rsid w:val="003B60BF"/>
    <w:rsid w:val="003C30E6"/>
    <w:rsid w:val="003C6649"/>
    <w:rsid w:val="003C69F5"/>
    <w:rsid w:val="003D0361"/>
    <w:rsid w:val="003E2725"/>
    <w:rsid w:val="004008B9"/>
    <w:rsid w:val="00404647"/>
    <w:rsid w:val="00411D6B"/>
    <w:rsid w:val="00411F77"/>
    <w:rsid w:val="004134F2"/>
    <w:rsid w:val="0043643C"/>
    <w:rsid w:val="0045216F"/>
    <w:rsid w:val="00454509"/>
    <w:rsid w:val="004575EF"/>
    <w:rsid w:val="00461EBD"/>
    <w:rsid w:val="004715FA"/>
    <w:rsid w:val="00474E54"/>
    <w:rsid w:val="004775B4"/>
    <w:rsid w:val="004869DF"/>
    <w:rsid w:val="00487B22"/>
    <w:rsid w:val="004A1521"/>
    <w:rsid w:val="004A1EFE"/>
    <w:rsid w:val="004A78E9"/>
    <w:rsid w:val="004B10A5"/>
    <w:rsid w:val="004B694D"/>
    <w:rsid w:val="004D6CE1"/>
    <w:rsid w:val="004E6748"/>
    <w:rsid w:val="004E74D9"/>
    <w:rsid w:val="00500836"/>
    <w:rsid w:val="00500CAD"/>
    <w:rsid w:val="00500F20"/>
    <w:rsid w:val="00503985"/>
    <w:rsid w:val="005050AF"/>
    <w:rsid w:val="0050672C"/>
    <w:rsid w:val="00506F07"/>
    <w:rsid w:val="00512E5C"/>
    <w:rsid w:val="00517DC9"/>
    <w:rsid w:val="005234A8"/>
    <w:rsid w:val="00526DD7"/>
    <w:rsid w:val="00546AFD"/>
    <w:rsid w:val="00554834"/>
    <w:rsid w:val="00555658"/>
    <w:rsid w:val="00562089"/>
    <w:rsid w:val="00562482"/>
    <w:rsid w:val="005630C5"/>
    <w:rsid w:val="00563725"/>
    <w:rsid w:val="00564C83"/>
    <w:rsid w:val="00577969"/>
    <w:rsid w:val="00577D15"/>
    <w:rsid w:val="00583BE6"/>
    <w:rsid w:val="00592225"/>
    <w:rsid w:val="00597E48"/>
    <w:rsid w:val="005A3841"/>
    <w:rsid w:val="005A63BA"/>
    <w:rsid w:val="005B079C"/>
    <w:rsid w:val="005B4B4F"/>
    <w:rsid w:val="005D186A"/>
    <w:rsid w:val="005D21B6"/>
    <w:rsid w:val="005D3243"/>
    <w:rsid w:val="005D5F4A"/>
    <w:rsid w:val="005E759D"/>
    <w:rsid w:val="005F7006"/>
    <w:rsid w:val="00601F42"/>
    <w:rsid w:val="00602353"/>
    <w:rsid w:val="006047A3"/>
    <w:rsid w:val="006066B2"/>
    <w:rsid w:val="006156AB"/>
    <w:rsid w:val="00617ACE"/>
    <w:rsid w:val="0062780D"/>
    <w:rsid w:val="006304D4"/>
    <w:rsid w:val="00630785"/>
    <w:rsid w:val="0063423E"/>
    <w:rsid w:val="00650243"/>
    <w:rsid w:val="0065466C"/>
    <w:rsid w:val="00661DAD"/>
    <w:rsid w:val="00662E28"/>
    <w:rsid w:val="00671373"/>
    <w:rsid w:val="006861EE"/>
    <w:rsid w:val="00695CB9"/>
    <w:rsid w:val="006A0758"/>
    <w:rsid w:val="006A1738"/>
    <w:rsid w:val="006A2774"/>
    <w:rsid w:val="006A6022"/>
    <w:rsid w:val="006B00C0"/>
    <w:rsid w:val="006B0FEE"/>
    <w:rsid w:val="006B5174"/>
    <w:rsid w:val="006C2706"/>
    <w:rsid w:val="006C2B8B"/>
    <w:rsid w:val="006C2B9E"/>
    <w:rsid w:val="006C47D2"/>
    <w:rsid w:val="006D1F46"/>
    <w:rsid w:val="006D5E1B"/>
    <w:rsid w:val="006D7FDE"/>
    <w:rsid w:val="006E71E0"/>
    <w:rsid w:val="006F31FD"/>
    <w:rsid w:val="00704620"/>
    <w:rsid w:val="00711580"/>
    <w:rsid w:val="00713A33"/>
    <w:rsid w:val="00716B7C"/>
    <w:rsid w:val="007310E9"/>
    <w:rsid w:val="007323DF"/>
    <w:rsid w:val="00732F80"/>
    <w:rsid w:val="007430DF"/>
    <w:rsid w:val="00747643"/>
    <w:rsid w:val="007732FC"/>
    <w:rsid w:val="00774766"/>
    <w:rsid w:val="00784772"/>
    <w:rsid w:val="00784EE1"/>
    <w:rsid w:val="00786AEC"/>
    <w:rsid w:val="007923D0"/>
    <w:rsid w:val="007924EE"/>
    <w:rsid w:val="007934A5"/>
    <w:rsid w:val="00793C7D"/>
    <w:rsid w:val="007A4026"/>
    <w:rsid w:val="007B2C20"/>
    <w:rsid w:val="007B4375"/>
    <w:rsid w:val="007E73C1"/>
    <w:rsid w:val="007E7A76"/>
    <w:rsid w:val="007F16AF"/>
    <w:rsid w:val="00801A12"/>
    <w:rsid w:val="008207DF"/>
    <w:rsid w:val="00821DD5"/>
    <w:rsid w:val="008326A6"/>
    <w:rsid w:val="00833C59"/>
    <w:rsid w:val="0084209E"/>
    <w:rsid w:val="00842C0F"/>
    <w:rsid w:val="00861CEC"/>
    <w:rsid w:val="00865081"/>
    <w:rsid w:val="008674A7"/>
    <w:rsid w:val="00870574"/>
    <w:rsid w:val="00881E95"/>
    <w:rsid w:val="00891D2E"/>
    <w:rsid w:val="00892FEB"/>
    <w:rsid w:val="00895D42"/>
    <w:rsid w:val="00897DFF"/>
    <w:rsid w:val="008A2539"/>
    <w:rsid w:val="008A3A4F"/>
    <w:rsid w:val="008C6F28"/>
    <w:rsid w:val="008D2489"/>
    <w:rsid w:val="008D2F27"/>
    <w:rsid w:val="008E028C"/>
    <w:rsid w:val="008E2837"/>
    <w:rsid w:val="008F1C26"/>
    <w:rsid w:val="008F3230"/>
    <w:rsid w:val="008F7429"/>
    <w:rsid w:val="008F7D13"/>
    <w:rsid w:val="00905EA0"/>
    <w:rsid w:val="009068B4"/>
    <w:rsid w:val="009128B5"/>
    <w:rsid w:val="00917DF8"/>
    <w:rsid w:val="0092115F"/>
    <w:rsid w:val="00923B18"/>
    <w:rsid w:val="00923CF0"/>
    <w:rsid w:val="00926005"/>
    <w:rsid w:val="0092694B"/>
    <w:rsid w:val="009328A8"/>
    <w:rsid w:val="00932CF9"/>
    <w:rsid w:val="009330D7"/>
    <w:rsid w:val="0093340F"/>
    <w:rsid w:val="009348F6"/>
    <w:rsid w:val="00935209"/>
    <w:rsid w:val="00940095"/>
    <w:rsid w:val="0094769C"/>
    <w:rsid w:val="0095454E"/>
    <w:rsid w:val="00960A87"/>
    <w:rsid w:val="00966183"/>
    <w:rsid w:val="009729BB"/>
    <w:rsid w:val="00977B90"/>
    <w:rsid w:val="00981092"/>
    <w:rsid w:val="009842A9"/>
    <w:rsid w:val="00991453"/>
    <w:rsid w:val="0099707B"/>
    <w:rsid w:val="009B1D24"/>
    <w:rsid w:val="009B311B"/>
    <w:rsid w:val="009B53B6"/>
    <w:rsid w:val="009C23C3"/>
    <w:rsid w:val="009C3639"/>
    <w:rsid w:val="009D0CDA"/>
    <w:rsid w:val="009E1E53"/>
    <w:rsid w:val="009F3F92"/>
    <w:rsid w:val="009F5598"/>
    <w:rsid w:val="00A025F5"/>
    <w:rsid w:val="00A02B11"/>
    <w:rsid w:val="00A036A6"/>
    <w:rsid w:val="00A17A17"/>
    <w:rsid w:val="00A223FB"/>
    <w:rsid w:val="00A27105"/>
    <w:rsid w:val="00A30E45"/>
    <w:rsid w:val="00A31460"/>
    <w:rsid w:val="00A3579D"/>
    <w:rsid w:val="00A36637"/>
    <w:rsid w:val="00A426FA"/>
    <w:rsid w:val="00A47500"/>
    <w:rsid w:val="00A53055"/>
    <w:rsid w:val="00A53EDC"/>
    <w:rsid w:val="00A57CA9"/>
    <w:rsid w:val="00A85D32"/>
    <w:rsid w:val="00A96B09"/>
    <w:rsid w:val="00A96CFF"/>
    <w:rsid w:val="00AA00C6"/>
    <w:rsid w:val="00AA0703"/>
    <w:rsid w:val="00AA1D5E"/>
    <w:rsid w:val="00AB2FC8"/>
    <w:rsid w:val="00AC0E9C"/>
    <w:rsid w:val="00AD1210"/>
    <w:rsid w:val="00AD2035"/>
    <w:rsid w:val="00AD38DC"/>
    <w:rsid w:val="00AE3AD6"/>
    <w:rsid w:val="00AE3B40"/>
    <w:rsid w:val="00AE54A2"/>
    <w:rsid w:val="00AF59AD"/>
    <w:rsid w:val="00B01D3A"/>
    <w:rsid w:val="00B06C64"/>
    <w:rsid w:val="00B07110"/>
    <w:rsid w:val="00B100BE"/>
    <w:rsid w:val="00B10E2B"/>
    <w:rsid w:val="00B118F5"/>
    <w:rsid w:val="00B13F44"/>
    <w:rsid w:val="00B14200"/>
    <w:rsid w:val="00B2370B"/>
    <w:rsid w:val="00B23D4A"/>
    <w:rsid w:val="00B31285"/>
    <w:rsid w:val="00B33F36"/>
    <w:rsid w:val="00B367F9"/>
    <w:rsid w:val="00B37123"/>
    <w:rsid w:val="00B41873"/>
    <w:rsid w:val="00B42CFF"/>
    <w:rsid w:val="00B65857"/>
    <w:rsid w:val="00B71B79"/>
    <w:rsid w:val="00B76827"/>
    <w:rsid w:val="00B76F14"/>
    <w:rsid w:val="00B935AA"/>
    <w:rsid w:val="00B977EE"/>
    <w:rsid w:val="00BA0A1E"/>
    <w:rsid w:val="00BA2350"/>
    <w:rsid w:val="00BA2DF5"/>
    <w:rsid w:val="00BB087D"/>
    <w:rsid w:val="00BB1FDE"/>
    <w:rsid w:val="00BB5F20"/>
    <w:rsid w:val="00BC04BA"/>
    <w:rsid w:val="00BC5F9C"/>
    <w:rsid w:val="00BD2B7C"/>
    <w:rsid w:val="00BD492C"/>
    <w:rsid w:val="00BF09F9"/>
    <w:rsid w:val="00C02BF2"/>
    <w:rsid w:val="00C0625B"/>
    <w:rsid w:val="00C0718F"/>
    <w:rsid w:val="00C1294E"/>
    <w:rsid w:val="00C15BB5"/>
    <w:rsid w:val="00C26C99"/>
    <w:rsid w:val="00C436AA"/>
    <w:rsid w:val="00C577BA"/>
    <w:rsid w:val="00C64245"/>
    <w:rsid w:val="00C65378"/>
    <w:rsid w:val="00C66F7C"/>
    <w:rsid w:val="00C807D2"/>
    <w:rsid w:val="00C8577D"/>
    <w:rsid w:val="00C91E15"/>
    <w:rsid w:val="00C95D18"/>
    <w:rsid w:val="00C962C8"/>
    <w:rsid w:val="00CA4D57"/>
    <w:rsid w:val="00CA581F"/>
    <w:rsid w:val="00CC5495"/>
    <w:rsid w:val="00CD41D1"/>
    <w:rsid w:val="00CD5F4B"/>
    <w:rsid w:val="00CE0AAE"/>
    <w:rsid w:val="00CE15BD"/>
    <w:rsid w:val="00CE210D"/>
    <w:rsid w:val="00CE230E"/>
    <w:rsid w:val="00D06C0C"/>
    <w:rsid w:val="00D14061"/>
    <w:rsid w:val="00D15E05"/>
    <w:rsid w:val="00D17341"/>
    <w:rsid w:val="00D238CB"/>
    <w:rsid w:val="00D2646F"/>
    <w:rsid w:val="00D334F0"/>
    <w:rsid w:val="00D451A6"/>
    <w:rsid w:val="00D570B3"/>
    <w:rsid w:val="00D641D3"/>
    <w:rsid w:val="00D659D3"/>
    <w:rsid w:val="00D73417"/>
    <w:rsid w:val="00D739EE"/>
    <w:rsid w:val="00D76D61"/>
    <w:rsid w:val="00D8490C"/>
    <w:rsid w:val="00D96EBA"/>
    <w:rsid w:val="00DA3244"/>
    <w:rsid w:val="00DA59B5"/>
    <w:rsid w:val="00DA677A"/>
    <w:rsid w:val="00DB3711"/>
    <w:rsid w:val="00DB3AC8"/>
    <w:rsid w:val="00DB674A"/>
    <w:rsid w:val="00DC0A05"/>
    <w:rsid w:val="00DC628A"/>
    <w:rsid w:val="00DC7F5B"/>
    <w:rsid w:val="00DE14DA"/>
    <w:rsid w:val="00DE26B3"/>
    <w:rsid w:val="00DE2758"/>
    <w:rsid w:val="00DE6D64"/>
    <w:rsid w:val="00DF2CC0"/>
    <w:rsid w:val="00DF4424"/>
    <w:rsid w:val="00E004B0"/>
    <w:rsid w:val="00E045E7"/>
    <w:rsid w:val="00E079E5"/>
    <w:rsid w:val="00E11270"/>
    <w:rsid w:val="00E16F80"/>
    <w:rsid w:val="00E2164B"/>
    <w:rsid w:val="00E25263"/>
    <w:rsid w:val="00E2699D"/>
    <w:rsid w:val="00E30BC1"/>
    <w:rsid w:val="00E41F3C"/>
    <w:rsid w:val="00E44D22"/>
    <w:rsid w:val="00E44E66"/>
    <w:rsid w:val="00E506C3"/>
    <w:rsid w:val="00E54934"/>
    <w:rsid w:val="00E554C6"/>
    <w:rsid w:val="00E56047"/>
    <w:rsid w:val="00E5611F"/>
    <w:rsid w:val="00E63CBE"/>
    <w:rsid w:val="00E679E1"/>
    <w:rsid w:val="00E70BEF"/>
    <w:rsid w:val="00E756FA"/>
    <w:rsid w:val="00E871C5"/>
    <w:rsid w:val="00EA06A1"/>
    <w:rsid w:val="00EB10BD"/>
    <w:rsid w:val="00EB19B6"/>
    <w:rsid w:val="00EB2125"/>
    <w:rsid w:val="00EB32A6"/>
    <w:rsid w:val="00EB7967"/>
    <w:rsid w:val="00EC1162"/>
    <w:rsid w:val="00EC2308"/>
    <w:rsid w:val="00EC2381"/>
    <w:rsid w:val="00EC33BA"/>
    <w:rsid w:val="00EC52C6"/>
    <w:rsid w:val="00ED4833"/>
    <w:rsid w:val="00ED6030"/>
    <w:rsid w:val="00EE3C99"/>
    <w:rsid w:val="00EE4CCF"/>
    <w:rsid w:val="00EF0819"/>
    <w:rsid w:val="00EF3D6D"/>
    <w:rsid w:val="00F05E84"/>
    <w:rsid w:val="00F14087"/>
    <w:rsid w:val="00F1671B"/>
    <w:rsid w:val="00F22373"/>
    <w:rsid w:val="00F268BE"/>
    <w:rsid w:val="00F2785D"/>
    <w:rsid w:val="00F318E8"/>
    <w:rsid w:val="00F31DAD"/>
    <w:rsid w:val="00F36D67"/>
    <w:rsid w:val="00F41F01"/>
    <w:rsid w:val="00F447EC"/>
    <w:rsid w:val="00F50B1C"/>
    <w:rsid w:val="00F60523"/>
    <w:rsid w:val="00F60B64"/>
    <w:rsid w:val="00F63A86"/>
    <w:rsid w:val="00F6790C"/>
    <w:rsid w:val="00F67D07"/>
    <w:rsid w:val="00F710AF"/>
    <w:rsid w:val="00F716CD"/>
    <w:rsid w:val="00F73934"/>
    <w:rsid w:val="00F83450"/>
    <w:rsid w:val="00F97098"/>
    <w:rsid w:val="00FA288C"/>
    <w:rsid w:val="00FA65D7"/>
    <w:rsid w:val="00FA6B0B"/>
    <w:rsid w:val="00FA7C81"/>
    <w:rsid w:val="00FB399F"/>
    <w:rsid w:val="00FC32E1"/>
    <w:rsid w:val="00FC39EC"/>
    <w:rsid w:val="00FE32AF"/>
    <w:rsid w:val="00FE50EB"/>
    <w:rsid w:val="00FE59DE"/>
    <w:rsid w:val="00FE7708"/>
    <w:rsid w:val="00FF63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B243A1"/>
  <w15:chartTrackingRefBased/>
  <w15:docId w15:val="{8A40E72D-CA17-4BE3-BBC6-0CC1C878F6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4509"/>
    <w:pPr>
      <w:spacing w:line="360" w:lineRule="auto"/>
      <w:jc w:val="both"/>
    </w:pPr>
    <w:rPr>
      <w:rFonts w:ascii="Arial" w:eastAsiaTheme="minorEastAsia" w:hAnsi="Arial"/>
      <w:kern w:val="2"/>
      <w:sz w:val="24"/>
      <w:szCs w:val="24"/>
      <w:lang w:val="en-GB" w:eastAsia="en-GB"/>
      <w14:ligatures w14:val="standardContextual"/>
    </w:rPr>
  </w:style>
  <w:style w:type="paragraph" w:styleId="Heading1">
    <w:name w:val="heading 1"/>
    <w:basedOn w:val="Normal"/>
    <w:next w:val="Normal"/>
    <w:link w:val="Heading1Char"/>
    <w:uiPriority w:val="9"/>
    <w:qFormat/>
    <w:rsid w:val="001A0070"/>
    <w:pPr>
      <w:keepNext/>
      <w:keepLines/>
      <w:spacing w:before="360" w:after="80"/>
      <w:outlineLvl w:val="0"/>
    </w:pPr>
    <w:rPr>
      <w:rFonts w:eastAsiaTheme="majorEastAsia" w:cstheme="majorBidi"/>
      <w:b/>
      <w:kern w:val="0"/>
      <w:sz w:val="28"/>
      <w:szCs w:val="40"/>
      <w:lang w:eastAsia="en-US"/>
      <w14:ligatures w14:val="none"/>
    </w:rPr>
  </w:style>
  <w:style w:type="paragraph" w:styleId="Heading2">
    <w:name w:val="heading 2"/>
    <w:basedOn w:val="Normal"/>
    <w:next w:val="Normal"/>
    <w:link w:val="Heading2Char"/>
    <w:uiPriority w:val="9"/>
    <w:unhideWhenUsed/>
    <w:qFormat/>
    <w:rsid w:val="00ED4833"/>
    <w:pPr>
      <w:keepNext/>
      <w:keepLines/>
      <w:spacing w:before="160" w:after="80"/>
      <w:outlineLvl w:val="1"/>
    </w:pPr>
    <w:rPr>
      <w:rFonts w:eastAsiaTheme="majorEastAsia" w:cstheme="majorBidi"/>
      <w:b/>
      <w:i/>
      <w:kern w:val="0"/>
      <w:sz w:val="26"/>
      <w:szCs w:val="32"/>
      <w:lang w:eastAsia="en-US"/>
      <w14:ligatures w14:val="none"/>
    </w:rPr>
  </w:style>
  <w:style w:type="paragraph" w:styleId="Heading3">
    <w:name w:val="heading 3"/>
    <w:basedOn w:val="Normal"/>
    <w:next w:val="Normal"/>
    <w:link w:val="Heading3Char"/>
    <w:uiPriority w:val="9"/>
    <w:unhideWhenUsed/>
    <w:qFormat/>
    <w:rsid w:val="00B10E2B"/>
    <w:pPr>
      <w:keepNext/>
      <w:keepLines/>
      <w:numPr>
        <w:ilvl w:val="2"/>
        <w:numId w:val="10"/>
      </w:numPr>
      <w:spacing w:before="40"/>
      <w:outlineLvl w:val="2"/>
    </w:pPr>
    <w:rPr>
      <w:rFonts w:eastAsiaTheme="majorEastAsia" w:cstheme="majorBidi"/>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0070"/>
    <w:rPr>
      <w:rFonts w:ascii="Arial" w:eastAsiaTheme="majorEastAsia" w:hAnsi="Arial" w:cstheme="majorBidi"/>
      <w:b/>
      <w:sz w:val="28"/>
      <w:szCs w:val="40"/>
      <w:lang w:val="en-GB"/>
    </w:rPr>
  </w:style>
  <w:style w:type="character" w:customStyle="1" w:styleId="Heading2Char">
    <w:name w:val="Heading 2 Char"/>
    <w:basedOn w:val="DefaultParagraphFont"/>
    <w:link w:val="Heading2"/>
    <w:uiPriority w:val="9"/>
    <w:rsid w:val="00ED4833"/>
    <w:rPr>
      <w:rFonts w:ascii="Times New Roman" w:eastAsiaTheme="majorEastAsia" w:hAnsi="Times New Roman" w:cstheme="majorBidi"/>
      <w:b/>
      <w:i/>
      <w:sz w:val="26"/>
      <w:szCs w:val="32"/>
    </w:rPr>
  </w:style>
  <w:style w:type="character" w:customStyle="1" w:styleId="Heading3Char">
    <w:name w:val="Heading 3 Char"/>
    <w:basedOn w:val="DefaultParagraphFont"/>
    <w:link w:val="Heading3"/>
    <w:uiPriority w:val="9"/>
    <w:rsid w:val="00BA2350"/>
    <w:rPr>
      <w:rFonts w:ascii="Times New Roman" w:eastAsiaTheme="majorEastAsia" w:hAnsi="Times New Roman" w:cstheme="majorBidi"/>
      <w:b/>
      <w:i/>
      <w:sz w:val="24"/>
      <w:lang w:val="en-GB"/>
    </w:rPr>
  </w:style>
  <w:style w:type="character" w:styleId="Emphasis">
    <w:name w:val="Emphasis"/>
    <w:basedOn w:val="DefaultParagraphFont"/>
    <w:qFormat/>
    <w:rsid w:val="009E1E53"/>
    <w:rPr>
      <w:rFonts w:ascii="Times New Roman" w:hAnsi="Times New Roman"/>
      <w:b w:val="0"/>
      <w:i w:val="0"/>
      <w:iCs/>
      <w:sz w:val="24"/>
    </w:rPr>
  </w:style>
  <w:style w:type="paragraph" w:styleId="NoSpacing">
    <w:name w:val="No Spacing"/>
    <w:uiPriority w:val="1"/>
    <w:qFormat/>
    <w:rsid w:val="008E2837"/>
    <w:pPr>
      <w:widowControl w:val="0"/>
      <w:autoSpaceDE w:val="0"/>
      <w:autoSpaceDN w:val="0"/>
      <w:spacing w:after="0" w:line="360" w:lineRule="auto"/>
      <w:jc w:val="both"/>
    </w:pPr>
    <w:rPr>
      <w:rFonts w:ascii="Times New Roman" w:hAnsi="Times New Roman" w:cs="Noto Sans"/>
      <w:sz w:val="24"/>
    </w:rPr>
  </w:style>
  <w:style w:type="paragraph" w:styleId="BodyText">
    <w:name w:val="Body Text"/>
    <w:basedOn w:val="Normal"/>
    <w:link w:val="BodyTextChar"/>
    <w:uiPriority w:val="1"/>
    <w:qFormat/>
    <w:rsid w:val="00F22373"/>
    <w:pPr>
      <w:ind w:left="115"/>
    </w:pPr>
    <w:rPr>
      <w:rFonts w:eastAsia="Arial MT" w:cs="Arial MT"/>
    </w:rPr>
  </w:style>
  <w:style w:type="character" w:customStyle="1" w:styleId="BodyTextChar">
    <w:name w:val="Body Text Char"/>
    <w:basedOn w:val="DefaultParagraphFont"/>
    <w:link w:val="BodyText"/>
    <w:uiPriority w:val="1"/>
    <w:rsid w:val="00F22373"/>
    <w:rPr>
      <w:rFonts w:ascii="Times New Roman" w:eastAsia="Arial MT" w:hAnsi="Times New Roman" w:cs="Arial MT"/>
      <w:sz w:val="24"/>
      <w:szCs w:val="20"/>
      <w:lang w:val="en-GB"/>
    </w:rPr>
  </w:style>
  <w:style w:type="paragraph" w:customStyle="1" w:styleId="p58207hding2">
    <w:name w:val="p58207_hding2"/>
    <w:basedOn w:val="Normal"/>
    <w:link w:val="p58207hding2Char"/>
    <w:qFormat/>
    <w:rsid w:val="00F22373"/>
    <w:pPr>
      <w:spacing w:before="200" w:after="120"/>
      <w:jc w:val="left"/>
    </w:pPr>
    <w:rPr>
      <w:rFonts w:eastAsia="Arial" w:cs="Open Sans"/>
      <w:b/>
      <w:color w:val="000000"/>
      <w:sz w:val="26"/>
      <w:szCs w:val="30"/>
    </w:rPr>
  </w:style>
  <w:style w:type="character" w:customStyle="1" w:styleId="p58207hding2Char">
    <w:name w:val="p58207_hding2 Char"/>
    <w:basedOn w:val="DefaultParagraphFont"/>
    <w:link w:val="p58207hding2"/>
    <w:rsid w:val="00F22373"/>
    <w:rPr>
      <w:rFonts w:ascii="Times New Roman" w:eastAsia="Arial" w:hAnsi="Times New Roman" w:cs="Open Sans"/>
      <w:b/>
      <w:color w:val="000000"/>
      <w:sz w:val="26"/>
      <w:szCs w:val="30"/>
      <w:lang w:val="en-GB" w:eastAsia="en-GB"/>
    </w:rPr>
  </w:style>
  <w:style w:type="paragraph" w:customStyle="1" w:styleId="p58207subhd">
    <w:name w:val="p58207 subhd"/>
    <w:basedOn w:val="Normal"/>
    <w:link w:val="p58207subhdChar"/>
    <w:qFormat/>
    <w:rsid w:val="00F22373"/>
    <w:pPr>
      <w:spacing w:after="120"/>
      <w:jc w:val="left"/>
    </w:pPr>
    <w:rPr>
      <w:rFonts w:eastAsia="Arial" w:cs="Arial"/>
      <w:b/>
      <w:color w:val="000000"/>
      <w:sz w:val="26"/>
    </w:rPr>
  </w:style>
  <w:style w:type="character" w:customStyle="1" w:styleId="p58207subhdChar">
    <w:name w:val="p58207 subhd Char"/>
    <w:basedOn w:val="DefaultParagraphFont"/>
    <w:link w:val="p58207subhd"/>
    <w:rsid w:val="00F22373"/>
    <w:rPr>
      <w:rFonts w:ascii="Times New Roman" w:eastAsia="Arial" w:hAnsi="Times New Roman" w:cs="Arial"/>
      <w:b/>
      <w:color w:val="000000"/>
      <w:sz w:val="26"/>
      <w:lang w:val="en-GB" w:eastAsia="en-GB"/>
    </w:rPr>
  </w:style>
  <w:style w:type="paragraph" w:styleId="Header">
    <w:name w:val="header"/>
    <w:basedOn w:val="Normal"/>
    <w:link w:val="HeaderChar"/>
    <w:uiPriority w:val="99"/>
    <w:unhideWhenUsed/>
    <w:rsid w:val="00C95D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5D18"/>
    <w:rPr>
      <w:rFonts w:ascii="Times New Roman" w:eastAsiaTheme="minorEastAsia" w:hAnsi="Times New Roman"/>
      <w:kern w:val="2"/>
      <w:sz w:val="24"/>
      <w:szCs w:val="24"/>
      <w:lang w:eastAsia="en-GB"/>
      <w14:ligatures w14:val="standardContextual"/>
    </w:rPr>
  </w:style>
  <w:style w:type="paragraph" w:styleId="Footer">
    <w:name w:val="footer"/>
    <w:basedOn w:val="Normal"/>
    <w:link w:val="FooterChar"/>
    <w:uiPriority w:val="99"/>
    <w:unhideWhenUsed/>
    <w:rsid w:val="00C95D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5D18"/>
    <w:rPr>
      <w:rFonts w:ascii="Times New Roman" w:eastAsiaTheme="minorEastAsia" w:hAnsi="Times New Roman"/>
      <w:kern w:val="2"/>
      <w:sz w:val="24"/>
      <w:szCs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2607</Words>
  <Characters>16036</Characters>
  <Application>Microsoft Office Word</Application>
  <DocSecurity>0</DocSecurity>
  <Lines>246</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Ana Maria Stoica (2245028)</cp:lastModifiedBy>
  <cp:revision>3</cp:revision>
  <dcterms:created xsi:type="dcterms:W3CDTF">2025-01-28T10:07:00Z</dcterms:created>
  <dcterms:modified xsi:type="dcterms:W3CDTF">2025-02-04T13:01:00Z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c53a63f657aec22e211f95979d8f413d27c6a6ee7b80da3b287dcae560613d76</vt:lpwstr>
  </property>
</Properties>
</file>