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lang w:val="en-US"/>
        </w:rPr>
        <w:drawing>
          <wp:inline distT="0" distB="0" distL="0" distR="0">
            <wp:extent cx="5274310" cy="2074545"/>
            <wp:effectExtent l="0" t="0" r="13970" b="13335"/>
            <wp:docPr id="2" name="图片 2" descr="UNIVERSITY OF WALES, TRINITY SAINT DAVID CAREERS SERVICE | UWTS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UNIVERSITY OF WALES, TRINITY SAINT DAVID CAREERS SERVICE | UWTSD ..."/>
                    <pic:cNvPicPr>
                      <a:picLocks noChangeAspect="1" noChangeArrowheads="1"/>
                    </pic:cNvPicPr>
                  </pic:nvPicPr>
                  <pic:blipFill>
                    <a:blip r:embed="rId4" cstate="print"/>
                    <a:srcRect/>
                    <a:stretch>
                      <a:fillRect/>
                    </a:stretch>
                  </pic:blipFill>
                  <pic:spPr>
                    <a:xfrm>
                      <a:off x="0" y="0"/>
                      <a:ext cx="5274310" cy="2075040"/>
                    </a:xfrm>
                    <a:prstGeom prst="rect">
                      <a:avLst/>
                    </a:prstGeom>
                    <a:noFill/>
                    <a:ln w="9525">
                      <a:noFill/>
                      <a:miter lim="800000"/>
                      <a:headEnd/>
                      <a:tailEnd/>
                    </a:ln>
                  </pic:spPr>
                </pic:pic>
              </a:graphicData>
            </a:graphic>
          </wp:inline>
        </w:drawing>
      </w:r>
    </w:p>
    <w:p>
      <w:pPr>
        <w:ind w:firstLine="1921" w:firstLineChars="200"/>
        <w:rPr>
          <w:rFonts w:hint="eastAsia"/>
          <w:b/>
          <w:sz w:val="96"/>
        </w:rPr>
      </w:pPr>
      <w:r>
        <w:rPr>
          <w:rFonts w:hint="eastAsia"/>
          <w:b/>
          <w:sz w:val="96"/>
        </w:rPr>
        <w:t xml:space="preserve">Cover page </w:t>
      </w:r>
    </w:p>
    <w:p>
      <w:pPr>
        <w:ind w:firstLine="1921" w:firstLineChars="200"/>
        <w:rPr>
          <w:rFonts w:hint="eastAsia"/>
          <w:b/>
          <w:sz w:val="96"/>
        </w:rPr>
      </w:pPr>
    </w:p>
    <w:p>
      <w:pPr>
        <w:ind w:left="1920" w:leftChars="800"/>
        <w:rPr>
          <w:rFonts w:hint="eastAsia" w:cs="Times New Roman" w:eastAsiaTheme="minorEastAsia"/>
          <w:b/>
          <w:sz w:val="30"/>
          <w:szCs w:val="30"/>
        </w:rPr>
      </w:pPr>
      <w:r>
        <w:rPr>
          <w:rFonts w:cs="Times New Roman"/>
          <w:b/>
          <w:sz w:val="30"/>
          <w:szCs w:val="30"/>
        </w:rPr>
        <w:t>Module:</w:t>
      </w:r>
      <w:r>
        <w:rPr>
          <w:rFonts w:eastAsia="Calibri" w:cs="Times New Roman"/>
          <w:b/>
          <w:sz w:val="30"/>
          <w:szCs w:val="30"/>
        </w:rPr>
        <w:t xml:space="preserve"> International Business Communications</w:t>
      </w:r>
    </w:p>
    <w:p>
      <w:pPr>
        <w:ind w:left="1920" w:leftChars="800"/>
        <w:rPr>
          <w:rFonts w:hint="eastAsia" w:cs="Times New Roman" w:eastAsiaTheme="minorEastAsia"/>
          <w:b/>
          <w:sz w:val="30"/>
          <w:szCs w:val="30"/>
        </w:rPr>
      </w:pPr>
    </w:p>
    <w:p>
      <w:pPr>
        <w:ind w:left="1920" w:leftChars="800"/>
        <w:rPr>
          <w:rFonts w:hint="eastAsia" w:cs="Times New Roman" w:eastAsiaTheme="minorEastAsia"/>
          <w:b/>
          <w:sz w:val="30"/>
          <w:szCs w:val="30"/>
        </w:rPr>
      </w:pPr>
      <w:r>
        <w:rPr>
          <w:rFonts w:cs="Times New Roman"/>
          <w:b/>
          <w:sz w:val="30"/>
          <w:szCs w:val="30"/>
        </w:rPr>
        <w:t>Module code:</w:t>
      </w:r>
      <w:r>
        <w:rPr>
          <w:rFonts w:eastAsia="Calibri" w:cs="Times New Roman"/>
          <w:b/>
          <w:sz w:val="30"/>
          <w:szCs w:val="30"/>
        </w:rPr>
        <w:t xml:space="preserve"> M3X9089</w:t>
      </w:r>
    </w:p>
    <w:p>
      <w:pPr>
        <w:ind w:left="1920" w:leftChars="800"/>
        <w:rPr>
          <w:rFonts w:hint="eastAsia" w:cs="Times New Roman" w:eastAsiaTheme="minorEastAsia"/>
          <w:b/>
          <w:sz w:val="30"/>
          <w:szCs w:val="30"/>
        </w:rPr>
      </w:pPr>
    </w:p>
    <w:p>
      <w:pPr>
        <w:ind w:left="1920" w:leftChars="800"/>
        <w:rPr>
          <w:rFonts w:hint="eastAsia" w:cs="Times New Roman"/>
          <w:b/>
          <w:sz w:val="30"/>
          <w:szCs w:val="30"/>
        </w:rPr>
      </w:pPr>
      <w:r>
        <w:rPr>
          <w:rFonts w:cs="Times New Roman" w:eastAsiaTheme="minorEastAsia"/>
          <w:b/>
          <w:sz w:val="30"/>
          <w:szCs w:val="30"/>
        </w:rPr>
        <w:t xml:space="preserve">Lecturer: </w:t>
      </w:r>
      <w:r>
        <w:rPr>
          <w:rFonts w:cs="Times New Roman"/>
          <w:b/>
          <w:sz w:val="30"/>
          <w:szCs w:val="30"/>
        </w:rPr>
        <w:t>Marie Pitson</w:t>
      </w:r>
    </w:p>
    <w:p>
      <w:pPr>
        <w:ind w:left="1920" w:leftChars="800"/>
        <w:rPr>
          <w:rFonts w:cs="Times New Roman"/>
          <w:b/>
          <w:sz w:val="30"/>
          <w:szCs w:val="30"/>
        </w:rPr>
      </w:pPr>
    </w:p>
    <w:p>
      <w:pPr>
        <w:ind w:left="1920" w:leftChars="800"/>
        <w:rPr>
          <w:rFonts w:hint="eastAsia" w:cs="Times New Roman"/>
          <w:b/>
          <w:sz w:val="30"/>
          <w:szCs w:val="30"/>
        </w:rPr>
      </w:pPr>
      <w:r>
        <w:rPr>
          <w:rFonts w:cs="Times New Roman"/>
          <w:b/>
          <w:sz w:val="30"/>
          <w:szCs w:val="30"/>
        </w:rPr>
        <w:t>Submission date: 1</w:t>
      </w:r>
      <w:r>
        <w:rPr>
          <w:rFonts w:cs="Times New Roman"/>
          <w:b/>
          <w:sz w:val="30"/>
          <w:szCs w:val="30"/>
          <w:vertAlign w:val="superscript"/>
        </w:rPr>
        <w:t>st</w:t>
      </w:r>
      <w:r>
        <w:rPr>
          <w:rFonts w:cs="Times New Roman"/>
          <w:b/>
          <w:sz w:val="30"/>
          <w:szCs w:val="30"/>
        </w:rPr>
        <w:t xml:space="preserve"> May 2020</w:t>
      </w:r>
    </w:p>
    <w:p>
      <w:pPr>
        <w:ind w:left="1920" w:leftChars="800"/>
        <w:rPr>
          <w:rFonts w:cs="Times New Roman"/>
          <w:b/>
          <w:sz w:val="30"/>
          <w:szCs w:val="30"/>
        </w:rPr>
      </w:pPr>
    </w:p>
    <w:p>
      <w:pPr>
        <w:ind w:left="1920" w:leftChars="800"/>
        <w:rPr>
          <w:rFonts w:cs="Times New Roman"/>
          <w:b/>
          <w:sz w:val="30"/>
          <w:szCs w:val="30"/>
        </w:rPr>
      </w:pPr>
      <w:r>
        <w:rPr>
          <w:rFonts w:cs="Times New Roman"/>
          <w:b/>
          <w:sz w:val="30"/>
          <w:szCs w:val="30"/>
        </w:rPr>
        <w:t>Student: You Li</w:t>
      </w:r>
    </w:p>
    <w:p>
      <w:pPr>
        <w:ind w:left="1920" w:leftChars="800"/>
        <w:rPr>
          <w:rFonts w:cs="Times New Roman" w:eastAsiaTheme="minorEastAsia"/>
          <w:b/>
          <w:sz w:val="30"/>
          <w:szCs w:val="30"/>
        </w:rPr>
      </w:pPr>
      <w:r>
        <w:rPr>
          <w:rFonts w:cs="Times New Roman"/>
          <w:b/>
          <w:sz w:val="30"/>
          <w:szCs w:val="30"/>
        </w:rPr>
        <w:t xml:space="preserve"> </w:t>
      </w:r>
    </w:p>
    <w:p>
      <w:pPr>
        <w:rPr>
          <w:b/>
          <w:sz w:val="96"/>
        </w:rPr>
      </w:pPr>
    </w:p>
    <w:p>
      <w:pPr>
        <w:spacing w:line="220" w:lineRule="atLeast"/>
        <w:rPr>
          <w:b/>
        </w:rPr>
      </w:pPr>
      <w:bookmarkStart w:id="7" w:name="_GoBack"/>
      <w:bookmarkEnd w:id="7"/>
    </w:p>
    <w:p>
      <w:pPr>
        <w:spacing w:line="220" w:lineRule="atLeast"/>
        <w:rPr>
          <w:b/>
        </w:rPr>
      </w:pPr>
      <w:r>
        <w:rPr>
          <w:b/>
        </w:rPr>
        <w:t xml:space="preserve">Executive summary </w:t>
      </w:r>
    </w:p>
    <w:p>
      <w:pPr>
        <w:spacing w:line="220" w:lineRule="atLeast"/>
        <w:rPr>
          <w:rFonts w:hint="eastAsia"/>
        </w:rPr>
      </w:pPr>
      <w:r>
        <w:t xml:space="preserve">This report has principally been divided into four parts to demonstrate the cultural differences between the UK and Columbia in the business context. There are many differences between the UK and Columbia in business communication and business pattern. </w:t>
      </w:r>
      <w:r>
        <w:rPr>
          <w:rFonts w:hint="eastAsia"/>
        </w:rPr>
        <w:t xml:space="preserve">Firstly, the finding in this report points out that the key cultural differences </w:t>
      </w:r>
      <w:r>
        <w:t>between those two countries are business dinner, language</w:t>
      </w:r>
      <w:r>
        <w:rPr>
          <w:rFonts w:hint="eastAsia"/>
        </w:rPr>
        <w:t xml:space="preserve"> barrier and power distance. </w:t>
      </w:r>
      <w:r>
        <w:t>Additionally, there are also corresponding evaluation based on the provided differences between the British firms and Columbian firms under the latest business environment. There are also some differences existing in the business communication between those two. Therefore, a part of analysis for researching on those two will be offered. Finally, a recommendation for mitigating such cultural differences has been contained to tackle the key differences between the UK companies and Columbia companies.</w:t>
      </w:r>
      <w:r>
        <w:rPr>
          <w:rFonts w:hint="eastAsia"/>
        </w:rPr>
        <w:t xml:space="preserve"> </w:t>
      </w:r>
      <w:r>
        <w:t xml:space="preserve">Generally, the recommendations are </w:t>
      </w:r>
      <w:r>
        <w:rPr>
          <w:rFonts w:hint="eastAsia"/>
        </w:rPr>
        <w:t xml:space="preserve">three: a) correctly use gestures b) hiring a translator who can speak Spanish c) using skills of smooth disagreement. </w:t>
      </w:r>
    </w:p>
    <w:p>
      <w:r>
        <w:t xml:space="preserve">Hence, this report will be providing the cultural divergences in business and business communication in the context of British companies with their business culture and Columbian firms. </w:t>
      </w: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rPr>
          <w:b/>
        </w:rPr>
      </w:pPr>
      <w:r>
        <w:rPr>
          <w:b/>
        </w:rPr>
        <w:t xml:space="preserve">Content page </w:t>
      </w:r>
    </w:p>
    <w:p>
      <w:pPr>
        <w:pStyle w:val="5"/>
        <w:tabs>
          <w:tab w:val="right" w:leader="dot" w:pos="8296"/>
        </w:tabs>
      </w:pPr>
      <w:r>
        <w:fldChar w:fldCharType="begin"/>
      </w:r>
      <w:r>
        <w:instrText xml:space="preserve"> TOC \o "1-3" \h \z \u </w:instrText>
      </w:r>
      <w:r>
        <w:fldChar w:fldCharType="separate"/>
      </w:r>
      <w:r>
        <w:fldChar w:fldCharType="begin"/>
      </w:r>
      <w:r>
        <w:instrText xml:space="preserve"> HYPERLINK \l "_Toc38907659" </w:instrText>
      </w:r>
      <w:r>
        <w:fldChar w:fldCharType="separate"/>
      </w:r>
      <w:r>
        <w:rPr>
          <w:rStyle w:val="8"/>
        </w:rPr>
        <w:t>Introduction</w:t>
      </w:r>
      <w:r>
        <w:tab/>
      </w:r>
      <w:r>
        <w:fldChar w:fldCharType="begin"/>
      </w:r>
      <w:r>
        <w:instrText xml:space="preserve"> PAGEREF _Toc38907659 \h </w:instrText>
      </w:r>
      <w:r>
        <w:fldChar w:fldCharType="separate"/>
      </w:r>
      <w:r>
        <w:t>3</w:t>
      </w:r>
      <w:r>
        <w:fldChar w:fldCharType="end"/>
      </w:r>
      <w:r>
        <w:fldChar w:fldCharType="end"/>
      </w:r>
    </w:p>
    <w:p>
      <w:pPr>
        <w:pStyle w:val="5"/>
        <w:tabs>
          <w:tab w:val="right" w:leader="dot" w:pos="8296"/>
        </w:tabs>
      </w:pPr>
      <w:r>
        <w:fldChar w:fldCharType="begin"/>
      </w:r>
      <w:r>
        <w:instrText xml:space="preserve"> HYPERLINK \l "_Toc38907660" </w:instrText>
      </w:r>
      <w:r>
        <w:fldChar w:fldCharType="separate"/>
      </w:r>
      <w:r>
        <w:rPr>
          <w:rStyle w:val="8"/>
        </w:rPr>
        <w:t>Interpretation of divergent international cultures between UK and Columbia</w:t>
      </w:r>
      <w:r>
        <w:tab/>
      </w:r>
      <w:r>
        <w:fldChar w:fldCharType="begin"/>
      </w:r>
      <w:r>
        <w:instrText xml:space="preserve"> PAGEREF _Toc38907660 \h </w:instrText>
      </w:r>
      <w:r>
        <w:fldChar w:fldCharType="separate"/>
      </w:r>
      <w:r>
        <w:t>4</w:t>
      </w:r>
      <w:r>
        <w:fldChar w:fldCharType="end"/>
      </w:r>
      <w:r>
        <w:fldChar w:fldCharType="end"/>
      </w:r>
    </w:p>
    <w:p>
      <w:pPr>
        <w:pStyle w:val="5"/>
        <w:tabs>
          <w:tab w:val="right" w:leader="dot" w:pos="8296"/>
        </w:tabs>
      </w:pPr>
      <w:r>
        <w:fldChar w:fldCharType="begin"/>
      </w:r>
      <w:r>
        <w:instrText xml:space="preserve"> HYPERLINK \l "_Toc38907661" </w:instrText>
      </w:r>
      <w:r>
        <w:fldChar w:fldCharType="separate"/>
      </w:r>
      <w:r>
        <w:rPr>
          <w:rStyle w:val="8"/>
        </w:rPr>
        <w:t>Evaluation of divergent international cultures between UK and Columbia</w:t>
      </w:r>
      <w:r>
        <w:tab/>
      </w:r>
      <w:r>
        <w:fldChar w:fldCharType="begin"/>
      </w:r>
      <w:r>
        <w:instrText xml:space="preserve"> PAGEREF _Toc38907661 \h </w:instrText>
      </w:r>
      <w:r>
        <w:fldChar w:fldCharType="separate"/>
      </w:r>
      <w:r>
        <w:t>5</w:t>
      </w:r>
      <w:r>
        <w:fldChar w:fldCharType="end"/>
      </w:r>
      <w:r>
        <w:fldChar w:fldCharType="end"/>
      </w:r>
    </w:p>
    <w:p>
      <w:pPr>
        <w:pStyle w:val="5"/>
        <w:tabs>
          <w:tab w:val="right" w:leader="dot" w:pos="8296"/>
        </w:tabs>
      </w:pPr>
      <w:r>
        <w:fldChar w:fldCharType="begin"/>
      </w:r>
      <w:r>
        <w:instrText xml:space="preserve"> HYPERLINK \l "_Toc38907662" </w:instrText>
      </w:r>
      <w:r>
        <w:fldChar w:fldCharType="separate"/>
      </w:r>
      <w:r>
        <w:rPr>
          <w:rStyle w:val="8"/>
        </w:rPr>
        <w:t>Analysis the differences between business communication situations</w:t>
      </w:r>
      <w:r>
        <w:tab/>
      </w:r>
      <w:r>
        <w:fldChar w:fldCharType="begin"/>
      </w:r>
      <w:r>
        <w:instrText xml:space="preserve"> PAGEREF _Toc38907662 \h </w:instrText>
      </w:r>
      <w:r>
        <w:fldChar w:fldCharType="separate"/>
      </w:r>
      <w:r>
        <w:t>6</w:t>
      </w:r>
      <w:r>
        <w:fldChar w:fldCharType="end"/>
      </w:r>
      <w:r>
        <w:fldChar w:fldCharType="end"/>
      </w:r>
    </w:p>
    <w:p>
      <w:pPr>
        <w:pStyle w:val="5"/>
        <w:tabs>
          <w:tab w:val="right" w:leader="dot" w:pos="8296"/>
        </w:tabs>
      </w:pPr>
      <w:r>
        <w:fldChar w:fldCharType="begin"/>
      </w:r>
      <w:r>
        <w:instrText xml:space="preserve"> HYPERLINK \l "_Toc38907663" </w:instrText>
      </w:r>
      <w:r>
        <w:fldChar w:fldCharType="separate"/>
      </w:r>
      <w:r>
        <w:rPr>
          <w:rStyle w:val="8"/>
        </w:rPr>
        <w:t>Mitigating cultural differences between the UK and Columbia</w:t>
      </w:r>
      <w:r>
        <w:tab/>
      </w:r>
      <w:r>
        <w:fldChar w:fldCharType="begin"/>
      </w:r>
      <w:r>
        <w:instrText xml:space="preserve"> PAGEREF _Toc38907663 \h </w:instrText>
      </w:r>
      <w:r>
        <w:fldChar w:fldCharType="separate"/>
      </w:r>
      <w:r>
        <w:t>7</w:t>
      </w:r>
      <w:r>
        <w:fldChar w:fldCharType="end"/>
      </w:r>
      <w:r>
        <w:fldChar w:fldCharType="end"/>
      </w:r>
    </w:p>
    <w:p>
      <w:pPr>
        <w:pStyle w:val="5"/>
        <w:tabs>
          <w:tab w:val="right" w:leader="dot" w:pos="8296"/>
        </w:tabs>
      </w:pPr>
      <w:r>
        <w:fldChar w:fldCharType="begin"/>
      </w:r>
      <w:r>
        <w:instrText xml:space="preserve"> HYPERLINK \l "_Toc38907664" </w:instrText>
      </w:r>
      <w:r>
        <w:fldChar w:fldCharType="separate"/>
      </w:r>
      <w:r>
        <w:rPr>
          <w:rStyle w:val="8"/>
        </w:rPr>
        <w:t>Conclusion</w:t>
      </w:r>
      <w:r>
        <w:tab/>
      </w:r>
      <w:r>
        <w:fldChar w:fldCharType="begin"/>
      </w:r>
      <w:r>
        <w:instrText xml:space="preserve"> PAGEREF _Toc38907664 \h </w:instrText>
      </w:r>
      <w:r>
        <w:fldChar w:fldCharType="separate"/>
      </w:r>
      <w:r>
        <w:t>8</w:t>
      </w:r>
      <w:r>
        <w:fldChar w:fldCharType="end"/>
      </w:r>
      <w:r>
        <w:fldChar w:fldCharType="end"/>
      </w:r>
    </w:p>
    <w:p>
      <w:pPr>
        <w:pStyle w:val="5"/>
        <w:tabs>
          <w:tab w:val="right" w:leader="dot" w:pos="8296"/>
        </w:tabs>
      </w:pPr>
      <w:r>
        <w:fldChar w:fldCharType="begin"/>
      </w:r>
      <w:r>
        <w:instrText xml:space="preserve"> HYPERLINK \l "_Toc38907665" </w:instrText>
      </w:r>
      <w:r>
        <w:fldChar w:fldCharType="separate"/>
      </w:r>
      <w:r>
        <w:rPr>
          <w:rStyle w:val="8"/>
        </w:rPr>
        <w:t>Reference</w:t>
      </w:r>
      <w:r>
        <w:tab/>
      </w:r>
      <w:r>
        <w:fldChar w:fldCharType="begin"/>
      </w:r>
      <w:r>
        <w:instrText xml:space="preserve"> PAGEREF _Toc38907665 \h </w:instrText>
      </w:r>
      <w:r>
        <w:fldChar w:fldCharType="separate"/>
      </w:r>
      <w:r>
        <w:t>9</w:t>
      </w:r>
      <w:r>
        <w:fldChar w:fldCharType="end"/>
      </w:r>
      <w:r>
        <w:fldChar w:fldCharType="end"/>
      </w:r>
    </w:p>
    <w:p>
      <w:pPr>
        <w:spacing w:line="220" w:lineRule="atLeast"/>
      </w:pPr>
      <w:r>
        <w:fldChar w:fldCharType="end"/>
      </w: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spacing w:line="220" w:lineRule="atLeast"/>
      </w:pPr>
    </w:p>
    <w:p>
      <w:pPr>
        <w:pStyle w:val="2"/>
      </w:pPr>
      <w:bookmarkStart w:id="0" w:name="_Toc38907659"/>
      <w:r>
        <w:t>Introduction</w:t>
      </w:r>
      <w:bookmarkEnd w:id="0"/>
      <w:r>
        <w:t xml:space="preserve"> </w:t>
      </w:r>
    </w:p>
    <w:p>
      <w:pPr>
        <w:rPr>
          <w:rFonts w:hint="eastAsia"/>
        </w:rPr>
      </w:pPr>
      <w:r>
        <w:t xml:space="preserve">Acknowledging the newly invented transportations and highly advanced information technology, the trend of business internationalisation has been considered as an inevitable trend by scholars (Hooker, 2012). Therefore, </w:t>
      </w:r>
      <w:r>
        <w:rPr>
          <w:rFonts w:hint="eastAsia"/>
        </w:rPr>
        <w:t xml:space="preserve">increasingly number of </w:t>
      </w:r>
      <w:r>
        <w:t xml:space="preserve"> firms are considering to do business with an international partner in an international market. By considering the philosophy of traditional capitalism, capital expansion from </w:t>
      </w:r>
      <w:r>
        <w:rPr>
          <w:rFonts w:hint="eastAsia"/>
        </w:rPr>
        <w:t xml:space="preserve">domestic </w:t>
      </w:r>
      <w:r>
        <w:t xml:space="preserve">business to international business would be the essential for company’s flourish and survival (Scholtens and Dam, 2007). The United Kingdom of Great Britain and Northern Ireland, the UK in short, is a traditional capitalism nation with matured industrialised manufacturing industries and financial industries (Doyle, 2011). </w:t>
      </w:r>
    </w:p>
    <w:p>
      <w:r>
        <w:t>On the other hand, considering the business of international expansion, emerging countries with sustainable economic growth are presenting the great opportunity for UK firms. By checking the economic growth and political sustainability, there are two options of British companies to choose: China and Columbia. Yunxia and Hildebrandt (2003) point out that China seems a good market for the UK firms. However, due to the great cultural differences between the UK and China, this option is only suitable for some large UK companies with great ability for taking risks (Kanter and Corn, 1994). Hoecklin (1995) shows that the business environment has presenting the most suitable option for all British businesses to enter due to the similar business culture.</w:t>
      </w:r>
    </w:p>
    <w:p>
      <w:r>
        <w:t>Basically</w:t>
      </w:r>
      <w:r>
        <w:rPr>
          <w:rFonts w:hint="eastAsia"/>
        </w:rPr>
        <w:t>, this report will adapt theories including Hofstede</w:t>
      </w:r>
      <w:r>
        <w:t>’</w:t>
      </w:r>
      <w:r>
        <w:rPr>
          <w:rFonts w:hint="eastAsia"/>
        </w:rPr>
        <w:t>s cultural dimension and Hall</w:t>
      </w:r>
      <w:r>
        <w:t>’</w:t>
      </w:r>
      <w:r>
        <w:rPr>
          <w:rFonts w:hint="eastAsia"/>
        </w:rPr>
        <w:t xml:space="preserve">s high-context and low-context culture. Hofstede (2011) indicates that all types of culture can be divided into six dimensions: indulgence, uncertainty avoidance, power distance, individualism, masculinity and long-term orientation.  </w:t>
      </w:r>
    </w:p>
    <w:p/>
    <w:p/>
    <w:p/>
    <w:p/>
    <w:p/>
    <w:p/>
    <w:p/>
    <w:p/>
    <w:p/>
    <w:p/>
    <w:p/>
    <w:p/>
    <w:p>
      <w:pPr>
        <w:pStyle w:val="2"/>
      </w:pPr>
      <w:bookmarkStart w:id="1" w:name="_Toc38907660"/>
      <w:r>
        <w:rPr>
          <w:rFonts w:hint="eastAsia"/>
        </w:rPr>
        <w:t>I</w:t>
      </w:r>
      <w:r>
        <w:t>nterpretation of divergent international cultures between UK and Columbia</w:t>
      </w:r>
      <w:bookmarkEnd w:id="1"/>
      <w:r>
        <w:t xml:space="preserve"> </w:t>
      </w:r>
    </w:p>
    <w:p>
      <w:pPr>
        <w:rPr>
          <w:rFonts w:hint="eastAsia"/>
        </w:rPr>
      </w:pPr>
      <w:r>
        <w:t>Considering the Columbian business culture in British perspectives, the theory of cultural context has to be referred. Based on Hall’s cultural context theory,</w:t>
      </w:r>
      <w:r>
        <w:rPr>
          <w:rFonts w:hint="eastAsia"/>
        </w:rPr>
        <w:t xml:space="preserve"> business </w:t>
      </w:r>
      <w:r>
        <w:t>communication</w:t>
      </w:r>
      <w:r>
        <w:rPr>
          <w:rFonts w:hint="eastAsia"/>
        </w:rPr>
        <w:t xml:space="preserve"> in high-context culture is </w:t>
      </w:r>
      <w:r>
        <w:t>implicit</w:t>
      </w:r>
      <w:r>
        <w:rPr>
          <w:rFonts w:hint="eastAsia"/>
        </w:rPr>
        <w:t xml:space="preserve"> while the business communication in low-context culture is very </w:t>
      </w:r>
      <w:r>
        <w:t>explicit</w:t>
      </w:r>
      <w:r>
        <w:rPr>
          <w:rFonts w:hint="eastAsia"/>
        </w:rPr>
        <w:t xml:space="preserve">.  </w:t>
      </w:r>
      <w:r>
        <w:t xml:space="preserve">Britain is located in the part of low-context culture while Columbia is located in moderate high-context culture (Warner, 2013). Therefore, business man in Columbia has very different etiquette in business environment from Britain: a) business dinners b) business language barrier c) hierarchies in business organisations. </w:t>
      </w:r>
    </w:p>
    <w:p>
      <w:r>
        <w:rPr>
          <w:rFonts w:hint="eastAsia"/>
        </w:rPr>
        <w:t xml:space="preserve">Culture impact significantly on business and international business. </w:t>
      </w:r>
      <w:r>
        <w:t>F</w:t>
      </w:r>
      <w:r>
        <w:rPr>
          <w:rFonts w:hint="eastAsia"/>
        </w:rPr>
        <w:t xml:space="preserve">or example, in different countries, business culture can be very different. </w:t>
      </w:r>
      <w:r>
        <w:t>F</w:t>
      </w:r>
      <w:r>
        <w:rPr>
          <w:rFonts w:hint="eastAsia"/>
        </w:rPr>
        <w:t xml:space="preserve">or example, in Brain, a hug can be a simple etiquette and polite </w:t>
      </w:r>
      <w:r>
        <w:t>behaviour</w:t>
      </w:r>
      <w:r>
        <w:rPr>
          <w:rFonts w:hint="eastAsia"/>
        </w:rPr>
        <w:t xml:space="preserve">. </w:t>
      </w:r>
      <w:r>
        <w:t>H</w:t>
      </w:r>
      <w:r>
        <w:rPr>
          <w:rFonts w:hint="eastAsia"/>
        </w:rPr>
        <w:t xml:space="preserve">owever, in Japan, hug is forbidden if both parties are not in a special relationship. </w:t>
      </w:r>
      <w:r>
        <w:t>T</w:t>
      </w:r>
      <w:r>
        <w:rPr>
          <w:rFonts w:hint="eastAsia"/>
        </w:rPr>
        <w:t>herefore, it is very important to know business culture in Columbia from the perspective of British business.</w:t>
      </w:r>
    </w:p>
    <w:p>
      <w:pPr>
        <w:spacing w:before="240"/>
      </w:pPr>
      <w:r>
        <w:t xml:space="preserve">Via Stephens and Greer’s research (1995), they find out that business dinners are consistently playing an essential role in business alliance formation in Columbian culture. A successful strategic alliance in business will be built on a successful business dinner.  Moran, Harris and Moran (2007) also agree with this statement and argue that some high-context cultures are focusing more on building business relationship during the process of alliance formation. However, in the British perspective, business dinners have only limited meaning for forming a business alliance (Murray, 2018). As a traditional capitalism nation, British people are purposeful in terms of alliance formation. Business men are usually calculating the advantages and disadvantages when they are searching for a good partner for doing business in an international market (Volpp, 1996). Therefore, in a British view, it is not rational to form a strategic business alliance via a successful business dinner. Normally, this kind of alliance is formed by business negotiations. </w:t>
      </w:r>
    </w:p>
    <w:p>
      <w:pPr>
        <w:spacing w:before="240"/>
      </w:pPr>
      <w:r>
        <w:t>In terms of language barriers, there are spoken language and body language barriers which are hinging the smooth communication between two parties (Harzing, Köster and Magner, 2011).</w:t>
      </w:r>
      <w:r>
        <w:rPr>
          <w:rFonts w:hint="eastAsia"/>
        </w:rPr>
        <w:t xml:space="preserve"> The main barrier would be the spoken language, British people speak English while Columbians speak </w:t>
      </w:r>
      <w:r>
        <w:t>Spanish</w:t>
      </w:r>
      <w:r>
        <w:rPr>
          <w:rFonts w:hint="eastAsia"/>
        </w:rPr>
        <w:t>.</w:t>
      </w:r>
      <w:r>
        <w:t xml:space="preserve"> </w:t>
      </w:r>
      <w:r>
        <w:rPr>
          <w:rFonts w:hint="eastAsia"/>
        </w:rPr>
        <w:t>To be more specific, i</w:t>
      </w:r>
      <w:r>
        <w:t>n Britain, a low-context culture, business men are very direct to discuss the key points during the business negotiations (Piechota, 2017). However, the situation in Columbia business environment is different. To be more specific, the difference can be regarded as the cultural divergence in Hofstede’s cultural dimension theory. Hofstede (2003) shows that Columbian culture has been rated very high score in uncertainty avoidance while the British culture has very low score in this dimension. To avoid taking risks, British business men are more likely to be clearer during the business meetings. However, Columbian business organisation may not show their view during the formal meeting clearly. This is because they have greater capability for taking risks in business environments.</w:t>
      </w:r>
    </w:p>
    <w:p>
      <w:pPr>
        <w:spacing w:before="240"/>
      </w:pPr>
      <w:r>
        <w:t>By having noticed Hofstede’s cultural dimension theory, index of power distance is indicating the social hierarchies in business practices (Hofstede, 2011).  Based on the research carried out by Piechota (2017), Columbian business culture has very high marks in power distance. This attribute indicates that Columbian companies are formed by very strict social hierarchies: from top level to bottom level. However, the UK, even the higher ranked managerial teams are relatively have the same hierarchical status in company (Glen, 2003). In a British company, all employee are relatively equal with equal rights but different responsibilities. However, in Columbian companies, managers will be definitely placed on the top level while the ordinary employee may have less rights. In Columbia, companies are trying to form a strict social hierarchy to ensure higher level’s domination (James, 2020).</w:t>
      </w:r>
    </w:p>
    <w:p/>
    <w:p>
      <w:pPr>
        <w:pStyle w:val="2"/>
      </w:pPr>
      <w:bookmarkStart w:id="2" w:name="_Toc38907661"/>
      <w:r>
        <w:t>Evaluation of divergent international cultures between UK and Columbia</w:t>
      </w:r>
      <w:bookmarkEnd w:id="2"/>
    </w:p>
    <w:p/>
    <w:p>
      <w:pPr>
        <w:rPr>
          <w:rFonts w:hint="eastAsia"/>
        </w:rPr>
      </w:pPr>
      <w:r>
        <w:rPr>
          <w:rFonts w:hint="eastAsia"/>
        </w:rPr>
        <w:t xml:space="preserve">The previous section is only illustrating the cultural differences and </w:t>
      </w:r>
      <w:r>
        <w:t>cultural</w:t>
      </w:r>
      <w:r>
        <w:rPr>
          <w:rFonts w:hint="eastAsia"/>
        </w:rPr>
        <w:t xml:space="preserve"> </w:t>
      </w:r>
      <w:r>
        <w:t>phenomena</w:t>
      </w:r>
      <w:r>
        <w:rPr>
          <w:rFonts w:hint="eastAsia"/>
        </w:rPr>
        <w:t xml:space="preserve"> in Columbia and UK. This section will provide a deeper evaluation based on previously provided situations and business contexts. </w:t>
      </w:r>
    </w:p>
    <w:p>
      <w:r>
        <w:t xml:space="preserve">Firstly, as a high-context culture, Columbian people are very likely to discuss many formal affairs during informal situations, business dinner for example (Henley et al., 2017). Base on this point, Columbian people are sharing a same characteristic which is relationship-oriented. Additionally, Tate (2007) argues that Columbian people and society are very collective, the mainstream culture in Columbia is collectivism. As a nation with very high score in individualism, British people are less likely to adapt collectivism culture in Columbia. It is very challengeable for British enterprises to recruit local employees and establishing motivation scheme to simulate performance. In the UK, people are all concerning their own interests in business operations, different stakeholders are aligned via interests (Naquin and Holton, 2003). However, the situation in Columbia can be very different. In business atmosphere, characters in a company are putting more effort on sentimental and psychological gains. </w:t>
      </w:r>
    </w:p>
    <w:p>
      <w:r>
        <w:t>O</w:t>
      </w:r>
      <w:r>
        <w:rPr>
          <w:rFonts w:hint="eastAsia"/>
        </w:rPr>
        <w:t xml:space="preserve">n the other hand, it is also a challenge for British enterprises to communicate with Columbian companies. </w:t>
      </w:r>
      <w:r>
        <w:t>T</w:t>
      </w:r>
      <w:r>
        <w:rPr>
          <w:rFonts w:hint="eastAsia"/>
        </w:rPr>
        <w:t xml:space="preserve">he </w:t>
      </w:r>
      <w:r>
        <w:t>language</w:t>
      </w:r>
      <w:r>
        <w:rPr>
          <w:rFonts w:hint="eastAsia"/>
        </w:rPr>
        <w:t xml:space="preserve"> </w:t>
      </w:r>
      <w:r>
        <w:t>environment</w:t>
      </w:r>
      <w:r>
        <w:rPr>
          <w:rFonts w:hint="eastAsia"/>
        </w:rPr>
        <w:t xml:space="preserve"> in Columbia is mostly pure Spanish </w:t>
      </w:r>
      <w:r>
        <w:t>(Lippy, 2013)</w:t>
      </w:r>
      <w:r>
        <w:rPr>
          <w:rFonts w:hint="eastAsia"/>
        </w:rPr>
        <w:t xml:space="preserve">. </w:t>
      </w:r>
      <w:r>
        <w:t>B</w:t>
      </w:r>
      <w:r>
        <w:rPr>
          <w:rFonts w:hint="eastAsia"/>
        </w:rPr>
        <w:t xml:space="preserve">ased on the latest research in Columbia, there are only 10% population speaking English in a moderate level. </w:t>
      </w:r>
      <w:r>
        <w:t>T</w:t>
      </w:r>
      <w:r>
        <w:rPr>
          <w:rFonts w:hint="eastAsia"/>
        </w:rPr>
        <w:t xml:space="preserve">herefore, hiring a business interpreter in Columbia would be a choice for British enterprises. </w:t>
      </w:r>
      <w:r>
        <w:t>H</w:t>
      </w:r>
      <w:r>
        <w:rPr>
          <w:rFonts w:hint="eastAsia"/>
        </w:rPr>
        <w:t xml:space="preserve">owever, excepting the spoken language barrier, the behavioural patterns of body languages and eye contacts are also very different from Britain </w:t>
      </w:r>
      <w:r>
        <w:t>(Ivins, 2013)</w:t>
      </w:r>
      <w:r>
        <w:rPr>
          <w:rFonts w:hint="eastAsia"/>
        </w:rPr>
        <w:t xml:space="preserve">. </w:t>
      </w:r>
      <w:r>
        <w:t>I</w:t>
      </w:r>
      <w:r>
        <w:rPr>
          <w:rFonts w:hint="eastAsia"/>
        </w:rPr>
        <w:t xml:space="preserve">n Columbian culture, pointing two fingers can be regarded as rude and </w:t>
      </w:r>
      <w:r>
        <w:t> obscen</w:t>
      </w:r>
      <w:r>
        <w:rPr>
          <w:rFonts w:hint="eastAsia"/>
        </w:rPr>
        <w:t xml:space="preserve">e </w:t>
      </w:r>
      <w:r>
        <w:t>(Lippy, 2013)</w:t>
      </w:r>
      <w:r>
        <w:rPr>
          <w:rFonts w:hint="eastAsia"/>
        </w:rPr>
        <w:t xml:space="preserve">.. </w:t>
      </w:r>
      <w:r>
        <w:t>H</w:t>
      </w:r>
      <w:r>
        <w:rPr>
          <w:rFonts w:hint="eastAsia"/>
        </w:rPr>
        <w:t xml:space="preserve">owever, this gesture in the UK can be normal. Additionally, in Columbian culture, direct eye contact can be rude especially between male and female </w:t>
      </w:r>
      <w:r>
        <w:t>(Ivins, 2013)</w:t>
      </w:r>
      <w:r>
        <w:rPr>
          <w:rFonts w:hint="eastAsia"/>
        </w:rPr>
        <w:t xml:space="preserve">. </w:t>
      </w:r>
      <w:r>
        <w:t>H</w:t>
      </w:r>
      <w:r>
        <w:rPr>
          <w:rFonts w:hint="eastAsia"/>
        </w:rPr>
        <w:t xml:space="preserve">owever, in British culture, direct eye contact can be regarded as polite and serious in business </w:t>
      </w:r>
      <w:r>
        <w:t>atmosphere</w:t>
      </w:r>
      <w:r>
        <w:rPr>
          <w:rFonts w:hint="eastAsia"/>
        </w:rPr>
        <w:t xml:space="preserve">. </w:t>
      </w:r>
      <w:r>
        <w:t>T</w:t>
      </w:r>
      <w:r>
        <w:rPr>
          <w:rFonts w:hint="eastAsia"/>
        </w:rPr>
        <w:t xml:space="preserve">herefore, it is very hard for a British business man to avoid eye contact from opposite side in Columbia. </w:t>
      </w:r>
    </w:p>
    <w:p>
      <w:r>
        <w:t>I</w:t>
      </w:r>
      <w:r>
        <w:rPr>
          <w:rFonts w:hint="eastAsia"/>
        </w:rPr>
        <w:t>n previous section, Hofstede</w:t>
      </w:r>
      <w:r>
        <w:t>’</w:t>
      </w:r>
      <w:r>
        <w:rPr>
          <w:rFonts w:hint="eastAsia"/>
        </w:rPr>
        <w:t xml:space="preserve">s index of individualism has been pointed out as a significant cultural difference between the UK and Columbia. </w:t>
      </w:r>
      <w:r>
        <w:t>A</w:t>
      </w:r>
      <w:r>
        <w:rPr>
          <w:rFonts w:hint="eastAsia"/>
        </w:rPr>
        <w:t xml:space="preserve">s a business organisation in the UK, the rule of game may more </w:t>
      </w:r>
      <w:r>
        <w:t>approach</w:t>
      </w:r>
      <w:r>
        <w:rPr>
          <w:rFonts w:hint="eastAsia"/>
        </w:rPr>
        <w:t xml:space="preserve"> to boost individual</w:t>
      </w:r>
      <w:r>
        <w:t>’</w:t>
      </w:r>
      <w:r>
        <w:rPr>
          <w:rFonts w:hint="eastAsia"/>
        </w:rPr>
        <w:t xml:space="preserve">s performance by allowing individuals to have higher payments and status in company. However, in Columbia, it is a very collective society which emphasises more on team play </w:t>
      </w:r>
      <w:r>
        <w:t>(Lippy, 2013)</w:t>
      </w:r>
      <w:r>
        <w:rPr>
          <w:rFonts w:hint="eastAsia"/>
        </w:rPr>
        <w:t xml:space="preserve">. </w:t>
      </w:r>
      <w:r>
        <w:t>U</w:t>
      </w:r>
      <w:r>
        <w:rPr>
          <w:rFonts w:hint="eastAsia"/>
        </w:rPr>
        <w:t xml:space="preserve">nlike the traditional capitalism, Columbian capitalism is more likely to rise payment for a whole team to </w:t>
      </w:r>
      <w:r>
        <w:t>stimulate</w:t>
      </w:r>
      <w:r>
        <w:rPr>
          <w:rFonts w:hint="eastAsia"/>
        </w:rPr>
        <w:t xml:space="preserve"> company</w:t>
      </w:r>
      <w:r>
        <w:t>’</w:t>
      </w:r>
      <w:r>
        <w:rPr>
          <w:rFonts w:hint="eastAsia"/>
        </w:rPr>
        <w:t xml:space="preserve">s economic performance. </w:t>
      </w:r>
      <w:r>
        <w:t>I</w:t>
      </w:r>
      <w:r>
        <w:rPr>
          <w:rFonts w:hint="eastAsia"/>
        </w:rPr>
        <w:t xml:space="preserve">t is a highly challenging aspect for British firms to switch their thinking pattern for motivation strategy in human resource management if they want to establish a branch in Columbia. </w:t>
      </w:r>
      <w:r>
        <w:t>T</w:t>
      </w:r>
      <w:r>
        <w:rPr>
          <w:rFonts w:hint="eastAsia"/>
        </w:rPr>
        <w:t>he traditional pattern of motivation strategy, X and Y theory which is based on individual employee</w:t>
      </w:r>
      <w:r>
        <w:t>’</w:t>
      </w:r>
      <w:r>
        <w:rPr>
          <w:rFonts w:hint="eastAsia"/>
        </w:rPr>
        <w:t xml:space="preserve">s identity, has to be changed to a group-based theory to motivate locally recruited employees in Columbia </w:t>
      </w:r>
      <w:r>
        <w:t>(Shane, Locke and Collins, 2003)</w:t>
      </w:r>
      <w:r>
        <w:rPr>
          <w:rFonts w:hint="eastAsia"/>
        </w:rPr>
        <w:t>.</w:t>
      </w:r>
    </w:p>
    <w:p>
      <w:pPr>
        <w:pStyle w:val="2"/>
      </w:pPr>
      <w:bookmarkStart w:id="3" w:name="_Toc38907662"/>
      <w:r>
        <w:t>Analysis the differences between business communication situations</w:t>
      </w:r>
      <w:bookmarkEnd w:id="3"/>
      <w:r>
        <w:t xml:space="preserve"> </w:t>
      </w:r>
    </w:p>
    <w:p/>
    <w:p>
      <w:r>
        <w:rPr>
          <w:rFonts w:hint="eastAsia"/>
        </w:rPr>
        <w:t xml:space="preserve">Business </w:t>
      </w:r>
      <w:r>
        <w:t xml:space="preserve">communication situations between British enterprises and Columbian companies will be mentioned by tackling British people’s feeling and Columbian people’s feeling in some particular situations of business communications. Therefore, some taboos and goodness will be mentioned. </w:t>
      </w:r>
    </w:p>
    <w:p>
      <w:r>
        <w:t xml:space="preserve">The </w:t>
      </w:r>
      <w:r>
        <w:rPr>
          <w:rFonts w:hint="eastAsia"/>
        </w:rPr>
        <w:t xml:space="preserve">business communication is the most important part of international business. </w:t>
      </w:r>
      <w:r>
        <w:t>T</w:t>
      </w:r>
      <w:r>
        <w:rPr>
          <w:rFonts w:hint="eastAsia"/>
        </w:rPr>
        <w:t xml:space="preserve">here are some representative situations which are hard to be accepted by British perspective in Columbian business communications. </w:t>
      </w:r>
      <w:r>
        <w:t>F</w:t>
      </w:r>
      <w:r>
        <w:rPr>
          <w:rFonts w:hint="eastAsia"/>
        </w:rPr>
        <w:t xml:space="preserve">or example, Columbian companies do not fond of confrontation in business </w:t>
      </w:r>
      <w:r>
        <w:t>negotiations</w:t>
      </w:r>
      <w:r>
        <w:rPr>
          <w:rFonts w:hint="eastAsia"/>
        </w:rPr>
        <w:t xml:space="preserve"> </w:t>
      </w:r>
      <w:r>
        <w:t>(Larson, 1994)</w:t>
      </w:r>
      <w:r>
        <w:rPr>
          <w:rFonts w:hint="eastAsia"/>
        </w:rPr>
        <w:t xml:space="preserve">. </w:t>
      </w:r>
      <w:r>
        <w:t>T</w:t>
      </w:r>
      <w:r>
        <w:rPr>
          <w:rFonts w:hint="eastAsia"/>
        </w:rPr>
        <w:t xml:space="preserve">his is because some business </w:t>
      </w:r>
      <w:r>
        <w:t>negotiations</w:t>
      </w:r>
      <w:r>
        <w:rPr>
          <w:rFonts w:hint="eastAsia"/>
        </w:rPr>
        <w:t xml:space="preserve">, business agreements and formation of </w:t>
      </w:r>
      <w:r>
        <w:t>alliance</w:t>
      </w:r>
      <w:r>
        <w:rPr>
          <w:rFonts w:hint="eastAsia"/>
        </w:rPr>
        <w:t xml:space="preserve"> are all based on personal relationship. However, in British perspective, intensive </w:t>
      </w:r>
      <w:r>
        <w:t>discussions</w:t>
      </w:r>
      <w:r>
        <w:rPr>
          <w:rFonts w:hint="eastAsia"/>
        </w:rPr>
        <w:t xml:space="preserve"> are very likely </w:t>
      </w:r>
      <w:r>
        <w:t>occurred</w:t>
      </w:r>
      <w:r>
        <w:rPr>
          <w:rFonts w:hint="eastAsia"/>
        </w:rPr>
        <w:t xml:space="preserve"> during the business meeting. </w:t>
      </w:r>
      <w:r>
        <w:t>B</w:t>
      </w:r>
      <w:r>
        <w:rPr>
          <w:rFonts w:hint="eastAsia"/>
        </w:rPr>
        <w:t xml:space="preserve">ritish companies are all considering this discussion can be very normal and ordinary to form a long-term relationship. </w:t>
      </w:r>
      <w:r>
        <w:t>I</w:t>
      </w:r>
      <w:r>
        <w:rPr>
          <w:rFonts w:hint="eastAsia"/>
        </w:rPr>
        <w:t xml:space="preserve">t is a British tradition to find out truth via the intensive discussion or arguments among parties </w:t>
      </w:r>
      <w:r>
        <w:t>(Purchase and Olaru, 2004)</w:t>
      </w:r>
      <w:r>
        <w:rPr>
          <w:rFonts w:hint="eastAsia"/>
        </w:rPr>
        <w:t xml:space="preserve">. </w:t>
      </w:r>
      <w:r>
        <w:t>H</w:t>
      </w:r>
      <w:r>
        <w:rPr>
          <w:rFonts w:hint="eastAsia"/>
        </w:rPr>
        <w:t xml:space="preserve">owever, once British business man disagreed with Columbian company in some detailed points during the process of signing contract, Columbian company may totally withdraw this contract. </w:t>
      </w:r>
      <w:r>
        <w:t>T</w:t>
      </w:r>
      <w:r>
        <w:rPr>
          <w:rFonts w:hint="eastAsia"/>
        </w:rPr>
        <w:t>he greatest differences between Columbian business communication and British pattern are all related to the type of discussion. Columbians cannot accept any disagreements during the business communication while British is welcoming it.</w:t>
      </w:r>
    </w:p>
    <w:p>
      <w:r>
        <w:t>I</w:t>
      </w:r>
      <w:r>
        <w:rPr>
          <w:rFonts w:hint="eastAsia"/>
        </w:rPr>
        <w:t xml:space="preserve">n Columbia, genders are not equal. </w:t>
      </w:r>
      <w:r>
        <w:t>A</w:t>
      </w:r>
      <w:r>
        <w:rPr>
          <w:rFonts w:hint="eastAsia"/>
        </w:rPr>
        <w:t xml:space="preserve">s a male dominated world, it is extremely hard for a woman to have her own business in Columbian society </w:t>
      </w:r>
      <w:r>
        <w:t>(Larson, 1994)</w:t>
      </w:r>
      <w:r>
        <w:rPr>
          <w:rFonts w:hint="eastAsia"/>
        </w:rPr>
        <w:t xml:space="preserve">. Even in some areas of Columbia, women are not allowed to own or to operate her own business. </w:t>
      </w:r>
      <w:r>
        <w:t>I</w:t>
      </w:r>
      <w:r>
        <w:rPr>
          <w:rFonts w:hint="eastAsia"/>
        </w:rPr>
        <w:t>n addition, in Columbia, people</w:t>
      </w:r>
      <w:r>
        <w:t>’</w:t>
      </w:r>
      <w:r>
        <w:rPr>
          <w:rFonts w:hint="eastAsia"/>
        </w:rPr>
        <w:t>s consideration on gender role is very traditional one which means that women have to take care family while man takes responsibility for family</w:t>
      </w:r>
      <w:r>
        <w:t>’</w:t>
      </w:r>
      <w:r>
        <w:rPr>
          <w:rFonts w:hint="eastAsia"/>
        </w:rPr>
        <w:t xml:space="preserve">s income </w:t>
      </w:r>
      <w:r>
        <w:t>(Lippy, 2013)</w:t>
      </w:r>
      <w:r>
        <w:rPr>
          <w:rFonts w:hint="eastAsia"/>
        </w:rPr>
        <w:t>. However, the philosophy behind all these discrimination upon women in Columbia is that Columbian society is despising women</w:t>
      </w:r>
      <w:r>
        <w:t>’</w:t>
      </w:r>
      <w:r>
        <w:rPr>
          <w:rFonts w:hint="eastAsia"/>
        </w:rPr>
        <w:t xml:space="preserve">s capability in running a business. </w:t>
      </w:r>
      <w:r>
        <w:t>T</w:t>
      </w:r>
      <w:r>
        <w:rPr>
          <w:rFonts w:hint="eastAsia"/>
        </w:rPr>
        <w:t xml:space="preserve">herefore, as a very equal society, Britain treats men and women equally in running a business. </w:t>
      </w:r>
      <w:r>
        <w:t>H</w:t>
      </w:r>
      <w:r>
        <w:rPr>
          <w:rFonts w:hint="eastAsia"/>
        </w:rPr>
        <w:t xml:space="preserve">owever, during the business communication and their inherent </w:t>
      </w:r>
      <w:r>
        <w:t>characteristics on business women,</w:t>
      </w:r>
      <w:r>
        <w:rPr>
          <w:rFonts w:hint="eastAsia"/>
        </w:rPr>
        <w:t xml:space="preserve"> </w:t>
      </w:r>
      <w:r>
        <w:t xml:space="preserve">Columbians may not feel well when they are negotiating with a </w:t>
      </w:r>
      <w:r>
        <w:rPr>
          <w:rFonts w:hint="eastAsia"/>
        </w:rPr>
        <w:t xml:space="preserve">business women from Britain. Unlike British society which takes in as a very normal </w:t>
      </w:r>
      <w:r>
        <w:t>situation</w:t>
      </w:r>
      <w:r>
        <w:rPr>
          <w:rFonts w:hint="eastAsia"/>
        </w:rPr>
        <w:t xml:space="preserve">, Columbian companies may consider that this British company has not </w:t>
      </w:r>
      <w:r>
        <w:t>“</w:t>
      </w:r>
      <w:r>
        <w:rPr>
          <w:rFonts w:hint="eastAsia"/>
        </w:rPr>
        <w:t>man power</w:t>
      </w:r>
      <w:r>
        <w:t>”</w:t>
      </w:r>
      <w:r>
        <w:rPr>
          <w:rFonts w:hint="eastAsia"/>
        </w:rPr>
        <w:t xml:space="preserve"> which means that this company is not good. </w:t>
      </w:r>
      <w:r>
        <w:t>T</w:t>
      </w:r>
      <w:r>
        <w:rPr>
          <w:rFonts w:hint="eastAsia"/>
        </w:rPr>
        <w:t>herefore, within the business communication, even all Columbian companies will send a man as their representative to represent company</w:t>
      </w:r>
      <w:r>
        <w:t>’</w:t>
      </w:r>
      <w:r>
        <w:rPr>
          <w:rFonts w:hint="eastAsia"/>
        </w:rPr>
        <w:t xml:space="preserve">s image. However, in British perspective, this can be convicted as treating women differently, even this can be regarded as very serious gender discrimination in workplace. </w:t>
      </w:r>
    </w:p>
    <w:p/>
    <w:p/>
    <w:p>
      <w:pPr>
        <w:pStyle w:val="2"/>
      </w:pPr>
      <w:bookmarkStart w:id="4" w:name="_Toc38907663"/>
      <w:r>
        <w:t>Mitigating cultural differences between the UK and Columbia</w:t>
      </w:r>
      <w:bookmarkEnd w:id="4"/>
      <w:r>
        <w:t xml:space="preserve"> </w:t>
      </w:r>
    </w:p>
    <w:p>
      <w:r>
        <w:t>In terms of business culture, British firms have to adapt some cultural differences in their expansion to Columbian market.</w:t>
      </w:r>
      <w:r>
        <w:rPr>
          <w:rFonts w:hint="eastAsia"/>
        </w:rPr>
        <w:t xml:space="preserve"> However, British companies are not </w:t>
      </w:r>
      <w:r>
        <w:t>coming</w:t>
      </w:r>
      <w:r>
        <w:rPr>
          <w:rFonts w:hint="eastAsia"/>
        </w:rPr>
        <w:t xml:space="preserve"> to rectify some unequal phenomena in Columbian society. </w:t>
      </w:r>
      <w:r>
        <w:t>A</w:t>
      </w:r>
      <w:r>
        <w:rPr>
          <w:rFonts w:hint="eastAsia"/>
        </w:rPr>
        <w:t>ll steps are tending to form an alliance with a Columbian company via business communication.</w:t>
      </w:r>
    </w:p>
    <w:p>
      <w:r>
        <w:rPr>
          <w:rFonts w:hint="eastAsia"/>
        </w:rPr>
        <w:t>I</w:t>
      </w:r>
      <w:r>
        <w:t>n business communications, British companies have to correctly understand Columbian people’s expressions in body language, and spoken language. Additionally, British negotiators have to encode correct information for Columbian thinking patterns to decode</w:t>
      </w:r>
      <w:r>
        <w:rPr>
          <w:rFonts w:hint="eastAsia"/>
        </w:rPr>
        <w:t xml:space="preserve"> </w:t>
      </w:r>
      <w:r>
        <w:t>(Purchase and Olaru, 2004).</w:t>
      </w:r>
      <w:r>
        <w:rPr>
          <w:rFonts w:hint="eastAsia"/>
        </w:rPr>
        <w:t xml:space="preserve"> Firstly, a translator is essentially required for sure to overcome </w:t>
      </w:r>
      <w:r>
        <w:t>language</w:t>
      </w:r>
      <w:r>
        <w:rPr>
          <w:rFonts w:hint="eastAsia"/>
        </w:rPr>
        <w:t xml:space="preserve"> barriers. </w:t>
      </w:r>
      <w:r>
        <w:t>Additionally</w:t>
      </w:r>
      <w:r>
        <w:rPr>
          <w:rFonts w:hint="eastAsia"/>
        </w:rPr>
        <w:t xml:space="preserve">, British enterprises have to consider their thinking pattern before the business communication with Columbians. </w:t>
      </w:r>
      <w:r>
        <w:t>F</w:t>
      </w:r>
      <w:r>
        <w:rPr>
          <w:rFonts w:hint="eastAsia"/>
        </w:rPr>
        <w:t xml:space="preserve">or example, it is definitely for a British company to avoid sending a female </w:t>
      </w:r>
      <w:r>
        <w:t>negotiator</w:t>
      </w:r>
      <w:r>
        <w:rPr>
          <w:rFonts w:hint="eastAsia"/>
        </w:rPr>
        <w:t xml:space="preserve"> to talk with Columbian companies. </w:t>
      </w:r>
      <w:r>
        <w:t>I</w:t>
      </w:r>
      <w:r>
        <w:rPr>
          <w:rFonts w:hint="eastAsia"/>
        </w:rPr>
        <w:t xml:space="preserve">t is an </w:t>
      </w:r>
      <w:r>
        <w:t>improper</w:t>
      </w:r>
      <w:r>
        <w:rPr>
          <w:rFonts w:hint="eastAsia"/>
        </w:rPr>
        <w:t xml:space="preserve"> behaviour for Columbian </w:t>
      </w:r>
      <w:r>
        <w:t>companies</w:t>
      </w:r>
      <w:r>
        <w:rPr>
          <w:rFonts w:hint="eastAsia"/>
        </w:rPr>
        <w:t xml:space="preserve"> to have a very serious talk with British </w:t>
      </w:r>
      <w:r>
        <w:t>enterprise</w:t>
      </w:r>
      <w:r>
        <w:rPr>
          <w:rFonts w:hint="eastAsia"/>
        </w:rPr>
        <w:t xml:space="preserve">s to a </w:t>
      </w:r>
      <w:r>
        <w:t>female</w:t>
      </w:r>
      <w:r>
        <w:rPr>
          <w:rFonts w:hint="eastAsia"/>
        </w:rPr>
        <w:t xml:space="preserve">. </w:t>
      </w:r>
    </w:p>
    <w:p>
      <w:r>
        <w:t>O</w:t>
      </w:r>
      <w:r>
        <w:rPr>
          <w:rFonts w:hint="eastAsia"/>
        </w:rPr>
        <w:t xml:space="preserve">n the other hand, </w:t>
      </w:r>
      <w:r>
        <w:t>gestures</w:t>
      </w:r>
      <w:r>
        <w:rPr>
          <w:rFonts w:hint="eastAsia"/>
        </w:rPr>
        <w:t xml:space="preserve"> have to be avoided during the business communications. For example, in British culture, it is </w:t>
      </w:r>
      <w:r>
        <w:t>normal</w:t>
      </w:r>
      <w:r>
        <w:rPr>
          <w:rFonts w:hint="eastAsia"/>
        </w:rPr>
        <w:t xml:space="preserve"> to point people by using two index fingers, however, in Columbia, it is a very offensive gesture. </w:t>
      </w:r>
      <w:r>
        <w:t>T</w:t>
      </w:r>
      <w:r>
        <w:rPr>
          <w:rFonts w:hint="eastAsia"/>
        </w:rPr>
        <w:t xml:space="preserve">here is no standardised international gestures which are understandable for all national citizens </w:t>
      </w:r>
      <w:r>
        <w:t>(Purchase and Olaru, 2004)</w:t>
      </w:r>
      <w:r>
        <w:rPr>
          <w:rFonts w:hint="eastAsia"/>
        </w:rPr>
        <w:t xml:space="preserve">. </w:t>
      </w:r>
      <w:r>
        <w:t>S</w:t>
      </w:r>
      <w:r>
        <w:rPr>
          <w:rFonts w:hint="eastAsia"/>
        </w:rPr>
        <w:t xml:space="preserve">ame gesture may contain some very offensive meaning in specific countries. </w:t>
      </w:r>
      <w:r>
        <w:t xml:space="preserve">It is also </w:t>
      </w:r>
      <w:r>
        <w:rPr>
          <w:rFonts w:hint="eastAsia"/>
        </w:rPr>
        <w:t xml:space="preserve">very </w:t>
      </w:r>
      <w:r>
        <w:t>hard to analyse all types of gestures</w:t>
      </w:r>
      <w:r>
        <w:rPr>
          <w:rFonts w:hint="eastAsia"/>
        </w:rPr>
        <w:t xml:space="preserve"> and their meaning</w:t>
      </w:r>
      <w:r>
        <w:t xml:space="preserve"> in Columbia.</w:t>
      </w:r>
      <w:r>
        <w:rPr>
          <w:rFonts w:hint="eastAsia"/>
        </w:rPr>
        <w:t xml:space="preserve"> </w:t>
      </w:r>
      <w:r>
        <w:t>Therefore</w:t>
      </w:r>
      <w:r>
        <w:rPr>
          <w:rFonts w:hint="eastAsia"/>
        </w:rPr>
        <w:t xml:space="preserve">, only using simple gestures or not using any gestures is a wise choice for British companies. </w:t>
      </w:r>
      <w:r>
        <w:t>T</w:t>
      </w:r>
      <w:r>
        <w:rPr>
          <w:rFonts w:hint="eastAsia"/>
        </w:rPr>
        <w:t xml:space="preserve">o avoid understanding would be the core concept during the business </w:t>
      </w:r>
      <w:r>
        <w:t>communication</w:t>
      </w:r>
      <w:r>
        <w:rPr>
          <w:rFonts w:hint="eastAsia"/>
        </w:rPr>
        <w:t xml:space="preserve"> with a foreign </w:t>
      </w:r>
      <w:r>
        <w:t>company</w:t>
      </w:r>
      <w:r>
        <w:rPr>
          <w:rFonts w:hint="eastAsia"/>
        </w:rPr>
        <w:t xml:space="preserve">. </w:t>
      </w:r>
    </w:p>
    <w:p>
      <w:r>
        <w:t>F</w:t>
      </w:r>
      <w:r>
        <w:rPr>
          <w:rFonts w:hint="eastAsia"/>
        </w:rPr>
        <w:t xml:space="preserve">inally, skills of smooth disagreements have to be acquired by British companies. Columbian people are really valuing their faces and psychological feeling during the communication. </w:t>
      </w:r>
      <w:r>
        <w:t>T</w:t>
      </w:r>
      <w:r>
        <w:rPr>
          <w:rFonts w:hint="eastAsia"/>
        </w:rPr>
        <w:t xml:space="preserve">herefore, the direct disagreements cannot be considered as a part of strategy of business communication. British </w:t>
      </w:r>
      <w:r>
        <w:t>enterprise</w:t>
      </w:r>
      <w:r>
        <w:rPr>
          <w:rFonts w:hint="eastAsia"/>
        </w:rPr>
        <w:t xml:space="preserve">s have to protect Columbian business </w:t>
      </w:r>
      <w:r>
        <w:t>negotiator</w:t>
      </w:r>
      <w:r>
        <w:rPr>
          <w:rFonts w:hint="eastAsia"/>
        </w:rPr>
        <w:t>s</w:t>
      </w:r>
      <w:r>
        <w:t>’</w:t>
      </w:r>
      <w:r>
        <w:rPr>
          <w:rFonts w:hint="eastAsia"/>
        </w:rPr>
        <w:t xml:space="preserve"> face when the confrontation is </w:t>
      </w:r>
      <w:r>
        <w:t>inevitable</w:t>
      </w:r>
      <w:r>
        <w:rPr>
          <w:rFonts w:hint="eastAsia"/>
        </w:rPr>
        <w:t>.</w:t>
      </w:r>
    </w:p>
    <w:p/>
    <w:p/>
    <w:p/>
    <w:p/>
    <w:p/>
    <w:p/>
    <w:p>
      <w:pPr>
        <w:pStyle w:val="2"/>
      </w:pPr>
      <w:bookmarkStart w:id="5" w:name="_Toc38907664"/>
      <w:r>
        <w:t>Conclusion</w:t>
      </w:r>
      <w:bookmarkEnd w:id="5"/>
    </w:p>
    <w:p>
      <w:pPr>
        <w:rPr>
          <w:rFonts w:hint="eastAsia"/>
        </w:rPr>
      </w:pPr>
      <w:r>
        <w:rPr>
          <w:rFonts w:hint="eastAsia"/>
        </w:rPr>
        <w:t xml:space="preserve">In conclusion, by reviewing this analytical report, the British companies are capable to mitigate some very obvious misunderstandings during business communications with Columbian companies. </w:t>
      </w:r>
      <w:r>
        <w:t>T</w:t>
      </w:r>
      <w:r>
        <w:rPr>
          <w:rFonts w:hint="eastAsia"/>
        </w:rPr>
        <w:t xml:space="preserve">here are four sections in this report to investigate this result step by step. </w:t>
      </w:r>
    </w:p>
    <w:p>
      <w:pPr>
        <w:rPr>
          <w:rFonts w:hint="eastAsia"/>
        </w:rPr>
      </w:pPr>
      <w:r>
        <w:t>A</w:t>
      </w:r>
      <w:r>
        <w:rPr>
          <w:rFonts w:hint="eastAsia"/>
        </w:rPr>
        <w:t xml:space="preserve">t first, an </w:t>
      </w:r>
      <w:r>
        <w:t>interpretation</w:t>
      </w:r>
      <w:r>
        <w:rPr>
          <w:rFonts w:hint="eastAsia"/>
        </w:rPr>
        <w:t xml:space="preserve"> of cultural differences has been provided to find out the most significant differences between those two cultures. </w:t>
      </w:r>
      <w:r>
        <w:t>S</w:t>
      </w:r>
      <w:r>
        <w:rPr>
          <w:rFonts w:hint="eastAsia"/>
        </w:rPr>
        <w:t xml:space="preserve">ome key general divergences were provided to discussion the possibility to form a strategic alliance with a Columbian company by standing on a side of British company. </w:t>
      </w:r>
      <w:r>
        <w:t>F</w:t>
      </w:r>
      <w:r>
        <w:rPr>
          <w:rFonts w:hint="eastAsia"/>
        </w:rPr>
        <w:t xml:space="preserve">or example, British business does not care business dinner very much to form a strategic alliance with other companies. In addition, the language barrier would also important, British people may only speak English while  Columbian people speak Spanish. </w:t>
      </w:r>
    </w:p>
    <w:p>
      <w:pPr>
        <w:rPr>
          <w:rFonts w:hint="eastAsia"/>
        </w:rPr>
      </w:pPr>
      <w:r>
        <w:rPr>
          <w:rFonts w:hint="eastAsia"/>
        </w:rPr>
        <w:t xml:space="preserve">The second part was to evaluate those mentioned differences which are more practical to discuss some situations of business communications. Some potential hazards and challenges for British companies were contained. Therefore, the reason for Columbian people caring business dinner is because Columbian culture is a high-context culture which is normally relationship oriented. </w:t>
      </w:r>
      <w:r>
        <w:t>B</w:t>
      </w:r>
      <w:r>
        <w:rPr>
          <w:rFonts w:hint="eastAsia"/>
        </w:rPr>
        <w:t>ased on British people</w:t>
      </w:r>
      <w:r>
        <w:t>’</w:t>
      </w:r>
      <w:r>
        <w:rPr>
          <w:rFonts w:hint="eastAsia"/>
        </w:rPr>
        <w:t>s feelings on some Columbian cultures and Columbian people</w:t>
      </w:r>
      <w:r>
        <w:t>’</w:t>
      </w:r>
      <w:r>
        <w:rPr>
          <w:rFonts w:hint="eastAsia"/>
        </w:rPr>
        <w:t xml:space="preserve">s feeling on British cultures in the context of business communication, third section has analysed the practical study in some specific examples and problems in business communication. </w:t>
      </w:r>
    </w:p>
    <w:p>
      <w:r>
        <w:t>Finally</w:t>
      </w:r>
      <w:r>
        <w:rPr>
          <w:rFonts w:hint="eastAsia"/>
        </w:rPr>
        <w:t xml:space="preserve">, some recommendations based on mitigating the cultural differences have been offered to solve some real problems for British companies considering to do business with Columbian firms. For example, to overcome </w:t>
      </w:r>
      <w:r>
        <w:t>language</w:t>
      </w:r>
      <w:r>
        <w:rPr>
          <w:rFonts w:hint="eastAsia"/>
        </w:rPr>
        <w:t xml:space="preserve"> barrier between British business and </w:t>
      </w:r>
      <w:r>
        <w:t>Columbian</w:t>
      </w:r>
      <w:r>
        <w:rPr>
          <w:rFonts w:hint="eastAsia"/>
        </w:rPr>
        <w:t xml:space="preserve"> business is to hire a translator who is very familiar with both English and Spanish.</w:t>
      </w:r>
    </w:p>
    <w:p/>
    <w:p/>
    <w:p/>
    <w:p/>
    <w:p/>
    <w:p/>
    <w:p/>
    <w:p/>
    <w:p/>
    <w:p/>
    <w:p/>
    <w:p>
      <w:pPr>
        <w:pStyle w:val="2"/>
      </w:pPr>
      <w:bookmarkStart w:id="6" w:name="_Toc38907665"/>
      <w:r>
        <w:rPr>
          <w:rFonts w:hint="eastAsia"/>
        </w:rPr>
        <w:t>R</w:t>
      </w:r>
      <w:r>
        <w:t>eference</w:t>
      </w:r>
      <w:bookmarkEnd w:id="6"/>
    </w:p>
    <w:p>
      <w:pPr>
        <w:rPr>
          <w:rFonts w:cs="Times New Roman"/>
          <w:color w:val="000000"/>
          <w:szCs w:val="24"/>
          <w:shd w:val="clear" w:color="auto" w:fill="FFFFFF"/>
        </w:rPr>
      </w:pPr>
      <w:r>
        <w:rPr>
          <w:rFonts w:cs="Times New Roman"/>
          <w:color w:val="000000"/>
          <w:szCs w:val="24"/>
          <w:shd w:val="clear" w:color="auto" w:fill="FFFFFF"/>
        </w:rPr>
        <w:t xml:space="preserve">Doyle, M., </w:t>
      </w:r>
      <w:r>
        <w:rPr>
          <w:rFonts w:hint="eastAsia" w:cs="Times New Roman"/>
          <w:color w:val="000000"/>
          <w:szCs w:val="24"/>
          <w:shd w:val="clear" w:color="auto" w:fill="FFFFFF"/>
        </w:rPr>
        <w:t>(</w:t>
      </w:r>
      <w:r>
        <w:rPr>
          <w:rFonts w:cs="Times New Roman"/>
          <w:color w:val="000000"/>
          <w:szCs w:val="24"/>
          <w:shd w:val="clear" w:color="auto" w:fill="FFFFFF"/>
        </w:rPr>
        <w:t>2011</w:t>
      </w:r>
      <w:r>
        <w:rPr>
          <w:rFonts w:hint="eastAsia" w:cs="Times New Roman"/>
          <w:color w:val="000000"/>
          <w:szCs w:val="24"/>
          <w:shd w:val="clear" w:color="auto" w:fill="FFFFFF"/>
        </w:rPr>
        <w:t>)</w:t>
      </w:r>
      <w:r>
        <w:rPr>
          <w:rFonts w:cs="Times New Roman"/>
          <w:color w:val="000000"/>
          <w:szCs w:val="24"/>
          <w:shd w:val="clear" w:color="auto" w:fill="FFFFFF"/>
        </w:rPr>
        <w:t>. Massacre by the Book: Amritsar and the Rules of Public-Order Policing in Britain and India. </w:t>
      </w:r>
      <w:r>
        <w:rPr>
          <w:rFonts w:cs="Times New Roman"/>
          <w:i/>
          <w:iCs/>
          <w:color w:val="000000"/>
          <w:szCs w:val="24"/>
          <w:shd w:val="clear" w:color="auto" w:fill="FFFFFF"/>
        </w:rPr>
        <w:t>Britain and the World</w:t>
      </w:r>
      <w:r>
        <w:rPr>
          <w:rFonts w:cs="Times New Roman"/>
          <w:color w:val="000000"/>
          <w:szCs w:val="24"/>
          <w:shd w:val="clear" w:color="auto" w:fill="FFFFFF"/>
        </w:rPr>
        <w:t>, 4(2), pp.247-268.</w:t>
      </w:r>
    </w:p>
    <w:p>
      <w:pPr>
        <w:rPr>
          <w:rFonts w:cs="Times New Roman"/>
          <w:color w:val="000000"/>
          <w:szCs w:val="24"/>
          <w:shd w:val="clear" w:color="auto" w:fill="FFFFFF"/>
        </w:rPr>
      </w:pPr>
      <w:r>
        <w:rPr>
          <w:rFonts w:cs="Times New Roman"/>
          <w:color w:val="000000"/>
          <w:szCs w:val="24"/>
          <w:shd w:val="clear" w:color="auto" w:fill="FFFFFF"/>
        </w:rPr>
        <w:t xml:space="preserve">Glen, R., </w:t>
      </w:r>
      <w:r>
        <w:rPr>
          <w:rFonts w:hint="eastAsia" w:cs="Times New Roman"/>
          <w:color w:val="000000"/>
          <w:szCs w:val="24"/>
          <w:shd w:val="clear" w:color="auto" w:fill="FFFFFF"/>
        </w:rPr>
        <w:t>(</w:t>
      </w:r>
      <w:r>
        <w:rPr>
          <w:rFonts w:cs="Times New Roman"/>
          <w:color w:val="000000"/>
          <w:szCs w:val="24"/>
          <w:shd w:val="clear" w:color="auto" w:fill="FFFFFF"/>
        </w:rPr>
        <w:t>2003</w:t>
      </w:r>
      <w:r>
        <w:rPr>
          <w:rFonts w:hint="eastAsia" w:cs="Times New Roman"/>
          <w:color w:val="000000"/>
          <w:szCs w:val="24"/>
          <w:shd w:val="clear" w:color="auto" w:fill="FFFFFF"/>
        </w:rPr>
        <w:t>)</w:t>
      </w:r>
      <w:r>
        <w:rPr>
          <w:rFonts w:cs="Times New Roman"/>
          <w:color w:val="000000"/>
          <w:szCs w:val="24"/>
          <w:shd w:val="clear" w:color="auto" w:fill="FFFFFF"/>
        </w:rPr>
        <w:t>. Firms, Networks and Business Values: The British and American Cotton Industries since 1750 (review). </w:t>
      </w:r>
      <w:r>
        <w:rPr>
          <w:rFonts w:cs="Times New Roman"/>
          <w:i/>
          <w:iCs/>
          <w:color w:val="000000"/>
          <w:szCs w:val="24"/>
          <w:shd w:val="clear" w:color="auto" w:fill="FFFFFF"/>
        </w:rPr>
        <w:t>Technology and Culture</w:t>
      </w:r>
      <w:r>
        <w:rPr>
          <w:rFonts w:cs="Times New Roman"/>
          <w:color w:val="000000"/>
          <w:szCs w:val="24"/>
          <w:shd w:val="clear" w:color="auto" w:fill="FFFFFF"/>
        </w:rPr>
        <w:t>, 44(3), pp.623-625.</w:t>
      </w:r>
    </w:p>
    <w:p>
      <w:pPr>
        <w:rPr>
          <w:rFonts w:cs="Times New Roman"/>
          <w:color w:val="000000"/>
          <w:szCs w:val="24"/>
          <w:shd w:val="clear" w:color="auto" w:fill="FFFFFF"/>
        </w:rPr>
      </w:pPr>
      <w:r>
        <w:rPr>
          <w:rFonts w:cs="Times New Roman"/>
          <w:color w:val="000000"/>
          <w:szCs w:val="24"/>
          <w:shd w:val="clear" w:color="auto" w:fill="FFFFFF"/>
        </w:rPr>
        <w:t xml:space="preserve">Harzing, A., Köster, K. and Magner, U., </w:t>
      </w:r>
      <w:r>
        <w:rPr>
          <w:rFonts w:hint="eastAsia" w:cs="Times New Roman"/>
          <w:color w:val="000000"/>
          <w:szCs w:val="24"/>
          <w:shd w:val="clear" w:color="auto" w:fill="FFFFFF"/>
        </w:rPr>
        <w:t>(</w:t>
      </w:r>
      <w:r>
        <w:rPr>
          <w:rFonts w:cs="Times New Roman"/>
          <w:color w:val="000000"/>
          <w:szCs w:val="24"/>
          <w:shd w:val="clear" w:color="auto" w:fill="FFFFFF"/>
        </w:rPr>
        <w:t>2011</w:t>
      </w:r>
      <w:r>
        <w:rPr>
          <w:rFonts w:hint="eastAsia" w:cs="Times New Roman"/>
          <w:color w:val="000000"/>
          <w:szCs w:val="24"/>
          <w:shd w:val="clear" w:color="auto" w:fill="FFFFFF"/>
        </w:rPr>
        <w:t>)</w:t>
      </w:r>
      <w:r>
        <w:rPr>
          <w:rFonts w:cs="Times New Roman"/>
          <w:color w:val="000000"/>
          <w:szCs w:val="24"/>
          <w:shd w:val="clear" w:color="auto" w:fill="FFFFFF"/>
        </w:rPr>
        <w:t>. Babel in business: The language barrier and its solutions in the HQ-subsidiary relationship. </w:t>
      </w:r>
      <w:r>
        <w:rPr>
          <w:rFonts w:cs="Times New Roman"/>
          <w:i/>
          <w:iCs/>
          <w:color w:val="000000"/>
          <w:szCs w:val="24"/>
          <w:shd w:val="clear" w:color="auto" w:fill="FFFFFF"/>
        </w:rPr>
        <w:t>Journal of World Business</w:t>
      </w:r>
      <w:r>
        <w:rPr>
          <w:rFonts w:cs="Times New Roman"/>
          <w:color w:val="000000"/>
          <w:szCs w:val="24"/>
          <w:shd w:val="clear" w:color="auto" w:fill="FFFFFF"/>
        </w:rPr>
        <w:t>, 46(3), pp.279-287.</w:t>
      </w:r>
    </w:p>
    <w:p>
      <w:pPr>
        <w:rPr>
          <w:rFonts w:cs="Times New Roman"/>
          <w:color w:val="222222"/>
          <w:szCs w:val="24"/>
          <w:shd w:val="clear" w:color="auto" w:fill="FFFFFF"/>
        </w:rPr>
      </w:pPr>
      <w:r>
        <w:rPr>
          <w:rFonts w:cs="Times New Roman"/>
          <w:color w:val="222222"/>
          <w:szCs w:val="24"/>
          <w:shd w:val="clear" w:color="auto" w:fill="FFFFFF"/>
        </w:rPr>
        <w:t xml:space="preserve">Henley, A., Contreras, F., Espinosa, J.C. and Barbosa, D., </w:t>
      </w:r>
      <w:r>
        <w:rPr>
          <w:rFonts w:hint="eastAsia" w:cs="Times New Roman"/>
          <w:color w:val="000000"/>
          <w:szCs w:val="24"/>
          <w:shd w:val="clear" w:color="auto" w:fill="FFFFFF"/>
        </w:rPr>
        <w:t>(</w:t>
      </w:r>
      <w:r>
        <w:rPr>
          <w:rFonts w:cs="Times New Roman"/>
          <w:color w:val="222222"/>
          <w:szCs w:val="24"/>
          <w:shd w:val="clear" w:color="auto" w:fill="FFFFFF"/>
        </w:rPr>
        <w:t>2017</w:t>
      </w:r>
      <w:r>
        <w:rPr>
          <w:rFonts w:hint="eastAsia" w:cs="Times New Roman"/>
          <w:color w:val="000000"/>
          <w:szCs w:val="24"/>
          <w:shd w:val="clear" w:color="auto" w:fill="FFFFFF"/>
        </w:rPr>
        <w:t>)</w:t>
      </w:r>
      <w:r>
        <w:rPr>
          <w:rFonts w:cs="Times New Roman"/>
          <w:color w:val="222222"/>
          <w:szCs w:val="24"/>
          <w:shd w:val="clear" w:color="auto" w:fill="FFFFFF"/>
        </w:rPr>
        <w:t>. Entrepreneurial intentions of Colombian business students. </w:t>
      </w:r>
      <w:r>
        <w:rPr>
          <w:rFonts w:cs="Times New Roman"/>
          <w:i/>
          <w:iCs/>
          <w:color w:val="222222"/>
          <w:szCs w:val="24"/>
          <w:shd w:val="clear" w:color="auto" w:fill="FFFFFF"/>
        </w:rPr>
        <w:t>International Journal of Entrepreneurial Behavior &amp; Research</w:t>
      </w:r>
      <w:r>
        <w:rPr>
          <w:rFonts w:cs="Times New Roman"/>
          <w:color w:val="222222"/>
          <w:szCs w:val="24"/>
          <w:shd w:val="clear" w:color="auto" w:fill="FFFFFF"/>
        </w:rPr>
        <w:t>.</w:t>
      </w:r>
    </w:p>
    <w:p>
      <w:pPr>
        <w:rPr>
          <w:rFonts w:cs="Times New Roman"/>
          <w:color w:val="222222"/>
          <w:szCs w:val="24"/>
          <w:shd w:val="clear" w:color="auto" w:fill="FFFFFF"/>
        </w:rPr>
      </w:pPr>
      <w:r>
        <w:rPr>
          <w:rFonts w:cs="Times New Roman"/>
          <w:color w:val="222222"/>
          <w:szCs w:val="24"/>
          <w:shd w:val="clear" w:color="auto" w:fill="FFFFFF"/>
        </w:rPr>
        <w:t xml:space="preserve">Hoecklin, L., </w:t>
      </w:r>
      <w:r>
        <w:rPr>
          <w:rFonts w:hint="eastAsia" w:cs="Times New Roman"/>
          <w:color w:val="000000"/>
          <w:szCs w:val="24"/>
          <w:shd w:val="clear" w:color="auto" w:fill="FFFFFF"/>
        </w:rPr>
        <w:t>(</w:t>
      </w:r>
      <w:r>
        <w:rPr>
          <w:rFonts w:cs="Times New Roman"/>
          <w:color w:val="222222"/>
          <w:szCs w:val="24"/>
          <w:shd w:val="clear" w:color="auto" w:fill="FFFFFF"/>
        </w:rPr>
        <w:t>1995</w:t>
      </w:r>
      <w:r>
        <w:rPr>
          <w:rFonts w:hint="eastAsia" w:cs="Times New Roman"/>
          <w:color w:val="000000"/>
          <w:szCs w:val="24"/>
          <w:shd w:val="clear" w:color="auto" w:fill="FFFFFF"/>
        </w:rPr>
        <w:t>)</w:t>
      </w:r>
      <w:r>
        <w:rPr>
          <w:rFonts w:cs="Times New Roman"/>
          <w:color w:val="222222"/>
          <w:szCs w:val="24"/>
          <w:shd w:val="clear" w:color="auto" w:fill="FFFFFF"/>
        </w:rPr>
        <w:t>. </w:t>
      </w:r>
      <w:r>
        <w:rPr>
          <w:rFonts w:cs="Times New Roman"/>
          <w:i/>
          <w:iCs/>
          <w:color w:val="222222"/>
          <w:szCs w:val="24"/>
          <w:shd w:val="clear" w:color="auto" w:fill="FFFFFF"/>
        </w:rPr>
        <w:t>Managing cultural differences</w:t>
      </w:r>
      <w:r>
        <w:rPr>
          <w:rFonts w:cs="Times New Roman"/>
          <w:color w:val="222222"/>
          <w:szCs w:val="24"/>
          <w:shd w:val="clear" w:color="auto" w:fill="FFFFFF"/>
        </w:rPr>
        <w:t>. Addison Wesley Longman.</w:t>
      </w:r>
    </w:p>
    <w:p>
      <w:pPr>
        <w:rPr>
          <w:rFonts w:cs="Times New Roman"/>
          <w:color w:val="222222"/>
          <w:szCs w:val="24"/>
          <w:shd w:val="clear" w:color="auto" w:fill="FFFFFF"/>
        </w:rPr>
      </w:pPr>
      <w:r>
        <w:rPr>
          <w:rFonts w:cs="Times New Roman"/>
          <w:color w:val="222222"/>
          <w:szCs w:val="24"/>
          <w:shd w:val="clear" w:color="auto" w:fill="FFFFFF"/>
        </w:rPr>
        <w:t xml:space="preserve">Hofstede, G., </w:t>
      </w:r>
      <w:r>
        <w:rPr>
          <w:rFonts w:hint="eastAsia" w:cs="Times New Roman"/>
          <w:color w:val="000000"/>
          <w:szCs w:val="24"/>
          <w:shd w:val="clear" w:color="auto" w:fill="FFFFFF"/>
        </w:rPr>
        <w:t>(</w:t>
      </w:r>
      <w:r>
        <w:rPr>
          <w:rFonts w:cs="Times New Roman"/>
          <w:color w:val="222222"/>
          <w:szCs w:val="24"/>
          <w:shd w:val="clear" w:color="auto" w:fill="FFFFFF"/>
        </w:rPr>
        <w:t>2003</w:t>
      </w:r>
      <w:r>
        <w:rPr>
          <w:rFonts w:hint="eastAsia" w:cs="Times New Roman"/>
          <w:color w:val="000000"/>
          <w:szCs w:val="24"/>
          <w:shd w:val="clear" w:color="auto" w:fill="FFFFFF"/>
        </w:rPr>
        <w:t>)</w:t>
      </w:r>
      <w:r>
        <w:rPr>
          <w:rFonts w:cs="Times New Roman"/>
          <w:color w:val="222222"/>
          <w:szCs w:val="24"/>
          <w:shd w:val="clear" w:color="auto" w:fill="FFFFFF"/>
        </w:rPr>
        <w:t>. Cultural dimensions. </w:t>
      </w:r>
      <w:r>
        <w:rPr>
          <w:rFonts w:cs="Times New Roman"/>
          <w:i/>
          <w:iCs/>
          <w:color w:val="222222"/>
          <w:szCs w:val="24"/>
          <w:shd w:val="clear" w:color="auto" w:fill="FFFFFF"/>
        </w:rPr>
        <w:t>www. geert-hofstede. com, consulta</w:t>
      </w:r>
      <w:r>
        <w:rPr>
          <w:rFonts w:cs="Times New Roman"/>
          <w:color w:val="222222"/>
          <w:szCs w:val="24"/>
          <w:shd w:val="clear" w:color="auto" w:fill="FFFFFF"/>
        </w:rPr>
        <w:t>, </w:t>
      </w:r>
      <w:r>
        <w:rPr>
          <w:rFonts w:cs="Times New Roman"/>
          <w:i/>
          <w:iCs/>
          <w:color w:val="222222"/>
          <w:szCs w:val="24"/>
          <w:shd w:val="clear" w:color="auto" w:fill="FFFFFF"/>
        </w:rPr>
        <w:t>13</w:t>
      </w:r>
      <w:r>
        <w:rPr>
          <w:rFonts w:cs="Times New Roman"/>
          <w:color w:val="222222"/>
          <w:szCs w:val="24"/>
          <w:shd w:val="clear" w:color="auto" w:fill="FFFFFF"/>
        </w:rPr>
        <w:t>.</w:t>
      </w:r>
    </w:p>
    <w:p>
      <w:pPr>
        <w:rPr>
          <w:rFonts w:cs="Times New Roman"/>
          <w:color w:val="000000"/>
          <w:szCs w:val="24"/>
          <w:shd w:val="clear" w:color="auto" w:fill="FFFFFF"/>
        </w:rPr>
      </w:pPr>
      <w:r>
        <w:rPr>
          <w:rFonts w:cs="Times New Roman"/>
          <w:color w:val="000000"/>
          <w:szCs w:val="24"/>
          <w:shd w:val="clear" w:color="auto" w:fill="FFFFFF"/>
        </w:rPr>
        <w:t xml:space="preserve">Hofstede, G., </w:t>
      </w:r>
      <w:r>
        <w:rPr>
          <w:rFonts w:hint="eastAsia" w:cs="Times New Roman"/>
          <w:color w:val="000000"/>
          <w:szCs w:val="24"/>
          <w:shd w:val="clear" w:color="auto" w:fill="FFFFFF"/>
        </w:rPr>
        <w:t>(</w:t>
      </w:r>
      <w:r>
        <w:rPr>
          <w:rFonts w:cs="Times New Roman"/>
          <w:color w:val="000000"/>
          <w:szCs w:val="24"/>
          <w:shd w:val="clear" w:color="auto" w:fill="FFFFFF"/>
        </w:rPr>
        <w:t>2011</w:t>
      </w:r>
      <w:r>
        <w:rPr>
          <w:rFonts w:hint="eastAsia" w:cs="Times New Roman"/>
          <w:color w:val="000000"/>
          <w:szCs w:val="24"/>
          <w:shd w:val="clear" w:color="auto" w:fill="FFFFFF"/>
        </w:rPr>
        <w:t>)</w:t>
      </w:r>
      <w:r>
        <w:rPr>
          <w:rFonts w:cs="Times New Roman"/>
          <w:color w:val="000000"/>
          <w:szCs w:val="24"/>
          <w:shd w:val="clear" w:color="auto" w:fill="FFFFFF"/>
        </w:rPr>
        <w:t>. Dimensionalizing Cultures: The Hofstede Model in Context. </w:t>
      </w:r>
      <w:r>
        <w:rPr>
          <w:rFonts w:cs="Times New Roman"/>
          <w:i/>
          <w:iCs/>
          <w:color w:val="000000"/>
          <w:szCs w:val="24"/>
          <w:shd w:val="clear" w:color="auto" w:fill="FFFFFF"/>
        </w:rPr>
        <w:t>Online Readings in Psychology and Culture</w:t>
      </w:r>
      <w:r>
        <w:rPr>
          <w:rFonts w:cs="Times New Roman"/>
          <w:color w:val="000000"/>
          <w:szCs w:val="24"/>
          <w:shd w:val="clear" w:color="auto" w:fill="FFFFFF"/>
        </w:rPr>
        <w:t>, 2(1).</w:t>
      </w:r>
    </w:p>
    <w:p>
      <w:pPr>
        <w:rPr>
          <w:rFonts w:cs="Times New Roman"/>
          <w:color w:val="222222"/>
          <w:szCs w:val="24"/>
          <w:shd w:val="clear" w:color="auto" w:fill="FFFFFF"/>
        </w:rPr>
      </w:pPr>
      <w:r>
        <w:rPr>
          <w:rFonts w:cs="Times New Roman"/>
          <w:color w:val="222222"/>
          <w:szCs w:val="24"/>
          <w:shd w:val="clear" w:color="auto" w:fill="FFFFFF"/>
        </w:rPr>
        <w:t xml:space="preserve">Hooker, J., </w:t>
      </w:r>
      <w:r>
        <w:rPr>
          <w:rFonts w:hint="eastAsia" w:cs="Times New Roman"/>
          <w:color w:val="000000"/>
          <w:szCs w:val="24"/>
          <w:shd w:val="clear" w:color="auto" w:fill="FFFFFF"/>
        </w:rPr>
        <w:t>(</w:t>
      </w:r>
      <w:r>
        <w:rPr>
          <w:rFonts w:cs="Times New Roman"/>
          <w:color w:val="222222"/>
          <w:szCs w:val="24"/>
          <w:shd w:val="clear" w:color="auto" w:fill="FFFFFF"/>
        </w:rPr>
        <w:t>2012</w:t>
      </w:r>
      <w:r>
        <w:rPr>
          <w:rFonts w:hint="eastAsia" w:cs="Times New Roman"/>
          <w:color w:val="000000"/>
          <w:szCs w:val="24"/>
          <w:shd w:val="clear" w:color="auto" w:fill="FFFFFF"/>
        </w:rPr>
        <w:t>)</w:t>
      </w:r>
      <w:r>
        <w:rPr>
          <w:rFonts w:cs="Times New Roman"/>
          <w:color w:val="222222"/>
          <w:szCs w:val="24"/>
          <w:shd w:val="clear" w:color="auto" w:fill="FFFFFF"/>
        </w:rPr>
        <w:t>. 19 Cultural Differences in Business Communication. </w:t>
      </w:r>
      <w:r>
        <w:rPr>
          <w:rFonts w:cs="Times New Roman"/>
          <w:i/>
          <w:iCs/>
          <w:color w:val="222222"/>
          <w:szCs w:val="24"/>
          <w:shd w:val="clear" w:color="auto" w:fill="FFFFFF"/>
        </w:rPr>
        <w:t>The handbook of intercultural discourse and communication</w:t>
      </w:r>
      <w:r>
        <w:rPr>
          <w:rFonts w:cs="Times New Roman"/>
          <w:color w:val="222222"/>
          <w:szCs w:val="24"/>
          <w:shd w:val="clear" w:color="auto" w:fill="FFFFFF"/>
        </w:rPr>
        <w:t>, </w:t>
      </w:r>
      <w:r>
        <w:rPr>
          <w:rFonts w:cs="Times New Roman"/>
          <w:i/>
          <w:iCs/>
          <w:color w:val="222222"/>
          <w:szCs w:val="24"/>
          <w:shd w:val="clear" w:color="auto" w:fill="FFFFFF"/>
        </w:rPr>
        <w:t>29</w:t>
      </w:r>
      <w:r>
        <w:rPr>
          <w:rFonts w:cs="Times New Roman"/>
          <w:color w:val="222222"/>
          <w:szCs w:val="24"/>
          <w:shd w:val="clear" w:color="auto" w:fill="FFFFFF"/>
        </w:rPr>
        <w:t>, p.389.</w:t>
      </w:r>
    </w:p>
    <w:p>
      <w:pPr>
        <w:rPr>
          <w:rFonts w:cs="Times New Roman"/>
          <w:color w:val="000000"/>
          <w:szCs w:val="24"/>
          <w:shd w:val="clear" w:color="auto" w:fill="FFFFFF"/>
        </w:rPr>
      </w:pPr>
      <w:r>
        <w:rPr>
          <w:rFonts w:cs="Times New Roman"/>
          <w:color w:val="000000"/>
          <w:szCs w:val="24"/>
          <w:shd w:val="clear" w:color="auto" w:fill="FFFFFF"/>
        </w:rPr>
        <w:t xml:space="preserve">Ivins, P., </w:t>
      </w:r>
      <w:r>
        <w:rPr>
          <w:rFonts w:hint="eastAsia" w:cs="Times New Roman"/>
          <w:color w:val="000000"/>
          <w:szCs w:val="24"/>
          <w:shd w:val="clear" w:color="auto" w:fill="FFFFFF"/>
        </w:rPr>
        <w:t>(</w:t>
      </w:r>
      <w:r>
        <w:rPr>
          <w:rFonts w:cs="Times New Roman"/>
          <w:color w:val="000000"/>
          <w:szCs w:val="24"/>
          <w:shd w:val="clear" w:color="auto" w:fill="FFFFFF"/>
        </w:rPr>
        <w:t>2013</w:t>
      </w:r>
      <w:r>
        <w:rPr>
          <w:rFonts w:hint="eastAsia" w:cs="Times New Roman"/>
          <w:color w:val="000000"/>
          <w:szCs w:val="24"/>
          <w:shd w:val="clear" w:color="auto" w:fill="FFFFFF"/>
        </w:rPr>
        <w:t>)</w:t>
      </w:r>
      <w:r>
        <w:rPr>
          <w:rFonts w:cs="Times New Roman"/>
          <w:color w:val="000000"/>
          <w:szCs w:val="24"/>
          <w:shd w:val="clear" w:color="auto" w:fill="FFFFFF"/>
        </w:rPr>
        <w:t>. KEYNOTE ADDRESS: Understanding the business of contact lenses. </w:t>
      </w:r>
      <w:r>
        <w:rPr>
          <w:rFonts w:cs="Times New Roman"/>
          <w:i/>
          <w:iCs/>
          <w:color w:val="000000"/>
          <w:szCs w:val="24"/>
          <w:shd w:val="clear" w:color="auto" w:fill="FFFFFF"/>
        </w:rPr>
        <w:t>Contact Lens and Anterior Eye</w:t>
      </w:r>
      <w:r>
        <w:rPr>
          <w:rFonts w:cs="Times New Roman"/>
          <w:color w:val="000000"/>
          <w:szCs w:val="24"/>
          <w:shd w:val="clear" w:color="auto" w:fill="FFFFFF"/>
        </w:rPr>
        <w:t>, 36, p.e13.</w:t>
      </w:r>
    </w:p>
    <w:p>
      <w:pPr>
        <w:rPr>
          <w:rFonts w:cs="Times New Roman"/>
          <w:color w:val="000000"/>
          <w:szCs w:val="24"/>
          <w:shd w:val="clear" w:color="auto" w:fill="FFFFFF"/>
        </w:rPr>
      </w:pPr>
      <w:r>
        <w:rPr>
          <w:rFonts w:cs="Times New Roman"/>
          <w:color w:val="000000"/>
          <w:szCs w:val="24"/>
          <w:shd w:val="clear" w:color="auto" w:fill="FFFFFF"/>
        </w:rPr>
        <w:t xml:space="preserve">James, </w:t>
      </w:r>
      <w:r>
        <w:rPr>
          <w:rFonts w:hint="eastAsia" w:cs="Times New Roman"/>
          <w:color w:val="000000"/>
          <w:szCs w:val="24"/>
          <w:shd w:val="clear" w:color="auto" w:fill="FFFFFF"/>
        </w:rPr>
        <w:t>(</w:t>
      </w:r>
      <w:r>
        <w:rPr>
          <w:rFonts w:cs="Times New Roman"/>
          <w:color w:val="000000"/>
          <w:szCs w:val="24"/>
          <w:shd w:val="clear" w:color="auto" w:fill="FFFFFF"/>
        </w:rPr>
        <w:t>2020</w:t>
      </w:r>
      <w:r>
        <w:rPr>
          <w:rFonts w:hint="eastAsia" w:cs="Times New Roman"/>
          <w:color w:val="000000"/>
          <w:szCs w:val="24"/>
          <w:shd w:val="clear" w:color="auto" w:fill="FFFFFF"/>
        </w:rPr>
        <w:t>)</w:t>
      </w:r>
      <w:r>
        <w:rPr>
          <w:rFonts w:cs="Times New Roman"/>
          <w:color w:val="000000"/>
          <w:szCs w:val="24"/>
          <w:shd w:val="clear" w:color="auto" w:fill="FFFFFF"/>
        </w:rPr>
        <w:t>. </w:t>
      </w:r>
      <w:r>
        <w:rPr>
          <w:rFonts w:cs="Times New Roman"/>
          <w:i/>
          <w:iCs/>
          <w:color w:val="000000"/>
          <w:szCs w:val="24"/>
          <w:shd w:val="clear" w:color="auto" w:fill="FFFFFF"/>
        </w:rPr>
        <w:t>Culture Of Colombia - History, People, Clothing, Traditions, Women, Beliefs, Food, Customs, Family</w:t>
      </w:r>
      <w:r>
        <w:rPr>
          <w:rFonts w:cs="Times New Roman"/>
          <w:color w:val="000000"/>
          <w:szCs w:val="24"/>
          <w:shd w:val="clear" w:color="auto" w:fill="FFFFFF"/>
        </w:rPr>
        <w:t>. [online] Everyculture.com. Available at: &lt;https://www.everyculture.com/Bo-Co/Colombia.html&gt; [Accessed 27 April 2020].</w:t>
      </w:r>
    </w:p>
    <w:p>
      <w:pPr>
        <w:rPr>
          <w:rFonts w:cs="Times New Roman"/>
          <w:color w:val="222222"/>
          <w:szCs w:val="24"/>
          <w:shd w:val="clear" w:color="auto" w:fill="FFFFFF"/>
        </w:rPr>
      </w:pPr>
      <w:r>
        <w:rPr>
          <w:rFonts w:cs="Times New Roman"/>
          <w:color w:val="222222"/>
          <w:szCs w:val="24"/>
          <w:shd w:val="clear" w:color="auto" w:fill="FFFFFF"/>
        </w:rPr>
        <w:t xml:space="preserve">Kanter, R.M. and Corn, R.I., </w:t>
      </w:r>
      <w:r>
        <w:rPr>
          <w:rFonts w:hint="eastAsia" w:cs="Times New Roman"/>
          <w:color w:val="000000"/>
          <w:szCs w:val="24"/>
          <w:shd w:val="clear" w:color="auto" w:fill="FFFFFF"/>
        </w:rPr>
        <w:t>(</w:t>
      </w:r>
      <w:r>
        <w:rPr>
          <w:rFonts w:cs="Times New Roman"/>
          <w:color w:val="222222"/>
          <w:szCs w:val="24"/>
          <w:shd w:val="clear" w:color="auto" w:fill="FFFFFF"/>
        </w:rPr>
        <w:t>1994</w:t>
      </w:r>
      <w:r>
        <w:rPr>
          <w:rFonts w:hint="eastAsia" w:cs="Times New Roman"/>
          <w:color w:val="000000"/>
          <w:szCs w:val="24"/>
          <w:shd w:val="clear" w:color="auto" w:fill="FFFFFF"/>
        </w:rPr>
        <w:t>)</w:t>
      </w:r>
      <w:r>
        <w:rPr>
          <w:rFonts w:cs="Times New Roman"/>
          <w:color w:val="222222"/>
          <w:szCs w:val="24"/>
          <w:shd w:val="clear" w:color="auto" w:fill="FFFFFF"/>
        </w:rPr>
        <w:t>. Do cultural differences make a business difference?. </w:t>
      </w:r>
      <w:r>
        <w:rPr>
          <w:rFonts w:cs="Times New Roman"/>
          <w:i/>
          <w:iCs/>
          <w:color w:val="222222"/>
          <w:szCs w:val="24"/>
          <w:shd w:val="clear" w:color="auto" w:fill="FFFFFF"/>
        </w:rPr>
        <w:t>Journal of Management Development</w:t>
      </w:r>
      <w:r>
        <w:rPr>
          <w:rFonts w:cs="Times New Roman"/>
          <w:color w:val="222222"/>
          <w:szCs w:val="24"/>
          <w:shd w:val="clear" w:color="auto" w:fill="FFFFFF"/>
        </w:rPr>
        <w:t>.</w:t>
      </w:r>
    </w:p>
    <w:p>
      <w:pPr>
        <w:rPr>
          <w:rFonts w:cs="Times New Roman"/>
          <w:color w:val="000000"/>
          <w:szCs w:val="24"/>
          <w:shd w:val="clear" w:color="auto" w:fill="FFFFFF"/>
        </w:rPr>
      </w:pPr>
      <w:r>
        <w:rPr>
          <w:rFonts w:cs="Times New Roman"/>
          <w:color w:val="000000"/>
          <w:szCs w:val="24"/>
          <w:shd w:val="clear" w:color="auto" w:fill="FFFFFF"/>
        </w:rPr>
        <w:t xml:space="preserve">Larson, A., </w:t>
      </w:r>
      <w:r>
        <w:rPr>
          <w:rFonts w:hint="eastAsia" w:cs="Times New Roman"/>
          <w:color w:val="000000"/>
          <w:szCs w:val="24"/>
          <w:shd w:val="clear" w:color="auto" w:fill="FFFFFF"/>
        </w:rPr>
        <w:t>(</w:t>
      </w:r>
      <w:r>
        <w:rPr>
          <w:rFonts w:cs="Times New Roman"/>
          <w:color w:val="000000"/>
          <w:szCs w:val="24"/>
          <w:shd w:val="clear" w:color="auto" w:fill="FFFFFF"/>
        </w:rPr>
        <w:t>1994</w:t>
      </w:r>
      <w:r>
        <w:rPr>
          <w:rFonts w:hint="eastAsia" w:cs="Times New Roman"/>
          <w:color w:val="000000"/>
          <w:szCs w:val="24"/>
          <w:shd w:val="clear" w:color="auto" w:fill="FFFFFF"/>
        </w:rPr>
        <w:t>)</w:t>
      </w:r>
      <w:r>
        <w:rPr>
          <w:rFonts w:cs="Times New Roman"/>
          <w:color w:val="000000"/>
          <w:szCs w:val="24"/>
          <w:shd w:val="clear" w:color="auto" w:fill="FFFFFF"/>
        </w:rPr>
        <w:t>. Business and the culture of the enterprise society. </w:t>
      </w:r>
      <w:r>
        <w:rPr>
          <w:rFonts w:cs="Times New Roman"/>
          <w:i/>
          <w:iCs/>
          <w:color w:val="000000"/>
          <w:szCs w:val="24"/>
          <w:shd w:val="clear" w:color="auto" w:fill="FFFFFF"/>
        </w:rPr>
        <w:t>The Columbia Journal of World Business</w:t>
      </w:r>
      <w:r>
        <w:rPr>
          <w:rFonts w:cs="Times New Roman"/>
          <w:color w:val="000000"/>
          <w:szCs w:val="24"/>
          <w:shd w:val="clear" w:color="auto" w:fill="FFFFFF"/>
        </w:rPr>
        <w:t>, 29(1), pp.85-86.</w:t>
      </w:r>
    </w:p>
    <w:p>
      <w:pPr>
        <w:rPr>
          <w:rFonts w:cs="Times New Roman"/>
          <w:color w:val="000000"/>
          <w:szCs w:val="24"/>
          <w:shd w:val="clear" w:color="auto" w:fill="FFFFFF"/>
        </w:rPr>
      </w:pPr>
      <w:r>
        <w:rPr>
          <w:rFonts w:cs="Times New Roman"/>
          <w:color w:val="000000"/>
          <w:szCs w:val="24"/>
          <w:shd w:val="clear" w:color="auto" w:fill="FFFFFF"/>
        </w:rPr>
        <w:t xml:space="preserve">Lippy, C., </w:t>
      </w:r>
      <w:r>
        <w:rPr>
          <w:rFonts w:hint="eastAsia" w:cs="Times New Roman"/>
          <w:color w:val="000000"/>
          <w:szCs w:val="24"/>
          <w:shd w:val="clear" w:color="auto" w:fill="FFFFFF"/>
        </w:rPr>
        <w:t>(</w:t>
      </w:r>
      <w:r>
        <w:rPr>
          <w:rFonts w:cs="Times New Roman"/>
          <w:color w:val="000000"/>
          <w:szCs w:val="24"/>
          <w:shd w:val="clear" w:color="auto" w:fill="FFFFFF"/>
        </w:rPr>
        <w:t>2013</w:t>
      </w:r>
      <w:r>
        <w:rPr>
          <w:rFonts w:hint="eastAsia" w:cs="Times New Roman"/>
          <w:color w:val="000000"/>
          <w:szCs w:val="24"/>
          <w:shd w:val="clear" w:color="auto" w:fill="FFFFFF"/>
        </w:rPr>
        <w:t>)</w:t>
      </w:r>
      <w:r>
        <w:rPr>
          <w:rFonts w:cs="Times New Roman"/>
          <w:color w:val="000000"/>
          <w:szCs w:val="24"/>
          <w:shd w:val="clear" w:color="auto" w:fill="FFFFFF"/>
        </w:rPr>
        <w:t>. The Columbia Guide to Religion in American History. </w:t>
      </w:r>
      <w:r>
        <w:rPr>
          <w:rFonts w:cs="Times New Roman"/>
          <w:i/>
          <w:iCs/>
          <w:color w:val="000000"/>
          <w:szCs w:val="24"/>
          <w:shd w:val="clear" w:color="auto" w:fill="FFFFFF"/>
        </w:rPr>
        <w:t>Church History</w:t>
      </w:r>
      <w:r>
        <w:rPr>
          <w:rFonts w:cs="Times New Roman"/>
          <w:color w:val="000000"/>
          <w:szCs w:val="24"/>
          <w:shd w:val="clear" w:color="auto" w:fill="FFFFFF"/>
        </w:rPr>
        <w:t>, 82(2), pp.509-511.</w:t>
      </w:r>
    </w:p>
    <w:p>
      <w:pPr>
        <w:rPr>
          <w:rFonts w:cs="Times New Roman"/>
          <w:color w:val="222222"/>
          <w:szCs w:val="24"/>
          <w:shd w:val="clear" w:color="auto" w:fill="FFFFFF"/>
        </w:rPr>
      </w:pPr>
      <w:r>
        <w:rPr>
          <w:rFonts w:cs="Times New Roman"/>
          <w:color w:val="222222"/>
          <w:szCs w:val="24"/>
          <w:shd w:val="clear" w:color="auto" w:fill="FFFFFF"/>
        </w:rPr>
        <w:t xml:space="preserve">Ma, Z., </w:t>
      </w:r>
      <w:r>
        <w:rPr>
          <w:rFonts w:hint="eastAsia" w:cs="Times New Roman"/>
          <w:color w:val="000000"/>
          <w:szCs w:val="24"/>
          <w:shd w:val="clear" w:color="auto" w:fill="FFFFFF"/>
        </w:rPr>
        <w:t>(</w:t>
      </w:r>
      <w:r>
        <w:rPr>
          <w:rFonts w:cs="Times New Roman"/>
          <w:color w:val="222222"/>
          <w:szCs w:val="24"/>
          <w:shd w:val="clear" w:color="auto" w:fill="FFFFFF"/>
        </w:rPr>
        <w:t>2010</w:t>
      </w:r>
      <w:r>
        <w:rPr>
          <w:rFonts w:hint="eastAsia" w:cs="Times New Roman"/>
          <w:color w:val="000000"/>
          <w:szCs w:val="24"/>
          <w:shd w:val="clear" w:color="auto" w:fill="FFFFFF"/>
        </w:rPr>
        <w:t>)</w:t>
      </w:r>
      <w:r>
        <w:rPr>
          <w:rFonts w:cs="Times New Roman"/>
          <w:color w:val="222222"/>
          <w:szCs w:val="24"/>
          <w:shd w:val="clear" w:color="auto" w:fill="FFFFFF"/>
        </w:rPr>
        <w:t>. The SINS in business negotiations: Explore the cross-cultural differences in business ethics between Canada and China. </w:t>
      </w:r>
      <w:r>
        <w:rPr>
          <w:rFonts w:cs="Times New Roman"/>
          <w:i/>
          <w:iCs/>
          <w:color w:val="222222"/>
          <w:szCs w:val="24"/>
          <w:shd w:val="clear" w:color="auto" w:fill="FFFFFF"/>
        </w:rPr>
        <w:t>Journal of Business Ethics</w:t>
      </w:r>
      <w:r>
        <w:rPr>
          <w:rFonts w:cs="Times New Roman"/>
          <w:color w:val="222222"/>
          <w:szCs w:val="24"/>
          <w:shd w:val="clear" w:color="auto" w:fill="FFFFFF"/>
        </w:rPr>
        <w:t>, </w:t>
      </w:r>
      <w:r>
        <w:rPr>
          <w:rFonts w:cs="Times New Roman"/>
          <w:i/>
          <w:iCs/>
          <w:color w:val="222222"/>
          <w:szCs w:val="24"/>
          <w:shd w:val="clear" w:color="auto" w:fill="FFFFFF"/>
        </w:rPr>
        <w:t>91</w:t>
      </w:r>
      <w:r>
        <w:rPr>
          <w:rFonts w:cs="Times New Roman"/>
          <w:color w:val="222222"/>
          <w:szCs w:val="24"/>
          <w:shd w:val="clear" w:color="auto" w:fill="FFFFFF"/>
        </w:rPr>
        <w:t>(1), pp.123-135.</w:t>
      </w:r>
    </w:p>
    <w:p>
      <w:pPr>
        <w:rPr>
          <w:rFonts w:cs="Times New Roman"/>
          <w:color w:val="222222"/>
          <w:szCs w:val="24"/>
          <w:shd w:val="clear" w:color="auto" w:fill="FFFFFF"/>
        </w:rPr>
      </w:pPr>
      <w:r>
        <w:rPr>
          <w:rFonts w:cs="Times New Roman"/>
          <w:color w:val="222222"/>
          <w:szCs w:val="24"/>
          <w:shd w:val="clear" w:color="auto" w:fill="FFFFFF"/>
        </w:rPr>
        <w:t xml:space="preserve">Moran, R.T., Harris, P.R. and Moran, S., </w:t>
      </w:r>
      <w:r>
        <w:rPr>
          <w:rFonts w:hint="eastAsia" w:cs="Times New Roman"/>
          <w:color w:val="000000"/>
          <w:szCs w:val="24"/>
          <w:shd w:val="clear" w:color="auto" w:fill="FFFFFF"/>
        </w:rPr>
        <w:t>(</w:t>
      </w:r>
      <w:r>
        <w:rPr>
          <w:rFonts w:cs="Times New Roman"/>
          <w:color w:val="222222"/>
          <w:szCs w:val="24"/>
          <w:shd w:val="clear" w:color="auto" w:fill="FFFFFF"/>
        </w:rPr>
        <w:t>2007</w:t>
      </w:r>
      <w:r>
        <w:rPr>
          <w:rFonts w:hint="eastAsia" w:cs="Times New Roman"/>
          <w:color w:val="000000"/>
          <w:szCs w:val="24"/>
          <w:shd w:val="clear" w:color="auto" w:fill="FFFFFF"/>
        </w:rPr>
        <w:t>)</w:t>
      </w:r>
      <w:r>
        <w:rPr>
          <w:rFonts w:cs="Times New Roman"/>
          <w:color w:val="222222"/>
          <w:szCs w:val="24"/>
          <w:shd w:val="clear" w:color="auto" w:fill="FFFFFF"/>
        </w:rPr>
        <w:t>. </w:t>
      </w:r>
      <w:r>
        <w:rPr>
          <w:rFonts w:cs="Times New Roman"/>
          <w:i/>
          <w:iCs/>
          <w:color w:val="222222"/>
          <w:szCs w:val="24"/>
          <w:shd w:val="clear" w:color="auto" w:fill="FFFFFF"/>
        </w:rPr>
        <w:t>Managing cultural differences</w:t>
      </w:r>
      <w:r>
        <w:rPr>
          <w:rFonts w:cs="Times New Roman"/>
          <w:color w:val="222222"/>
          <w:szCs w:val="24"/>
          <w:shd w:val="clear" w:color="auto" w:fill="FFFFFF"/>
        </w:rPr>
        <w:t>. Routledge.</w:t>
      </w:r>
    </w:p>
    <w:p>
      <w:pPr>
        <w:rPr>
          <w:rFonts w:cs="Times New Roman"/>
          <w:color w:val="222222"/>
          <w:szCs w:val="24"/>
          <w:shd w:val="clear" w:color="auto" w:fill="FFFFFF"/>
        </w:rPr>
      </w:pPr>
      <w:r>
        <w:rPr>
          <w:rFonts w:cs="Times New Roman"/>
          <w:color w:val="222222"/>
          <w:szCs w:val="24"/>
          <w:shd w:val="clear" w:color="auto" w:fill="FFFFFF"/>
        </w:rPr>
        <w:t xml:space="preserve">Moran, R.T., Harris, P.R. and Moran, S.V., </w:t>
      </w:r>
      <w:r>
        <w:rPr>
          <w:rFonts w:hint="eastAsia" w:cs="Times New Roman"/>
          <w:color w:val="000000"/>
          <w:szCs w:val="24"/>
          <w:shd w:val="clear" w:color="auto" w:fill="FFFFFF"/>
        </w:rPr>
        <w:t>(</w:t>
      </w:r>
      <w:r>
        <w:rPr>
          <w:rFonts w:cs="Times New Roman"/>
          <w:color w:val="222222"/>
          <w:szCs w:val="24"/>
          <w:shd w:val="clear" w:color="auto" w:fill="FFFFFF"/>
        </w:rPr>
        <w:t>2011</w:t>
      </w:r>
      <w:r>
        <w:rPr>
          <w:rFonts w:hint="eastAsia" w:cs="Times New Roman"/>
          <w:color w:val="000000"/>
          <w:szCs w:val="24"/>
          <w:shd w:val="clear" w:color="auto" w:fill="FFFFFF"/>
        </w:rPr>
        <w:t>)</w:t>
      </w:r>
      <w:r>
        <w:rPr>
          <w:rFonts w:cs="Times New Roman"/>
          <w:color w:val="222222"/>
          <w:szCs w:val="24"/>
          <w:shd w:val="clear" w:color="auto" w:fill="FFFFFF"/>
        </w:rPr>
        <w:t>. </w:t>
      </w:r>
      <w:r>
        <w:rPr>
          <w:rFonts w:cs="Times New Roman"/>
          <w:i/>
          <w:iCs/>
          <w:color w:val="222222"/>
          <w:szCs w:val="24"/>
          <w:shd w:val="clear" w:color="auto" w:fill="FFFFFF"/>
        </w:rPr>
        <w:t>Managing cultural differences: global leadership strategies for cross-cultural business success</w:t>
      </w:r>
      <w:r>
        <w:rPr>
          <w:rFonts w:cs="Times New Roman"/>
          <w:color w:val="222222"/>
          <w:szCs w:val="24"/>
          <w:shd w:val="clear" w:color="auto" w:fill="FFFFFF"/>
        </w:rPr>
        <w:t>. Routledge.</w:t>
      </w:r>
    </w:p>
    <w:p>
      <w:pPr>
        <w:rPr>
          <w:rFonts w:cs="Times New Roman"/>
          <w:szCs w:val="24"/>
          <w:shd w:val="clear" w:color="auto" w:fill="FFFFFF"/>
        </w:rPr>
      </w:pPr>
      <w:r>
        <w:rPr>
          <w:rFonts w:cs="Times New Roman"/>
          <w:color w:val="000000"/>
          <w:szCs w:val="24"/>
          <w:shd w:val="clear" w:color="auto" w:fill="FFFFFF"/>
        </w:rPr>
        <w:t xml:space="preserve">Murray, G., </w:t>
      </w:r>
      <w:r>
        <w:rPr>
          <w:rFonts w:hint="eastAsia" w:cs="Times New Roman"/>
          <w:color w:val="000000"/>
          <w:szCs w:val="24"/>
          <w:shd w:val="clear" w:color="auto" w:fill="FFFFFF"/>
        </w:rPr>
        <w:t>(</w:t>
      </w:r>
      <w:r>
        <w:rPr>
          <w:rFonts w:cs="Times New Roman"/>
          <w:color w:val="000000"/>
          <w:szCs w:val="24"/>
          <w:shd w:val="clear" w:color="auto" w:fill="FFFFFF"/>
        </w:rPr>
        <w:t>2018</w:t>
      </w:r>
      <w:r>
        <w:rPr>
          <w:rFonts w:hint="eastAsia" w:cs="Times New Roman"/>
          <w:color w:val="000000"/>
          <w:szCs w:val="24"/>
          <w:shd w:val="clear" w:color="auto" w:fill="FFFFFF"/>
        </w:rPr>
        <w:t>)</w:t>
      </w:r>
      <w:r>
        <w:rPr>
          <w:rFonts w:cs="Times New Roman"/>
          <w:color w:val="000000"/>
          <w:szCs w:val="24"/>
          <w:shd w:val="clear" w:color="auto" w:fill="FFFFFF"/>
        </w:rPr>
        <w:t>. Community Business in Scotland: An Alternative Vision of ‘Enterprise Culture’, 1979–97. </w:t>
      </w:r>
      <w:r>
        <w:rPr>
          <w:rFonts w:cs="Times New Roman"/>
          <w:i/>
          <w:iCs/>
          <w:color w:val="000000"/>
          <w:szCs w:val="24"/>
          <w:shd w:val="clear" w:color="auto" w:fill="FFFFFF"/>
        </w:rPr>
        <w:t>Twentieth Century British History</w:t>
      </w:r>
      <w:r>
        <w:rPr>
          <w:rFonts w:cs="Times New Roman"/>
          <w:color w:val="000000"/>
          <w:szCs w:val="24"/>
          <w:shd w:val="clear" w:color="auto" w:fill="FFFFFF"/>
        </w:rPr>
        <w:t>, 30(4), pp.585-606.</w:t>
      </w:r>
    </w:p>
    <w:p>
      <w:pPr>
        <w:rPr>
          <w:rFonts w:cs="Times New Roman"/>
          <w:color w:val="000000"/>
          <w:szCs w:val="24"/>
          <w:shd w:val="clear" w:color="auto" w:fill="FFFFFF"/>
        </w:rPr>
      </w:pPr>
      <w:r>
        <w:rPr>
          <w:rFonts w:cs="Times New Roman"/>
          <w:color w:val="000000"/>
          <w:szCs w:val="24"/>
          <w:shd w:val="clear" w:color="auto" w:fill="FFFFFF"/>
        </w:rPr>
        <w:t xml:space="preserve">Naquin, S. and Holton, E., </w:t>
      </w:r>
      <w:r>
        <w:rPr>
          <w:rFonts w:hint="eastAsia" w:cs="Times New Roman"/>
          <w:color w:val="000000"/>
          <w:szCs w:val="24"/>
          <w:shd w:val="clear" w:color="auto" w:fill="FFFFFF"/>
        </w:rPr>
        <w:t>(</w:t>
      </w:r>
      <w:r>
        <w:rPr>
          <w:rFonts w:cs="Times New Roman"/>
          <w:color w:val="000000"/>
          <w:szCs w:val="24"/>
          <w:shd w:val="clear" w:color="auto" w:fill="FFFFFF"/>
        </w:rPr>
        <w:t>2003</w:t>
      </w:r>
      <w:r>
        <w:rPr>
          <w:rFonts w:hint="eastAsia" w:cs="Times New Roman"/>
          <w:color w:val="000000"/>
          <w:szCs w:val="24"/>
          <w:shd w:val="clear" w:color="auto" w:fill="FFFFFF"/>
        </w:rPr>
        <w:t>)</w:t>
      </w:r>
      <w:r>
        <w:rPr>
          <w:rFonts w:cs="Times New Roman"/>
          <w:color w:val="000000"/>
          <w:szCs w:val="24"/>
          <w:shd w:val="clear" w:color="auto" w:fill="FFFFFF"/>
        </w:rPr>
        <w:t>. Motivation to improve work through learning in human resource development. </w:t>
      </w:r>
      <w:r>
        <w:rPr>
          <w:rFonts w:cs="Times New Roman"/>
          <w:i/>
          <w:iCs/>
          <w:color w:val="000000"/>
          <w:szCs w:val="24"/>
          <w:shd w:val="clear" w:color="auto" w:fill="FFFFFF"/>
        </w:rPr>
        <w:t>Human Resource Development International</w:t>
      </w:r>
      <w:r>
        <w:rPr>
          <w:rFonts w:cs="Times New Roman"/>
          <w:color w:val="000000"/>
          <w:szCs w:val="24"/>
          <w:shd w:val="clear" w:color="auto" w:fill="FFFFFF"/>
        </w:rPr>
        <w:t>, 6(3), pp.355-370.</w:t>
      </w:r>
    </w:p>
    <w:p>
      <w:pPr>
        <w:rPr>
          <w:rFonts w:cs="Times New Roman"/>
          <w:color w:val="000000"/>
          <w:szCs w:val="24"/>
          <w:shd w:val="clear" w:color="auto" w:fill="FFFFFF"/>
        </w:rPr>
      </w:pPr>
      <w:r>
        <w:rPr>
          <w:rFonts w:cs="Times New Roman"/>
          <w:color w:val="000000"/>
          <w:szCs w:val="24"/>
          <w:shd w:val="clear" w:color="auto" w:fill="FFFFFF"/>
        </w:rPr>
        <w:t xml:space="preserve">Piechota, G., </w:t>
      </w:r>
      <w:r>
        <w:rPr>
          <w:rFonts w:hint="eastAsia" w:cs="Times New Roman"/>
          <w:color w:val="000000"/>
          <w:szCs w:val="24"/>
          <w:shd w:val="clear" w:color="auto" w:fill="FFFFFF"/>
        </w:rPr>
        <w:t>(</w:t>
      </w:r>
      <w:r>
        <w:rPr>
          <w:rFonts w:cs="Times New Roman"/>
          <w:color w:val="000000"/>
          <w:szCs w:val="24"/>
          <w:shd w:val="clear" w:color="auto" w:fill="FFFFFF"/>
        </w:rPr>
        <w:t>2017</w:t>
      </w:r>
      <w:r>
        <w:rPr>
          <w:rFonts w:hint="eastAsia" w:cs="Times New Roman"/>
          <w:color w:val="000000"/>
          <w:szCs w:val="24"/>
          <w:shd w:val="clear" w:color="auto" w:fill="FFFFFF"/>
        </w:rPr>
        <w:t>)</w:t>
      </w:r>
      <w:r>
        <w:rPr>
          <w:rFonts w:cs="Times New Roman"/>
          <w:color w:val="000000"/>
          <w:szCs w:val="24"/>
          <w:shd w:val="clear" w:color="auto" w:fill="FFFFFF"/>
        </w:rPr>
        <w:t>. Cultural Differences in Network Communication - Analysis on the Basis of Communication Behaviour in a High-Context and Low-Context Culture. </w:t>
      </w:r>
      <w:r>
        <w:rPr>
          <w:rFonts w:cs="Times New Roman"/>
          <w:i/>
          <w:iCs/>
          <w:color w:val="000000"/>
          <w:szCs w:val="24"/>
          <w:shd w:val="clear" w:color="auto" w:fill="FFFFFF"/>
        </w:rPr>
        <w:t>Journal of Media Critiques</w:t>
      </w:r>
      <w:r>
        <w:rPr>
          <w:rFonts w:cs="Times New Roman"/>
          <w:color w:val="000000"/>
          <w:szCs w:val="24"/>
          <w:shd w:val="clear" w:color="auto" w:fill="FFFFFF"/>
        </w:rPr>
        <w:t>, 3(11), pp.87-95.</w:t>
      </w:r>
    </w:p>
    <w:p>
      <w:pPr>
        <w:rPr>
          <w:rFonts w:cs="Times New Roman"/>
          <w:color w:val="000000"/>
          <w:szCs w:val="24"/>
          <w:shd w:val="clear" w:color="auto" w:fill="FFFFFF"/>
        </w:rPr>
      </w:pPr>
      <w:r>
        <w:rPr>
          <w:rFonts w:cs="Times New Roman"/>
          <w:color w:val="000000"/>
          <w:szCs w:val="24"/>
          <w:shd w:val="clear" w:color="auto" w:fill="FFFFFF"/>
        </w:rPr>
        <w:t xml:space="preserve">Purchase, S. and Olaru, D., </w:t>
      </w:r>
      <w:r>
        <w:rPr>
          <w:rFonts w:hint="eastAsia" w:cs="Times New Roman"/>
          <w:color w:val="000000"/>
          <w:szCs w:val="24"/>
          <w:shd w:val="clear" w:color="auto" w:fill="FFFFFF"/>
        </w:rPr>
        <w:t>(</w:t>
      </w:r>
      <w:r>
        <w:rPr>
          <w:rFonts w:cs="Times New Roman"/>
          <w:color w:val="000000"/>
          <w:szCs w:val="24"/>
          <w:shd w:val="clear" w:color="auto" w:fill="FFFFFF"/>
        </w:rPr>
        <w:t>2004</w:t>
      </w:r>
      <w:r>
        <w:rPr>
          <w:rFonts w:hint="eastAsia" w:cs="Times New Roman"/>
          <w:color w:val="000000"/>
          <w:szCs w:val="24"/>
          <w:shd w:val="clear" w:color="auto" w:fill="FFFFFF"/>
        </w:rPr>
        <w:t>)</w:t>
      </w:r>
      <w:r>
        <w:rPr>
          <w:rFonts w:cs="Times New Roman"/>
          <w:color w:val="000000"/>
          <w:szCs w:val="24"/>
          <w:shd w:val="clear" w:color="auto" w:fill="FFFFFF"/>
        </w:rPr>
        <w:t>. Substance in Business-to-Business Relationships. </w:t>
      </w:r>
      <w:r>
        <w:rPr>
          <w:rFonts w:cs="Times New Roman"/>
          <w:i/>
          <w:iCs/>
          <w:color w:val="000000"/>
          <w:szCs w:val="24"/>
          <w:shd w:val="clear" w:color="auto" w:fill="FFFFFF"/>
        </w:rPr>
        <w:t>Journal of Business-to-Business Marketing</w:t>
      </w:r>
      <w:r>
        <w:rPr>
          <w:rFonts w:cs="Times New Roman"/>
          <w:color w:val="000000"/>
          <w:szCs w:val="24"/>
          <w:shd w:val="clear" w:color="auto" w:fill="FFFFFF"/>
        </w:rPr>
        <w:t>, 11(3), pp.23-52.</w:t>
      </w:r>
    </w:p>
    <w:p>
      <w:pPr>
        <w:rPr>
          <w:rFonts w:cs="Times New Roman"/>
          <w:color w:val="222222"/>
          <w:szCs w:val="24"/>
          <w:shd w:val="clear" w:color="auto" w:fill="FFFFFF"/>
        </w:rPr>
      </w:pPr>
      <w:r>
        <w:rPr>
          <w:rFonts w:cs="Times New Roman"/>
          <w:color w:val="222222"/>
          <w:szCs w:val="24"/>
          <w:shd w:val="clear" w:color="auto" w:fill="FFFFFF"/>
        </w:rPr>
        <w:t xml:space="preserve">Scholtens, B. and Dam, L., </w:t>
      </w:r>
      <w:r>
        <w:rPr>
          <w:rFonts w:hint="eastAsia" w:cs="Times New Roman"/>
          <w:color w:val="000000"/>
          <w:szCs w:val="24"/>
          <w:shd w:val="clear" w:color="auto" w:fill="FFFFFF"/>
        </w:rPr>
        <w:t>(</w:t>
      </w:r>
      <w:r>
        <w:rPr>
          <w:rFonts w:cs="Times New Roman"/>
          <w:color w:val="222222"/>
          <w:szCs w:val="24"/>
          <w:shd w:val="clear" w:color="auto" w:fill="FFFFFF"/>
        </w:rPr>
        <w:t>2007</w:t>
      </w:r>
      <w:r>
        <w:rPr>
          <w:rFonts w:hint="eastAsia" w:cs="Times New Roman"/>
          <w:color w:val="000000"/>
          <w:szCs w:val="24"/>
          <w:shd w:val="clear" w:color="auto" w:fill="FFFFFF"/>
        </w:rPr>
        <w:t>)</w:t>
      </w:r>
      <w:r>
        <w:rPr>
          <w:rFonts w:cs="Times New Roman"/>
          <w:color w:val="222222"/>
          <w:szCs w:val="24"/>
          <w:shd w:val="clear" w:color="auto" w:fill="FFFFFF"/>
        </w:rPr>
        <w:t>. Cultural values and international differences in business ethics. </w:t>
      </w:r>
      <w:r>
        <w:rPr>
          <w:rFonts w:cs="Times New Roman"/>
          <w:i/>
          <w:iCs/>
          <w:color w:val="222222"/>
          <w:szCs w:val="24"/>
          <w:shd w:val="clear" w:color="auto" w:fill="FFFFFF"/>
        </w:rPr>
        <w:t>Journal of Business ethics</w:t>
      </w:r>
      <w:r>
        <w:rPr>
          <w:rFonts w:cs="Times New Roman"/>
          <w:color w:val="222222"/>
          <w:szCs w:val="24"/>
          <w:shd w:val="clear" w:color="auto" w:fill="FFFFFF"/>
        </w:rPr>
        <w:t>, </w:t>
      </w:r>
      <w:r>
        <w:rPr>
          <w:rFonts w:cs="Times New Roman"/>
          <w:i/>
          <w:iCs/>
          <w:color w:val="222222"/>
          <w:szCs w:val="24"/>
          <w:shd w:val="clear" w:color="auto" w:fill="FFFFFF"/>
        </w:rPr>
        <w:t>75</w:t>
      </w:r>
      <w:r>
        <w:rPr>
          <w:rFonts w:cs="Times New Roman"/>
          <w:color w:val="222222"/>
          <w:szCs w:val="24"/>
          <w:shd w:val="clear" w:color="auto" w:fill="FFFFFF"/>
        </w:rPr>
        <w:t>(3), pp.273-284.</w:t>
      </w:r>
    </w:p>
    <w:p>
      <w:pPr>
        <w:rPr>
          <w:rFonts w:cs="Times New Roman"/>
          <w:szCs w:val="24"/>
        </w:rPr>
      </w:pPr>
      <w:r>
        <w:rPr>
          <w:rFonts w:cs="Times New Roman"/>
          <w:color w:val="000000"/>
          <w:szCs w:val="24"/>
          <w:shd w:val="clear" w:color="auto" w:fill="FFFFFF"/>
        </w:rPr>
        <w:t xml:space="preserve">Shane, S., Locke, E. and Collins, C., </w:t>
      </w:r>
      <w:r>
        <w:rPr>
          <w:rFonts w:hint="eastAsia" w:cs="Times New Roman"/>
          <w:color w:val="000000"/>
          <w:szCs w:val="24"/>
          <w:shd w:val="clear" w:color="auto" w:fill="FFFFFF"/>
        </w:rPr>
        <w:t>(</w:t>
      </w:r>
      <w:r>
        <w:rPr>
          <w:rFonts w:cs="Times New Roman"/>
          <w:color w:val="000000"/>
          <w:szCs w:val="24"/>
          <w:shd w:val="clear" w:color="auto" w:fill="FFFFFF"/>
        </w:rPr>
        <w:t>2003</w:t>
      </w:r>
      <w:r>
        <w:rPr>
          <w:rFonts w:hint="eastAsia" w:cs="Times New Roman"/>
          <w:color w:val="000000"/>
          <w:szCs w:val="24"/>
          <w:shd w:val="clear" w:color="auto" w:fill="FFFFFF"/>
        </w:rPr>
        <w:t>)</w:t>
      </w:r>
      <w:r>
        <w:rPr>
          <w:rFonts w:cs="Times New Roman"/>
          <w:color w:val="000000"/>
          <w:szCs w:val="24"/>
          <w:shd w:val="clear" w:color="auto" w:fill="FFFFFF"/>
        </w:rPr>
        <w:t>. Entrepreneurial motivation. </w:t>
      </w:r>
      <w:r>
        <w:rPr>
          <w:rFonts w:cs="Times New Roman"/>
          <w:i/>
          <w:iCs/>
          <w:color w:val="000000"/>
          <w:szCs w:val="24"/>
          <w:shd w:val="clear" w:color="auto" w:fill="FFFFFF"/>
        </w:rPr>
        <w:t>Human Resource Management Review</w:t>
      </w:r>
      <w:r>
        <w:rPr>
          <w:rFonts w:cs="Times New Roman"/>
          <w:color w:val="000000"/>
          <w:szCs w:val="24"/>
          <w:shd w:val="clear" w:color="auto" w:fill="FFFFFF"/>
        </w:rPr>
        <w:t>, 13(2), pp.257-279.</w:t>
      </w:r>
    </w:p>
    <w:p>
      <w:pPr>
        <w:rPr>
          <w:rFonts w:cs="Times New Roman"/>
          <w:color w:val="222222"/>
          <w:szCs w:val="24"/>
          <w:shd w:val="clear" w:color="auto" w:fill="FFFFFF"/>
        </w:rPr>
      </w:pPr>
      <w:r>
        <w:rPr>
          <w:rFonts w:cs="Times New Roman"/>
          <w:color w:val="222222"/>
          <w:szCs w:val="24"/>
          <w:shd w:val="clear" w:color="auto" w:fill="FFFFFF"/>
        </w:rPr>
        <w:t xml:space="preserve">Stephens, G.K. and Greer, C.R., </w:t>
      </w:r>
      <w:r>
        <w:rPr>
          <w:rFonts w:hint="eastAsia" w:cs="Times New Roman"/>
          <w:color w:val="000000"/>
          <w:szCs w:val="24"/>
          <w:shd w:val="clear" w:color="auto" w:fill="FFFFFF"/>
        </w:rPr>
        <w:t>(</w:t>
      </w:r>
      <w:r>
        <w:rPr>
          <w:rFonts w:cs="Times New Roman"/>
          <w:color w:val="222222"/>
          <w:szCs w:val="24"/>
          <w:shd w:val="clear" w:color="auto" w:fill="FFFFFF"/>
        </w:rPr>
        <w:t>1995</w:t>
      </w:r>
      <w:r>
        <w:rPr>
          <w:rFonts w:hint="eastAsia" w:cs="Times New Roman"/>
          <w:color w:val="000000"/>
          <w:szCs w:val="24"/>
          <w:shd w:val="clear" w:color="auto" w:fill="FFFFFF"/>
        </w:rPr>
        <w:t>)</w:t>
      </w:r>
      <w:r>
        <w:rPr>
          <w:rFonts w:cs="Times New Roman"/>
          <w:color w:val="222222"/>
          <w:szCs w:val="24"/>
          <w:shd w:val="clear" w:color="auto" w:fill="FFFFFF"/>
        </w:rPr>
        <w:t>. Doing business in Mexico: Understanding cultural differences. </w:t>
      </w:r>
      <w:r>
        <w:rPr>
          <w:rFonts w:cs="Times New Roman"/>
          <w:i/>
          <w:iCs/>
          <w:color w:val="222222"/>
          <w:szCs w:val="24"/>
          <w:shd w:val="clear" w:color="auto" w:fill="FFFFFF"/>
        </w:rPr>
        <w:t>Organizational Dynamics</w:t>
      </w:r>
      <w:r>
        <w:rPr>
          <w:rFonts w:cs="Times New Roman"/>
          <w:color w:val="222222"/>
          <w:szCs w:val="24"/>
          <w:shd w:val="clear" w:color="auto" w:fill="FFFFFF"/>
        </w:rPr>
        <w:t>, </w:t>
      </w:r>
      <w:r>
        <w:rPr>
          <w:rFonts w:cs="Times New Roman"/>
          <w:i/>
          <w:iCs/>
          <w:color w:val="222222"/>
          <w:szCs w:val="24"/>
          <w:shd w:val="clear" w:color="auto" w:fill="FFFFFF"/>
        </w:rPr>
        <w:t>24</w:t>
      </w:r>
      <w:r>
        <w:rPr>
          <w:rFonts w:cs="Times New Roman"/>
          <w:color w:val="222222"/>
          <w:szCs w:val="24"/>
          <w:shd w:val="clear" w:color="auto" w:fill="FFFFFF"/>
        </w:rPr>
        <w:t>(1), pp.39-55.</w:t>
      </w:r>
    </w:p>
    <w:p>
      <w:pPr>
        <w:rPr>
          <w:rFonts w:cs="Times New Roman"/>
          <w:color w:val="000000"/>
          <w:szCs w:val="24"/>
          <w:shd w:val="clear" w:color="auto" w:fill="FFFFFF"/>
        </w:rPr>
      </w:pPr>
      <w:r>
        <w:rPr>
          <w:rFonts w:cs="Times New Roman"/>
          <w:color w:val="222222"/>
          <w:szCs w:val="24"/>
          <w:shd w:val="clear" w:color="auto" w:fill="FFFFFF"/>
        </w:rPr>
        <w:t xml:space="preserve">Tate, W., </w:t>
      </w:r>
      <w:r>
        <w:rPr>
          <w:rFonts w:hint="eastAsia" w:cs="Times New Roman"/>
          <w:color w:val="000000"/>
          <w:szCs w:val="24"/>
          <w:shd w:val="clear" w:color="auto" w:fill="FFFFFF"/>
        </w:rPr>
        <w:t>(</w:t>
      </w:r>
      <w:r>
        <w:rPr>
          <w:rFonts w:cs="Times New Roman"/>
          <w:color w:val="222222"/>
          <w:szCs w:val="24"/>
          <w:shd w:val="clear" w:color="auto" w:fill="FFFFFF"/>
        </w:rPr>
        <w:t>2007</w:t>
      </w:r>
      <w:r>
        <w:rPr>
          <w:rFonts w:hint="eastAsia" w:cs="Times New Roman"/>
          <w:color w:val="000000"/>
          <w:szCs w:val="24"/>
          <w:shd w:val="clear" w:color="auto" w:fill="FFFFFF"/>
        </w:rPr>
        <w:t>)</w:t>
      </w:r>
      <w:r>
        <w:rPr>
          <w:rFonts w:cs="Times New Roman"/>
          <w:color w:val="222222"/>
          <w:szCs w:val="24"/>
          <w:shd w:val="clear" w:color="auto" w:fill="FFFFFF"/>
        </w:rPr>
        <w:t>. </w:t>
      </w:r>
      <w:r>
        <w:rPr>
          <w:rFonts w:cs="Times New Roman"/>
          <w:i/>
          <w:iCs/>
          <w:color w:val="222222"/>
          <w:szCs w:val="24"/>
          <w:shd w:val="clear" w:color="auto" w:fill="FFFFFF"/>
        </w:rPr>
        <w:t>Counting the dead: the culture and politics of human rights activism in Colombia</w:t>
      </w:r>
      <w:r>
        <w:rPr>
          <w:rFonts w:cs="Times New Roman"/>
          <w:color w:val="222222"/>
          <w:szCs w:val="24"/>
          <w:shd w:val="clear" w:color="auto" w:fill="FFFFFF"/>
        </w:rPr>
        <w:t> (Vol. 18). Univ of California Press.</w:t>
      </w:r>
    </w:p>
    <w:p>
      <w:pPr>
        <w:rPr>
          <w:rFonts w:cs="Times New Roman"/>
          <w:szCs w:val="24"/>
          <w:shd w:val="clear" w:color="auto" w:fill="FFFFFF"/>
        </w:rPr>
      </w:pPr>
      <w:r>
        <w:rPr>
          <w:rFonts w:cs="Times New Roman"/>
          <w:szCs w:val="24"/>
          <w:shd w:val="clear" w:color="auto" w:fill="FFFFFF"/>
        </w:rPr>
        <w:t xml:space="preserve">Volpp, L., </w:t>
      </w:r>
      <w:r>
        <w:rPr>
          <w:rFonts w:hint="eastAsia" w:cs="Times New Roman"/>
          <w:color w:val="000000"/>
          <w:szCs w:val="24"/>
          <w:shd w:val="clear" w:color="auto" w:fill="FFFFFF"/>
        </w:rPr>
        <w:t>(</w:t>
      </w:r>
      <w:r>
        <w:rPr>
          <w:rFonts w:cs="Times New Roman"/>
          <w:szCs w:val="24"/>
          <w:shd w:val="clear" w:color="auto" w:fill="FFFFFF"/>
        </w:rPr>
        <w:t>1996</w:t>
      </w:r>
      <w:r>
        <w:rPr>
          <w:rFonts w:hint="eastAsia" w:cs="Times New Roman"/>
          <w:color w:val="000000"/>
          <w:szCs w:val="24"/>
          <w:shd w:val="clear" w:color="auto" w:fill="FFFFFF"/>
        </w:rPr>
        <w:t>)</w:t>
      </w:r>
      <w:r>
        <w:rPr>
          <w:rFonts w:cs="Times New Roman"/>
          <w:szCs w:val="24"/>
          <w:shd w:val="clear" w:color="auto" w:fill="FFFFFF"/>
        </w:rPr>
        <w:t>. Talking "Culture": Gender, Race, Nation, and the Politics of Multiculturalism. </w:t>
      </w:r>
      <w:r>
        <w:rPr>
          <w:rFonts w:cs="Times New Roman"/>
          <w:i/>
          <w:iCs/>
          <w:szCs w:val="24"/>
          <w:shd w:val="clear" w:color="auto" w:fill="FFFFFF"/>
        </w:rPr>
        <w:t>Columbia Law Review</w:t>
      </w:r>
      <w:r>
        <w:rPr>
          <w:rFonts w:cs="Times New Roman"/>
          <w:szCs w:val="24"/>
          <w:shd w:val="clear" w:color="auto" w:fill="FFFFFF"/>
        </w:rPr>
        <w:t>, 96(6), p.1573.</w:t>
      </w:r>
    </w:p>
    <w:p>
      <w:pPr>
        <w:rPr>
          <w:rFonts w:cs="Times New Roman"/>
          <w:color w:val="222222"/>
          <w:szCs w:val="24"/>
          <w:shd w:val="clear" w:color="auto" w:fill="FFFFFF"/>
        </w:rPr>
      </w:pPr>
      <w:r>
        <w:rPr>
          <w:rFonts w:cs="Times New Roman"/>
          <w:color w:val="222222"/>
          <w:szCs w:val="24"/>
          <w:shd w:val="clear" w:color="auto" w:fill="FFFFFF"/>
        </w:rPr>
        <w:t xml:space="preserve">Warner-Søderholm, G., </w:t>
      </w:r>
      <w:r>
        <w:rPr>
          <w:rFonts w:hint="eastAsia" w:cs="Times New Roman"/>
          <w:color w:val="000000"/>
          <w:szCs w:val="24"/>
          <w:shd w:val="clear" w:color="auto" w:fill="FFFFFF"/>
        </w:rPr>
        <w:t>(</w:t>
      </w:r>
      <w:r>
        <w:rPr>
          <w:rFonts w:cs="Times New Roman"/>
          <w:color w:val="222222"/>
          <w:szCs w:val="24"/>
          <w:shd w:val="clear" w:color="auto" w:fill="FFFFFF"/>
        </w:rPr>
        <w:t>2013</w:t>
      </w:r>
      <w:r>
        <w:rPr>
          <w:rFonts w:hint="eastAsia" w:cs="Times New Roman"/>
          <w:color w:val="000000"/>
          <w:szCs w:val="24"/>
          <w:shd w:val="clear" w:color="auto" w:fill="FFFFFF"/>
        </w:rPr>
        <w:t>)</w:t>
      </w:r>
      <w:r>
        <w:rPr>
          <w:rFonts w:cs="Times New Roman"/>
          <w:color w:val="222222"/>
          <w:szCs w:val="24"/>
          <w:shd w:val="clear" w:color="auto" w:fill="FFFFFF"/>
        </w:rPr>
        <w:t>. Beyond a Literature Review of Hall’s Context Dimension: ScaleDevelopment, Validation &amp; Empirical Findings Within a Norwegian Study.</w:t>
      </w:r>
    </w:p>
    <w:p>
      <w:pPr>
        <w:rPr>
          <w:rFonts w:cs="Times New Roman"/>
          <w:color w:val="222222"/>
          <w:szCs w:val="24"/>
          <w:shd w:val="clear" w:color="auto" w:fill="FFFFFF"/>
        </w:rPr>
      </w:pPr>
      <w:r>
        <w:rPr>
          <w:rFonts w:cs="Times New Roman"/>
          <w:color w:val="222222"/>
          <w:szCs w:val="24"/>
          <w:shd w:val="clear" w:color="auto" w:fill="FFFFFF"/>
        </w:rPr>
        <w:t xml:space="preserve">Yunxia, Z. and Hildebrandt, H.W., </w:t>
      </w:r>
      <w:r>
        <w:rPr>
          <w:rFonts w:hint="eastAsia" w:cs="Times New Roman"/>
          <w:color w:val="000000"/>
          <w:szCs w:val="24"/>
          <w:shd w:val="clear" w:color="auto" w:fill="FFFFFF"/>
        </w:rPr>
        <w:t>(</w:t>
      </w:r>
      <w:r>
        <w:rPr>
          <w:rFonts w:cs="Times New Roman"/>
          <w:color w:val="222222"/>
          <w:szCs w:val="24"/>
          <w:shd w:val="clear" w:color="auto" w:fill="FFFFFF"/>
        </w:rPr>
        <w:t>2003</w:t>
      </w:r>
      <w:r>
        <w:rPr>
          <w:rFonts w:hint="eastAsia" w:cs="Times New Roman"/>
          <w:color w:val="000000"/>
          <w:szCs w:val="24"/>
          <w:shd w:val="clear" w:color="auto" w:fill="FFFFFF"/>
        </w:rPr>
        <w:t>)</w:t>
      </w:r>
      <w:r>
        <w:rPr>
          <w:rFonts w:cs="Times New Roman"/>
          <w:color w:val="222222"/>
          <w:szCs w:val="24"/>
          <w:shd w:val="clear" w:color="auto" w:fill="FFFFFF"/>
        </w:rPr>
        <w:t>. Greek and Chinese classical rhetoric: the root of cultural differences in business and marekting communication. </w:t>
      </w:r>
      <w:r>
        <w:rPr>
          <w:rFonts w:cs="Times New Roman"/>
          <w:i/>
          <w:iCs/>
          <w:color w:val="222222"/>
          <w:szCs w:val="24"/>
          <w:shd w:val="clear" w:color="auto" w:fill="FFFFFF"/>
        </w:rPr>
        <w:t>Asia Pacific Journal of Marketing and Logistics</w:t>
      </w:r>
      <w:r>
        <w:rPr>
          <w:rFonts w:cs="Times New Roman"/>
          <w:color w:val="222222"/>
          <w:szCs w:val="24"/>
          <w:shd w:val="clear" w:color="auto" w:fill="FFFFFF"/>
        </w:rPr>
        <w:t>.</w:t>
      </w:r>
    </w:p>
    <w:p>
      <w:pPr>
        <w:spacing w:line="220" w:lineRule="atLeast"/>
      </w:pPr>
    </w:p>
    <w:p>
      <w:pPr>
        <w:spacing w:line="220" w:lineRule="atLeast"/>
      </w:pPr>
    </w:p>
    <w:sectPr>
      <w:pgSz w:w="11906" w:h="16838"/>
      <w:pgMar w:top="1440" w:right="1800" w:bottom="1440" w:left="180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720"/>
  <w:characterSpacingControl w:val="doNotCompress"/>
  <w:compat>
    <w:useFELayout/>
    <w:compatSetting w:name="compatibilityMode" w:uri="http://schemas.microsoft.com/office/word" w:val="12"/>
  </w:compat>
  <w:rsids>
    <w:rsidRoot w:val="00D31D50"/>
    <w:rsid w:val="00005DAC"/>
    <w:rsid w:val="00015F95"/>
    <w:rsid w:val="000355B5"/>
    <w:rsid w:val="00036FE5"/>
    <w:rsid w:val="00060697"/>
    <w:rsid w:val="000841E4"/>
    <w:rsid w:val="000A32E1"/>
    <w:rsid w:val="000B6ED4"/>
    <w:rsid w:val="000C503C"/>
    <w:rsid w:val="000C7257"/>
    <w:rsid w:val="000E458D"/>
    <w:rsid w:val="001078FB"/>
    <w:rsid w:val="0012412B"/>
    <w:rsid w:val="00125ECA"/>
    <w:rsid w:val="001579FD"/>
    <w:rsid w:val="00182B0B"/>
    <w:rsid w:val="00186013"/>
    <w:rsid w:val="001918A0"/>
    <w:rsid w:val="001A387E"/>
    <w:rsid w:val="001A446F"/>
    <w:rsid w:val="001A6634"/>
    <w:rsid w:val="001B363E"/>
    <w:rsid w:val="001C6E05"/>
    <w:rsid w:val="001D0F5E"/>
    <w:rsid w:val="001D14B7"/>
    <w:rsid w:val="001D7900"/>
    <w:rsid w:val="001F57B6"/>
    <w:rsid w:val="00212DEC"/>
    <w:rsid w:val="00235E5A"/>
    <w:rsid w:val="00244D6F"/>
    <w:rsid w:val="0025290B"/>
    <w:rsid w:val="00256FB1"/>
    <w:rsid w:val="00262043"/>
    <w:rsid w:val="00264BAF"/>
    <w:rsid w:val="0029155F"/>
    <w:rsid w:val="00291B72"/>
    <w:rsid w:val="002A523D"/>
    <w:rsid w:val="002D0D1F"/>
    <w:rsid w:val="00307BFF"/>
    <w:rsid w:val="00323B43"/>
    <w:rsid w:val="00340A42"/>
    <w:rsid w:val="0035230A"/>
    <w:rsid w:val="00357D8F"/>
    <w:rsid w:val="00367498"/>
    <w:rsid w:val="0037339F"/>
    <w:rsid w:val="003846D2"/>
    <w:rsid w:val="0038689A"/>
    <w:rsid w:val="003D0ABC"/>
    <w:rsid w:val="003D37D8"/>
    <w:rsid w:val="003E00E5"/>
    <w:rsid w:val="003E63E4"/>
    <w:rsid w:val="004207DE"/>
    <w:rsid w:val="00421805"/>
    <w:rsid w:val="00426133"/>
    <w:rsid w:val="004358AB"/>
    <w:rsid w:val="004428DA"/>
    <w:rsid w:val="004460D4"/>
    <w:rsid w:val="00452B09"/>
    <w:rsid w:val="00454F12"/>
    <w:rsid w:val="004630C7"/>
    <w:rsid w:val="00463F98"/>
    <w:rsid w:val="00476C8B"/>
    <w:rsid w:val="00490C56"/>
    <w:rsid w:val="004917E0"/>
    <w:rsid w:val="00492151"/>
    <w:rsid w:val="004931AF"/>
    <w:rsid w:val="004B0A1B"/>
    <w:rsid w:val="004B325B"/>
    <w:rsid w:val="004B5AFA"/>
    <w:rsid w:val="004B7065"/>
    <w:rsid w:val="004C2C93"/>
    <w:rsid w:val="004E7988"/>
    <w:rsid w:val="004F185C"/>
    <w:rsid w:val="00531833"/>
    <w:rsid w:val="00545D29"/>
    <w:rsid w:val="00563273"/>
    <w:rsid w:val="00590BB1"/>
    <w:rsid w:val="005B5268"/>
    <w:rsid w:val="005F2222"/>
    <w:rsid w:val="005F4416"/>
    <w:rsid w:val="005F51C5"/>
    <w:rsid w:val="00614AA9"/>
    <w:rsid w:val="00615B54"/>
    <w:rsid w:val="006350BB"/>
    <w:rsid w:val="0065289B"/>
    <w:rsid w:val="006725C0"/>
    <w:rsid w:val="00695E5B"/>
    <w:rsid w:val="006B7C52"/>
    <w:rsid w:val="006C1A08"/>
    <w:rsid w:val="006D1AAA"/>
    <w:rsid w:val="006D7B6E"/>
    <w:rsid w:val="006F7175"/>
    <w:rsid w:val="00706000"/>
    <w:rsid w:val="00713FE6"/>
    <w:rsid w:val="00721A6D"/>
    <w:rsid w:val="00724CF7"/>
    <w:rsid w:val="0073587B"/>
    <w:rsid w:val="00756A4E"/>
    <w:rsid w:val="0075767F"/>
    <w:rsid w:val="0077513F"/>
    <w:rsid w:val="007831B9"/>
    <w:rsid w:val="0078552E"/>
    <w:rsid w:val="007B0B47"/>
    <w:rsid w:val="007B0E54"/>
    <w:rsid w:val="007B5463"/>
    <w:rsid w:val="007B77DB"/>
    <w:rsid w:val="007C59E5"/>
    <w:rsid w:val="007D7DA1"/>
    <w:rsid w:val="007E6CCB"/>
    <w:rsid w:val="007F42FD"/>
    <w:rsid w:val="007F62AB"/>
    <w:rsid w:val="00805B08"/>
    <w:rsid w:val="00831A6B"/>
    <w:rsid w:val="00832A7D"/>
    <w:rsid w:val="00836FC7"/>
    <w:rsid w:val="008409EF"/>
    <w:rsid w:val="00856078"/>
    <w:rsid w:val="008647BA"/>
    <w:rsid w:val="00867B7A"/>
    <w:rsid w:val="00872C53"/>
    <w:rsid w:val="00877CF5"/>
    <w:rsid w:val="00883C23"/>
    <w:rsid w:val="008B7726"/>
    <w:rsid w:val="008D040E"/>
    <w:rsid w:val="008D2AAF"/>
    <w:rsid w:val="008E3469"/>
    <w:rsid w:val="008F649D"/>
    <w:rsid w:val="00906086"/>
    <w:rsid w:val="00906A7B"/>
    <w:rsid w:val="00911366"/>
    <w:rsid w:val="00926BA7"/>
    <w:rsid w:val="0094717C"/>
    <w:rsid w:val="00964CAE"/>
    <w:rsid w:val="00965D10"/>
    <w:rsid w:val="009729F9"/>
    <w:rsid w:val="00973A08"/>
    <w:rsid w:val="00981784"/>
    <w:rsid w:val="00985293"/>
    <w:rsid w:val="009935F8"/>
    <w:rsid w:val="009C1ABB"/>
    <w:rsid w:val="009D130F"/>
    <w:rsid w:val="00A03822"/>
    <w:rsid w:val="00A2543E"/>
    <w:rsid w:val="00A36C6C"/>
    <w:rsid w:val="00A44424"/>
    <w:rsid w:val="00A52A91"/>
    <w:rsid w:val="00A65537"/>
    <w:rsid w:val="00A82064"/>
    <w:rsid w:val="00A8616E"/>
    <w:rsid w:val="00A93282"/>
    <w:rsid w:val="00A94D80"/>
    <w:rsid w:val="00AA59A9"/>
    <w:rsid w:val="00AB6312"/>
    <w:rsid w:val="00AC0521"/>
    <w:rsid w:val="00AE2F32"/>
    <w:rsid w:val="00AE6E99"/>
    <w:rsid w:val="00AF2450"/>
    <w:rsid w:val="00B21722"/>
    <w:rsid w:val="00B30265"/>
    <w:rsid w:val="00B65203"/>
    <w:rsid w:val="00B67DCE"/>
    <w:rsid w:val="00B75E40"/>
    <w:rsid w:val="00B77429"/>
    <w:rsid w:val="00B863AC"/>
    <w:rsid w:val="00B87E9D"/>
    <w:rsid w:val="00BA2F61"/>
    <w:rsid w:val="00BB2F6D"/>
    <w:rsid w:val="00BC102F"/>
    <w:rsid w:val="00BC2FFA"/>
    <w:rsid w:val="00BC4CDD"/>
    <w:rsid w:val="00BC6383"/>
    <w:rsid w:val="00BD011D"/>
    <w:rsid w:val="00BD3BB0"/>
    <w:rsid w:val="00C52DEC"/>
    <w:rsid w:val="00C903CB"/>
    <w:rsid w:val="00C97655"/>
    <w:rsid w:val="00CB1B65"/>
    <w:rsid w:val="00CB2D45"/>
    <w:rsid w:val="00CE6CE8"/>
    <w:rsid w:val="00CF1F22"/>
    <w:rsid w:val="00D04A8C"/>
    <w:rsid w:val="00D05E08"/>
    <w:rsid w:val="00D270A9"/>
    <w:rsid w:val="00D31D50"/>
    <w:rsid w:val="00D50194"/>
    <w:rsid w:val="00D5125E"/>
    <w:rsid w:val="00D527A1"/>
    <w:rsid w:val="00D56DF2"/>
    <w:rsid w:val="00D6355C"/>
    <w:rsid w:val="00D63B94"/>
    <w:rsid w:val="00D90EAA"/>
    <w:rsid w:val="00DA630F"/>
    <w:rsid w:val="00DB2B24"/>
    <w:rsid w:val="00DC5589"/>
    <w:rsid w:val="00DE02BB"/>
    <w:rsid w:val="00DE52BD"/>
    <w:rsid w:val="00E069AE"/>
    <w:rsid w:val="00E12D85"/>
    <w:rsid w:val="00E20E1B"/>
    <w:rsid w:val="00E25A72"/>
    <w:rsid w:val="00E26C86"/>
    <w:rsid w:val="00E31D9B"/>
    <w:rsid w:val="00E370FB"/>
    <w:rsid w:val="00E47EA7"/>
    <w:rsid w:val="00EA2017"/>
    <w:rsid w:val="00EA45A1"/>
    <w:rsid w:val="00EA7ADA"/>
    <w:rsid w:val="00EA7FAD"/>
    <w:rsid w:val="00ED0A4D"/>
    <w:rsid w:val="00ED7431"/>
    <w:rsid w:val="00F01CCF"/>
    <w:rsid w:val="00F0592A"/>
    <w:rsid w:val="00F37E7F"/>
    <w:rsid w:val="00F46752"/>
    <w:rsid w:val="00F52967"/>
    <w:rsid w:val="00F66381"/>
    <w:rsid w:val="00F76F59"/>
    <w:rsid w:val="00F86E9E"/>
    <w:rsid w:val="00FA3E0F"/>
    <w:rsid w:val="00FB33B1"/>
    <w:rsid w:val="00FB42C9"/>
    <w:rsid w:val="64B616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djustRightInd w:val="0"/>
      <w:snapToGrid w:val="0"/>
      <w:spacing w:after="240" w:line="240" w:lineRule="auto"/>
      <w:jc w:val="both"/>
    </w:pPr>
    <w:rPr>
      <w:rFonts w:ascii="Times New Roman" w:hAnsi="Times New Roman" w:eastAsia="微软雅黑" w:cstheme="minorBidi"/>
      <w:color w:val="000000" w:themeColor="text1"/>
      <w:sz w:val="24"/>
      <w:szCs w:val="22"/>
      <w:lang w:val="en-GB" w:eastAsia="zh-CN" w:bidi="ar-SA"/>
    </w:rPr>
  </w:style>
  <w:style w:type="paragraph" w:styleId="2">
    <w:name w:val="heading 1"/>
    <w:basedOn w:val="1"/>
    <w:next w:val="1"/>
    <w:link w:val="9"/>
    <w:qFormat/>
    <w:uiPriority w:val="9"/>
    <w:pPr>
      <w:keepNext/>
      <w:keepLines/>
      <w:spacing w:after="120"/>
      <w:outlineLvl w:val="0"/>
    </w:pPr>
    <w:rPr>
      <w:b/>
      <w:bCs/>
      <w:kern w:val="44"/>
      <w:sz w:val="28"/>
      <w:szCs w:val="44"/>
    </w:rPr>
  </w:style>
  <w:style w:type="character" w:default="1" w:styleId="7">
    <w:name w:val="Default Paragraph Font"/>
    <w:semiHidden/>
    <w:unhideWhenUsed/>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3">
    <w:name w:val="footer"/>
    <w:basedOn w:val="1"/>
    <w:link w:val="11"/>
    <w:unhideWhenUsed/>
    <w:uiPriority w:val="99"/>
    <w:pPr>
      <w:tabs>
        <w:tab w:val="center" w:pos="4153"/>
        <w:tab w:val="right" w:pos="8306"/>
      </w:tabs>
      <w:jc w:val="left"/>
    </w:pPr>
    <w:rPr>
      <w:sz w:val="18"/>
      <w:szCs w:val="18"/>
    </w:rPr>
  </w:style>
  <w:style w:type="paragraph" w:styleId="4">
    <w:name w:val="header"/>
    <w:basedOn w:val="1"/>
    <w:link w:val="10"/>
    <w:unhideWhenUsed/>
    <w:uiPriority w:val="99"/>
    <w:pPr>
      <w:pBdr>
        <w:bottom w:val="single" w:color="auto" w:sz="6" w:space="1"/>
      </w:pBdr>
      <w:tabs>
        <w:tab w:val="center" w:pos="4153"/>
        <w:tab w:val="right" w:pos="8306"/>
      </w:tabs>
      <w:jc w:val="center"/>
    </w:pPr>
    <w:rPr>
      <w:sz w:val="18"/>
      <w:szCs w:val="18"/>
    </w:rPr>
  </w:style>
  <w:style w:type="paragraph" w:styleId="5">
    <w:name w:val="toc 1"/>
    <w:basedOn w:val="1"/>
    <w:next w:val="1"/>
    <w:unhideWhenUsed/>
    <w:uiPriority w:val="39"/>
  </w:style>
  <w:style w:type="character" w:styleId="8">
    <w:name w:val="Hyperlink"/>
    <w:basedOn w:val="7"/>
    <w:unhideWhenUsed/>
    <w:uiPriority w:val="99"/>
    <w:rPr>
      <w:color w:val="0000FF" w:themeColor="hyperlink"/>
      <w:u w:val="single"/>
    </w:rPr>
  </w:style>
  <w:style w:type="character" w:customStyle="1" w:styleId="9">
    <w:name w:val="标题 1 Char"/>
    <w:basedOn w:val="7"/>
    <w:link w:val="2"/>
    <w:uiPriority w:val="9"/>
    <w:rPr>
      <w:rFonts w:ascii="Times New Roman" w:hAnsi="Times New Roman"/>
      <w:b/>
      <w:bCs/>
      <w:color w:val="000000" w:themeColor="text1"/>
      <w:kern w:val="44"/>
      <w:sz w:val="28"/>
      <w:szCs w:val="44"/>
      <w:lang w:val="en-GB"/>
    </w:rPr>
  </w:style>
  <w:style w:type="character" w:customStyle="1" w:styleId="10">
    <w:name w:val="页眉 Char"/>
    <w:basedOn w:val="7"/>
    <w:link w:val="4"/>
    <w:uiPriority w:val="99"/>
    <w:rPr>
      <w:rFonts w:ascii="Times New Roman" w:hAnsi="Times New Roman"/>
      <w:color w:val="000000" w:themeColor="text1"/>
      <w:sz w:val="18"/>
      <w:szCs w:val="18"/>
      <w:lang w:val="en-GB"/>
    </w:rPr>
  </w:style>
  <w:style w:type="character" w:customStyle="1" w:styleId="11">
    <w:name w:val="页脚 Char"/>
    <w:basedOn w:val="7"/>
    <w:link w:val="3"/>
    <w:uiPriority w:val="99"/>
    <w:rPr>
      <w:rFonts w:ascii="Times New Roman" w:hAnsi="Times New Roman"/>
      <w:color w:val="000000" w:themeColor="text1"/>
      <w:sz w:val="18"/>
      <w:szCs w:val="18"/>
      <w:lang w:val="en-GB"/>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F2D0B15-5B9A-4918-A12F-04A6EF475F2D}">
  <ds:schemaRefs/>
</ds:datastoreItem>
</file>

<file path=docProps/app.xml><?xml version="1.0" encoding="utf-8"?>
<Properties xmlns="http://schemas.openxmlformats.org/officeDocument/2006/extended-properties" xmlns:vt="http://schemas.openxmlformats.org/officeDocument/2006/docPropsVTypes">
  <Template>Normal</Template>
  <Pages>10</Pages>
  <Words>3366</Words>
  <Characters>19192</Characters>
  <Lines>159</Lines>
  <Paragraphs>45</Paragraphs>
  <TotalTime>3</TotalTime>
  <ScaleCrop>false</ScaleCrop>
  <LinksUpToDate>false</LinksUpToDate>
  <CharactersWithSpaces>22513</CharactersWithSpaces>
  <Application>WPS Office_11.1.0.9662_F1E327BC-269C-435d-A152-05C5408002CA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2020-05-01T06:05:00Z</dcterms:created>
  <dc:creator>Administrator</dc:creator>
  <cp:lastModifiedBy>Leo</cp:lastModifiedBy>
  <dcterms:modified xsi:type="dcterms:W3CDTF">2020-05-01T06:34:14Z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2052-11.1.0.9662</vt:lpwstr>
  </property>
</Properties>
</file>