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193FD" w14:textId="626D4078" w:rsidR="00126AEE" w:rsidRPr="006A416D" w:rsidRDefault="0069279F" w:rsidP="0069279F">
      <w:pPr>
        <w:jc w:val="center"/>
        <w:rPr>
          <w:rFonts w:ascii="Calibri" w:hAnsi="Calibri" w:cs="Calibri"/>
          <w:i/>
          <w:iCs/>
          <w:sz w:val="24"/>
          <w:szCs w:val="24"/>
        </w:rPr>
      </w:pPr>
      <w:r w:rsidRPr="006A416D">
        <w:rPr>
          <w:rFonts w:ascii="Calibri" w:hAnsi="Calibri" w:cs="Calibri"/>
          <w:sz w:val="24"/>
          <w:szCs w:val="24"/>
          <w:u w:val="single"/>
        </w:rPr>
        <w:t>Project Proposal:</w:t>
      </w:r>
      <w:r w:rsidRPr="006A416D">
        <w:rPr>
          <w:rFonts w:ascii="Calibri" w:hAnsi="Calibri" w:cs="Calibri"/>
          <w:i/>
          <w:iCs/>
          <w:sz w:val="24"/>
          <w:szCs w:val="24"/>
        </w:rPr>
        <w:t xml:space="preserve"> </w:t>
      </w:r>
      <w:r w:rsidR="002B0C36" w:rsidRPr="006A416D">
        <w:rPr>
          <w:rFonts w:ascii="Calibri" w:hAnsi="Calibri" w:cs="Calibri"/>
          <w:i/>
          <w:iCs/>
          <w:sz w:val="24"/>
          <w:szCs w:val="24"/>
        </w:rPr>
        <w:t>‘</w:t>
      </w:r>
      <w:r w:rsidR="00894762" w:rsidRPr="006A416D">
        <w:rPr>
          <w:rFonts w:ascii="Calibri" w:hAnsi="Calibri" w:cs="Calibri"/>
          <w:i/>
          <w:iCs/>
          <w:sz w:val="24"/>
          <w:szCs w:val="24"/>
        </w:rPr>
        <w:t>Colonial Shadows’: St David’s College, Lampeter and the Legacy of Slavery</w:t>
      </w:r>
      <w:r w:rsidR="002B0C36" w:rsidRPr="006A416D">
        <w:rPr>
          <w:rFonts w:ascii="Calibri" w:hAnsi="Calibri" w:cs="Calibri"/>
          <w:i/>
          <w:iCs/>
          <w:sz w:val="24"/>
          <w:szCs w:val="24"/>
        </w:rPr>
        <w:t>’</w:t>
      </w:r>
    </w:p>
    <w:p w14:paraId="3A57A517" w14:textId="77777777" w:rsidR="0069279F" w:rsidRPr="006A416D" w:rsidRDefault="0069279F" w:rsidP="0069279F">
      <w:pPr>
        <w:jc w:val="center"/>
        <w:rPr>
          <w:rFonts w:ascii="Calibri" w:hAnsi="Calibri" w:cs="Calibri"/>
          <w:i/>
          <w:iCs/>
          <w:sz w:val="24"/>
          <w:szCs w:val="24"/>
        </w:rPr>
      </w:pPr>
    </w:p>
    <w:p w14:paraId="745C4C88" w14:textId="6E996866" w:rsidR="003C1D22" w:rsidRPr="006A416D" w:rsidRDefault="00565276" w:rsidP="002274EB">
      <w:pPr>
        <w:pStyle w:val="ListParagraph"/>
        <w:numPr>
          <w:ilvl w:val="0"/>
          <w:numId w:val="33"/>
        </w:numPr>
        <w:spacing w:before="100" w:beforeAutospacing="1" w:after="0" w:line="360" w:lineRule="auto"/>
        <w:rPr>
          <w:rFonts w:ascii="Calibri" w:hAnsi="Calibri" w:cs="Calibri"/>
          <w:b/>
          <w:bCs/>
          <w:sz w:val="24"/>
          <w:szCs w:val="24"/>
        </w:rPr>
      </w:pPr>
      <w:r w:rsidRPr="006A416D">
        <w:rPr>
          <w:rFonts w:ascii="Calibri" w:hAnsi="Calibri" w:cs="Calibri"/>
          <w:b/>
          <w:bCs/>
          <w:sz w:val="24"/>
          <w:szCs w:val="24"/>
        </w:rPr>
        <w:t>Background</w:t>
      </w:r>
    </w:p>
    <w:p w14:paraId="23E027F8" w14:textId="7700746C" w:rsidR="002274EB" w:rsidRPr="006A416D" w:rsidRDefault="002274EB"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 xml:space="preserve">The history of British universities is deeply intertwined with colonialism and slavery, with </w:t>
      </w:r>
      <w:r w:rsidR="00260097">
        <w:rPr>
          <w:rFonts w:ascii="Calibri" w:eastAsia="Times New Roman" w:hAnsi="Calibri" w:cs="Calibri"/>
          <w:kern w:val="0"/>
          <w:sz w:val="24"/>
          <w:szCs w:val="24"/>
          <w:lang w:eastAsia="en-GB"/>
          <w14:ligatures w14:val="none"/>
        </w:rPr>
        <w:t xml:space="preserve">many </w:t>
      </w:r>
      <w:r w:rsidRPr="006A416D">
        <w:rPr>
          <w:rFonts w:ascii="Calibri" w:eastAsia="Times New Roman" w:hAnsi="Calibri" w:cs="Calibri"/>
          <w:kern w:val="0"/>
          <w:sz w:val="24"/>
          <w:szCs w:val="24"/>
          <w:lang w:eastAsia="en-GB"/>
          <w14:ligatures w14:val="none"/>
        </w:rPr>
        <w:t xml:space="preserve">institutions benefiting both directly and indirectly from financial contributions linked to the transatlantic slave trade (Draper, 2019). </w:t>
      </w:r>
      <w:r w:rsidR="006A416D" w:rsidRPr="006A416D">
        <w:rPr>
          <w:rFonts w:ascii="Calibri" w:eastAsia="Times New Roman" w:hAnsi="Calibri" w:cs="Calibri"/>
          <w:kern w:val="0"/>
          <w:sz w:val="24"/>
          <w:szCs w:val="24"/>
          <w:lang w:eastAsia="en-GB"/>
          <w14:ligatures w14:val="none"/>
        </w:rPr>
        <w:t>As Macdonald (2009, p. 1) argues through the concept of ‘difficult heritage’, societies often struggle to reconcile with morally troubling pasts that challenge public memory and national identity.</w:t>
      </w:r>
      <w:r w:rsidR="006A416D">
        <w:rPr>
          <w:rFonts w:ascii="Calibri" w:eastAsia="Times New Roman" w:hAnsi="Calibri" w:cs="Calibri"/>
          <w:kern w:val="0"/>
          <w:sz w:val="24"/>
          <w:szCs w:val="24"/>
          <w:lang w:eastAsia="en-GB"/>
          <w14:ligatures w14:val="none"/>
        </w:rPr>
        <w:t xml:space="preserve"> </w:t>
      </w:r>
      <w:r w:rsidRPr="006A416D">
        <w:rPr>
          <w:rFonts w:ascii="Calibri" w:eastAsia="Times New Roman" w:hAnsi="Calibri" w:cs="Calibri"/>
          <w:kern w:val="0"/>
          <w:sz w:val="24"/>
          <w:szCs w:val="24"/>
          <w:lang w:eastAsia="en-GB"/>
          <w14:ligatures w14:val="none"/>
        </w:rPr>
        <w:t>St David’s College (SDC), Lampeter, founded in 1822 and now part of the University of Wales Trinity Saint David (UWTSD), is no exception.</w:t>
      </w:r>
    </w:p>
    <w:p w14:paraId="696A07E5" w14:textId="36EFA4B4" w:rsidR="002274EB" w:rsidRPr="006A416D" w:rsidRDefault="002274EB"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 xml:space="preserve">On a personal level, this project reflects a </w:t>
      </w:r>
      <w:r w:rsidR="006A416D">
        <w:rPr>
          <w:rFonts w:ascii="Calibri" w:eastAsia="Times New Roman" w:hAnsi="Calibri" w:cs="Calibri"/>
          <w:kern w:val="0"/>
          <w:sz w:val="24"/>
          <w:szCs w:val="24"/>
          <w:lang w:eastAsia="en-GB"/>
          <w14:ligatures w14:val="none"/>
        </w:rPr>
        <w:t>developing</w:t>
      </w:r>
      <w:r w:rsidRPr="006A416D">
        <w:rPr>
          <w:rFonts w:ascii="Calibri" w:eastAsia="Times New Roman" w:hAnsi="Calibri" w:cs="Calibri"/>
          <w:kern w:val="0"/>
          <w:sz w:val="24"/>
          <w:szCs w:val="24"/>
          <w:lang w:eastAsia="en-GB"/>
          <w14:ligatures w14:val="none"/>
        </w:rPr>
        <w:t xml:space="preserve"> engagement with themes introduced in the </w:t>
      </w:r>
      <w:r w:rsidRPr="006A416D">
        <w:rPr>
          <w:rFonts w:ascii="Calibri" w:eastAsia="Times New Roman" w:hAnsi="Calibri" w:cs="Calibri"/>
          <w:i/>
          <w:iCs/>
          <w:kern w:val="0"/>
          <w:sz w:val="24"/>
          <w:szCs w:val="24"/>
          <w:lang w:eastAsia="en-GB"/>
          <w14:ligatures w14:val="none"/>
        </w:rPr>
        <w:t>Difficult Heritage and Dark Tourism</w:t>
      </w:r>
      <w:r w:rsidRPr="006A416D">
        <w:rPr>
          <w:rFonts w:ascii="Calibri" w:eastAsia="Times New Roman" w:hAnsi="Calibri" w:cs="Calibri"/>
          <w:kern w:val="0"/>
          <w:sz w:val="24"/>
          <w:szCs w:val="24"/>
          <w:lang w:eastAsia="en-GB"/>
          <w14:ligatures w14:val="none"/>
        </w:rPr>
        <w:t xml:space="preserve"> module. Initial research into the Thomas Picton monument in Carmarthen (Youle, 2020) sparked an interest in how histories of slavery and colonialism are remembered, contested, or silenced within public and institutional spaces. This inquiry led to a broader exploration of Welsh connections to colonial slavery</w:t>
      </w:r>
      <w:r w:rsidR="00C73B5E" w:rsidRPr="006A416D">
        <w:rPr>
          <w:rFonts w:ascii="Calibri" w:eastAsia="Times New Roman" w:hAnsi="Calibri" w:cs="Calibri"/>
          <w:kern w:val="0"/>
          <w:sz w:val="24"/>
          <w:szCs w:val="24"/>
          <w:lang w:eastAsia="en-GB"/>
          <w14:ligatures w14:val="none"/>
        </w:rPr>
        <w:t>. It revealed</w:t>
      </w:r>
      <w:r w:rsidRPr="006A416D">
        <w:rPr>
          <w:rFonts w:ascii="Calibri" w:eastAsia="Times New Roman" w:hAnsi="Calibri" w:cs="Calibri"/>
          <w:kern w:val="0"/>
          <w:sz w:val="24"/>
          <w:szCs w:val="24"/>
          <w:lang w:eastAsia="en-GB"/>
          <w14:ligatures w14:val="none"/>
        </w:rPr>
        <w:t xml:space="preserve"> financial and institutional ties between Thomas Phillips, a plantation owner in St Vincent and a major benefactor to SDC (Scott, 2020). While UWTSD has taken some steps to acknowledge this legacy, such as removing Phillips’s bust from public display, there remains a need for deeper and more sustained engagement with the college’s colonial past.</w:t>
      </w:r>
    </w:p>
    <w:p w14:paraId="23BDBBE0" w14:textId="1CFEB1D9" w:rsidR="002274EB" w:rsidRPr="006A416D" w:rsidRDefault="002274EB"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This project will critically examine how colonial wealth linked to the slave trade contributed to the founding and development of SDC. It will assess the strengths and limitations of UWTSD’s current responses to its colonial legacy and propose recommendations for more meaningful engagement with its history. While primarily theoretical</w:t>
      </w:r>
      <w:r w:rsidR="00341E09">
        <w:rPr>
          <w:rFonts w:ascii="Calibri" w:eastAsia="Times New Roman" w:hAnsi="Calibri" w:cs="Calibri"/>
          <w:kern w:val="0"/>
          <w:sz w:val="24"/>
          <w:szCs w:val="24"/>
          <w:lang w:eastAsia="en-GB"/>
          <w14:ligatures w14:val="none"/>
        </w:rPr>
        <w:t xml:space="preserve"> </w:t>
      </w:r>
      <w:r w:rsidR="00341E09" w:rsidRPr="00341E09">
        <w:rPr>
          <w:rFonts w:ascii="Calibri" w:eastAsia="Times New Roman" w:hAnsi="Calibri" w:cs="Calibri"/>
          <w:kern w:val="0"/>
          <w:sz w:val="24"/>
          <w:szCs w:val="24"/>
          <w:lang w:eastAsia="en-GB"/>
          <w14:ligatures w14:val="none"/>
        </w:rPr>
        <w:t>and driven by academic research</w:t>
      </w:r>
      <w:r w:rsidRPr="006A416D">
        <w:rPr>
          <w:rFonts w:ascii="Calibri" w:eastAsia="Times New Roman" w:hAnsi="Calibri" w:cs="Calibri"/>
          <w:kern w:val="0"/>
          <w:sz w:val="24"/>
          <w:szCs w:val="24"/>
          <w:lang w:eastAsia="en-GB"/>
          <w14:ligatures w14:val="none"/>
        </w:rPr>
        <w:t xml:space="preserve">, the project incorporates practical elements, including archival research and site visits to the original SDC building. </w:t>
      </w:r>
      <w:r w:rsidR="006A416D" w:rsidRPr="006A416D">
        <w:rPr>
          <w:rFonts w:ascii="Calibri" w:eastAsia="Times New Roman" w:hAnsi="Calibri" w:cs="Calibri"/>
          <w:kern w:val="0"/>
          <w:sz w:val="24"/>
          <w:szCs w:val="24"/>
          <w:lang w:eastAsia="en-GB"/>
          <w14:ligatures w14:val="none"/>
        </w:rPr>
        <w:t xml:space="preserve">These methods allow for direct engagement with the </w:t>
      </w:r>
      <w:r w:rsidR="00617C4D">
        <w:rPr>
          <w:rFonts w:ascii="Calibri" w:eastAsia="Times New Roman" w:hAnsi="Calibri" w:cs="Calibri"/>
          <w:kern w:val="0"/>
          <w:sz w:val="24"/>
          <w:szCs w:val="24"/>
          <w:lang w:eastAsia="en-GB"/>
          <w14:ligatures w14:val="none"/>
        </w:rPr>
        <w:t>material traces</w:t>
      </w:r>
      <w:r w:rsidR="006A416D" w:rsidRPr="006A416D">
        <w:rPr>
          <w:rFonts w:ascii="Calibri" w:eastAsia="Times New Roman" w:hAnsi="Calibri" w:cs="Calibri"/>
          <w:kern w:val="0"/>
          <w:sz w:val="24"/>
          <w:szCs w:val="24"/>
          <w:lang w:eastAsia="en-GB"/>
          <w14:ligatures w14:val="none"/>
        </w:rPr>
        <w:t xml:space="preserve"> of the college’s past, contributing to a more grounded understanding of how its colonial legacy is embodied and remembered</w:t>
      </w:r>
      <w:r w:rsidR="006A416D">
        <w:rPr>
          <w:rFonts w:ascii="Calibri" w:eastAsia="Times New Roman" w:hAnsi="Calibri" w:cs="Calibri"/>
          <w:kern w:val="0"/>
          <w:sz w:val="24"/>
          <w:szCs w:val="24"/>
          <w:lang w:eastAsia="en-GB"/>
          <w14:ligatures w14:val="none"/>
        </w:rPr>
        <w:t>.</w:t>
      </w:r>
    </w:p>
    <w:p w14:paraId="70F1913B" w14:textId="5CC659EC" w:rsidR="002274EB" w:rsidRPr="006A416D" w:rsidRDefault="0033729B"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 xml:space="preserve">This research contributes to the fields of colonial and postcolonial history, slavery studies, and heritage. By employing an interdisciplinary approach, it explores themes of institutional </w:t>
      </w:r>
      <w:r w:rsidRPr="006A416D">
        <w:rPr>
          <w:rFonts w:ascii="Calibri" w:eastAsia="Times New Roman" w:hAnsi="Calibri" w:cs="Calibri"/>
          <w:kern w:val="0"/>
          <w:sz w:val="24"/>
          <w:szCs w:val="24"/>
          <w:lang w:eastAsia="en-GB"/>
          <w14:ligatures w14:val="none"/>
        </w:rPr>
        <w:lastRenderedPageBreak/>
        <w:t>accountability and contested heritage, specifically examining how universities address their morally complex histories. The project aims to develop skills in archival research, critical historical analysis, and ethical reflection while contributing to the growing discussion on Wales and the legacies of slavery</w:t>
      </w:r>
      <w:r w:rsidR="002274EB" w:rsidRPr="006A416D">
        <w:rPr>
          <w:rFonts w:ascii="Calibri" w:eastAsia="Times New Roman" w:hAnsi="Calibri" w:cs="Calibri"/>
          <w:kern w:val="0"/>
          <w:sz w:val="24"/>
          <w:szCs w:val="24"/>
          <w:lang w:eastAsia="en-GB"/>
          <w14:ligatures w14:val="none"/>
        </w:rPr>
        <w:t xml:space="preserve">. </w:t>
      </w:r>
    </w:p>
    <w:p w14:paraId="1EEE8FF0" w14:textId="113E3B2A" w:rsidR="002274EB" w:rsidRPr="006A416D" w:rsidRDefault="002274EB" w:rsidP="002274EB">
      <w:pPr>
        <w:pStyle w:val="ListParagraph"/>
        <w:numPr>
          <w:ilvl w:val="0"/>
          <w:numId w:val="33"/>
        </w:numPr>
        <w:rPr>
          <w:rFonts w:ascii="Calibri" w:hAnsi="Calibri" w:cs="Calibri"/>
          <w:b/>
          <w:bCs/>
          <w:sz w:val="24"/>
          <w:szCs w:val="24"/>
        </w:rPr>
      </w:pPr>
      <w:r w:rsidRPr="006A416D">
        <w:rPr>
          <w:rFonts w:ascii="Calibri" w:hAnsi="Calibri" w:cs="Calibri"/>
          <w:b/>
          <w:bCs/>
          <w:sz w:val="24"/>
          <w:szCs w:val="24"/>
        </w:rPr>
        <w:t>Aims and Objectives</w:t>
      </w:r>
    </w:p>
    <w:p w14:paraId="4114A694" w14:textId="77777777" w:rsidR="002274EB" w:rsidRPr="006A416D" w:rsidRDefault="002274EB" w:rsidP="002274EB">
      <w:pPr>
        <w:rPr>
          <w:rFonts w:ascii="Calibri" w:hAnsi="Calibri" w:cs="Calibri"/>
          <w:b/>
          <w:bCs/>
          <w:sz w:val="24"/>
          <w:szCs w:val="24"/>
        </w:rPr>
      </w:pPr>
      <w:r w:rsidRPr="006A416D">
        <w:rPr>
          <w:rFonts w:ascii="Calibri" w:hAnsi="Calibri" w:cs="Calibri"/>
          <w:sz w:val="24"/>
          <w:szCs w:val="24"/>
        </w:rPr>
        <w:t>This project aims to:</w:t>
      </w:r>
    </w:p>
    <w:p w14:paraId="7C1AD6C2" w14:textId="34AC351B" w:rsidR="0069279F" w:rsidRPr="006A416D" w:rsidRDefault="002274EB" w:rsidP="00260097">
      <w:pPr>
        <w:numPr>
          <w:ilvl w:val="0"/>
          <w:numId w:val="30"/>
        </w:numPr>
        <w:spacing w:after="120" w:line="360" w:lineRule="auto"/>
        <w:rPr>
          <w:rFonts w:ascii="Calibri" w:hAnsi="Calibri" w:cs="Calibri"/>
          <w:sz w:val="24"/>
          <w:szCs w:val="24"/>
        </w:rPr>
      </w:pPr>
      <w:r w:rsidRPr="003E206D">
        <w:rPr>
          <w:rFonts w:ascii="Calibri" w:hAnsi="Calibri" w:cs="Calibri"/>
          <w:sz w:val="24"/>
          <w:szCs w:val="24"/>
        </w:rPr>
        <w:t>Investigate the historical and financial connections</w:t>
      </w:r>
      <w:r w:rsidRPr="006A416D">
        <w:rPr>
          <w:rFonts w:ascii="Calibri" w:hAnsi="Calibri" w:cs="Calibri"/>
          <w:sz w:val="24"/>
          <w:szCs w:val="24"/>
        </w:rPr>
        <w:t>, both direct and indirect,</w:t>
      </w:r>
      <w:r w:rsidRPr="003E206D">
        <w:rPr>
          <w:rFonts w:ascii="Calibri" w:hAnsi="Calibri" w:cs="Calibri"/>
          <w:sz w:val="24"/>
          <w:szCs w:val="24"/>
        </w:rPr>
        <w:t xml:space="preserve"> between </w:t>
      </w:r>
      <w:r w:rsidRPr="006A416D">
        <w:rPr>
          <w:rFonts w:ascii="Calibri" w:hAnsi="Calibri" w:cs="Calibri"/>
          <w:sz w:val="24"/>
          <w:szCs w:val="24"/>
        </w:rPr>
        <w:t>SDC</w:t>
      </w:r>
      <w:r w:rsidRPr="003E206D">
        <w:rPr>
          <w:rFonts w:ascii="Calibri" w:hAnsi="Calibri" w:cs="Calibri"/>
          <w:sz w:val="24"/>
          <w:szCs w:val="24"/>
        </w:rPr>
        <w:t xml:space="preserve"> and the </w:t>
      </w:r>
      <w:r w:rsidR="0069279F" w:rsidRPr="006A416D">
        <w:rPr>
          <w:rFonts w:ascii="Calibri" w:hAnsi="Calibri" w:cs="Calibri"/>
          <w:sz w:val="24"/>
          <w:szCs w:val="24"/>
        </w:rPr>
        <w:t>colonial</w:t>
      </w:r>
      <w:r w:rsidRPr="003E206D">
        <w:rPr>
          <w:rFonts w:ascii="Calibri" w:hAnsi="Calibri" w:cs="Calibri"/>
          <w:sz w:val="24"/>
          <w:szCs w:val="24"/>
        </w:rPr>
        <w:t xml:space="preserve"> slave trade.</w:t>
      </w:r>
    </w:p>
    <w:p w14:paraId="5DFC1256" w14:textId="23292270" w:rsidR="002274EB" w:rsidRPr="003E206D" w:rsidRDefault="002274EB" w:rsidP="00260097">
      <w:pPr>
        <w:spacing w:after="120" w:line="360" w:lineRule="auto"/>
        <w:rPr>
          <w:rFonts w:ascii="Calibri" w:hAnsi="Calibri" w:cs="Calibri"/>
          <w:sz w:val="24"/>
          <w:szCs w:val="24"/>
        </w:rPr>
      </w:pPr>
      <w:r w:rsidRPr="003E206D">
        <w:rPr>
          <w:rFonts w:ascii="Calibri" w:hAnsi="Calibri" w:cs="Calibri"/>
          <w:sz w:val="24"/>
          <w:szCs w:val="24"/>
        </w:rPr>
        <w:br/>
        <w:t>By the end of this project, I</w:t>
      </w:r>
      <w:r w:rsidRPr="006A416D">
        <w:rPr>
          <w:rFonts w:ascii="Calibri" w:hAnsi="Calibri" w:cs="Calibri"/>
          <w:sz w:val="24"/>
          <w:szCs w:val="24"/>
        </w:rPr>
        <w:t xml:space="preserve"> want to be able to</w:t>
      </w:r>
      <w:r w:rsidRPr="003E206D">
        <w:rPr>
          <w:rFonts w:ascii="Calibri" w:hAnsi="Calibri" w:cs="Calibri"/>
          <w:sz w:val="24"/>
          <w:szCs w:val="24"/>
        </w:rPr>
        <w:t>:</w:t>
      </w:r>
    </w:p>
    <w:p w14:paraId="2A58680D" w14:textId="40485CED" w:rsidR="002274EB" w:rsidRPr="003E206D" w:rsidRDefault="002274EB" w:rsidP="00B778C5">
      <w:pPr>
        <w:numPr>
          <w:ilvl w:val="0"/>
          <w:numId w:val="31"/>
        </w:numPr>
        <w:spacing w:after="0" w:line="360" w:lineRule="auto"/>
        <w:ind w:left="714" w:hanging="357"/>
        <w:rPr>
          <w:rFonts w:ascii="Calibri" w:hAnsi="Calibri" w:cs="Calibri"/>
          <w:sz w:val="24"/>
          <w:szCs w:val="24"/>
        </w:rPr>
      </w:pPr>
      <w:r w:rsidRPr="006A416D">
        <w:rPr>
          <w:rFonts w:ascii="Calibri" w:hAnsi="Calibri" w:cs="Calibri"/>
          <w:sz w:val="24"/>
          <w:szCs w:val="24"/>
        </w:rPr>
        <w:t xml:space="preserve">Identify and critically analyse historical evidence linking SDC to </w:t>
      </w:r>
      <w:r w:rsidR="00B16208" w:rsidRPr="006A416D">
        <w:rPr>
          <w:rFonts w:ascii="Calibri" w:hAnsi="Calibri" w:cs="Calibri"/>
          <w:sz w:val="24"/>
          <w:szCs w:val="24"/>
        </w:rPr>
        <w:t xml:space="preserve">the </w:t>
      </w:r>
      <w:r w:rsidRPr="006A416D">
        <w:rPr>
          <w:rFonts w:ascii="Calibri" w:hAnsi="Calibri" w:cs="Calibri"/>
          <w:sz w:val="24"/>
          <w:szCs w:val="24"/>
        </w:rPr>
        <w:t>colonial slave</w:t>
      </w:r>
      <w:r w:rsidR="00B16208" w:rsidRPr="006A416D">
        <w:rPr>
          <w:rFonts w:ascii="Calibri" w:hAnsi="Calibri" w:cs="Calibri"/>
          <w:sz w:val="24"/>
          <w:szCs w:val="24"/>
        </w:rPr>
        <w:t xml:space="preserve"> trade</w:t>
      </w:r>
      <w:r w:rsidRPr="006A416D">
        <w:rPr>
          <w:rFonts w:ascii="Calibri" w:hAnsi="Calibri" w:cs="Calibri"/>
          <w:sz w:val="24"/>
          <w:szCs w:val="24"/>
        </w:rPr>
        <w:t>.</w:t>
      </w:r>
    </w:p>
    <w:p w14:paraId="1C9C8966" w14:textId="77777777" w:rsidR="002274EB" w:rsidRPr="003E206D" w:rsidRDefault="002274EB" w:rsidP="00B778C5">
      <w:pPr>
        <w:numPr>
          <w:ilvl w:val="0"/>
          <w:numId w:val="31"/>
        </w:numPr>
        <w:spacing w:after="0" w:line="360" w:lineRule="auto"/>
        <w:ind w:left="714" w:hanging="357"/>
        <w:rPr>
          <w:rFonts w:ascii="Calibri" w:hAnsi="Calibri" w:cs="Calibri"/>
          <w:sz w:val="24"/>
          <w:szCs w:val="24"/>
        </w:rPr>
      </w:pPr>
      <w:r w:rsidRPr="006A416D">
        <w:rPr>
          <w:rFonts w:ascii="Calibri" w:hAnsi="Calibri" w:cs="Calibri"/>
          <w:sz w:val="24"/>
          <w:szCs w:val="24"/>
        </w:rPr>
        <w:t>Evaluate UWTSD’s responses to its colonial legacy</w:t>
      </w:r>
      <w:r w:rsidRPr="003E206D">
        <w:rPr>
          <w:rFonts w:ascii="Calibri" w:hAnsi="Calibri" w:cs="Calibri"/>
          <w:sz w:val="24"/>
          <w:szCs w:val="24"/>
        </w:rPr>
        <w:t>.</w:t>
      </w:r>
    </w:p>
    <w:p w14:paraId="3C4FDD41" w14:textId="77777777" w:rsidR="002274EB" w:rsidRPr="006A416D" w:rsidRDefault="002274EB" w:rsidP="00B778C5">
      <w:pPr>
        <w:numPr>
          <w:ilvl w:val="0"/>
          <w:numId w:val="31"/>
        </w:numPr>
        <w:spacing w:after="0" w:line="360" w:lineRule="auto"/>
        <w:ind w:left="714" w:hanging="357"/>
        <w:rPr>
          <w:rFonts w:ascii="Calibri" w:hAnsi="Calibri" w:cs="Calibri"/>
          <w:sz w:val="24"/>
          <w:szCs w:val="24"/>
        </w:rPr>
      </w:pPr>
      <w:r w:rsidRPr="006A416D">
        <w:rPr>
          <w:rFonts w:ascii="Calibri" w:hAnsi="Calibri" w:cs="Calibri"/>
          <w:sz w:val="24"/>
          <w:szCs w:val="24"/>
        </w:rPr>
        <w:t>Formulate</w:t>
      </w:r>
      <w:r w:rsidRPr="003E206D">
        <w:rPr>
          <w:rFonts w:ascii="Calibri" w:hAnsi="Calibri" w:cs="Calibri"/>
          <w:sz w:val="24"/>
          <w:szCs w:val="24"/>
        </w:rPr>
        <w:t xml:space="preserve"> recommendations for how UWTSD </w:t>
      </w:r>
      <w:r w:rsidRPr="006A416D">
        <w:rPr>
          <w:rFonts w:ascii="Calibri" w:hAnsi="Calibri" w:cs="Calibri"/>
          <w:sz w:val="24"/>
          <w:szCs w:val="24"/>
        </w:rPr>
        <w:t>might more meaningfully engage with its contested heritage</w:t>
      </w:r>
      <w:r w:rsidRPr="003E206D">
        <w:rPr>
          <w:rFonts w:ascii="Calibri" w:hAnsi="Calibri" w:cs="Calibri"/>
          <w:sz w:val="24"/>
          <w:szCs w:val="24"/>
        </w:rPr>
        <w:t>.</w:t>
      </w:r>
    </w:p>
    <w:p w14:paraId="24C5A7F9" w14:textId="77777777" w:rsidR="002274EB" w:rsidRPr="006A416D" w:rsidRDefault="002274EB" w:rsidP="002274EB">
      <w:pPr>
        <w:spacing w:line="360" w:lineRule="auto"/>
        <w:ind w:left="720"/>
        <w:rPr>
          <w:rFonts w:ascii="Calibri" w:hAnsi="Calibri" w:cs="Calibri"/>
          <w:sz w:val="24"/>
          <w:szCs w:val="24"/>
        </w:rPr>
      </w:pPr>
    </w:p>
    <w:p w14:paraId="7762CCE1" w14:textId="20BE3B24" w:rsidR="002274EB" w:rsidRPr="006A416D" w:rsidRDefault="002274EB" w:rsidP="002274EB">
      <w:pPr>
        <w:pStyle w:val="ListParagraph"/>
        <w:numPr>
          <w:ilvl w:val="0"/>
          <w:numId w:val="33"/>
        </w:numPr>
        <w:rPr>
          <w:rFonts w:ascii="Calibri" w:hAnsi="Calibri" w:cs="Calibri"/>
          <w:b/>
          <w:bCs/>
          <w:sz w:val="24"/>
          <w:szCs w:val="24"/>
        </w:rPr>
      </w:pPr>
      <w:r w:rsidRPr="006A416D">
        <w:rPr>
          <w:rFonts w:ascii="Calibri" w:hAnsi="Calibri" w:cs="Calibri"/>
          <w:b/>
          <w:bCs/>
          <w:sz w:val="24"/>
          <w:szCs w:val="24"/>
        </w:rPr>
        <w:t>Research Gap</w:t>
      </w:r>
    </w:p>
    <w:p w14:paraId="5F25E9C0" w14:textId="77777777" w:rsidR="007256B2" w:rsidRDefault="007256B2"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7256B2">
        <w:rPr>
          <w:rFonts w:ascii="Calibri" w:eastAsia="Times New Roman" w:hAnsi="Calibri" w:cs="Calibri"/>
          <w:kern w:val="0"/>
          <w:sz w:val="24"/>
          <w:szCs w:val="24"/>
          <w:lang w:eastAsia="en-GB"/>
          <w14:ligatures w14:val="none"/>
        </w:rPr>
        <w:t>While existing research has explored SDC’s colonial ties, this project aims to evaluate and expand upon this work by identifying further evidence of institutional involvement in the slave trade.</w:t>
      </w:r>
      <w:r>
        <w:rPr>
          <w:rFonts w:ascii="Calibri" w:eastAsia="Times New Roman" w:hAnsi="Calibri" w:cs="Calibri"/>
          <w:kern w:val="0"/>
          <w:sz w:val="24"/>
          <w:szCs w:val="24"/>
          <w:lang w:eastAsia="en-GB"/>
          <w14:ligatures w14:val="none"/>
        </w:rPr>
        <w:t xml:space="preserve"> </w:t>
      </w:r>
    </w:p>
    <w:p w14:paraId="4C536CC8" w14:textId="4042D659" w:rsidR="002274EB" w:rsidRPr="006A416D" w:rsidRDefault="002274EB"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Key research questions:</w:t>
      </w:r>
    </w:p>
    <w:p w14:paraId="771540F1" w14:textId="77777777" w:rsidR="00B16208" w:rsidRPr="006A416D" w:rsidRDefault="002274EB" w:rsidP="00B16208">
      <w:pPr>
        <w:pStyle w:val="ListParagraph"/>
        <w:numPr>
          <w:ilvl w:val="0"/>
          <w:numId w:val="37"/>
        </w:num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How was St David’s College financially and institutionally connected to</w:t>
      </w:r>
      <w:r w:rsidR="00B16208" w:rsidRPr="006A416D">
        <w:rPr>
          <w:rFonts w:ascii="Calibri" w:eastAsia="Times New Roman" w:hAnsi="Calibri" w:cs="Calibri"/>
          <w:kern w:val="0"/>
          <w:sz w:val="24"/>
          <w:szCs w:val="24"/>
          <w:lang w:eastAsia="en-GB"/>
          <w14:ligatures w14:val="none"/>
        </w:rPr>
        <w:t xml:space="preserve"> and benefited from</w:t>
      </w:r>
      <w:r w:rsidRPr="006A416D">
        <w:rPr>
          <w:rFonts w:ascii="Calibri" w:eastAsia="Times New Roman" w:hAnsi="Calibri" w:cs="Calibri"/>
          <w:kern w:val="0"/>
          <w:sz w:val="24"/>
          <w:szCs w:val="24"/>
          <w:lang w:eastAsia="en-GB"/>
          <w14:ligatures w14:val="none"/>
        </w:rPr>
        <w:t xml:space="preserve"> the colonial slave trade</w:t>
      </w:r>
      <w:r w:rsidR="00B16208" w:rsidRPr="006A416D">
        <w:rPr>
          <w:rFonts w:ascii="Calibri" w:eastAsia="Times New Roman" w:hAnsi="Calibri" w:cs="Calibri"/>
          <w:kern w:val="0"/>
          <w:sz w:val="24"/>
          <w:szCs w:val="24"/>
          <w:lang w:eastAsia="en-GB"/>
          <w14:ligatures w14:val="none"/>
        </w:rPr>
        <w:t xml:space="preserve"> both directly and indirectly</w:t>
      </w:r>
      <w:r w:rsidRPr="006A416D">
        <w:rPr>
          <w:rFonts w:ascii="Calibri" w:eastAsia="Times New Roman" w:hAnsi="Calibri" w:cs="Calibri"/>
          <w:kern w:val="0"/>
          <w:sz w:val="24"/>
          <w:szCs w:val="24"/>
          <w:lang w:eastAsia="en-GB"/>
          <w14:ligatures w14:val="none"/>
        </w:rPr>
        <w:t>?</w:t>
      </w:r>
    </w:p>
    <w:p w14:paraId="32DD4DDD" w14:textId="6BBC7DAC" w:rsidR="00B16208" w:rsidRPr="006A416D" w:rsidRDefault="00B778C5" w:rsidP="00B16208">
      <w:pPr>
        <w:pStyle w:val="ListParagraph"/>
        <w:numPr>
          <w:ilvl w:val="0"/>
          <w:numId w:val="37"/>
        </w:num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How has the UWTSD acknowledged and responded to this colonial legacy</w:t>
      </w:r>
      <w:r w:rsidR="002274EB" w:rsidRPr="006A416D">
        <w:rPr>
          <w:rFonts w:ascii="Calibri" w:eastAsia="Times New Roman" w:hAnsi="Calibri" w:cs="Calibri"/>
          <w:kern w:val="0"/>
          <w:sz w:val="24"/>
          <w:szCs w:val="24"/>
          <w:lang w:eastAsia="en-GB"/>
          <w14:ligatures w14:val="none"/>
        </w:rPr>
        <w:t>?</w:t>
      </w:r>
    </w:p>
    <w:p w14:paraId="000F26B9" w14:textId="390A61AB" w:rsidR="00B778C5" w:rsidRPr="006A416D" w:rsidRDefault="00B778C5" w:rsidP="00B16208">
      <w:pPr>
        <w:pStyle w:val="ListParagraph"/>
        <w:numPr>
          <w:ilvl w:val="0"/>
          <w:numId w:val="37"/>
        </w:num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How does UWTSD’s approach compare to that of other UK universities confronting similar legacies?</w:t>
      </w:r>
    </w:p>
    <w:p w14:paraId="05756AAB" w14:textId="36002483" w:rsidR="00B778C5" w:rsidRPr="007256B2" w:rsidRDefault="00B778C5" w:rsidP="007256B2">
      <w:pPr>
        <w:pStyle w:val="ListParagraph"/>
        <w:numPr>
          <w:ilvl w:val="0"/>
          <w:numId w:val="37"/>
        </w:num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What further steps could UWTSD take to engage more meaningfully with its contested heritage?</w:t>
      </w:r>
    </w:p>
    <w:p w14:paraId="0EE266D4" w14:textId="32D84428" w:rsidR="00C677AA" w:rsidRPr="006A416D" w:rsidRDefault="000E751D" w:rsidP="002274EB">
      <w:pPr>
        <w:pStyle w:val="ListParagraph"/>
        <w:numPr>
          <w:ilvl w:val="0"/>
          <w:numId w:val="33"/>
        </w:numPr>
        <w:spacing w:before="100" w:beforeAutospacing="1" w:after="100" w:afterAutospacing="1" w:line="360" w:lineRule="auto"/>
        <w:rPr>
          <w:rFonts w:ascii="Calibri" w:hAnsi="Calibri" w:cs="Calibri"/>
          <w:b/>
          <w:bCs/>
          <w:color w:val="000000"/>
          <w:sz w:val="24"/>
          <w:szCs w:val="24"/>
          <w:shd w:val="clear" w:color="auto" w:fill="FFFFFF"/>
        </w:rPr>
      </w:pPr>
      <w:r w:rsidRPr="006A416D">
        <w:rPr>
          <w:rFonts w:ascii="Calibri" w:hAnsi="Calibri" w:cs="Calibri"/>
          <w:b/>
          <w:bCs/>
          <w:color w:val="000000"/>
          <w:sz w:val="24"/>
          <w:szCs w:val="24"/>
          <w:shd w:val="clear" w:color="auto" w:fill="FFFFFF"/>
        </w:rPr>
        <w:lastRenderedPageBreak/>
        <w:t>Literature Review</w:t>
      </w:r>
    </w:p>
    <w:p w14:paraId="3DF0463E" w14:textId="510449D7" w:rsidR="002221C8" w:rsidRPr="006A416D" w:rsidRDefault="002221C8" w:rsidP="00B16208">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u w:val="single"/>
          <w:lang w:eastAsia="en-GB"/>
          <w14:ligatures w14:val="none"/>
        </w:rPr>
        <w:t>St David’s College, Lampeter: Historical Foundations and Colonial Wealth</w:t>
      </w:r>
      <w:r w:rsidRPr="006A416D">
        <w:rPr>
          <w:rFonts w:ascii="Calibri" w:eastAsia="Times New Roman" w:hAnsi="Calibri" w:cs="Calibri"/>
          <w:kern w:val="0"/>
          <w:sz w:val="24"/>
          <w:szCs w:val="24"/>
          <w:lang w:eastAsia="en-GB"/>
          <w14:ligatures w14:val="none"/>
        </w:rPr>
        <w:br/>
        <w:t xml:space="preserve">Existing scholarship on St David’s College (SDC) has primarily focused on its role in Welsh higher education, with Price (1977) providing a comprehensive history of the institution. However, more recent research has begun to uncover the college's financial connections to the transatlantic slave trade, particularly through figures such as Thomas Phillips, whose wealth played a significant role in shaping the college’s early finances. Scott (2024) highlights these links, calling for </w:t>
      </w:r>
      <w:r w:rsidR="00B220CA" w:rsidRPr="006A416D">
        <w:rPr>
          <w:rFonts w:ascii="Calibri" w:eastAsia="Times New Roman" w:hAnsi="Calibri" w:cs="Calibri"/>
          <w:kern w:val="0"/>
          <w:sz w:val="24"/>
          <w:szCs w:val="24"/>
          <w:lang w:eastAsia="en-GB"/>
          <w14:ligatures w14:val="none"/>
        </w:rPr>
        <w:t>re-evaluating</w:t>
      </w:r>
      <w:r w:rsidRPr="006A416D">
        <w:rPr>
          <w:rFonts w:ascii="Calibri" w:eastAsia="Times New Roman" w:hAnsi="Calibri" w:cs="Calibri"/>
          <w:kern w:val="0"/>
          <w:sz w:val="24"/>
          <w:szCs w:val="24"/>
          <w:lang w:eastAsia="en-GB"/>
          <w14:ligatures w14:val="none"/>
        </w:rPr>
        <w:t xml:space="preserve"> memorials and advocating for a decolonised approach to Welsh heritage.</w:t>
      </w:r>
    </w:p>
    <w:p w14:paraId="45C37AFC" w14:textId="77777777" w:rsidR="002221C8" w:rsidRPr="006A416D" w:rsidRDefault="002221C8" w:rsidP="002221C8">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u w:val="single"/>
          <w:lang w:eastAsia="en-GB"/>
          <w14:ligatures w14:val="none"/>
        </w:rPr>
        <w:t>Universities and Slavery</w:t>
      </w:r>
      <w:r w:rsidRPr="006A416D">
        <w:rPr>
          <w:rFonts w:ascii="Calibri" w:eastAsia="Times New Roman" w:hAnsi="Calibri" w:cs="Calibri"/>
          <w:kern w:val="0"/>
          <w:sz w:val="24"/>
          <w:szCs w:val="24"/>
          <w:lang w:eastAsia="en-GB"/>
          <w14:ligatures w14:val="none"/>
        </w:rPr>
        <w:br/>
        <w:t>Research indicates that many British universities, including those in Wales, benefitted financially from slavery and the transatlantic trade, often through donations from enslavers (Draper, 2019). At UWTSD, research has revealed financial ties to figures such as John Scandrett Harford and Philip John Miles, whose wealth was linked to the transatlantic trade and Caribbean plantations. Despite this, colonial connections remain largely absent from the university’s official narrative (Davies, no date). Case studies from institutions like Glasgow, Oxford, and Cambridge demonstrate varied approaches to addressing these legacies, from financial reparations to curriculum reforms (Mullen, 2021).</w:t>
      </w:r>
    </w:p>
    <w:p w14:paraId="500ED078" w14:textId="4F87BEA1" w:rsidR="00DB0C50" w:rsidRPr="006A416D" w:rsidRDefault="002221C8" w:rsidP="002274E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u w:val="single"/>
          <w:lang w:eastAsia="en-GB"/>
          <w14:ligatures w14:val="none"/>
        </w:rPr>
        <w:t>Memory, Heritage, and Decolonisation</w:t>
      </w:r>
      <w:r w:rsidRPr="006A416D">
        <w:rPr>
          <w:rFonts w:ascii="Calibri" w:eastAsia="Times New Roman" w:hAnsi="Calibri" w:cs="Calibri"/>
          <w:kern w:val="0"/>
          <w:sz w:val="24"/>
          <w:szCs w:val="24"/>
          <w:lang w:eastAsia="en-GB"/>
          <w14:ligatures w14:val="none"/>
        </w:rPr>
        <w:br/>
      </w:r>
      <w:r w:rsidR="00A5520F" w:rsidRPr="006A416D">
        <w:rPr>
          <w:rFonts w:ascii="Calibri" w:eastAsia="Times New Roman" w:hAnsi="Calibri" w:cs="Calibri"/>
          <w:kern w:val="0"/>
          <w:sz w:val="24"/>
          <w:szCs w:val="24"/>
          <w:lang w:eastAsia="en-GB"/>
          <w14:ligatures w14:val="none"/>
        </w:rPr>
        <w:t xml:space="preserve">Drayton (2019) critiques traditional heritage narratives for reinforcing colonial power, advocating for more inclusive perspectives. Similarly, Chowdhury (2021) examines how movements like </w:t>
      </w:r>
      <w:r w:rsidR="00A5520F" w:rsidRPr="006A416D">
        <w:rPr>
          <w:rFonts w:ascii="Calibri" w:eastAsia="Times New Roman" w:hAnsi="Calibri" w:cs="Calibri"/>
          <w:i/>
          <w:iCs/>
          <w:kern w:val="0"/>
          <w:sz w:val="24"/>
          <w:szCs w:val="24"/>
          <w:lang w:eastAsia="en-GB"/>
          <w14:ligatures w14:val="none"/>
        </w:rPr>
        <w:t>Rhodes Must Fall</w:t>
      </w:r>
      <w:r w:rsidR="00A5520F" w:rsidRPr="006A416D">
        <w:rPr>
          <w:rFonts w:ascii="Calibri" w:eastAsia="Times New Roman" w:hAnsi="Calibri" w:cs="Calibri"/>
          <w:kern w:val="0"/>
          <w:sz w:val="24"/>
          <w:szCs w:val="24"/>
          <w:lang w:eastAsia="en-GB"/>
          <w14:ligatures w14:val="none"/>
        </w:rPr>
        <w:t xml:space="preserve"> challenge dominant historical narratives by calling for </w:t>
      </w:r>
      <w:r w:rsidR="00B220CA" w:rsidRPr="006A416D">
        <w:rPr>
          <w:rFonts w:ascii="Calibri" w:eastAsia="Times New Roman" w:hAnsi="Calibri" w:cs="Calibri"/>
          <w:kern w:val="0"/>
          <w:sz w:val="24"/>
          <w:szCs w:val="24"/>
          <w:lang w:eastAsia="en-GB"/>
          <w14:ligatures w14:val="none"/>
        </w:rPr>
        <w:t>removing</w:t>
      </w:r>
      <w:r w:rsidR="00A5520F" w:rsidRPr="006A416D">
        <w:rPr>
          <w:rFonts w:ascii="Calibri" w:eastAsia="Times New Roman" w:hAnsi="Calibri" w:cs="Calibri"/>
          <w:kern w:val="0"/>
          <w:sz w:val="24"/>
          <w:szCs w:val="24"/>
          <w:lang w:eastAsia="en-GB"/>
          <w14:ligatures w14:val="none"/>
        </w:rPr>
        <w:t xml:space="preserve"> colonial symbols. Both views are relevant to SDC, as they encourage a more inclusive and critical approach to engaging with its contested colonial heritage, especially in reconsidering how it presents and addresses its historical ties to slavery and colonialism. Universities are increasingly pressured to reassess statues and names linked to historical injustices (Burch-Brown, 2017). In Wales, </w:t>
      </w:r>
      <w:r w:rsidR="00A5520F" w:rsidRPr="006A416D">
        <w:rPr>
          <w:rFonts w:ascii="Calibri" w:eastAsia="Times New Roman" w:hAnsi="Calibri" w:cs="Calibri"/>
          <w:i/>
          <w:iCs/>
          <w:kern w:val="0"/>
          <w:sz w:val="24"/>
          <w:szCs w:val="24"/>
          <w:lang w:eastAsia="en-GB"/>
          <w14:ligatures w14:val="none"/>
        </w:rPr>
        <w:t>The Slave Trade and the British Empire</w:t>
      </w:r>
      <w:r w:rsidR="00A5520F" w:rsidRPr="006A416D">
        <w:rPr>
          <w:rFonts w:ascii="Calibri" w:eastAsia="Times New Roman" w:hAnsi="Calibri" w:cs="Calibri"/>
          <w:kern w:val="0"/>
          <w:sz w:val="24"/>
          <w:szCs w:val="24"/>
          <w:lang w:eastAsia="en-GB"/>
          <w14:ligatures w14:val="none"/>
        </w:rPr>
        <w:t xml:space="preserve"> (2020) identified 209 slavery-linked monuments needing better context (Legall, 2021), while the </w:t>
      </w:r>
      <w:r w:rsidR="00A5520F" w:rsidRPr="006A416D">
        <w:rPr>
          <w:rFonts w:ascii="Calibri" w:eastAsia="Times New Roman" w:hAnsi="Calibri" w:cs="Calibri"/>
          <w:i/>
          <w:iCs/>
          <w:kern w:val="0"/>
          <w:sz w:val="24"/>
          <w:szCs w:val="24"/>
          <w:lang w:eastAsia="en-GB"/>
          <w14:ligatures w14:val="none"/>
        </w:rPr>
        <w:t>Set in Stone?</w:t>
      </w:r>
      <w:r w:rsidR="00A5520F" w:rsidRPr="006A416D">
        <w:rPr>
          <w:rFonts w:ascii="Calibri" w:eastAsia="Times New Roman" w:hAnsi="Calibri" w:cs="Calibri"/>
          <w:kern w:val="0"/>
          <w:sz w:val="24"/>
          <w:szCs w:val="24"/>
          <w:lang w:eastAsia="en-GB"/>
          <w14:ligatures w14:val="none"/>
        </w:rPr>
        <w:t xml:space="preserve"> (2021) report emphasised community involvement in decisions about monuments </w:t>
      </w:r>
      <w:r w:rsidR="00A5520F" w:rsidRPr="006A416D">
        <w:rPr>
          <w:rFonts w:ascii="Calibri" w:eastAsia="Times New Roman" w:hAnsi="Calibri" w:cs="Calibri"/>
          <w:kern w:val="0"/>
          <w:sz w:val="24"/>
          <w:szCs w:val="24"/>
          <w:lang w:eastAsia="en-GB"/>
          <w14:ligatures w14:val="none"/>
        </w:rPr>
        <w:lastRenderedPageBreak/>
        <w:t xml:space="preserve">(Sayed </w:t>
      </w:r>
      <w:r w:rsidR="00A5520F" w:rsidRPr="006A416D">
        <w:rPr>
          <w:rFonts w:ascii="Calibri" w:eastAsia="Times New Roman" w:hAnsi="Calibri" w:cs="Calibri"/>
          <w:i/>
          <w:iCs/>
          <w:kern w:val="0"/>
          <w:sz w:val="24"/>
          <w:szCs w:val="24"/>
          <w:lang w:eastAsia="en-GB"/>
          <w14:ligatures w14:val="none"/>
        </w:rPr>
        <w:t>et al.,</w:t>
      </w:r>
      <w:r w:rsidR="00A5520F" w:rsidRPr="006A416D">
        <w:rPr>
          <w:rFonts w:ascii="Calibri" w:eastAsia="Times New Roman" w:hAnsi="Calibri" w:cs="Calibri"/>
          <w:kern w:val="0"/>
          <w:sz w:val="24"/>
          <w:szCs w:val="24"/>
          <w:lang w:eastAsia="en-GB"/>
          <w14:ligatures w14:val="none"/>
        </w:rPr>
        <w:t xml:space="preserve"> 2021). The </w:t>
      </w:r>
      <w:r w:rsidR="00A5520F" w:rsidRPr="006A416D">
        <w:rPr>
          <w:rFonts w:ascii="Calibri" w:eastAsia="Times New Roman" w:hAnsi="Calibri" w:cs="Calibri"/>
          <w:i/>
          <w:iCs/>
          <w:kern w:val="0"/>
          <w:sz w:val="24"/>
          <w:szCs w:val="24"/>
          <w:lang w:eastAsia="en-GB"/>
          <w14:ligatures w14:val="none"/>
        </w:rPr>
        <w:t>Public Commemoration in Wales</w:t>
      </w:r>
      <w:r w:rsidR="00A5520F" w:rsidRPr="006A416D">
        <w:rPr>
          <w:rFonts w:ascii="Calibri" w:eastAsia="Times New Roman" w:hAnsi="Calibri" w:cs="Calibri"/>
          <w:kern w:val="0"/>
          <w:sz w:val="24"/>
          <w:szCs w:val="24"/>
          <w:lang w:eastAsia="en-GB"/>
          <w14:ligatures w14:val="none"/>
        </w:rPr>
        <w:t xml:space="preserve"> (2024) calls for </w:t>
      </w:r>
      <w:r w:rsidR="00B220CA" w:rsidRPr="006A416D">
        <w:rPr>
          <w:rFonts w:ascii="Calibri" w:eastAsia="Times New Roman" w:hAnsi="Calibri" w:cs="Calibri"/>
          <w:kern w:val="0"/>
          <w:sz w:val="24"/>
          <w:szCs w:val="24"/>
          <w:lang w:eastAsia="en-GB"/>
          <w14:ligatures w14:val="none"/>
        </w:rPr>
        <w:t>reassessing</w:t>
      </w:r>
      <w:r w:rsidR="00A5520F" w:rsidRPr="006A416D">
        <w:rPr>
          <w:rFonts w:ascii="Calibri" w:eastAsia="Times New Roman" w:hAnsi="Calibri" w:cs="Calibri"/>
          <w:kern w:val="0"/>
          <w:sz w:val="24"/>
          <w:szCs w:val="24"/>
          <w:lang w:eastAsia="en-GB"/>
          <w14:ligatures w14:val="none"/>
        </w:rPr>
        <w:t xml:space="preserve"> colonial-era monuments as part of decolonising public spaces (Welsh Government, 2024).</w:t>
      </w:r>
    </w:p>
    <w:p w14:paraId="6E3C9A12" w14:textId="79E3DCDF" w:rsidR="003C1D22" w:rsidRPr="006A416D" w:rsidRDefault="00894762" w:rsidP="002274EB">
      <w:pPr>
        <w:pStyle w:val="ListParagraph"/>
        <w:numPr>
          <w:ilvl w:val="0"/>
          <w:numId w:val="33"/>
        </w:numPr>
        <w:spacing w:line="360" w:lineRule="auto"/>
        <w:rPr>
          <w:rFonts w:ascii="Calibri" w:hAnsi="Calibri" w:cs="Calibri"/>
          <w:b/>
          <w:bCs/>
          <w:color w:val="000000"/>
          <w:sz w:val="24"/>
          <w:szCs w:val="24"/>
          <w:shd w:val="clear" w:color="auto" w:fill="FFFFFF"/>
        </w:rPr>
      </w:pPr>
      <w:r w:rsidRPr="006A416D">
        <w:rPr>
          <w:rStyle w:val="Strong"/>
          <w:rFonts w:ascii="Calibri" w:hAnsi="Calibri" w:cs="Calibri"/>
          <w:color w:val="000000"/>
          <w:sz w:val="24"/>
          <w:szCs w:val="24"/>
          <w:shd w:val="clear" w:color="auto" w:fill="FFFFFF"/>
        </w:rPr>
        <w:t>Methodology</w:t>
      </w:r>
      <w:r w:rsidRPr="006A416D">
        <w:rPr>
          <w:rFonts w:ascii="Calibri" w:hAnsi="Calibri" w:cs="Calibri"/>
          <w:color w:val="000000"/>
          <w:sz w:val="24"/>
          <w:szCs w:val="24"/>
          <w:shd w:val="clear" w:color="auto" w:fill="FFFFFF"/>
        </w:rPr>
        <w:t> </w:t>
      </w:r>
    </w:p>
    <w:p w14:paraId="6F5102A6" w14:textId="07C5BB00" w:rsidR="0033729B" w:rsidRPr="006A416D" w:rsidRDefault="0033729B" w:rsidP="0033729B">
      <w:pPr>
        <w:spacing w:before="100" w:beforeAutospacing="1" w:after="100" w:afterAutospacing="1" w:line="360" w:lineRule="auto"/>
        <w:rPr>
          <w:rFonts w:ascii="Calibri" w:eastAsia="Times New Roman" w:hAnsi="Calibri" w:cs="Calibri"/>
          <w:kern w:val="0"/>
          <w:sz w:val="24"/>
          <w:szCs w:val="24"/>
          <w:lang w:eastAsia="en-GB"/>
          <w14:ligatures w14:val="none"/>
        </w:rPr>
      </w:pPr>
      <w:r w:rsidRPr="006A416D">
        <w:rPr>
          <w:rFonts w:ascii="Calibri" w:eastAsia="Times New Roman" w:hAnsi="Calibri" w:cs="Calibri"/>
          <w:kern w:val="0"/>
          <w:sz w:val="24"/>
          <w:szCs w:val="24"/>
          <w:lang w:eastAsia="en-GB"/>
          <w14:ligatures w14:val="none"/>
        </w:rPr>
        <w:t xml:space="preserve">This study adopts a historical research approach, combining archival investigation with engagement with existing scholarship and secondary source material. Primary research will involve examining historical records and financial documents housed at the Roderic Bowen Library and Archives to uncover evidence of St David’s College’s financial connections to the transatlantic slave trade. </w:t>
      </w:r>
      <w:r w:rsidR="00194EC3" w:rsidRPr="006A416D">
        <w:rPr>
          <w:rFonts w:ascii="Calibri" w:eastAsia="Times New Roman" w:hAnsi="Calibri" w:cs="Calibri"/>
          <w:kern w:val="0"/>
          <w:sz w:val="24"/>
          <w:szCs w:val="24"/>
          <w:lang w:eastAsia="en-GB"/>
          <w14:ligatures w14:val="none"/>
        </w:rPr>
        <w:t>T</w:t>
      </w:r>
      <w:r w:rsidRPr="006A416D">
        <w:rPr>
          <w:rFonts w:ascii="Calibri" w:eastAsia="Times New Roman" w:hAnsi="Calibri" w:cs="Calibri"/>
          <w:kern w:val="0"/>
          <w:sz w:val="24"/>
          <w:szCs w:val="24"/>
          <w:lang w:eastAsia="en-GB"/>
          <w14:ligatures w14:val="none"/>
        </w:rPr>
        <w:t>he study will analyse UWTSD’s official publications, including reports, statements, and commemorative materials, to evaluate how the university has acknowledged and addressed its colonial legacy. A literature review will situate this case within broader academic debates on universities and slavery, contested heritage, and institutional memory. Given the sensitive nature of the subject, ethical considerations are paramount. The research will be conducted with academic rigour, avoiding sensationalism and approaching all materials with care. It will use inclusive and respectful language to reflect the complexity of colonial histories and their lasting impacts on affected communities.</w:t>
      </w:r>
    </w:p>
    <w:p w14:paraId="1ED83CFC" w14:textId="07C4D50F" w:rsidR="00480414" w:rsidRPr="006A416D" w:rsidRDefault="00894762" w:rsidP="0033729B">
      <w:pPr>
        <w:pStyle w:val="ListParagraph"/>
        <w:numPr>
          <w:ilvl w:val="0"/>
          <w:numId w:val="33"/>
        </w:numPr>
        <w:spacing w:before="100" w:beforeAutospacing="1" w:after="0" w:line="360" w:lineRule="auto"/>
        <w:outlineLvl w:val="3"/>
        <w:rPr>
          <w:rFonts w:ascii="Calibri" w:hAnsi="Calibri" w:cs="Calibri"/>
          <w:b/>
          <w:bCs/>
          <w:color w:val="000000"/>
          <w:sz w:val="24"/>
          <w:szCs w:val="24"/>
          <w:shd w:val="clear" w:color="auto" w:fill="FFFFFF"/>
        </w:rPr>
      </w:pPr>
      <w:r w:rsidRPr="006A416D">
        <w:rPr>
          <w:rStyle w:val="Strong"/>
          <w:rFonts w:ascii="Calibri" w:hAnsi="Calibri" w:cs="Calibri"/>
          <w:color w:val="000000"/>
          <w:sz w:val="24"/>
          <w:szCs w:val="24"/>
          <w:shd w:val="clear" w:color="auto" w:fill="FFFFFF"/>
        </w:rPr>
        <w:t>Outcomes</w:t>
      </w:r>
      <w:r w:rsidRPr="006A416D">
        <w:rPr>
          <w:rFonts w:ascii="Calibri" w:hAnsi="Calibri" w:cs="Calibri"/>
          <w:color w:val="000000"/>
          <w:sz w:val="24"/>
          <w:szCs w:val="24"/>
          <w:shd w:val="clear" w:color="auto" w:fill="FFFFFF"/>
        </w:rPr>
        <w:t> </w:t>
      </w:r>
    </w:p>
    <w:p w14:paraId="388B885D" w14:textId="17411E3F" w:rsidR="005030D0" w:rsidRPr="006A416D" w:rsidRDefault="00F87C6A" w:rsidP="00B220CA">
      <w:pPr>
        <w:spacing w:line="360" w:lineRule="auto"/>
        <w:rPr>
          <w:rFonts w:ascii="Calibri" w:hAnsi="Calibri" w:cs="Calibri"/>
          <w:sz w:val="24"/>
          <w:szCs w:val="24"/>
        </w:rPr>
      </w:pPr>
      <w:r w:rsidRPr="006A416D">
        <w:rPr>
          <w:rFonts w:ascii="Calibri" w:hAnsi="Calibri" w:cs="Calibri"/>
          <w:sz w:val="24"/>
          <w:szCs w:val="24"/>
        </w:rPr>
        <w:t>The primary outcome will be an academic essay that enhances understanding of how colonial wealth influenced the foundation and development of St David’s College, Lampeter. It will assess UWTSD’s current responses to its colonial past and offer practical recommendations for more meaningful institutional engagement with this contested history.</w:t>
      </w:r>
      <w:r w:rsidR="00B16208" w:rsidRPr="006A416D">
        <w:rPr>
          <w:rFonts w:ascii="Calibri" w:hAnsi="Calibri" w:cs="Calibri"/>
          <w:sz w:val="24"/>
          <w:szCs w:val="24"/>
        </w:rPr>
        <w:t xml:space="preserve"> A presentation of the project findings will also be given.</w:t>
      </w:r>
    </w:p>
    <w:p w14:paraId="67F1F268" w14:textId="77777777" w:rsidR="00B220CA" w:rsidRPr="006A416D" w:rsidRDefault="00B220CA" w:rsidP="00B220CA">
      <w:pPr>
        <w:spacing w:line="360" w:lineRule="auto"/>
        <w:rPr>
          <w:rFonts w:ascii="Calibri" w:hAnsi="Calibri" w:cs="Calibri"/>
          <w:color w:val="000000"/>
          <w:sz w:val="24"/>
          <w:szCs w:val="24"/>
          <w:shd w:val="clear" w:color="auto" w:fill="FFFFFF"/>
        </w:rPr>
      </w:pPr>
    </w:p>
    <w:p w14:paraId="1B92E10C" w14:textId="77777777" w:rsidR="00B16208" w:rsidRPr="006A416D" w:rsidRDefault="00B16208" w:rsidP="00B220CA">
      <w:pPr>
        <w:spacing w:line="360" w:lineRule="auto"/>
        <w:rPr>
          <w:rFonts w:ascii="Calibri" w:hAnsi="Calibri" w:cs="Calibri"/>
          <w:color w:val="000000"/>
          <w:sz w:val="24"/>
          <w:szCs w:val="24"/>
          <w:shd w:val="clear" w:color="auto" w:fill="FFFFFF"/>
        </w:rPr>
      </w:pPr>
    </w:p>
    <w:p w14:paraId="10387BB0" w14:textId="77777777" w:rsidR="00B16208" w:rsidRPr="006A416D" w:rsidRDefault="00B16208" w:rsidP="00B220CA">
      <w:pPr>
        <w:spacing w:line="360" w:lineRule="auto"/>
        <w:rPr>
          <w:rFonts w:ascii="Calibri" w:hAnsi="Calibri" w:cs="Calibri"/>
          <w:color w:val="000000"/>
          <w:sz w:val="24"/>
          <w:szCs w:val="24"/>
          <w:shd w:val="clear" w:color="auto" w:fill="FFFFFF"/>
        </w:rPr>
      </w:pPr>
    </w:p>
    <w:p w14:paraId="796AACA0" w14:textId="77777777" w:rsidR="00B16208" w:rsidRPr="006A416D" w:rsidRDefault="00B16208" w:rsidP="00B220CA">
      <w:pPr>
        <w:spacing w:line="360" w:lineRule="auto"/>
        <w:rPr>
          <w:rFonts w:ascii="Calibri" w:hAnsi="Calibri" w:cs="Calibri"/>
          <w:color w:val="000000"/>
          <w:sz w:val="24"/>
          <w:szCs w:val="24"/>
          <w:shd w:val="clear" w:color="auto" w:fill="FFFFFF"/>
        </w:rPr>
      </w:pPr>
    </w:p>
    <w:p w14:paraId="5CA69A2D" w14:textId="77777777" w:rsidR="00B16208" w:rsidRPr="006A416D" w:rsidRDefault="00B16208" w:rsidP="00B220CA">
      <w:pPr>
        <w:spacing w:line="360" w:lineRule="auto"/>
        <w:rPr>
          <w:rFonts w:ascii="Calibri" w:hAnsi="Calibri" w:cs="Calibri"/>
          <w:color w:val="000000"/>
          <w:sz w:val="24"/>
          <w:szCs w:val="24"/>
          <w:shd w:val="clear" w:color="auto" w:fill="FFFFFF"/>
        </w:rPr>
      </w:pPr>
    </w:p>
    <w:p w14:paraId="025C55E9" w14:textId="77777777" w:rsidR="00B16208" w:rsidRPr="006A416D" w:rsidRDefault="00B16208" w:rsidP="00B220CA">
      <w:pPr>
        <w:spacing w:line="360" w:lineRule="auto"/>
        <w:rPr>
          <w:rFonts w:ascii="Calibri" w:hAnsi="Calibri" w:cs="Calibri"/>
          <w:color w:val="000000"/>
          <w:sz w:val="24"/>
          <w:szCs w:val="24"/>
          <w:shd w:val="clear" w:color="auto" w:fill="FFFFFF"/>
        </w:rPr>
      </w:pPr>
    </w:p>
    <w:p w14:paraId="6A9D389C" w14:textId="08BD1CA6" w:rsidR="00894762" w:rsidRPr="006A416D" w:rsidRDefault="00E87D86" w:rsidP="00404C33">
      <w:pPr>
        <w:rPr>
          <w:rFonts w:ascii="Calibri" w:hAnsi="Calibri" w:cs="Calibri"/>
          <w:sz w:val="24"/>
          <w:szCs w:val="24"/>
          <w:u w:val="single"/>
        </w:rPr>
      </w:pPr>
      <w:r w:rsidRPr="006A416D">
        <w:rPr>
          <w:rStyle w:val="Strong"/>
          <w:rFonts w:ascii="Calibri" w:hAnsi="Calibri" w:cs="Calibri"/>
          <w:color w:val="000000"/>
          <w:sz w:val="24"/>
          <w:szCs w:val="24"/>
          <w:u w:val="single"/>
          <w:shd w:val="clear" w:color="auto" w:fill="FFFFFF"/>
        </w:rPr>
        <w:lastRenderedPageBreak/>
        <w:t>References</w:t>
      </w:r>
    </w:p>
    <w:p w14:paraId="6D3F760D" w14:textId="70579484" w:rsidR="00E87D86" w:rsidRPr="006A416D" w:rsidRDefault="00E87D86" w:rsidP="006D1F67">
      <w:pPr>
        <w:rPr>
          <w:rFonts w:ascii="Calibri" w:hAnsi="Calibri" w:cs="Calibri"/>
          <w:sz w:val="24"/>
          <w:szCs w:val="24"/>
        </w:rPr>
      </w:pPr>
      <w:r w:rsidRPr="006A416D">
        <w:rPr>
          <w:rFonts w:ascii="Calibri" w:hAnsi="Calibri" w:cs="Calibri"/>
          <w:sz w:val="24"/>
          <w:szCs w:val="24"/>
        </w:rPr>
        <w:t xml:space="preserve">Burch-Brown, J. (2017) </w:t>
      </w:r>
      <w:r w:rsidRPr="005F6D37">
        <w:rPr>
          <w:rFonts w:ascii="Calibri" w:hAnsi="Calibri" w:cs="Calibri"/>
          <w:sz w:val="24"/>
          <w:szCs w:val="24"/>
        </w:rPr>
        <w:t>‘Is it wrong to topple statues and rename schools?’</w:t>
      </w:r>
      <w:r w:rsidRPr="006A416D">
        <w:rPr>
          <w:rFonts w:ascii="Calibri" w:hAnsi="Calibri" w:cs="Calibri"/>
          <w:sz w:val="24"/>
          <w:szCs w:val="24"/>
        </w:rPr>
        <w:t xml:space="preserve">, </w:t>
      </w:r>
      <w:r w:rsidRPr="005F6D37">
        <w:rPr>
          <w:rFonts w:ascii="Calibri" w:hAnsi="Calibri" w:cs="Calibri"/>
          <w:i/>
          <w:iCs/>
          <w:sz w:val="24"/>
          <w:szCs w:val="24"/>
        </w:rPr>
        <w:t>Journal of Political Theory and Philosophy</w:t>
      </w:r>
      <w:r w:rsidRPr="006A416D">
        <w:rPr>
          <w:rFonts w:ascii="Calibri" w:hAnsi="Calibri" w:cs="Calibri"/>
          <w:sz w:val="24"/>
          <w:szCs w:val="24"/>
        </w:rPr>
        <w:t xml:space="preserve">, 1, pp. 59-88. Available at: </w:t>
      </w:r>
      <w:hyperlink r:id="rId7" w:history="1">
        <w:r w:rsidRPr="006A416D">
          <w:rPr>
            <w:rStyle w:val="Hyperlink"/>
            <w:rFonts w:ascii="Calibri" w:hAnsi="Calibri" w:cs="Calibri"/>
            <w:sz w:val="24"/>
            <w:szCs w:val="24"/>
          </w:rPr>
          <w:t>https://research-information.bris.ac.uk/en/pu</w:t>
        </w:r>
        <w:r w:rsidRPr="006A416D">
          <w:rPr>
            <w:rStyle w:val="Hyperlink"/>
            <w:rFonts w:ascii="Calibri" w:hAnsi="Calibri" w:cs="Calibri"/>
            <w:sz w:val="24"/>
            <w:szCs w:val="24"/>
          </w:rPr>
          <w:t>b</w:t>
        </w:r>
        <w:r w:rsidRPr="006A416D">
          <w:rPr>
            <w:rStyle w:val="Hyperlink"/>
            <w:rFonts w:ascii="Calibri" w:hAnsi="Calibri" w:cs="Calibri"/>
            <w:sz w:val="24"/>
            <w:szCs w:val="24"/>
          </w:rPr>
          <w:t>lications/is-it-wrong-to-topple-statues-and-rename-schools?utm_source=chatgpt.com</w:t>
        </w:r>
      </w:hyperlink>
      <w:r w:rsidRPr="006A416D">
        <w:rPr>
          <w:rFonts w:ascii="Calibri" w:hAnsi="Calibri" w:cs="Calibri"/>
          <w:sz w:val="24"/>
          <w:szCs w:val="24"/>
        </w:rPr>
        <w:t xml:space="preserve"> (Accessed: 10 April 2025). </w:t>
      </w:r>
    </w:p>
    <w:p w14:paraId="36A0C563" w14:textId="77777777" w:rsidR="00E87D86" w:rsidRPr="006A416D" w:rsidRDefault="00E87D86">
      <w:pPr>
        <w:rPr>
          <w:rFonts w:ascii="Calibri" w:hAnsi="Calibri" w:cs="Calibri"/>
          <w:sz w:val="24"/>
          <w:szCs w:val="24"/>
        </w:rPr>
      </w:pPr>
      <w:r w:rsidRPr="006A416D">
        <w:rPr>
          <w:rFonts w:ascii="Calibri" w:hAnsi="Calibri" w:cs="Calibri"/>
          <w:sz w:val="24"/>
          <w:szCs w:val="24"/>
        </w:rPr>
        <w:t xml:space="preserve">Chowdhury, R. (2021) ‘From Black Pain to Rhodes Must Fall: A Rejectionist Perspective’, </w:t>
      </w:r>
      <w:r w:rsidRPr="006A416D">
        <w:rPr>
          <w:rFonts w:ascii="Calibri" w:hAnsi="Calibri" w:cs="Calibri"/>
          <w:i/>
          <w:iCs/>
          <w:sz w:val="24"/>
          <w:szCs w:val="24"/>
        </w:rPr>
        <w:t>Journal of Business Ethics</w:t>
      </w:r>
      <w:r w:rsidRPr="006A416D">
        <w:rPr>
          <w:rFonts w:ascii="Calibri" w:hAnsi="Calibri" w:cs="Calibri"/>
          <w:sz w:val="24"/>
          <w:szCs w:val="24"/>
        </w:rPr>
        <w:t>, </w:t>
      </w:r>
      <w:r w:rsidRPr="006A416D">
        <w:rPr>
          <w:rFonts w:ascii="Calibri" w:hAnsi="Calibri" w:cs="Calibri"/>
          <w:i/>
          <w:iCs/>
          <w:sz w:val="24"/>
          <w:szCs w:val="24"/>
        </w:rPr>
        <w:t>170</w:t>
      </w:r>
      <w:r w:rsidRPr="006A416D">
        <w:rPr>
          <w:rFonts w:ascii="Calibri" w:hAnsi="Calibri" w:cs="Calibri"/>
          <w:sz w:val="24"/>
          <w:szCs w:val="24"/>
        </w:rPr>
        <w:t xml:space="preserve">(2), pp. 287–311. Available at:  </w:t>
      </w:r>
      <w:hyperlink r:id="rId8" w:history="1">
        <w:r w:rsidRPr="006A416D">
          <w:rPr>
            <w:rStyle w:val="Hyperlink"/>
            <w:rFonts w:ascii="Calibri" w:hAnsi="Calibri" w:cs="Calibri"/>
            <w:sz w:val="24"/>
            <w:szCs w:val="24"/>
          </w:rPr>
          <w:t>https://doi.org/10.100</w:t>
        </w:r>
        <w:r w:rsidRPr="006A416D">
          <w:rPr>
            <w:rStyle w:val="Hyperlink"/>
            <w:rFonts w:ascii="Calibri" w:hAnsi="Calibri" w:cs="Calibri"/>
            <w:sz w:val="24"/>
            <w:szCs w:val="24"/>
          </w:rPr>
          <w:t>7</w:t>
        </w:r>
        <w:r w:rsidRPr="006A416D">
          <w:rPr>
            <w:rStyle w:val="Hyperlink"/>
            <w:rFonts w:ascii="Calibri" w:hAnsi="Calibri" w:cs="Calibri"/>
            <w:sz w:val="24"/>
            <w:szCs w:val="24"/>
          </w:rPr>
          <w:t>/s10551-019-04350-1</w:t>
        </w:r>
      </w:hyperlink>
    </w:p>
    <w:p w14:paraId="50C139C3" w14:textId="12BEAFCB" w:rsidR="00E87D86" w:rsidRPr="006A416D" w:rsidRDefault="00E87D86">
      <w:pPr>
        <w:rPr>
          <w:rFonts w:ascii="Calibri" w:hAnsi="Calibri" w:cs="Calibri"/>
          <w:sz w:val="24"/>
          <w:szCs w:val="24"/>
        </w:rPr>
      </w:pPr>
      <w:r w:rsidRPr="006A416D">
        <w:rPr>
          <w:rFonts w:ascii="Calibri" w:hAnsi="Calibri" w:cs="Calibri"/>
          <w:sz w:val="24"/>
          <w:szCs w:val="24"/>
        </w:rPr>
        <w:t xml:space="preserve">Davies, J. (no date) </w:t>
      </w:r>
      <w:r w:rsidRPr="006A416D">
        <w:rPr>
          <w:rFonts w:ascii="Calibri" w:hAnsi="Calibri" w:cs="Calibri"/>
          <w:i/>
          <w:iCs/>
          <w:sz w:val="24"/>
          <w:szCs w:val="24"/>
        </w:rPr>
        <w:t>Decolonising the University: A study of histories and history departments in Welsh higher education</w:t>
      </w:r>
      <w:r w:rsidRPr="006A416D">
        <w:rPr>
          <w:rFonts w:ascii="Calibri" w:hAnsi="Calibri" w:cs="Calibri"/>
          <w:sz w:val="24"/>
          <w:szCs w:val="24"/>
        </w:rPr>
        <w:t xml:space="preserve">. Available at: </w:t>
      </w:r>
      <w:hyperlink r:id="rId9" w:anchor="page=33.44" w:history="1">
        <w:r w:rsidRPr="006A416D">
          <w:rPr>
            <w:rStyle w:val="Hyperlink"/>
            <w:rFonts w:ascii="Calibri" w:hAnsi="Calibri" w:cs="Calibri"/>
            <w:sz w:val="24"/>
            <w:szCs w:val="24"/>
          </w:rPr>
          <w:t>https://pure.south</w:t>
        </w:r>
        <w:r w:rsidRPr="006A416D">
          <w:rPr>
            <w:rStyle w:val="Hyperlink"/>
            <w:rFonts w:ascii="Calibri" w:hAnsi="Calibri" w:cs="Calibri"/>
            <w:sz w:val="24"/>
            <w:szCs w:val="24"/>
          </w:rPr>
          <w:t>w</w:t>
        </w:r>
        <w:r w:rsidRPr="006A416D">
          <w:rPr>
            <w:rStyle w:val="Hyperlink"/>
            <w:rFonts w:ascii="Calibri" w:hAnsi="Calibri" w:cs="Calibri"/>
            <w:sz w:val="24"/>
            <w:szCs w:val="24"/>
          </w:rPr>
          <w:t>ales.ac.uk/ws/portalfiles/portal/25976837/Jessica_Davies_-_Decolonising_the_University.pdf#page=33.44</w:t>
        </w:r>
      </w:hyperlink>
      <w:r w:rsidRPr="006A416D">
        <w:rPr>
          <w:rFonts w:ascii="Calibri" w:hAnsi="Calibri" w:cs="Calibri"/>
          <w:sz w:val="24"/>
          <w:szCs w:val="24"/>
        </w:rPr>
        <w:t xml:space="preserve"> (Accessed: 10 April 2025).</w:t>
      </w:r>
    </w:p>
    <w:p w14:paraId="1FD1BCAB" w14:textId="6CA4A45E" w:rsidR="00E87D86" w:rsidRPr="006A416D" w:rsidRDefault="00E87D86" w:rsidP="006D1F67">
      <w:pPr>
        <w:rPr>
          <w:rFonts w:ascii="Calibri" w:hAnsi="Calibri" w:cs="Calibri"/>
          <w:sz w:val="24"/>
          <w:szCs w:val="24"/>
        </w:rPr>
      </w:pPr>
      <w:r w:rsidRPr="006A416D">
        <w:rPr>
          <w:rFonts w:ascii="Calibri" w:hAnsi="Calibri" w:cs="Calibri"/>
          <w:sz w:val="24"/>
          <w:szCs w:val="24"/>
        </w:rPr>
        <w:t>Draper, N. (2019) ‘British Universities and Caribbean Slavery’, </w:t>
      </w:r>
      <w:r w:rsidRPr="006A416D">
        <w:rPr>
          <w:rFonts w:ascii="Calibri" w:hAnsi="Calibri" w:cs="Calibri"/>
          <w:i/>
          <w:iCs/>
          <w:sz w:val="24"/>
          <w:szCs w:val="24"/>
        </w:rPr>
        <w:t>Social and Economic Studies</w:t>
      </w:r>
      <w:r w:rsidRPr="006A416D">
        <w:rPr>
          <w:rFonts w:ascii="Calibri" w:hAnsi="Calibri" w:cs="Calibri"/>
          <w:sz w:val="24"/>
          <w:szCs w:val="24"/>
        </w:rPr>
        <w:t>, </w:t>
      </w:r>
      <w:r w:rsidRPr="006A416D">
        <w:rPr>
          <w:rFonts w:ascii="Calibri" w:hAnsi="Calibri" w:cs="Calibri"/>
          <w:i/>
          <w:iCs/>
          <w:sz w:val="24"/>
          <w:szCs w:val="24"/>
        </w:rPr>
        <w:t>68</w:t>
      </w:r>
      <w:r w:rsidRPr="006A416D">
        <w:rPr>
          <w:rFonts w:ascii="Calibri" w:hAnsi="Calibri" w:cs="Calibri"/>
          <w:sz w:val="24"/>
          <w:szCs w:val="24"/>
        </w:rPr>
        <w:t xml:space="preserve">(3/4), pp. 127–146. Available at: </w:t>
      </w:r>
      <w:hyperlink r:id="rId10" w:history="1">
        <w:r w:rsidRPr="006A416D">
          <w:rPr>
            <w:rStyle w:val="Hyperlink"/>
            <w:rFonts w:ascii="Calibri" w:hAnsi="Calibri" w:cs="Calibri"/>
            <w:sz w:val="24"/>
            <w:szCs w:val="24"/>
          </w:rPr>
          <w:t>https://www.pro</w:t>
        </w:r>
        <w:r w:rsidRPr="006A416D">
          <w:rPr>
            <w:rStyle w:val="Hyperlink"/>
            <w:rFonts w:ascii="Calibri" w:hAnsi="Calibri" w:cs="Calibri"/>
            <w:sz w:val="24"/>
            <w:szCs w:val="24"/>
          </w:rPr>
          <w:t>q</w:t>
        </w:r>
        <w:r w:rsidRPr="006A416D">
          <w:rPr>
            <w:rStyle w:val="Hyperlink"/>
            <w:rFonts w:ascii="Calibri" w:hAnsi="Calibri" w:cs="Calibri"/>
            <w:sz w:val="24"/>
            <w:szCs w:val="24"/>
          </w:rPr>
          <w:t>uest.com/docview/2471028647?accountid=130472&amp;parentSessionId=AoiI5qdrJmZrLV2Oj85%2BWoKf9%2Fn4Istzw6TKGaPVf8Q%3D&amp;pq-origsite=primo&amp;sourcetype=Scholarly%20Journals</w:t>
        </w:r>
      </w:hyperlink>
      <w:r w:rsidRPr="006A416D">
        <w:rPr>
          <w:rFonts w:ascii="Calibri" w:hAnsi="Calibri" w:cs="Calibri"/>
          <w:sz w:val="24"/>
          <w:szCs w:val="24"/>
        </w:rPr>
        <w:t xml:space="preserve"> (Accessed: 10 April 2025).</w:t>
      </w:r>
    </w:p>
    <w:p w14:paraId="4C3FA2E5" w14:textId="77777777" w:rsidR="00E87D86" w:rsidRPr="006A416D" w:rsidRDefault="00E87D86">
      <w:pPr>
        <w:rPr>
          <w:rFonts w:ascii="Calibri" w:hAnsi="Calibri" w:cs="Calibri"/>
          <w:sz w:val="24"/>
          <w:szCs w:val="24"/>
        </w:rPr>
      </w:pPr>
      <w:r w:rsidRPr="006A416D">
        <w:rPr>
          <w:rFonts w:ascii="Calibri" w:hAnsi="Calibri" w:cs="Calibri"/>
          <w:sz w:val="24"/>
          <w:szCs w:val="24"/>
        </w:rPr>
        <w:t xml:space="preserve">Drayton, R. (2019) ‘Rhodes Must Not </w:t>
      </w:r>
      <w:proofErr w:type="gramStart"/>
      <w:r w:rsidRPr="006A416D">
        <w:rPr>
          <w:rFonts w:ascii="Calibri" w:hAnsi="Calibri" w:cs="Calibri"/>
          <w:sz w:val="24"/>
          <w:szCs w:val="24"/>
        </w:rPr>
        <w:t>Fall?:</w:t>
      </w:r>
      <w:proofErr w:type="gramEnd"/>
      <w:r w:rsidRPr="006A416D">
        <w:rPr>
          <w:rFonts w:ascii="Calibri" w:hAnsi="Calibri" w:cs="Calibri"/>
          <w:sz w:val="24"/>
          <w:szCs w:val="24"/>
        </w:rPr>
        <w:t xml:space="preserve"> Statues, Postcolonial “Heritage” and Temporality’, </w:t>
      </w:r>
      <w:r w:rsidRPr="006A416D">
        <w:rPr>
          <w:rFonts w:ascii="Calibri" w:hAnsi="Calibri" w:cs="Calibri"/>
          <w:i/>
          <w:iCs/>
          <w:sz w:val="24"/>
          <w:szCs w:val="24"/>
        </w:rPr>
        <w:t>Third Text</w:t>
      </w:r>
      <w:r w:rsidRPr="006A416D">
        <w:rPr>
          <w:rFonts w:ascii="Calibri" w:hAnsi="Calibri" w:cs="Calibri"/>
          <w:sz w:val="24"/>
          <w:szCs w:val="24"/>
        </w:rPr>
        <w:t>, </w:t>
      </w:r>
      <w:r w:rsidRPr="006A416D">
        <w:rPr>
          <w:rFonts w:ascii="Calibri" w:hAnsi="Calibri" w:cs="Calibri"/>
          <w:i/>
          <w:iCs/>
          <w:sz w:val="24"/>
          <w:szCs w:val="24"/>
        </w:rPr>
        <w:t>33</w:t>
      </w:r>
      <w:r w:rsidRPr="006A416D">
        <w:rPr>
          <w:rFonts w:ascii="Calibri" w:hAnsi="Calibri" w:cs="Calibri"/>
          <w:sz w:val="24"/>
          <w:szCs w:val="24"/>
        </w:rPr>
        <w:t xml:space="preserve">(4–5), pp. 651–666. Available at: </w:t>
      </w:r>
      <w:hyperlink r:id="rId11" w:history="1">
        <w:r w:rsidRPr="006A416D">
          <w:rPr>
            <w:rStyle w:val="Hyperlink"/>
            <w:rFonts w:ascii="Calibri" w:hAnsi="Calibri" w:cs="Calibri"/>
            <w:sz w:val="24"/>
            <w:szCs w:val="24"/>
          </w:rPr>
          <w:t>https://doi.org/</w:t>
        </w:r>
        <w:r w:rsidRPr="006A416D">
          <w:rPr>
            <w:rStyle w:val="Hyperlink"/>
            <w:rFonts w:ascii="Calibri" w:hAnsi="Calibri" w:cs="Calibri"/>
            <w:sz w:val="24"/>
            <w:szCs w:val="24"/>
          </w:rPr>
          <w:t>1</w:t>
        </w:r>
        <w:r w:rsidRPr="006A416D">
          <w:rPr>
            <w:rStyle w:val="Hyperlink"/>
            <w:rFonts w:ascii="Calibri" w:hAnsi="Calibri" w:cs="Calibri"/>
            <w:sz w:val="24"/>
            <w:szCs w:val="24"/>
          </w:rPr>
          <w:t>0.1080/09528822.2019.1653073</w:t>
        </w:r>
      </w:hyperlink>
    </w:p>
    <w:p w14:paraId="4058FC90" w14:textId="497B5506" w:rsidR="00E87D86" w:rsidRPr="006A416D" w:rsidRDefault="00E87D86" w:rsidP="00417680">
      <w:pPr>
        <w:rPr>
          <w:rFonts w:ascii="Calibri" w:hAnsi="Calibri" w:cs="Calibri"/>
          <w:sz w:val="24"/>
          <w:szCs w:val="24"/>
        </w:rPr>
      </w:pPr>
      <w:r w:rsidRPr="006A416D">
        <w:rPr>
          <w:rFonts w:ascii="Calibri" w:hAnsi="Calibri" w:cs="Calibri"/>
          <w:sz w:val="24"/>
          <w:szCs w:val="24"/>
        </w:rPr>
        <w:t xml:space="preserve">Legall, G. (2021) </w:t>
      </w:r>
      <w:r w:rsidRPr="006A416D">
        <w:rPr>
          <w:rFonts w:ascii="Calibri" w:hAnsi="Calibri" w:cs="Calibri"/>
          <w:i/>
          <w:iCs/>
          <w:sz w:val="24"/>
          <w:szCs w:val="24"/>
        </w:rPr>
        <w:t>The Slave Trade and the British Empire: An Audit of Commemoration in Wales.</w:t>
      </w:r>
      <w:r w:rsidRPr="006A416D">
        <w:rPr>
          <w:rFonts w:ascii="Calibri" w:hAnsi="Calibri" w:cs="Calibri"/>
          <w:sz w:val="24"/>
          <w:szCs w:val="24"/>
        </w:rPr>
        <w:t xml:space="preserve"> Available at: </w:t>
      </w:r>
      <w:hyperlink r:id="rId12" w:history="1">
        <w:r w:rsidRPr="006A416D">
          <w:rPr>
            <w:rStyle w:val="Hyperlink"/>
            <w:rFonts w:ascii="Calibri" w:hAnsi="Calibri" w:cs="Calibri"/>
            <w:sz w:val="24"/>
            <w:szCs w:val="24"/>
          </w:rPr>
          <w:t>https://www.gov.wales/sites/default/files/publications/2021-12/the-slave-trade-and-the-bri</w:t>
        </w:r>
        <w:r w:rsidRPr="006A416D">
          <w:rPr>
            <w:rStyle w:val="Hyperlink"/>
            <w:rFonts w:ascii="Calibri" w:hAnsi="Calibri" w:cs="Calibri"/>
            <w:sz w:val="24"/>
            <w:szCs w:val="24"/>
          </w:rPr>
          <w:t>t</w:t>
        </w:r>
        <w:r w:rsidRPr="006A416D">
          <w:rPr>
            <w:rStyle w:val="Hyperlink"/>
            <w:rFonts w:ascii="Calibri" w:hAnsi="Calibri" w:cs="Calibri"/>
            <w:sz w:val="24"/>
            <w:szCs w:val="24"/>
          </w:rPr>
          <w:t>ish-empire-an-audit-of-commemoration-in-wales.pdf</w:t>
        </w:r>
      </w:hyperlink>
      <w:r w:rsidRPr="006A416D">
        <w:rPr>
          <w:rFonts w:ascii="Calibri" w:hAnsi="Calibri" w:cs="Calibri"/>
          <w:sz w:val="24"/>
          <w:szCs w:val="24"/>
        </w:rPr>
        <w:t xml:space="preserve"> (Accessed: 10 April 2025).</w:t>
      </w:r>
    </w:p>
    <w:p w14:paraId="30DE0431" w14:textId="3EA8D949" w:rsidR="00E87D86" w:rsidRPr="006A416D" w:rsidRDefault="00E87D86" w:rsidP="004401D0">
      <w:pPr>
        <w:rPr>
          <w:rFonts w:ascii="Calibri" w:hAnsi="Calibri" w:cs="Calibri"/>
          <w:sz w:val="24"/>
          <w:szCs w:val="24"/>
        </w:rPr>
      </w:pPr>
      <w:r w:rsidRPr="006A416D">
        <w:rPr>
          <w:rFonts w:ascii="Calibri" w:hAnsi="Calibri" w:cs="Calibri"/>
          <w:sz w:val="24"/>
          <w:szCs w:val="24"/>
        </w:rPr>
        <w:t>Macdonald, S. (2009) </w:t>
      </w:r>
      <w:r w:rsidRPr="006A416D">
        <w:rPr>
          <w:rFonts w:ascii="Calibri" w:hAnsi="Calibri" w:cs="Calibri"/>
          <w:i/>
          <w:iCs/>
          <w:sz w:val="24"/>
          <w:szCs w:val="24"/>
        </w:rPr>
        <w:t>Difficult heritage: negotiating the Nazi past in Nuremberg and beyond</w:t>
      </w:r>
      <w:r w:rsidRPr="006A416D">
        <w:rPr>
          <w:rFonts w:ascii="Calibri" w:hAnsi="Calibri" w:cs="Calibri"/>
          <w:sz w:val="24"/>
          <w:szCs w:val="24"/>
        </w:rPr>
        <w:t xml:space="preserve">. Abingdon: Routledge. Available at: </w:t>
      </w:r>
      <w:hyperlink r:id="rId13" w:history="1">
        <w:r w:rsidRPr="006A416D">
          <w:rPr>
            <w:rStyle w:val="Hyperlink"/>
            <w:rFonts w:ascii="Calibri" w:hAnsi="Calibri" w:cs="Calibri"/>
            <w:sz w:val="24"/>
            <w:szCs w:val="24"/>
          </w:rPr>
          <w:t>https://d</w:t>
        </w:r>
        <w:r w:rsidRPr="006A416D">
          <w:rPr>
            <w:rStyle w:val="Hyperlink"/>
            <w:rFonts w:ascii="Calibri" w:hAnsi="Calibri" w:cs="Calibri"/>
            <w:sz w:val="24"/>
            <w:szCs w:val="24"/>
          </w:rPr>
          <w:t>o</w:t>
        </w:r>
        <w:r w:rsidRPr="006A416D">
          <w:rPr>
            <w:rStyle w:val="Hyperlink"/>
            <w:rFonts w:ascii="Calibri" w:hAnsi="Calibri" w:cs="Calibri"/>
            <w:sz w:val="24"/>
            <w:szCs w:val="24"/>
          </w:rPr>
          <w:t>i.org/10.4324/9780203888667</w:t>
        </w:r>
      </w:hyperlink>
    </w:p>
    <w:p w14:paraId="5053AA82" w14:textId="0FFCA4EB" w:rsidR="00E87D86" w:rsidRPr="006A416D" w:rsidRDefault="00E87D86" w:rsidP="006D1F67">
      <w:pPr>
        <w:rPr>
          <w:rFonts w:ascii="Calibri" w:hAnsi="Calibri" w:cs="Calibri"/>
          <w:sz w:val="24"/>
          <w:szCs w:val="24"/>
        </w:rPr>
      </w:pPr>
      <w:r w:rsidRPr="006A416D">
        <w:rPr>
          <w:rFonts w:ascii="Calibri" w:hAnsi="Calibri" w:cs="Calibri"/>
          <w:sz w:val="24"/>
          <w:szCs w:val="24"/>
        </w:rPr>
        <w:t xml:space="preserve">Mullen, S. (2021) ‘British Universities and Transatlantic Slavery: The University of Glasgow Case’, </w:t>
      </w:r>
      <w:r w:rsidRPr="006A416D">
        <w:rPr>
          <w:rFonts w:ascii="Calibri" w:hAnsi="Calibri" w:cs="Calibri"/>
          <w:i/>
          <w:iCs/>
          <w:sz w:val="24"/>
          <w:szCs w:val="24"/>
        </w:rPr>
        <w:t>History Workshop Journal</w:t>
      </w:r>
      <w:r w:rsidRPr="006A416D">
        <w:rPr>
          <w:rFonts w:ascii="Calibri" w:hAnsi="Calibri" w:cs="Calibri"/>
          <w:sz w:val="24"/>
          <w:szCs w:val="24"/>
        </w:rPr>
        <w:t>, </w:t>
      </w:r>
      <w:r w:rsidRPr="005F6D37">
        <w:rPr>
          <w:rFonts w:ascii="Calibri" w:hAnsi="Calibri" w:cs="Calibri"/>
          <w:sz w:val="24"/>
          <w:szCs w:val="24"/>
        </w:rPr>
        <w:t>91(1),</w:t>
      </w:r>
      <w:r w:rsidRPr="006A416D">
        <w:rPr>
          <w:rFonts w:ascii="Calibri" w:hAnsi="Calibri" w:cs="Calibri"/>
          <w:sz w:val="24"/>
          <w:szCs w:val="24"/>
        </w:rPr>
        <w:t xml:space="preserve"> pp. 210–233. Available at: </w:t>
      </w:r>
      <w:hyperlink r:id="rId14" w:history="1">
        <w:r w:rsidR="005F6D37" w:rsidRPr="005F6D37">
          <w:rPr>
            <w:rStyle w:val="Hyperlink"/>
            <w:rFonts w:ascii="Calibri" w:hAnsi="Calibri" w:cs="Calibri"/>
            <w:sz w:val="24"/>
            <w:szCs w:val="24"/>
          </w:rPr>
          <w:t>https://doi.org/10.1093</w:t>
        </w:r>
        <w:r w:rsidR="005F6D37" w:rsidRPr="005F6D37">
          <w:rPr>
            <w:rStyle w:val="Hyperlink"/>
            <w:rFonts w:ascii="Calibri" w:hAnsi="Calibri" w:cs="Calibri"/>
            <w:sz w:val="24"/>
            <w:szCs w:val="24"/>
          </w:rPr>
          <w:t>/</w:t>
        </w:r>
        <w:r w:rsidR="005F6D37" w:rsidRPr="005F6D37">
          <w:rPr>
            <w:rStyle w:val="Hyperlink"/>
            <w:rFonts w:ascii="Calibri" w:hAnsi="Calibri" w:cs="Calibri"/>
            <w:sz w:val="24"/>
            <w:szCs w:val="24"/>
          </w:rPr>
          <w:t>hwj/dbaa035</w:t>
        </w:r>
      </w:hyperlink>
    </w:p>
    <w:p w14:paraId="34C12DD8" w14:textId="77777777" w:rsidR="00E87D86" w:rsidRPr="006A416D" w:rsidRDefault="00E87D86" w:rsidP="006D1F67">
      <w:pPr>
        <w:rPr>
          <w:rFonts w:ascii="Calibri" w:hAnsi="Calibri" w:cs="Calibri"/>
          <w:sz w:val="24"/>
          <w:szCs w:val="24"/>
        </w:rPr>
      </w:pPr>
      <w:r w:rsidRPr="006A416D">
        <w:rPr>
          <w:rFonts w:ascii="Calibri" w:hAnsi="Calibri" w:cs="Calibri"/>
          <w:sz w:val="24"/>
          <w:szCs w:val="24"/>
        </w:rPr>
        <w:t>Price, D. T. W. (1977) </w:t>
      </w:r>
      <w:r w:rsidRPr="006A416D">
        <w:rPr>
          <w:rFonts w:ascii="Calibri" w:hAnsi="Calibri" w:cs="Calibri"/>
          <w:i/>
          <w:iCs/>
          <w:sz w:val="24"/>
          <w:szCs w:val="24"/>
        </w:rPr>
        <w:t>A history of Saint David’s University College, Lampeter. Vol.1, to 1898</w:t>
      </w:r>
      <w:r w:rsidRPr="006A416D">
        <w:rPr>
          <w:rFonts w:ascii="Calibri" w:hAnsi="Calibri" w:cs="Calibri"/>
          <w:sz w:val="24"/>
          <w:szCs w:val="24"/>
        </w:rPr>
        <w:t>. 1</w:t>
      </w:r>
      <w:r w:rsidRPr="006A416D">
        <w:rPr>
          <w:rFonts w:ascii="Calibri" w:hAnsi="Calibri" w:cs="Calibri"/>
          <w:sz w:val="24"/>
          <w:szCs w:val="24"/>
          <w:vertAlign w:val="superscript"/>
        </w:rPr>
        <w:t>st</w:t>
      </w:r>
      <w:r w:rsidRPr="006A416D">
        <w:rPr>
          <w:rFonts w:ascii="Calibri" w:hAnsi="Calibri" w:cs="Calibri"/>
          <w:sz w:val="24"/>
          <w:szCs w:val="24"/>
        </w:rPr>
        <w:t xml:space="preserve"> edn. University of Wales Press.</w:t>
      </w:r>
    </w:p>
    <w:p w14:paraId="72089188" w14:textId="2A30FFAE" w:rsidR="00E87D86" w:rsidRPr="006A416D" w:rsidRDefault="00E87D86" w:rsidP="00E87D86">
      <w:pPr>
        <w:rPr>
          <w:rFonts w:ascii="Calibri" w:hAnsi="Calibri" w:cs="Calibri"/>
          <w:sz w:val="24"/>
          <w:szCs w:val="24"/>
        </w:rPr>
      </w:pPr>
      <w:r w:rsidRPr="006A416D">
        <w:rPr>
          <w:rFonts w:ascii="Calibri" w:hAnsi="Calibri" w:cs="Calibri"/>
          <w:sz w:val="24"/>
          <w:szCs w:val="24"/>
        </w:rPr>
        <w:t xml:space="preserve">Sayed, B. </w:t>
      </w:r>
      <w:r w:rsidRPr="006A416D">
        <w:rPr>
          <w:rFonts w:ascii="Calibri" w:hAnsi="Calibri" w:cs="Calibri"/>
          <w:i/>
          <w:iCs/>
          <w:sz w:val="24"/>
          <w:szCs w:val="24"/>
        </w:rPr>
        <w:t>et al.</w:t>
      </w:r>
      <w:r w:rsidRPr="006A416D">
        <w:rPr>
          <w:rFonts w:ascii="Calibri" w:hAnsi="Calibri" w:cs="Calibri"/>
          <w:sz w:val="24"/>
          <w:szCs w:val="24"/>
        </w:rPr>
        <w:t xml:space="preserve"> (2021) </w:t>
      </w:r>
      <w:r w:rsidRPr="006A416D">
        <w:rPr>
          <w:rFonts w:ascii="Calibri" w:hAnsi="Calibri" w:cs="Calibri"/>
          <w:i/>
          <w:iCs/>
          <w:sz w:val="24"/>
          <w:szCs w:val="24"/>
        </w:rPr>
        <w:t>Set in Stone? A report on who gets remembered in public spaces.</w:t>
      </w:r>
      <w:r w:rsidRPr="006A416D">
        <w:rPr>
          <w:rFonts w:ascii="Calibri" w:hAnsi="Calibri" w:cs="Calibri"/>
          <w:sz w:val="24"/>
          <w:szCs w:val="24"/>
        </w:rPr>
        <w:t xml:space="preserve"> Available at: </w:t>
      </w:r>
      <w:hyperlink r:id="rId15" w:history="1">
        <w:r w:rsidRPr="006A416D">
          <w:rPr>
            <w:rStyle w:val="Hyperlink"/>
            <w:rFonts w:ascii="Calibri" w:hAnsi="Calibri" w:cs="Calibri"/>
            <w:sz w:val="24"/>
            <w:szCs w:val="24"/>
          </w:rPr>
          <w:t>https://sene</w:t>
        </w:r>
        <w:r w:rsidRPr="006A416D">
          <w:rPr>
            <w:rStyle w:val="Hyperlink"/>
            <w:rFonts w:ascii="Calibri" w:hAnsi="Calibri" w:cs="Calibri"/>
            <w:sz w:val="24"/>
            <w:szCs w:val="24"/>
          </w:rPr>
          <w:t>d</w:t>
        </w:r>
        <w:r w:rsidRPr="006A416D">
          <w:rPr>
            <w:rStyle w:val="Hyperlink"/>
            <w:rFonts w:ascii="Calibri" w:hAnsi="Calibri" w:cs="Calibri"/>
            <w:sz w:val="24"/>
            <w:szCs w:val="24"/>
          </w:rPr>
          <w:t>d.wales/media/3jbnhs2d/cr-ld14301-e.pdf</w:t>
        </w:r>
      </w:hyperlink>
      <w:r w:rsidRPr="006A416D">
        <w:rPr>
          <w:rFonts w:ascii="Calibri" w:hAnsi="Calibri" w:cs="Calibri"/>
          <w:sz w:val="24"/>
          <w:szCs w:val="24"/>
        </w:rPr>
        <w:t xml:space="preserve"> (Accessed: 10 April 2025).</w:t>
      </w:r>
    </w:p>
    <w:p w14:paraId="4DC3F4FC" w14:textId="68541715" w:rsidR="00E87D86" w:rsidRPr="006A416D" w:rsidRDefault="00E87D86" w:rsidP="004401D0">
      <w:pPr>
        <w:rPr>
          <w:rFonts w:ascii="Calibri" w:hAnsi="Calibri" w:cs="Calibri"/>
          <w:sz w:val="24"/>
          <w:szCs w:val="24"/>
        </w:rPr>
      </w:pPr>
      <w:r w:rsidRPr="006A416D">
        <w:rPr>
          <w:rFonts w:ascii="Calibri" w:hAnsi="Calibri" w:cs="Calibri"/>
          <w:sz w:val="24"/>
          <w:szCs w:val="24"/>
        </w:rPr>
        <w:t xml:space="preserve">Scott, A. (2020) </w:t>
      </w:r>
      <w:r w:rsidRPr="006A416D">
        <w:rPr>
          <w:rFonts w:ascii="Calibri" w:hAnsi="Calibri" w:cs="Calibri"/>
          <w:i/>
          <w:iCs/>
          <w:sz w:val="24"/>
          <w:szCs w:val="24"/>
        </w:rPr>
        <w:t xml:space="preserve">Universities, Race and Slavery: From Liverpool to Lampeter. </w:t>
      </w:r>
      <w:r w:rsidRPr="006A416D">
        <w:rPr>
          <w:rFonts w:ascii="Calibri" w:hAnsi="Calibri" w:cs="Calibri"/>
          <w:sz w:val="24"/>
          <w:szCs w:val="24"/>
        </w:rPr>
        <w:t xml:space="preserve">Available at: </w:t>
      </w:r>
      <w:hyperlink r:id="rId16" w:anchor=":~:text=The%20'Black%20Lives%20Matter'%20and,of%20society%20%E2%80%93%20including%20higher%20education" w:history="1">
        <w:r w:rsidRPr="006A416D">
          <w:rPr>
            <w:rStyle w:val="Hyperlink"/>
            <w:rFonts w:ascii="Calibri" w:hAnsi="Calibri" w:cs="Calibri"/>
            <w:sz w:val="24"/>
            <w:szCs w:val="24"/>
          </w:rPr>
          <w:t>https://www.uwtsd.ac.</w:t>
        </w:r>
        <w:r w:rsidRPr="006A416D">
          <w:rPr>
            <w:rStyle w:val="Hyperlink"/>
            <w:rFonts w:ascii="Calibri" w:hAnsi="Calibri" w:cs="Calibri"/>
            <w:sz w:val="24"/>
            <w:szCs w:val="24"/>
          </w:rPr>
          <w:t>u</w:t>
        </w:r>
        <w:r w:rsidRPr="006A416D">
          <w:rPr>
            <w:rStyle w:val="Hyperlink"/>
            <w:rFonts w:ascii="Calibri" w:hAnsi="Calibri" w:cs="Calibri"/>
            <w:sz w:val="24"/>
            <w:szCs w:val="24"/>
          </w:rPr>
          <w:t>k/news/universities-race-and-slavery-liverpool-lampeter#:~:text=The%20'Black%20Lives%20Matter'%20and,of%20society%20%E2%80%93%20including%20higher%20education</w:t>
        </w:r>
      </w:hyperlink>
      <w:r w:rsidRPr="006A416D">
        <w:rPr>
          <w:rFonts w:ascii="Calibri" w:hAnsi="Calibri" w:cs="Calibri"/>
          <w:sz w:val="24"/>
          <w:szCs w:val="24"/>
        </w:rPr>
        <w:t xml:space="preserve"> (Accessed: 10 April 2025).</w:t>
      </w:r>
    </w:p>
    <w:p w14:paraId="719A34A5" w14:textId="5FCB32DB" w:rsidR="00E87D86" w:rsidRPr="006A416D" w:rsidRDefault="00E87D86" w:rsidP="006D1F67">
      <w:pPr>
        <w:rPr>
          <w:rFonts w:ascii="Calibri" w:hAnsi="Calibri" w:cs="Calibri"/>
          <w:sz w:val="24"/>
          <w:szCs w:val="24"/>
        </w:rPr>
      </w:pPr>
      <w:r w:rsidRPr="006A416D">
        <w:rPr>
          <w:rFonts w:ascii="Calibri" w:hAnsi="Calibri" w:cs="Calibri"/>
          <w:sz w:val="24"/>
          <w:szCs w:val="24"/>
        </w:rPr>
        <w:lastRenderedPageBreak/>
        <w:t xml:space="preserve">Scott, A. (2024) 'Phillips Must Fall: Histories and Legacies of Slavery and Colonialism at St David's College, Lampeter', in Evans, N. and Williams, C. (eds) </w:t>
      </w:r>
      <w:r w:rsidRPr="006A416D">
        <w:rPr>
          <w:rFonts w:ascii="Calibri" w:hAnsi="Calibri" w:cs="Calibri"/>
          <w:i/>
          <w:iCs/>
          <w:sz w:val="24"/>
          <w:szCs w:val="24"/>
        </w:rPr>
        <w:t>Globalising Welsh Studies: Decolonising history, heritage, society and culture</w:t>
      </w:r>
      <w:r w:rsidRPr="006A416D">
        <w:rPr>
          <w:rFonts w:ascii="Calibri" w:hAnsi="Calibri" w:cs="Calibri"/>
          <w:sz w:val="24"/>
          <w:szCs w:val="24"/>
        </w:rPr>
        <w:t xml:space="preserve">. Cardiff: University of Wales Press. Available at: </w:t>
      </w:r>
      <w:hyperlink r:id="rId17" w:history="1">
        <w:r w:rsidRPr="006A416D">
          <w:rPr>
            <w:rStyle w:val="Hyperlink"/>
            <w:rFonts w:ascii="Calibri" w:hAnsi="Calibri" w:cs="Calibri"/>
            <w:sz w:val="24"/>
            <w:szCs w:val="24"/>
          </w:rPr>
          <w:t>https://ww</w:t>
        </w:r>
        <w:r w:rsidRPr="006A416D">
          <w:rPr>
            <w:rStyle w:val="Hyperlink"/>
            <w:rFonts w:ascii="Calibri" w:hAnsi="Calibri" w:cs="Calibri"/>
            <w:sz w:val="24"/>
            <w:szCs w:val="24"/>
          </w:rPr>
          <w:t>w</w:t>
        </w:r>
        <w:r w:rsidRPr="006A416D">
          <w:rPr>
            <w:rStyle w:val="Hyperlink"/>
            <w:rFonts w:ascii="Calibri" w:hAnsi="Calibri" w:cs="Calibri"/>
            <w:sz w:val="24"/>
            <w:szCs w:val="24"/>
          </w:rPr>
          <w:t>.uwp.co.uk/app/uploads/9781837721870_WEB.pdf</w:t>
        </w:r>
      </w:hyperlink>
      <w:r w:rsidRPr="006A416D">
        <w:rPr>
          <w:rFonts w:ascii="Calibri" w:hAnsi="Calibri" w:cs="Calibri"/>
          <w:sz w:val="24"/>
          <w:szCs w:val="24"/>
        </w:rPr>
        <w:t xml:space="preserve"> (Accessed: 10 April 2025).</w:t>
      </w:r>
    </w:p>
    <w:p w14:paraId="43E29A9F" w14:textId="53892902" w:rsidR="00E87D86" w:rsidRPr="006A416D" w:rsidRDefault="00E87D86" w:rsidP="00417680">
      <w:pPr>
        <w:rPr>
          <w:rFonts w:ascii="Calibri" w:hAnsi="Calibri" w:cs="Calibri"/>
          <w:sz w:val="24"/>
          <w:szCs w:val="24"/>
        </w:rPr>
      </w:pPr>
      <w:r w:rsidRPr="006A416D">
        <w:rPr>
          <w:rFonts w:ascii="Calibri" w:hAnsi="Calibri" w:cs="Calibri"/>
          <w:sz w:val="24"/>
          <w:szCs w:val="24"/>
        </w:rPr>
        <w:t xml:space="preserve">Welsh Government (2024) </w:t>
      </w:r>
      <w:r w:rsidRPr="006A416D">
        <w:rPr>
          <w:rFonts w:ascii="Calibri" w:hAnsi="Calibri" w:cs="Calibri"/>
          <w:i/>
          <w:iCs/>
          <w:sz w:val="24"/>
          <w:szCs w:val="24"/>
        </w:rPr>
        <w:t>Public Commemoration in Wales: Guidance for Public Bodies.</w:t>
      </w:r>
      <w:r w:rsidRPr="006A416D">
        <w:rPr>
          <w:rFonts w:ascii="Calibri" w:hAnsi="Calibri" w:cs="Calibri"/>
          <w:sz w:val="24"/>
          <w:szCs w:val="24"/>
        </w:rPr>
        <w:t xml:space="preserve"> Available at: </w:t>
      </w:r>
      <w:hyperlink r:id="rId18" w:history="1">
        <w:r w:rsidRPr="006A416D">
          <w:rPr>
            <w:rStyle w:val="Hyperlink"/>
            <w:rFonts w:ascii="Calibri" w:hAnsi="Calibri" w:cs="Calibri"/>
            <w:sz w:val="24"/>
            <w:szCs w:val="24"/>
          </w:rPr>
          <w:t>https://w</w:t>
        </w:r>
        <w:r w:rsidRPr="006A416D">
          <w:rPr>
            <w:rStyle w:val="Hyperlink"/>
            <w:rFonts w:ascii="Calibri" w:hAnsi="Calibri" w:cs="Calibri"/>
            <w:sz w:val="24"/>
            <w:szCs w:val="24"/>
          </w:rPr>
          <w:t>w</w:t>
        </w:r>
        <w:r w:rsidRPr="006A416D">
          <w:rPr>
            <w:rStyle w:val="Hyperlink"/>
            <w:rFonts w:ascii="Calibri" w:hAnsi="Calibri" w:cs="Calibri"/>
            <w:sz w:val="24"/>
            <w:szCs w:val="24"/>
          </w:rPr>
          <w:t>w.gov.wales/sites/default/files/publications/2024-03/public-commemoration-in-wales-guidance.pdf</w:t>
        </w:r>
      </w:hyperlink>
      <w:r w:rsidRPr="006A416D">
        <w:rPr>
          <w:rFonts w:ascii="Calibri" w:hAnsi="Calibri" w:cs="Calibri"/>
          <w:sz w:val="24"/>
          <w:szCs w:val="24"/>
        </w:rPr>
        <w:t xml:space="preserve"> (Accessed: 10 April 2025).</w:t>
      </w:r>
    </w:p>
    <w:p w14:paraId="6752A931" w14:textId="42F0CCD5" w:rsidR="00E87D86" w:rsidRPr="006A416D" w:rsidRDefault="00E87D86" w:rsidP="004401D0">
      <w:pPr>
        <w:rPr>
          <w:rFonts w:ascii="Calibri" w:hAnsi="Calibri" w:cs="Calibri"/>
          <w:sz w:val="24"/>
          <w:szCs w:val="24"/>
        </w:rPr>
      </w:pPr>
      <w:r w:rsidRPr="006A416D">
        <w:rPr>
          <w:rFonts w:ascii="Calibri" w:hAnsi="Calibri" w:cs="Calibri"/>
          <w:sz w:val="24"/>
          <w:szCs w:val="24"/>
        </w:rPr>
        <w:t xml:space="preserve">Youle, R. (2020) </w:t>
      </w:r>
      <w:r w:rsidRPr="006A416D">
        <w:rPr>
          <w:rFonts w:ascii="Calibri" w:hAnsi="Calibri" w:cs="Calibri"/>
          <w:i/>
          <w:iCs/>
          <w:sz w:val="24"/>
          <w:szCs w:val="24"/>
        </w:rPr>
        <w:t>Information boards ‘referring to slavery links’ to be placed by Thomas Picton monument.</w:t>
      </w:r>
      <w:r w:rsidRPr="006A416D">
        <w:rPr>
          <w:rFonts w:ascii="Calibri" w:hAnsi="Calibri" w:cs="Calibri"/>
          <w:sz w:val="24"/>
          <w:szCs w:val="24"/>
        </w:rPr>
        <w:t xml:space="preserve"> Available at: </w:t>
      </w:r>
      <w:hyperlink r:id="rId19" w:history="1">
        <w:r w:rsidRPr="006A416D">
          <w:rPr>
            <w:rStyle w:val="Hyperlink"/>
            <w:rFonts w:ascii="Calibri" w:hAnsi="Calibri" w:cs="Calibri"/>
            <w:sz w:val="24"/>
            <w:szCs w:val="24"/>
          </w:rPr>
          <w:t>https:</w:t>
        </w:r>
        <w:r w:rsidRPr="006A416D">
          <w:rPr>
            <w:rStyle w:val="Hyperlink"/>
            <w:rFonts w:ascii="Calibri" w:hAnsi="Calibri" w:cs="Calibri"/>
            <w:sz w:val="24"/>
            <w:szCs w:val="24"/>
          </w:rPr>
          <w:t>/</w:t>
        </w:r>
        <w:r w:rsidRPr="006A416D">
          <w:rPr>
            <w:rStyle w:val="Hyperlink"/>
            <w:rFonts w:ascii="Calibri" w:hAnsi="Calibri" w:cs="Calibri"/>
            <w:sz w:val="24"/>
            <w:szCs w:val="24"/>
          </w:rPr>
          <w:t>/nation.cymru/news/information-boards-to-be-placed-by-thomas-picton-monument/</w:t>
        </w:r>
      </w:hyperlink>
      <w:r w:rsidRPr="006A416D">
        <w:rPr>
          <w:rFonts w:ascii="Calibri" w:hAnsi="Calibri" w:cs="Calibri"/>
          <w:sz w:val="24"/>
          <w:szCs w:val="24"/>
        </w:rPr>
        <w:t xml:space="preserve"> (Accessed: 10 April 2025).</w:t>
      </w:r>
    </w:p>
    <w:p w14:paraId="07E5B68A" w14:textId="77777777" w:rsidR="00417680" w:rsidRPr="006A416D" w:rsidRDefault="00417680" w:rsidP="00417680">
      <w:pPr>
        <w:rPr>
          <w:rFonts w:ascii="Calibri" w:hAnsi="Calibri" w:cs="Calibri"/>
          <w:sz w:val="24"/>
          <w:szCs w:val="24"/>
        </w:rPr>
      </w:pPr>
    </w:p>
    <w:p w14:paraId="7D8FE18F" w14:textId="77777777" w:rsidR="00417680" w:rsidRPr="006A416D" w:rsidRDefault="00417680" w:rsidP="006D1F67">
      <w:pPr>
        <w:rPr>
          <w:rFonts w:ascii="Calibri" w:hAnsi="Calibri" w:cs="Calibri"/>
          <w:sz w:val="24"/>
          <w:szCs w:val="24"/>
        </w:rPr>
      </w:pPr>
    </w:p>
    <w:p w14:paraId="5D592F80" w14:textId="77777777" w:rsidR="00417680" w:rsidRPr="006A416D" w:rsidRDefault="00417680" w:rsidP="006D1F67">
      <w:pPr>
        <w:rPr>
          <w:rFonts w:ascii="Calibri" w:hAnsi="Calibri" w:cs="Calibri"/>
          <w:sz w:val="24"/>
          <w:szCs w:val="24"/>
        </w:rPr>
      </w:pPr>
    </w:p>
    <w:p w14:paraId="6DC7A631" w14:textId="77777777" w:rsidR="00417680" w:rsidRPr="006A416D" w:rsidRDefault="00417680" w:rsidP="006D1F67">
      <w:pPr>
        <w:rPr>
          <w:rFonts w:ascii="Calibri" w:hAnsi="Calibri" w:cs="Calibri"/>
          <w:sz w:val="24"/>
          <w:szCs w:val="24"/>
        </w:rPr>
      </w:pPr>
    </w:p>
    <w:p w14:paraId="67EA24DE" w14:textId="77777777" w:rsidR="00417680" w:rsidRPr="006A416D" w:rsidRDefault="00417680" w:rsidP="006D1F67">
      <w:pPr>
        <w:rPr>
          <w:rFonts w:ascii="Calibri" w:hAnsi="Calibri" w:cs="Calibri"/>
          <w:sz w:val="24"/>
          <w:szCs w:val="24"/>
        </w:rPr>
      </w:pPr>
    </w:p>
    <w:p w14:paraId="289E1372" w14:textId="77777777" w:rsidR="00417680" w:rsidRPr="006A416D" w:rsidRDefault="00417680" w:rsidP="006D1F67">
      <w:pPr>
        <w:rPr>
          <w:rFonts w:ascii="Calibri" w:hAnsi="Calibri" w:cs="Calibri"/>
          <w:sz w:val="24"/>
          <w:szCs w:val="24"/>
        </w:rPr>
      </w:pPr>
    </w:p>
    <w:p w14:paraId="5EA9C1D6" w14:textId="54C03DEA" w:rsidR="00106266" w:rsidRPr="006A416D" w:rsidRDefault="00106266">
      <w:pPr>
        <w:rPr>
          <w:rFonts w:ascii="Calibri" w:hAnsi="Calibri" w:cs="Calibri"/>
          <w:sz w:val="24"/>
          <w:szCs w:val="24"/>
        </w:rPr>
      </w:pPr>
    </w:p>
    <w:sectPr w:rsidR="00106266" w:rsidRPr="006A416D" w:rsidSect="00894762">
      <w:headerReference w:type="default" r:id="rId20"/>
      <w:footerReference w:type="default" r:id="rId21"/>
      <w:headerReference w:type="first" r:id="rId22"/>
      <w:footerReference w:type="first" r:id="rId23"/>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74144" w14:textId="77777777" w:rsidR="000015F1" w:rsidRDefault="000015F1" w:rsidP="004F1C20">
      <w:pPr>
        <w:spacing w:after="0" w:line="240" w:lineRule="auto"/>
      </w:pPr>
      <w:r>
        <w:separator/>
      </w:r>
    </w:p>
  </w:endnote>
  <w:endnote w:type="continuationSeparator" w:id="0">
    <w:p w14:paraId="5A8DE46B" w14:textId="77777777" w:rsidR="000015F1" w:rsidRDefault="000015F1" w:rsidP="004F1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9341731"/>
      <w:docPartObj>
        <w:docPartGallery w:val="Page Numbers (Bottom of Page)"/>
        <w:docPartUnique/>
      </w:docPartObj>
    </w:sdtPr>
    <w:sdtEndPr>
      <w:rPr>
        <w:noProof/>
      </w:rPr>
    </w:sdtEndPr>
    <w:sdtContent>
      <w:p w14:paraId="61217A47" w14:textId="09951F88" w:rsidR="004F1C20" w:rsidRDefault="004F1C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830805" w14:textId="77777777" w:rsidR="004F1C20" w:rsidRDefault="004F1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379036"/>
      <w:docPartObj>
        <w:docPartGallery w:val="Page Numbers (Bottom of Page)"/>
        <w:docPartUnique/>
      </w:docPartObj>
    </w:sdtPr>
    <w:sdtEndPr>
      <w:rPr>
        <w:noProof/>
      </w:rPr>
    </w:sdtEndPr>
    <w:sdtContent>
      <w:p w14:paraId="5AF8A959" w14:textId="4AB640D9" w:rsidR="004F1C20" w:rsidRDefault="004F1C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BAEBE5" w14:textId="77777777" w:rsidR="004F1C20" w:rsidRDefault="004F1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FBDCC" w14:textId="77777777" w:rsidR="000015F1" w:rsidRDefault="000015F1" w:rsidP="004F1C20">
      <w:pPr>
        <w:spacing w:after="0" w:line="240" w:lineRule="auto"/>
      </w:pPr>
      <w:r>
        <w:separator/>
      </w:r>
    </w:p>
  </w:footnote>
  <w:footnote w:type="continuationSeparator" w:id="0">
    <w:p w14:paraId="29DBBE32" w14:textId="77777777" w:rsidR="000015F1" w:rsidRDefault="000015F1" w:rsidP="004F1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237E" w14:textId="74177065" w:rsidR="004F1C20" w:rsidRPr="004F1C20" w:rsidRDefault="004F1C20">
    <w:pPr>
      <w:pStyle w:val="Header"/>
      <w:rPr>
        <w:rFonts w:ascii="Calibri" w:hAnsi="Calibri" w:cs="Calibri"/>
        <w:sz w:val="20"/>
        <w:szCs w:val="20"/>
      </w:rPr>
    </w:pPr>
    <w:r w:rsidRPr="004F1C20">
      <w:rPr>
        <w:rFonts w:ascii="Calibri" w:hAnsi="Calibri" w:cs="Calibri"/>
        <w:sz w:val="20"/>
        <w:szCs w:val="20"/>
      </w:rPr>
      <w:t xml:space="preserve">R. Bakewell (2204367) </w:t>
    </w:r>
    <w:r>
      <w:rPr>
        <w:rFonts w:ascii="Calibri" w:hAnsi="Calibri" w:cs="Calibri"/>
        <w:sz w:val="20"/>
        <w:szCs w:val="20"/>
      </w:rPr>
      <w:t xml:space="preserve">                                                                                                                           </w:t>
    </w:r>
    <w:r w:rsidRPr="004F1C20">
      <w:rPr>
        <w:rFonts w:ascii="Calibri" w:hAnsi="Calibri" w:cs="Calibri"/>
        <w:sz w:val="20"/>
        <w:szCs w:val="20"/>
      </w:rPr>
      <w:t>Module: HPHI5018</w:t>
    </w:r>
  </w:p>
  <w:p w14:paraId="4125D337" w14:textId="77777777" w:rsidR="004F1C20" w:rsidRDefault="004F1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026F1" w14:textId="6945BE13" w:rsidR="004F1C20" w:rsidRDefault="004F1C20">
    <w:pPr>
      <w:pStyle w:val="Header"/>
    </w:pPr>
    <w:r w:rsidRPr="004F1C20">
      <w:rPr>
        <w:rFonts w:ascii="Calibri" w:hAnsi="Calibri" w:cs="Calibri"/>
        <w:sz w:val="20"/>
        <w:szCs w:val="20"/>
      </w:rPr>
      <w:t xml:space="preserve">R. Bakewell (2204367) </w:t>
    </w:r>
    <w:r>
      <w:rPr>
        <w:rFonts w:ascii="Calibri" w:hAnsi="Calibri" w:cs="Calibri"/>
        <w:sz w:val="20"/>
        <w:szCs w:val="20"/>
      </w:rPr>
      <w:t xml:space="preserve">                                                                                                                           </w:t>
    </w:r>
    <w:r w:rsidRPr="004F1C20">
      <w:rPr>
        <w:rFonts w:ascii="Calibri" w:hAnsi="Calibri" w:cs="Calibri"/>
        <w:sz w:val="20"/>
        <w:szCs w:val="20"/>
      </w:rPr>
      <w:t>Module: HPHI5018</w:t>
    </w:r>
  </w:p>
  <w:p w14:paraId="2D9E2C8F" w14:textId="77777777" w:rsidR="004F1C20" w:rsidRDefault="004F1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0EAF"/>
    <w:multiLevelType w:val="hybridMultilevel"/>
    <w:tmpl w:val="0536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65824"/>
    <w:multiLevelType w:val="hybridMultilevel"/>
    <w:tmpl w:val="61CC6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9E4091"/>
    <w:multiLevelType w:val="hybridMultilevel"/>
    <w:tmpl w:val="038438F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E4546"/>
    <w:multiLevelType w:val="multilevel"/>
    <w:tmpl w:val="B51A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B09FD"/>
    <w:multiLevelType w:val="multilevel"/>
    <w:tmpl w:val="DB3E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36CFF"/>
    <w:multiLevelType w:val="hybridMultilevel"/>
    <w:tmpl w:val="6770C1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D30F27"/>
    <w:multiLevelType w:val="multilevel"/>
    <w:tmpl w:val="028C1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6F6EA2"/>
    <w:multiLevelType w:val="hybridMultilevel"/>
    <w:tmpl w:val="31284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113226"/>
    <w:multiLevelType w:val="multilevel"/>
    <w:tmpl w:val="2D1A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52AE3"/>
    <w:multiLevelType w:val="hybridMultilevel"/>
    <w:tmpl w:val="FF74A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30ABE"/>
    <w:multiLevelType w:val="multilevel"/>
    <w:tmpl w:val="A5C857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7824EB"/>
    <w:multiLevelType w:val="hybridMultilevel"/>
    <w:tmpl w:val="04D6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C7E1C"/>
    <w:multiLevelType w:val="hybridMultilevel"/>
    <w:tmpl w:val="9B7E9B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A161FE"/>
    <w:multiLevelType w:val="multilevel"/>
    <w:tmpl w:val="24E0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32104"/>
    <w:multiLevelType w:val="multilevel"/>
    <w:tmpl w:val="80B04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C03FAF"/>
    <w:multiLevelType w:val="multilevel"/>
    <w:tmpl w:val="F7A40B3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69035E"/>
    <w:multiLevelType w:val="hybridMultilevel"/>
    <w:tmpl w:val="4030C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FA22BB"/>
    <w:multiLevelType w:val="multilevel"/>
    <w:tmpl w:val="A5C857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787AA1"/>
    <w:multiLevelType w:val="hybridMultilevel"/>
    <w:tmpl w:val="6926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F242F2"/>
    <w:multiLevelType w:val="multilevel"/>
    <w:tmpl w:val="1366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805365"/>
    <w:multiLevelType w:val="multilevel"/>
    <w:tmpl w:val="0BE2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A05B1"/>
    <w:multiLevelType w:val="multilevel"/>
    <w:tmpl w:val="3A2870D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E73882"/>
    <w:multiLevelType w:val="multilevel"/>
    <w:tmpl w:val="093A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656591"/>
    <w:multiLevelType w:val="multilevel"/>
    <w:tmpl w:val="6B72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5C2477"/>
    <w:multiLevelType w:val="hybridMultilevel"/>
    <w:tmpl w:val="46604B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3A6676"/>
    <w:multiLevelType w:val="multilevel"/>
    <w:tmpl w:val="F6EC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F2509"/>
    <w:multiLevelType w:val="multilevel"/>
    <w:tmpl w:val="F0D0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F0EEA"/>
    <w:multiLevelType w:val="hybridMultilevel"/>
    <w:tmpl w:val="B7E6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BD3E28"/>
    <w:multiLevelType w:val="hybridMultilevel"/>
    <w:tmpl w:val="8D823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47193B"/>
    <w:multiLevelType w:val="hybridMultilevel"/>
    <w:tmpl w:val="6A00EEE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0" w15:restartNumberingAfterBreak="0">
    <w:nsid w:val="627D1D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2259A5"/>
    <w:multiLevelType w:val="hybridMultilevel"/>
    <w:tmpl w:val="9B241F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B9334B"/>
    <w:multiLevelType w:val="hybridMultilevel"/>
    <w:tmpl w:val="C464D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280B41"/>
    <w:multiLevelType w:val="multilevel"/>
    <w:tmpl w:val="BABA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616C7"/>
    <w:multiLevelType w:val="multilevel"/>
    <w:tmpl w:val="F5A08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877FD6"/>
    <w:multiLevelType w:val="multilevel"/>
    <w:tmpl w:val="F7A40B3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4CD2447"/>
    <w:multiLevelType w:val="hybridMultilevel"/>
    <w:tmpl w:val="666C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AC2345"/>
    <w:multiLevelType w:val="multilevel"/>
    <w:tmpl w:val="8292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4552286">
    <w:abstractNumId w:val="30"/>
  </w:num>
  <w:num w:numId="2" w16cid:durableId="529538074">
    <w:abstractNumId w:val="23"/>
  </w:num>
  <w:num w:numId="3" w16cid:durableId="1622496148">
    <w:abstractNumId w:val="37"/>
  </w:num>
  <w:num w:numId="4" w16cid:durableId="1974023082">
    <w:abstractNumId w:val="8"/>
  </w:num>
  <w:num w:numId="5" w16cid:durableId="1979603987">
    <w:abstractNumId w:val="34"/>
  </w:num>
  <w:num w:numId="6" w16cid:durableId="194392234">
    <w:abstractNumId w:val="14"/>
  </w:num>
  <w:num w:numId="7" w16cid:durableId="1011449758">
    <w:abstractNumId w:val="7"/>
  </w:num>
  <w:num w:numId="8" w16cid:durableId="83190436">
    <w:abstractNumId w:val="36"/>
  </w:num>
  <w:num w:numId="9" w16cid:durableId="347215120">
    <w:abstractNumId w:val="15"/>
  </w:num>
  <w:num w:numId="10" w16cid:durableId="1470443575">
    <w:abstractNumId w:val="31"/>
  </w:num>
  <w:num w:numId="11" w16cid:durableId="1674336315">
    <w:abstractNumId w:val="1"/>
  </w:num>
  <w:num w:numId="12" w16cid:durableId="1289162215">
    <w:abstractNumId w:val="2"/>
  </w:num>
  <w:num w:numId="13" w16cid:durableId="306592144">
    <w:abstractNumId w:val="5"/>
  </w:num>
  <w:num w:numId="14" w16cid:durableId="1384327919">
    <w:abstractNumId w:val="29"/>
  </w:num>
  <w:num w:numId="15" w16cid:durableId="460391568">
    <w:abstractNumId w:val="12"/>
  </w:num>
  <w:num w:numId="16" w16cid:durableId="1585991875">
    <w:abstractNumId w:val="9"/>
  </w:num>
  <w:num w:numId="17" w16cid:durableId="243996098">
    <w:abstractNumId w:val="26"/>
  </w:num>
  <w:num w:numId="18" w16cid:durableId="2019579319">
    <w:abstractNumId w:val="33"/>
  </w:num>
  <w:num w:numId="19" w16cid:durableId="18699817">
    <w:abstractNumId w:val="3"/>
  </w:num>
  <w:num w:numId="20" w16cid:durableId="1909606384">
    <w:abstractNumId w:val="13"/>
  </w:num>
  <w:num w:numId="21" w16cid:durableId="8798162">
    <w:abstractNumId w:val="6"/>
  </w:num>
  <w:num w:numId="22" w16cid:durableId="1898316734">
    <w:abstractNumId w:val="4"/>
  </w:num>
  <w:num w:numId="23" w16cid:durableId="599680829">
    <w:abstractNumId w:val="17"/>
  </w:num>
  <w:num w:numId="24" w16cid:durableId="76903212">
    <w:abstractNumId w:val="19"/>
  </w:num>
  <w:num w:numId="25" w16cid:durableId="2113552431">
    <w:abstractNumId w:val="20"/>
  </w:num>
  <w:num w:numId="26" w16cid:durableId="415249508">
    <w:abstractNumId w:val="10"/>
  </w:num>
  <w:num w:numId="27" w16cid:durableId="1030301357">
    <w:abstractNumId w:val="0"/>
  </w:num>
  <w:num w:numId="28" w16cid:durableId="158615448">
    <w:abstractNumId w:val="28"/>
  </w:num>
  <w:num w:numId="29" w16cid:durableId="199125269">
    <w:abstractNumId w:val="21"/>
  </w:num>
  <w:num w:numId="30" w16cid:durableId="1107579126">
    <w:abstractNumId w:val="25"/>
  </w:num>
  <w:num w:numId="31" w16cid:durableId="1407536993">
    <w:abstractNumId w:val="22"/>
  </w:num>
  <w:num w:numId="32" w16cid:durableId="71586620">
    <w:abstractNumId w:val="35"/>
  </w:num>
  <w:num w:numId="33" w16cid:durableId="984116966">
    <w:abstractNumId w:val="32"/>
  </w:num>
  <w:num w:numId="34" w16cid:durableId="253825996">
    <w:abstractNumId w:val="18"/>
  </w:num>
  <w:num w:numId="35" w16cid:durableId="1176459377">
    <w:abstractNumId w:val="24"/>
  </w:num>
  <w:num w:numId="36" w16cid:durableId="1458331351">
    <w:abstractNumId w:val="11"/>
  </w:num>
  <w:num w:numId="37" w16cid:durableId="387993429">
    <w:abstractNumId w:val="16"/>
  </w:num>
  <w:num w:numId="38" w16cid:durableId="17683121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62"/>
    <w:rsid w:val="000015F1"/>
    <w:rsid w:val="00003FFC"/>
    <w:rsid w:val="00090C9C"/>
    <w:rsid w:val="000E751D"/>
    <w:rsid w:val="00100102"/>
    <w:rsid w:val="00106266"/>
    <w:rsid w:val="00126AEE"/>
    <w:rsid w:val="00194EC3"/>
    <w:rsid w:val="001A2C8E"/>
    <w:rsid w:val="001A3186"/>
    <w:rsid w:val="001B2F7B"/>
    <w:rsid w:val="001D29AD"/>
    <w:rsid w:val="002221C8"/>
    <w:rsid w:val="002274EB"/>
    <w:rsid w:val="002316C6"/>
    <w:rsid w:val="00260097"/>
    <w:rsid w:val="00287A15"/>
    <w:rsid w:val="002B0C36"/>
    <w:rsid w:val="002B31E3"/>
    <w:rsid w:val="002B7D5D"/>
    <w:rsid w:val="002D7A5F"/>
    <w:rsid w:val="0033729B"/>
    <w:rsid w:val="00341E09"/>
    <w:rsid w:val="0035213B"/>
    <w:rsid w:val="003736BD"/>
    <w:rsid w:val="003C1D22"/>
    <w:rsid w:val="003E206D"/>
    <w:rsid w:val="0040333D"/>
    <w:rsid w:val="00404C33"/>
    <w:rsid w:val="00417680"/>
    <w:rsid w:val="0042474D"/>
    <w:rsid w:val="0043107C"/>
    <w:rsid w:val="004401D0"/>
    <w:rsid w:val="00461AC2"/>
    <w:rsid w:val="0047046D"/>
    <w:rsid w:val="00480414"/>
    <w:rsid w:val="004A58F4"/>
    <w:rsid w:val="004C3665"/>
    <w:rsid w:val="004F1C20"/>
    <w:rsid w:val="00500657"/>
    <w:rsid w:val="00502655"/>
    <w:rsid w:val="005030D0"/>
    <w:rsid w:val="00565276"/>
    <w:rsid w:val="005A486F"/>
    <w:rsid w:val="005B74AB"/>
    <w:rsid w:val="005F6D37"/>
    <w:rsid w:val="00617C4D"/>
    <w:rsid w:val="00653187"/>
    <w:rsid w:val="0069279F"/>
    <w:rsid w:val="006A416D"/>
    <w:rsid w:val="006D1F67"/>
    <w:rsid w:val="007256B2"/>
    <w:rsid w:val="00727457"/>
    <w:rsid w:val="007909F1"/>
    <w:rsid w:val="008053A8"/>
    <w:rsid w:val="00863BC0"/>
    <w:rsid w:val="00894762"/>
    <w:rsid w:val="00894A1D"/>
    <w:rsid w:val="008C3C87"/>
    <w:rsid w:val="00953860"/>
    <w:rsid w:val="009829F8"/>
    <w:rsid w:val="00985DBA"/>
    <w:rsid w:val="009E58D7"/>
    <w:rsid w:val="00A36482"/>
    <w:rsid w:val="00A5520F"/>
    <w:rsid w:val="00A872D9"/>
    <w:rsid w:val="00AF2ACB"/>
    <w:rsid w:val="00B16208"/>
    <w:rsid w:val="00B220CA"/>
    <w:rsid w:val="00B778C5"/>
    <w:rsid w:val="00C677AA"/>
    <w:rsid w:val="00C71581"/>
    <w:rsid w:val="00C73B5E"/>
    <w:rsid w:val="00D23F84"/>
    <w:rsid w:val="00D76FB2"/>
    <w:rsid w:val="00DB0C50"/>
    <w:rsid w:val="00E87D86"/>
    <w:rsid w:val="00ED221A"/>
    <w:rsid w:val="00F36185"/>
    <w:rsid w:val="00F80B44"/>
    <w:rsid w:val="00F87C6A"/>
    <w:rsid w:val="00FA3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CA9C3"/>
  <w15:chartTrackingRefBased/>
  <w15:docId w15:val="{10342734-801B-4425-9784-9D99BD97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62"/>
  </w:style>
  <w:style w:type="paragraph" w:styleId="Heading1">
    <w:name w:val="heading 1"/>
    <w:basedOn w:val="Normal"/>
    <w:next w:val="Normal"/>
    <w:link w:val="Heading1Char"/>
    <w:uiPriority w:val="9"/>
    <w:qFormat/>
    <w:rsid w:val="00894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47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7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7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7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7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7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7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47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7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7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762"/>
    <w:rPr>
      <w:rFonts w:eastAsiaTheme="majorEastAsia" w:cstheme="majorBidi"/>
      <w:color w:val="272727" w:themeColor="text1" w:themeTint="D8"/>
    </w:rPr>
  </w:style>
  <w:style w:type="paragraph" w:styleId="Title">
    <w:name w:val="Title"/>
    <w:basedOn w:val="Normal"/>
    <w:next w:val="Normal"/>
    <w:link w:val="TitleChar"/>
    <w:uiPriority w:val="10"/>
    <w:qFormat/>
    <w:rsid w:val="00894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7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762"/>
    <w:pPr>
      <w:spacing w:before="160"/>
      <w:jc w:val="center"/>
    </w:pPr>
    <w:rPr>
      <w:i/>
      <w:iCs/>
      <w:color w:val="404040" w:themeColor="text1" w:themeTint="BF"/>
    </w:rPr>
  </w:style>
  <w:style w:type="character" w:customStyle="1" w:styleId="QuoteChar">
    <w:name w:val="Quote Char"/>
    <w:basedOn w:val="DefaultParagraphFont"/>
    <w:link w:val="Quote"/>
    <w:uiPriority w:val="29"/>
    <w:rsid w:val="00894762"/>
    <w:rPr>
      <w:i/>
      <w:iCs/>
      <w:color w:val="404040" w:themeColor="text1" w:themeTint="BF"/>
    </w:rPr>
  </w:style>
  <w:style w:type="paragraph" w:styleId="ListParagraph">
    <w:name w:val="List Paragraph"/>
    <w:basedOn w:val="Normal"/>
    <w:uiPriority w:val="34"/>
    <w:qFormat/>
    <w:rsid w:val="00894762"/>
    <w:pPr>
      <w:ind w:left="720"/>
      <w:contextualSpacing/>
    </w:pPr>
  </w:style>
  <w:style w:type="character" w:styleId="IntenseEmphasis">
    <w:name w:val="Intense Emphasis"/>
    <w:basedOn w:val="DefaultParagraphFont"/>
    <w:uiPriority w:val="21"/>
    <w:qFormat/>
    <w:rsid w:val="00894762"/>
    <w:rPr>
      <w:i/>
      <w:iCs/>
      <w:color w:val="0F4761" w:themeColor="accent1" w:themeShade="BF"/>
    </w:rPr>
  </w:style>
  <w:style w:type="paragraph" w:styleId="IntenseQuote">
    <w:name w:val="Intense Quote"/>
    <w:basedOn w:val="Normal"/>
    <w:next w:val="Normal"/>
    <w:link w:val="IntenseQuoteChar"/>
    <w:uiPriority w:val="30"/>
    <w:qFormat/>
    <w:rsid w:val="00894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762"/>
    <w:rPr>
      <w:i/>
      <w:iCs/>
      <w:color w:val="0F4761" w:themeColor="accent1" w:themeShade="BF"/>
    </w:rPr>
  </w:style>
  <w:style w:type="character" w:styleId="IntenseReference">
    <w:name w:val="Intense Reference"/>
    <w:basedOn w:val="DefaultParagraphFont"/>
    <w:uiPriority w:val="32"/>
    <w:qFormat/>
    <w:rsid w:val="00894762"/>
    <w:rPr>
      <w:b/>
      <w:bCs/>
      <w:smallCaps/>
      <w:color w:val="0F4761" w:themeColor="accent1" w:themeShade="BF"/>
      <w:spacing w:val="5"/>
    </w:rPr>
  </w:style>
  <w:style w:type="character" w:styleId="Strong">
    <w:name w:val="Strong"/>
    <w:basedOn w:val="DefaultParagraphFont"/>
    <w:uiPriority w:val="22"/>
    <w:qFormat/>
    <w:rsid w:val="00894762"/>
    <w:rPr>
      <w:b/>
      <w:bCs/>
    </w:rPr>
  </w:style>
  <w:style w:type="character" w:styleId="Hyperlink">
    <w:name w:val="Hyperlink"/>
    <w:basedOn w:val="DefaultParagraphFont"/>
    <w:uiPriority w:val="99"/>
    <w:unhideWhenUsed/>
    <w:rsid w:val="00461AC2"/>
    <w:rPr>
      <w:color w:val="467886" w:themeColor="hyperlink"/>
      <w:u w:val="single"/>
    </w:rPr>
  </w:style>
  <w:style w:type="character" w:styleId="UnresolvedMention">
    <w:name w:val="Unresolved Mention"/>
    <w:basedOn w:val="DefaultParagraphFont"/>
    <w:uiPriority w:val="99"/>
    <w:semiHidden/>
    <w:unhideWhenUsed/>
    <w:rsid w:val="00461AC2"/>
    <w:rPr>
      <w:color w:val="605E5C"/>
      <w:shd w:val="clear" w:color="auto" w:fill="E1DFDD"/>
    </w:rPr>
  </w:style>
  <w:style w:type="character" w:styleId="Emphasis">
    <w:name w:val="Emphasis"/>
    <w:basedOn w:val="DefaultParagraphFont"/>
    <w:uiPriority w:val="20"/>
    <w:qFormat/>
    <w:rsid w:val="002316C6"/>
    <w:rPr>
      <w:i/>
      <w:iCs/>
    </w:rPr>
  </w:style>
  <w:style w:type="character" w:styleId="FollowedHyperlink">
    <w:name w:val="FollowedHyperlink"/>
    <w:basedOn w:val="DefaultParagraphFont"/>
    <w:uiPriority w:val="99"/>
    <w:semiHidden/>
    <w:unhideWhenUsed/>
    <w:rsid w:val="004401D0"/>
    <w:rPr>
      <w:color w:val="96607D" w:themeColor="followedHyperlink"/>
      <w:u w:val="single"/>
    </w:rPr>
  </w:style>
  <w:style w:type="paragraph" w:styleId="Header">
    <w:name w:val="header"/>
    <w:basedOn w:val="Normal"/>
    <w:link w:val="HeaderChar"/>
    <w:uiPriority w:val="99"/>
    <w:unhideWhenUsed/>
    <w:rsid w:val="004F1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C20"/>
  </w:style>
  <w:style w:type="paragraph" w:styleId="Footer">
    <w:name w:val="footer"/>
    <w:basedOn w:val="Normal"/>
    <w:link w:val="FooterChar"/>
    <w:uiPriority w:val="99"/>
    <w:unhideWhenUsed/>
    <w:rsid w:val="004F1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4968">
      <w:bodyDiv w:val="1"/>
      <w:marLeft w:val="0"/>
      <w:marRight w:val="0"/>
      <w:marTop w:val="0"/>
      <w:marBottom w:val="0"/>
      <w:divBdr>
        <w:top w:val="none" w:sz="0" w:space="0" w:color="auto"/>
        <w:left w:val="none" w:sz="0" w:space="0" w:color="auto"/>
        <w:bottom w:val="none" w:sz="0" w:space="0" w:color="auto"/>
        <w:right w:val="none" w:sz="0" w:space="0" w:color="auto"/>
      </w:divBdr>
    </w:div>
    <w:div w:id="79261512">
      <w:bodyDiv w:val="1"/>
      <w:marLeft w:val="0"/>
      <w:marRight w:val="0"/>
      <w:marTop w:val="0"/>
      <w:marBottom w:val="0"/>
      <w:divBdr>
        <w:top w:val="none" w:sz="0" w:space="0" w:color="auto"/>
        <w:left w:val="none" w:sz="0" w:space="0" w:color="auto"/>
        <w:bottom w:val="none" w:sz="0" w:space="0" w:color="auto"/>
        <w:right w:val="none" w:sz="0" w:space="0" w:color="auto"/>
      </w:divBdr>
    </w:div>
    <w:div w:id="84036883">
      <w:bodyDiv w:val="1"/>
      <w:marLeft w:val="0"/>
      <w:marRight w:val="0"/>
      <w:marTop w:val="0"/>
      <w:marBottom w:val="0"/>
      <w:divBdr>
        <w:top w:val="none" w:sz="0" w:space="0" w:color="auto"/>
        <w:left w:val="none" w:sz="0" w:space="0" w:color="auto"/>
        <w:bottom w:val="none" w:sz="0" w:space="0" w:color="auto"/>
        <w:right w:val="none" w:sz="0" w:space="0" w:color="auto"/>
      </w:divBdr>
    </w:div>
    <w:div w:id="98648155">
      <w:bodyDiv w:val="1"/>
      <w:marLeft w:val="0"/>
      <w:marRight w:val="0"/>
      <w:marTop w:val="0"/>
      <w:marBottom w:val="0"/>
      <w:divBdr>
        <w:top w:val="none" w:sz="0" w:space="0" w:color="auto"/>
        <w:left w:val="none" w:sz="0" w:space="0" w:color="auto"/>
        <w:bottom w:val="none" w:sz="0" w:space="0" w:color="auto"/>
        <w:right w:val="none" w:sz="0" w:space="0" w:color="auto"/>
      </w:divBdr>
    </w:div>
    <w:div w:id="145510162">
      <w:bodyDiv w:val="1"/>
      <w:marLeft w:val="0"/>
      <w:marRight w:val="0"/>
      <w:marTop w:val="0"/>
      <w:marBottom w:val="0"/>
      <w:divBdr>
        <w:top w:val="none" w:sz="0" w:space="0" w:color="auto"/>
        <w:left w:val="none" w:sz="0" w:space="0" w:color="auto"/>
        <w:bottom w:val="none" w:sz="0" w:space="0" w:color="auto"/>
        <w:right w:val="none" w:sz="0" w:space="0" w:color="auto"/>
      </w:divBdr>
    </w:div>
    <w:div w:id="145711842">
      <w:bodyDiv w:val="1"/>
      <w:marLeft w:val="0"/>
      <w:marRight w:val="0"/>
      <w:marTop w:val="0"/>
      <w:marBottom w:val="0"/>
      <w:divBdr>
        <w:top w:val="none" w:sz="0" w:space="0" w:color="auto"/>
        <w:left w:val="none" w:sz="0" w:space="0" w:color="auto"/>
        <w:bottom w:val="none" w:sz="0" w:space="0" w:color="auto"/>
        <w:right w:val="none" w:sz="0" w:space="0" w:color="auto"/>
      </w:divBdr>
    </w:div>
    <w:div w:id="180630182">
      <w:bodyDiv w:val="1"/>
      <w:marLeft w:val="0"/>
      <w:marRight w:val="0"/>
      <w:marTop w:val="0"/>
      <w:marBottom w:val="0"/>
      <w:divBdr>
        <w:top w:val="none" w:sz="0" w:space="0" w:color="auto"/>
        <w:left w:val="none" w:sz="0" w:space="0" w:color="auto"/>
        <w:bottom w:val="none" w:sz="0" w:space="0" w:color="auto"/>
        <w:right w:val="none" w:sz="0" w:space="0" w:color="auto"/>
      </w:divBdr>
    </w:div>
    <w:div w:id="184490151">
      <w:bodyDiv w:val="1"/>
      <w:marLeft w:val="0"/>
      <w:marRight w:val="0"/>
      <w:marTop w:val="0"/>
      <w:marBottom w:val="0"/>
      <w:divBdr>
        <w:top w:val="none" w:sz="0" w:space="0" w:color="auto"/>
        <w:left w:val="none" w:sz="0" w:space="0" w:color="auto"/>
        <w:bottom w:val="none" w:sz="0" w:space="0" w:color="auto"/>
        <w:right w:val="none" w:sz="0" w:space="0" w:color="auto"/>
      </w:divBdr>
    </w:div>
    <w:div w:id="202332754">
      <w:bodyDiv w:val="1"/>
      <w:marLeft w:val="0"/>
      <w:marRight w:val="0"/>
      <w:marTop w:val="0"/>
      <w:marBottom w:val="0"/>
      <w:divBdr>
        <w:top w:val="none" w:sz="0" w:space="0" w:color="auto"/>
        <w:left w:val="none" w:sz="0" w:space="0" w:color="auto"/>
        <w:bottom w:val="none" w:sz="0" w:space="0" w:color="auto"/>
        <w:right w:val="none" w:sz="0" w:space="0" w:color="auto"/>
      </w:divBdr>
    </w:div>
    <w:div w:id="344870522">
      <w:bodyDiv w:val="1"/>
      <w:marLeft w:val="0"/>
      <w:marRight w:val="0"/>
      <w:marTop w:val="0"/>
      <w:marBottom w:val="0"/>
      <w:divBdr>
        <w:top w:val="none" w:sz="0" w:space="0" w:color="auto"/>
        <w:left w:val="none" w:sz="0" w:space="0" w:color="auto"/>
        <w:bottom w:val="none" w:sz="0" w:space="0" w:color="auto"/>
        <w:right w:val="none" w:sz="0" w:space="0" w:color="auto"/>
      </w:divBdr>
    </w:div>
    <w:div w:id="368454592">
      <w:bodyDiv w:val="1"/>
      <w:marLeft w:val="0"/>
      <w:marRight w:val="0"/>
      <w:marTop w:val="0"/>
      <w:marBottom w:val="0"/>
      <w:divBdr>
        <w:top w:val="none" w:sz="0" w:space="0" w:color="auto"/>
        <w:left w:val="none" w:sz="0" w:space="0" w:color="auto"/>
        <w:bottom w:val="none" w:sz="0" w:space="0" w:color="auto"/>
        <w:right w:val="none" w:sz="0" w:space="0" w:color="auto"/>
      </w:divBdr>
    </w:div>
    <w:div w:id="427391047">
      <w:bodyDiv w:val="1"/>
      <w:marLeft w:val="0"/>
      <w:marRight w:val="0"/>
      <w:marTop w:val="0"/>
      <w:marBottom w:val="0"/>
      <w:divBdr>
        <w:top w:val="none" w:sz="0" w:space="0" w:color="auto"/>
        <w:left w:val="none" w:sz="0" w:space="0" w:color="auto"/>
        <w:bottom w:val="none" w:sz="0" w:space="0" w:color="auto"/>
        <w:right w:val="none" w:sz="0" w:space="0" w:color="auto"/>
      </w:divBdr>
    </w:div>
    <w:div w:id="464664962">
      <w:bodyDiv w:val="1"/>
      <w:marLeft w:val="0"/>
      <w:marRight w:val="0"/>
      <w:marTop w:val="0"/>
      <w:marBottom w:val="0"/>
      <w:divBdr>
        <w:top w:val="none" w:sz="0" w:space="0" w:color="auto"/>
        <w:left w:val="none" w:sz="0" w:space="0" w:color="auto"/>
        <w:bottom w:val="none" w:sz="0" w:space="0" w:color="auto"/>
        <w:right w:val="none" w:sz="0" w:space="0" w:color="auto"/>
      </w:divBdr>
    </w:div>
    <w:div w:id="505174303">
      <w:bodyDiv w:val="1"/>
      <w:marLeft w:val="0"/>
      <w:marRight w:val="0"/>
      <w:marTop w:val="0"/>
      <w:marBottom w:val="0"/>
      <w:divBdr>
        <w:top w:val="none" w:sz="0" w:space="0" w:color="auto"/>
        <w:left w:val="none" w:sz="0" w:space="0" w:color="auto"/>
        <w:bottom w:val="none" w:sz="0" w:space="0" w:color="auto"/>
        <w:right w:val="none" w:sz="0" w:space="0" w:color="auto"/>
      </w:divBdr>
    </w:div>
    <w:div w:id="568344333">
      <w:bodyDiv w:val="1"/>
      <w:marLeft w:val="0"/>
      <w:marRight w:val="0"/>
      <w:marTop w:val="0"/>
      <w:marBottom w:val="0"/>
      <w:divBdr>
        <w:top w:val="none" w:sz="0" w:space="0" w:color="auto"/>
        <w:left w:val="none" w:sz="0" w:space="0" w:color="auto"/>
        <w:bottom w:val="none" w:sz="0" w:space="0" w:color="auto"/>
        <w:right w:val="none" w:sz="0" w:space="0" w:color="auto"/>
      </w:divBdr>
    </w:div>
    <w:div w:id="694506421">
      <w:bodyDiv w:val="1"/>
      <w:marLeft w:val="0"/>
      <w:marRight w:val="0"/>
      <w:marTop w:val="0"/>
      <w:marBottom w:val="0"/>
      <w:divBdr>
        <w:top w:val="none" w:sz="0" w:space="0" w:color="auto"/>
        <w:left w:val="none" w:sz="0" w:space="0" w:color="auto"/>
        <w:bottom w:val="none" w:sz="0" w:space="0" w:color="auto"/>
        <w:right w:val="none" w:sz="0" w:space="0" w:color="auto"/>
      </w:divBdr>
    </w:div>
    <w:div w:id="708336209">
      <w:bodyDiv w:val="1"/>
      <w:marLeft w:val="0"/>
      <w:marRight w:val="0"/>
      <w:marTop w:val="0"/>
      <w:marBottom w:val="0"/>
      <w:divBdr>
        <w:top w:val="none" w:sz="0" w:space="0" w:color="auto"/>
        <w:left w:val="none" w:sz="0" w:space="0" w:color="auto"/>
        <w:bottom w:val="none" w:sz="0" w:space="0" w:color="auto"/>
        <w:right w:val="none" w:sz="0" w:space="0" w:color="auto"/>
      </w:divBdr>
    </w:div>
    <w:div w:id="714430684">
      <w:bodyDiv w:val="1"/>
      <w:marLeft w:val="0"/>
      <w:marRight w:val="0"/>
      <w:marTop w:val="0"/>
      <w:marBottom w:val="0"/>
      <w:divBdr>
        <w:top w:val="none" w:sz="0" w:space="0" w:color="auto"/>
        <w:left w:val="none" w:sz="0" w:space="0" w:color="auto"/>
        <w:bottom w:val="none" w:sz="0" w:space="0" w:color="auto"/>
        <w:right w:val="none" w:sz="0" w:space="0" w:color="auto"/>
      </w:divBdr>
    </w:div>
    <w:div w:id="735201731">
      <w:bodyDiv w:val="1"/>
      <w:marLeft w:val="0"/>
      <w:marRight w:val="0"/>
      <w:marTop w:val="0"/>
      <w:marBottom w:val="0"/>
      <w:divBdr>
        <w:top w:val="none" w:sz="0" w:space="0" w:color="auto"/>
        <w:left w:val="none" w:sz="0" w:space="0" w:color="auto"/>
        <w:bottom w:val="none" w:sz="0" w:space="0" w:color="auto"/>
        <w:right w:val="none" w:sz="0" w:space="0" w:color="auto"/>
      </w:divBdr>
    </w:div>
    <w:div w:id="784664233">
      <w:bodyDiv w:val="1"/>
      <w:marLeft w:val="0"/>
      <w:marRight w:val="0"/>
      <w:marTop w:val="0"/>
      <w:marBottom w:val="0"/>
      <w:divBdr>
        <w:top w:val="none" w:sz="0" w:space="0" w:color="auto"/>
        <w:left w:val="none" w:sz="0" w:space="0" w:color="auto"/>
        <w:bottom w:val="none" w:sz="0" w:space="0" w:color="auto"/>
        <w:right w:val="none" w:sz="0" w:space="0" w:color="auto"/>
      </w:divBdr>
    </w:div>
    <w:div w:id="918176803">
      <w:bodyDiv w:val="1"/>
      <w:marLeft w:val="0"/>
      <w:marRight w:val="0"/>
      <w:marTop w:val="0"/>
      <w:marBottom w:val="0"/>
      <w:divBdr>
        <w:top w:val="none" w:sz="0" w:space="0" w:color="auto"/>
        <w:left w:val="none" w:sz="0" w:space="0" w:color="auto"/>
        <w:bottom w:val="none" w:sz="0" w:space="0" w:color="auto"/>
        <w:right w:val="none" w:sz="0" w:space="0" w:color="auto"/>
      </w:divBdr>
    </w:div>
    <w:div w:id="919413262">
      <w:bodyDiv w:val="1"/>
      <w:marLeft w:val="0"/>
      <w:marRight w:val="0"/>
      <w:marTop w:val="0"/>
      <w:marBottom w:val="0"/>
      <w:divBdr>
        <w:top w:val="none" w:sz="0" w:space="0" w:color="auto"/>
        <w:left w:val="none" w:sz="0" w:space="0" w:color="auto"/>
        <w:bottom w:val="none" w:sz="0" w:space="0" w:color="auto"/>
        <w:right w:val="none" w:sz="0" w:space="0" w:color="auto"/>
      </w:divBdr>
    </w:div>
    <w:div w:id="1003625421">
      <w:bodyDiv w:val="1"/>
      <w:marLeft w:val="0"/>
      <w:marRight w:val="0"/>
      <w:marTop w:val="0"/>
      <w:marBottom w:val="0"/>
      <w:divBdr>
        <w:top w:val="none" w:sz="0" w:space="0" w:color="auto"/>
        <w:left w:val="none" w:sz="0" w:space="0" w:color="auto"/>
        <w:bottom w:val="none" w:sz="0" w:space="0" w:color="auto"/>
        <w:right w:val="none" w:sz="0" w:space="0" w:color="auto"/>
      </w:divBdr>
    </w:div>
    <w:div w:id="1079794544">
      <w:bodyDiv w:val="1"/>
      <w:marLeft w:val="0"/>
      <w:marRight w:val="0"/>
      <w:marTop w:val="0"/>
      <w:marBottom w:val="0"/>
      <w:divBdr>
        <w:top w:val="none" w:sz="0" w:space="0" w:color="auto"/>
        <w:left w:val="none" w:sz="0" w:space="0" w:color="auto"/>
        <w:bottom w:val="none" w:sz="0" w:space="0" w:color="auto"/>
        <w:right w:val="none" w:sz="0" w:space="0" w:color="auto"/>
      </w:divBdr>
    </w:div>
    <w:div w:id="1144858953">
      <w:bodyDiv w:val="1"/>
      <w:marLeft w:val="0"/>
      <w:marRight w:val="0"/>
      <w:marTop w:val="0"/>
      <w:marBottom w:val="0"/>
      <w:divBdr>
        <w:top w:val="none" w:sz="0" w:space="0" w:color="auto"/>
        <w:left w:val="none" w:sz="0" w:space="0" w:color="auto"/>
        <w:bottom w:val="none" w:sz="0" w:space="0" w:color="auto"/>
        <w:right w:val="none" w:sz="0" w:space="0" w:color="auto"/>
      </w:divBdr>
    </w:div>
    <w:div w:id="1385254223">
      <w:bodyDiv w:val="1"/>
      <w:marLeft w:val="0"/>
      <w:marRight w:val="0"/>
      <w:marTop w:val="0"/>
      <w:marBottom w:val="0"/>
      <w:divBdr>
        <w:top w:val="none" w:sz="0" w:space="0" w:color="auto"/>
        <w:left w:val="none" w:sz="0" w:space="0" w:color="auto"/>
        <w:bottom w:val="none" w:sz="0" w:space="0" w:color="auto"/>
        <w:right w:val="none" w:sz="0" w:space="0" w:color="auto"/>
      </w:divBdr>
    </w:div>
    <w:div w:id="1443108672">
      <w:bodyDiv w:val="1"/>
      <w:marLeft w:val="0"/>
      <w:marRight w:val="0"/>
      <w:marTop w:val="0"/>
      <w:marBottom w:val="0"/>
      <w:divBdr>
        <w:top w:val="none" w:sz="0" w:space="0" w:color="auto"/>
        <w:left w:val="none" w:sz="0" w:space="0" w:color="auto"/>
        <w:bottom w:val="none" w:sz="0" w:space="0" w:color="auto"/>
        <w:right w:val="none" w:sz="0" w:space="0" w:color="auto"/>
      </w:divBdr>
    </w:div>
    <w:div w:id="1472753403">
      <w:bodyDiv w:val="1"/>
      <w:marLeft w:val="0"/>
      <w:marRight w:val="0"/>
      <w:marTop w:val="0"/>
      <w:marBottom w:val="0"/>
      <w:divBdr>
        <w:top w:val="none" w:sz="0" w:space="0" w:color="auto"/>
        <w:left w:val="none" w:sz="0" w:space="0" w:color="auto"/>
        <w:bottom w:val="none" w:sz="0" w:space="0" w:color="auto"/>
        <w:right w:val="none" w:sz="0" w:space="0" w:color="auto"/>
      </w:divBdr>
    </w:div>
    <w:div w:id="1801410648">
      <w:bodyDiv w:val="1"/>
      <w:marLeft w:val="0"/>
      <w:marRight w:val="0"/>
      <w:marTop w:val="0"/>
      <w:marBottom w:val="0"/>
      <w:divBdr>
        <w:top w:val="none" w:sz="0" w:space="0" w:color="auto"/>
        <w:left w:val="none" w:sz="0" w:space="0" w:color="auto"/>
        <w:bottom w:val="none" w:sz="0" w:space="0" w:color="auto"/>
        <w:right w:val="none" w:sz="0" w:space="0" w:color="auto"/>
      </w:divBdr>
    </w:div>
    <w:div w:id="1867056869">
      <w:bodyDiv w:val="1"/>
      <w:marLeft w:val="0"/>
      <w:marRight w:val="0"/>
      <w:marTop w:val="0"/>
      <w:marBottom w:val="0"/>
      <w:divBdr>
        <w:top w:val="none" w:sz="0" w:space="0" w:color="auto"/>
        <w:left w:val="none" w:sz="0" w:space="0" w:color="auto"/>
        <w:bottom w:val="none" w:sz="0" w:space="0" w:color="auto"/>
        <w:right w:val="none" w:sz="0" w:space="0" w:color="auto"/>
      </w:divBdr>
    </w:div>
    <w:div w:id="2006132452">
      <w:bodyDiv w:val="1"/>
      <w:marLeft w:val="0"/>
      <w:marRight w:val="0"/>
      <w:marTop w:val="0"/>
      <w:marBottom w:val="0"/>
      <w:divBdr>
        <w:top w:val="none" w:sz="0" w:space="0" w:color="auto"/>
        <w:left w:val="none" w:sz="0" w:space="0" w:color="auto"/>
        <w:bottom w:val="none" w:sz="0" w:space="0" w:color="auto"/>
        <w:right w:val="none" w:sz="0" w:space="0" w:color="auto"/>
      </w:divBdr>
    </w:div>
    <w:div w:id="2018312673">
      <w:bodyDiv w:val="1"/>
      <w:marLeft w:val="0"/>
      <w:marRight w:val="0"/>
      <w:marTop w:val="0"/>
      <w:marBottom w:val="0"/>
      <w:divBdr>
        <w:top w:val="none" w:sz="0" w:space="0" w:color="auto"/>
        <w:left w:val="none" w:sz="0" w:space="0" w:color="auto"/>
        <w:bottom w:val="none" w:sz="0" w:space="0" w:color="auto"/>
        <w:right w:val="none" w:sz="0" w:space="0" w:color="auto"/>
      </w:divBdr>
    </w:div>
    <w:div w:id="2038384632">
      <w:bodyDiv w:val="1"/>
      <w:marLeft w:val="0"/>
      <w:marRight w:val="0"/>
      <w:marTop w:val="0"/>
      <w:marBottom w:val="0"/>
      <w:divBdr>
        <w:top w:val="none" w:sz="0" w:space="0" w:color="auto"/>
        <w:left w:val="none" w:sz="0" w:space="0" w:color="auto"/>
        <w:bottom w:val="none" w:sz="0" w:space="0" w:color="auto"/>
        <w:right w:val="none" w:sz="0" w:space="0" w:color="auto"/>
      </w:divBdr>
    </w:div>
    <w:div w:id="213590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551-019-04350-1" TargetMode="External"/><Relationship Id="rId13" Type="http://schemas.openxmlformats.org/officeDocument/2006/relationships/hyperlink" Target="https://doi.org/10.4324/9780203888667" TargetMode="External"/><Relationship Id="rId18" Type="http://schemas.openxmlformats.org/officeDocument/2006/relationships/hyperlink" Target="https://www.gov.wales/sites/default/files/publications/2024-03/public-commemoration-in-wales-guidance.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research-information.bris.ac.uk/en/publications/is-it-wrong-to-topple-statues-and-rename-schools?utm_source=chatgpt.com" TargetMode="External"/><Relationship Id="rId12" Type="http://schemas.openxmlformats.org/officeDocument/2006/relationships/hyperlink" Target="https://www.gov.wales/sites/default/files/publications/2021-12/the-slave-trade-and-the-british-empire-an-audit-of-commemoration-in-wales.pdf" TargetMode="External"/><Relationship Id="rId17" Type="http://schemas.openxmlformats.org/officeDocument/2006/relationships/hyperlink" Target="https://www.uwp.co.uk/app/uploads/9781837721870_WEB.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wtsd.ac.uk/news/universities-race-and-slavery-liverpool-lampete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28822.2019.165307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enedd.wales/media/3jbnhs2d/cr-ld14301-e.pdf" TargetMode="External"/><Relationship Id="rId23" Type="http://schemas.openxmlformats.org/officeDocument/2006/relationships/footer" Target="footer2.xml"/><Relationship Id="rId10" Type="http://schemas.openxmlformats.org/officeDocument/2006/relationships/hyperlink" Target="https://www.proquest.com/docview/2471028647?accountid=130472&amp;parentSessionId=AoiI5qdrJmZrLV2Oj85%2BWoKf9%2Fn4Istzw6TKGaPVf8Q%3D&amp;pq-origsite=primo&amp;sourcetype=Scholarly%20Journals" TargetMode="External"/><Relationship Id="rId19" Type="http://schemas.openxmlformats.org/officeDocument/2006/relationships/hyperlink" Target="https://nation.cymru/news/information-boards-to-be-placed-by-thomas-picton-monument/" TargetMode="External"/><Relationship Id="rId4" Type="http://schemas.openxmlformats.org/officeDocument/2006/relationships/webSettings" Target="webSettings.xml"/><Relationship Id="rId9" Type="http://schemas.openxmlformats.org/officeDocument/2006/relationships/hyperlink" Target="https://pure.southwales.ac.uk/ws/portalfiles/portal/25976837/Jessica_Davies_-_Decolonising_the_University.pdf" TargetMode="External"/><Relationship Id="rId14" Type="http://schemas.openxmlformats.org/officeDocument/2006/relationships/hyperlink" Target="https://doi.org/10.1093/hwj/dbaa035"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1610</Words>
  <Characters>10970</Characters>
  <Application>Microsoft Office Word</Application>
  <DocSecurity>0</DocSecurity>
  <Lines>192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2025-04-10T09:00:00Z</cp:lastPrinted>
  <dcterms:created xsi:type="dcterms:W3CDTF">2025-04-10T11:16:00Z</dcterms:created>
  <dcterms:modified xsi:type="dcterms:W3CDTF">2025-04-10T11:16:00Z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56879b14-e89a-4ffb-9971-f3e12c36bdf7</vt:lpwstr>
  </property>
</Properties>
</file>