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56ABDD">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Unit name: Strategic management and sustainability</w:t>
      </w:r>
    </w:p>
    <w:p w14:paraId="107A9193">
      <w:pPr>
        <w:spacing w:line="480" w:lineRule="auto"/>
        <w:jc w:val="center"/>
        <w:outlineLvl w:val="0"/>
        <w:rPr>
          <w:rFonts w:hint="default" w:ascii="Arial" w:hAnsi="Arial" w:eastAsia="宋体" w:cs="Arial"/>
          <w:sz w:val="24"/>
          <w:szCs w:val="24"/>
          <w:lang w:val="en-US" w:eastAsia="zh-CN"/>
        </w:rPr>
      </w:pPr>
      <w:bookmarkStart w:id="0" w:name="_Toc8500"/>
      <w:bookmarkStart w:id="1" w:name="_Toc11271"/>
      <w:r>
        <w:rPr>
          <w:rFonts w:hint="default" w:ascii="Arial" w:hAnsi="Arial" w:cs="Arial"/>
          <w:sz w:val="24"/>
          <w:szCs w:val="24"/>
        </w:rPr>
        <w:t>Module code: BMBM60</w:t>
      </w:r>
      <w:bookmarkEnd w:id="0"/>
      <w:r>
        <w:rPr>
          <w:rFonts w:hint="eastAsia" w:ascii="Arial" w:hAnsi="Arial" w:eastAsia="宋体" w:cs="Arial"/>
          <w:sz w:val="24"/>
          <w:szCs w:val="24"/>
          <w:lang w:val="en-US" w:eastAsia="zh-CN"/>
        </w:rPr>
        <w:t>15</w:t>
      </w:r>
      <w:bookmarkEnd w:id="1"/>
    </w:p>
    <w:p w14:paraId="69DBD69C">
      <w:pPr>
        <w:spacing w:line="480" w:lineRule="auto"/>
        <w:jc w:val="center"/>
        <w:rPr>
          <w:rFonts w:hint="default" w:ascii="Arial" w:hAnsi="Arial" w:cs="Arial"/>
          <w:sz w:val="24"/>
          <w:szCs w:val="24"/>
        </w:rPr>
      </w:pPr>
      <w:r>
        <w:rPr>
          <w:rFonts w:hint="default" w:ascii="Arial" w:hAnsi="Arial" w:cs="Arial"/>
          <w:sz w:val="24"/>
          <w:szCs w:val="24"/>
        </w:rPr>
        <w:t>Strategic analysis and sustainable strategic development</w:t>
      </w:r>
      <w:r>
        <w:rPr>
          <w:rFonts w:hint="eastAsia" w:ascii="Arial" w:hAnsi="Arial" w:eastAsia="宋体" w:cs="Arial"/>
          <w:sz w:val="24"/>
          <w:szCs w:val="24"/>
          <w:lang w:val="en-US" w:eastAsia="zh-CN"/>
        </w:rPr>
        <w:t xml:space="preserve"> of Unilever</w:t>
      </w:r>
      <w:r>
        <w:rPr>
          <w:rFonts w:hint="default" w:ascii="Arial" w:hAnsi="Arial" w:cs="Arial"/>
          <w:sz w:val="24"/>
          <w:szCs w:val="24"/>
        </w:rPr>
        <w:t xml:space="preserve"> </w:t>
      </w:r>
    </w:p>
    <w:p w14:paraId="4532EA3C">
      <w:pPr>
        <w:spacing w:line="480" w:lineRule="auto"/>
        <w:jc w:val="center"/>
        <w:rPr>
          <w:rFonts w:hint="default" w:ascii="Arial" w:hAnsi="Arial" w:eastAsia="宋体" w:cs="Arial"/>
          <w:sz w:val="24"/>
          <w:szCs w:val="24"/>
          <w:lang w:val="en-US" w:eastAsia="zh-CN"/>
        </w:rPr>
      </w:pPr>
      <w:r>
        <w:rPr>
          <w:rFonts w:hint="default" w:ascii="Arial" w:hAnsi="Arial" w:cs="Arial"/>
          <w:sz w:val="24"/>
          <w:szCs w:val="24"/>
        </w:rPr>
        <w:t xml:space="preserve">Prepared for: </w:t>
      </w:r>
      <w:r>
        <w:rPr>
          <w:rFonts w:hint="eastAsia" w:ascii="Arial" w:hAnsi="Arial" w:eastAsia="宋体" w:cs="Arial"/>
          <w:sz w:val="24"/>
          <w:szCs w:val="24"/>
          <w:lang w:val="en-US" w:eastAsia="zh-CN"/>
        </w:rPr>
        <w:t>Robyn Griffiths</w:t>
      </w:r>
    </w:p>
    <w:p w14:paraId="7AE65E42">
      <w:pPr>
        <w:spacing w:line="480" w:lineRule="auto"/>
        <w:jc w:val="center"/>
        <w:rPr>
          <w:rFonts w:hint="default" w:ascii="Arial" w:hAnsi="Arial" w:cs="Arial"/>
          <w:sz w:val="24"/>
          <w:szCs w:val="24"/>
        </w:rPr>
      </w:pPr>
      <w:r>
        <w:rPr>
          <w:rFonts w:hint="default" w:ascii="Arial" w:hAnsi="Arial" w:cs="Arial"/>
          <w:sz w:val="24"/>
          <w:szCs w:val="24"/>
        </w:rPr>
        <w:t xml:space="preserve">Written by: </w:t>
      </w:r>
      <w:r>
        <w:rPr>
          <w:rFonts w:hint="default" w:ascii="Arial" w:hAnsi="Arial" w:eastAsia="宋体" w:cs="Arial"/>
          <w:sz w:val="24"/>
          <w:szCs w:val="24"/>
          <w:lang w:val="en-US" w:eastAsia="zh-CN"/>
        </w:rPr>
        <w:t>Runmin Gong</w:t>
      </w:r>
    </w:p>
    <w:p w14:paraId="5A08DB5B">
      <w:pPr>
        <w:spacing w:line="480" w:lineRule="auto"/>
        <w:jc w:val="center"/>
        <w:rPr>
          <w:rFonts w:hint="default" w:ascii="Arial" w:hAnsi="Arial" w:cs="Arial"/>
          <w:sz w:val="24"/>
          <w:szCs w:val="24"/>
        </w:rPr>
      </w:pPr>
      <w:r>
        <w:rPr>
          <w:rFonts w:hint="default" w:ascii="Arial" w:hAnsi="Arial" w:cs="Arial"/>
          <w:sz w:val="24"/>
          <w:szCs w:val="24"/>
        </w:rPr>
        <w:t xml:space="preserve">Student ID: </w:t>
      </w:r>
      <w:r>
        <w:rPr>
          <w:rFonts w:hint="default" w:ascii="Arial" w:hAnsi="Arial" w:eastAsia="宋体" w:cs="Arial"/>
          <w:sz w:val="24"/>
          <w:szCs w:val="24"/>
          <w:lang w:val="en-US" w:eastAsia="zh-CN"/>
        </w:rPr>
        <w:t>2400191</w:t>
      </w:r>
    </w:p>
    <w:p w14:paraId="658AF8FE">
      <w:pPr>
        <w:spacing w:line="480" w:lineRule="auto"/>
        <w:jc w:val="center"/>
        <w:rPr>
          <w:rFonts w:hint="eastAsia" w:ascii="Arial" w:hAnsi="Arial" w:eastAsia="宋体" w:cs="Arial"/>
          <w:sz w:val="24"/>
          <w:szCs w:val="24"/>
          <w:lang w:val="en-US" w:eastAsia="zh-CN"/>
        </w:rPr>
      </w:pPr>
      <w:r>
        <w:rPr>
          <w:rFonts w:hint="default" w:ascii="Arial" w:hAnsi="Arial" w:cs="Arial"/>
          <w:sz w:val="24"/>
          <w:szCs w:val="24"/>
        </w:rPr>
        <w:t xml:space="preserve">Date submitted: </w:t>
      </w:r>
      <w:r>
        <w:rPr>
          <w:rFonts w:hint="eastAsia" w:ascii="Arial" w:hAnsi="Arial" w:eastAsia="宋体" w:cs="Arial"/>
          <w:sz w:val="24"/>
          <w:szCs w:val="24"/>
          <w:lang w:val="en-US" w:eastAsia="zh-CN"/>
        </w:rPr>
        <w:t>March 21st</w:t>
      </w:r>
      <w:r>
        <w:rPr>
          <w:rFonts w:hint="default" w:ascii="Arial" w:hAnsi="Arial" w:cs="Arial"/>
          <w:sz w:val="24"/>
          <w:szCs w:val="24"/>
        </w:rPr>
        <w:t>,202</w:t>
      </w:r>
      <w:r>
        <w:rPr>
          <w:rFonts w:hint="eastAsia" w:ascii="Arial" w:hAnsi="Arial" w:eastAsia="宋体" w:cs="Arial"/>
          <w:sz w:val="24"/>
          <w:szCs w:val="24"/>
          <w:lang w:val="en-US" w:eastAsia="zh-CN"/>
        </w:rPr>
        <w:t>5</w:t>
      </w:r>
    </w:p>
    <w:p w14:paraId="3500E203">
      <w:pPr>
        <w:spacing w:before="100" w:beforeAutospacing="1" w:after="100" w:afterAutospacing="1" w:line="360" w:lineRule="auto"/>
        <w:jc w:val="center"/>
        <w:rPr>
          <w:rFonts w:ascii="Times New Roman" w:hAnsi="Times New Roman" w:cs="Times New Roman"/>
        </w:rPr>
      </w:pPr>
      <w:r>
        <w:rPr>
          <w:rFonts w:ascii="Times New Roman" w:hAnsi="Times New Roman" w:cs="Times New Roman"/>
        </w:rPr>
        <w:drawing>
          <wp:inline distT="0" distB="0" distL="114300" distR="114300">
            <wp:extent cx="2540635" cy="1123315"/>
            <wp:effectExtent l="0" t="0" r="12065" b="635"/>
            <wp:docPr id="1"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形用户界面, 文本, 应用程序&#10;&#10;描述已自动生成"/>
                    <pic:cNvPicPr>
                      <a:picLocks noChangeAspect="1"/>
                    </pic:cNvPicPr>
                  </pic:nvPicPr>
                  <pic:blipFill>
                    <a:blip r:embed="rId6"/>
                    <a:stretch>
                      <a:fillRect/>
                    </a:stretch>
                  </pic:blipFill>
                  <pic:spPr>
                    <a:xfrm>
                      <a:off x="0" y="0"/>
                      <a:ext cx="2540635" cy="1123315"/>
                    </a:xfrm>
                    <a:prstGeom prst="rect">
                      <a:avLst/>
                    </a:prstGeom>
                    <a:noFill/>
                    <a:ln>
                      <a:noFill/>
                    </a:ln>
                  </pic:spPr>
                </pic:pic>
              </a:graphicData>
            </a:graphic>
          </wp:inline>
        </w:drawing>
      </w:r>
    </w:p>
    <w:p w14:paraId="5C9C9C2B">
      <w:pPr>
        <w:spacing w:before="100" w:beforeAutospacing="1" w:after="100" w:afterAutospacing="1" w:line="360" w:lineRule="auto"/>
        <w:rPr>
          <w:rFonts w:ascii="Times New Roman" w:hAnsi="Times New Roman" w:cs="Times New Roman"/>
        </w:rPr>
      </w:pPr>
    </w:p>
    <w:p w14:paraId="100EA6DC">
      <w:pPr>
        <w:spacing w:before="100" w:beforeAutospacing="1" w:after="100" w:afterAutospacing="1" w:line="360" w:lineRule="auto"/>
        <w:rPr>
          <w:rFonts w:ascii="Times New Roman" w:hAnsi="Times New Roman" w:cs="Times New Roman"/>
        </w:rPr>
      </w:pPr>
    </w:p>
    <w:p w14:paraId="633B8681">
      <w:pPr>
        <w:spacing w:before="100" w:beforeAutospacing="1" w:after="100" w:afterAutospacing="1" w:line="360" w:lineRule="auto"/>
        <w:jc w:val="center"/>
        <w:rPr>
          <w:rFonts w:ascii="Times New Roman" w:hAnsi="Times New Roman" w:cs="Times New Roman"/>
        </w:rPr>
      </w:pPr>
    </w:p>
    <w:p w14:paraId="7A4F9B45">
      <w:pPr>
        <w:spacing w:before="100" w:beforeAutospacing="1" w:after="100" w:afterAutospacing="1" w:line="360" w:lineRule="auto"/>
        <w:jc w:val="center"/>
        <w:rPr>
          <w:rFonts w:ascii="Times New Roman" w:hAnsi="Times New Roman" w:cs="Times New Roman"/>
        </w:rPr>
      </w:pPr>
    </w:p>
    <w:p w14:paraId="6467FB05">
      <w:pPr>
        <w:spacing w:before="100" w:beforeAutospacing="1" w:after="100" w:afterAutospacing="1" w:line="360" w:lineRule="auto"/>
        <w:jc w:val="center"/>
        <w:rPr>
          <w:rFonts w:ascii="Times New Roman" w:hAnsi="Times New Roman" w:cs="Times New Roman"/>
        </w:rPr>
      </w:pPr>
    </w:p>
    <w:p w14:paraId="19AEE4D2">
      <w:pPr>
        <w:spacing w:before="100" w:beforeAutospacing="1" w:after="100" w:afterAutospacing="1" w:line="360" w:lineRule="auto"/>
        <w:jc w:val="center"/>
        <w:rPr>
          <w:rFonts w:ascii="Times New Roman" w:hAnsi="Times New Roman" w:cs="Times New Roman"/>
        </w:rPr>
      </w:pPr>
    </w:p>
    <w:p w14:paraId="135EE9F2">
      <w:pPr>
        <w:spacing w:before="100" w:beforeAutospacing="1" w:after="100" w:afterAutospacing="1" w:line="360" w:lineRule="auto"/>
        <w:jc w:val="center"/>
        <w:rPr>
          <w:rFonts w:ascii="Times New Roman" w:hAnsi="Times New Roman" w:cs="Times New Roman"/>
        </w:rPr>
      </w:pPr>
    </w:p>
    <w:p w14:paraId="331BA85A">
      <w:pPr>
        <w:jc w:val="both"/>
        <w:rPr>
          <w:rFonts w:hint="default" w:ascii="Arial" w:hAnsi="Arial" w:cs="Arial"/>
          <w:sz w:val="24"/>
          <w:szCs w:val="24"/>
        </w:rPr>
      </w:pPr>
      <w:r>
        <w:rPr>
          <w:rFonts w:hint="default" w:ascii="Arial" w:hAnsi="Arial" w:cs="Arial"/>
          <w:sz w:val="24"/>
          <w:szCs w:val="24"/>
        </w:rPr>
        <w:t>A 2</w:t>
      </w:r>
      <w:r>
        <w:rPr>
          <w:rFonts w:hint="default" w:ascii="Arial" w:hAnsi="Arial" w:eastAsia="宋体" w:cs="Arial"/>
          <w:sz w:val="24"/>
          <w:szCs w:val="24"/>
          <w:lang w:val="en-US" w:eastAsia="zh-CN"/>
        </w:rPr>
        <w:t>0</w:t>
      </w:r>
      <w:r>
        <w:rPr>
          <w:rFonts w:hint="default" w:ascii="Arial" w:hAnsi="Arial" w:cs="Arial"/>
          <w:sz w:val="24"/>
          <w:szCs w:val="24"/>
        </w:rPr>
        <w:t>00-word report submitted in fulfilment of the requirements for Course BMBM60</w:t>
      </w:r>
      <w:r>
        <w:rPr>
          <w:rFonts w:hint="default" w:ascii="Arial" w:hAnsi="Arial" w:eastAsia="宋体" w:cs="Arial"/>
          <w:sz w:val="24"/>
          <w:szCs w:val="24"/>
          <w:lang w:val="en-US" w:eastAsia="zh-CN"/>
        </w:rPr>
        <w:t>03</w:t>
      </w:r>
      <w:r>
        <w:rPr>
          <w:rFonts w:hint="default" w:ascii="Arial" w:hAnsi="Arial" w:cs="Arial"/>
          <w:sz w:val="24"/>
          <w:szCs w:val="24"/>
        </w:rPr>
        <w:t>, University of Wales Trinity Saint David.</w:t>
      </w:r>
    </w:p>
    <w:p w14:paraId="7AF8ACE7">
      <w:pPr>
        <w:keepNext w:val="0"/>
        <w:keepLines w:val="0"/>
        <w:widowControl/>
        <w:suppressLineNumbers w:val="0"/>
        <w:jc w:val="center"/>
        <w:rPr>
          <w:rFonts w:hint="default" w:ascii="Arial" w:hAnsi="Arial" w:eastAsia="Arial-BoldMT" w:cs="Arial"/>
          <w:b/>
          <w:bCs/>
          <w:color w:val="000000"/>
          <w:kern w:val="0"/>
          <w:sz w:val="30"/>
          <w:szCs w:val="30"/>
          <w:lang w:val="en-US" w:eastAsia="zh-CN" w:bidi="ar"/>
        </w:rPr>
      </w:pPr>
      <w:r>
        <w:rPr>
          <w:rFonts w:hint="default" w:ascii="Arial" w:hAnsi="Arial" w:eastAsia="Arial-BoldMT" w:cs="Arial"/>
          <w:b/>
          <w:bCs/>
          <w:color w:val="000000"/>
          <w:kern w:val="0"/>
          <w:sz w:val="30"/>
          <w:szCs w:val="30"/>
          <w:lang w:val="en-US" w:eastAsia="zh-CN" w:bidi="ar"/>
        </w:rPr>
        <w:t>Contents</w:t>
      </w:r>
    </w:p>
    <w:p w14:paraId="024BE09B">
      <w:pPr>
        <w:pStyle w:val="3"/>
        <w:tabs>
          <w:tab w:val="right" w:leader="dot" w:pos="8306"/>
        </w:tabs>
      </w:pPr>
      <w:r>
        <w:rPr>
          <w:rFonts w:hint="default" w:ascii="Arial-BoldMT" w:hAnsi="Arial-BoldMT" w:eastAsia="Arial-BoldMT" w:cs="Arial-BoldMT"/>
          <w:b/>
          <w:bCs/>
          <w:color w:val="000000"/>
          <w:kern w:val="0"/>
          <w:sz w:val="24"/>
          <w:szCs w:val="24"/>
          <w:lang w:val="en-US" w:eastAsia="zh-CN" w:bidi="ar"/>
        </w:rPr>
        <w:fldChar w:fldCharType="begin"/>
      </w:r>
      <w:r>
        <w:rPr>
          <w:rFonts w:hint="default" w:ascii="Arial-BoldMT" w:hAnsi="Arial-BoldMT" w:eastAsia="Arial-BoldMT" w:cs="Arial-BoldMT"/>
          <w:b/>
          <w:bCs/>
          <w:color w:val="000000"/>
          <w:kern w:val="0"/>
          <w:sz w:val="24"/>
          <w:szCs w:val="24"/>
          <w:lang w:val="en-US" w:eastAsia="zh-CN" w:bidi="ar"/>
        </w:rPr>
        <w:instrText xml:space="preserve">TOC \o "1-3" \h \u </w:instrText>
      </w:r>
      <w:r>
        <w:rPr>
          <w:rFonts w:hint="default" w:ascii="Arial-BoldMT" w:hAnsi="Arial-BoldMT" w:eastAsia="Arial-BoldMT" w:cs="Arial-BoldMT"/>
          <w:b/>
          <w:bCs/>
          <w:color w:val="000000"/>
          <w:kern w:val="0"/>
          <w:sz w:val="24"/>
          <w:szCs w:val="24"/>
          <w:lang w:val="en-US" w:eastAsia="zh-CN" w:bidi="ar"/>
        </w:rPr>
        <w:fldChar w:fldCharType="separate"/>
      </w: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_Toc11271 </w:instrText>
      </w:r>
      <w:r>
        <w:rPr>
          <w:rFonts w:hint="default" w:ascii="Arial-BoldMT" w:hAnsi="Arial-BoldMT" w:eastAsia="Arial-BoldMT" w:cs="Arial-BoldMT"/>
          <w:bCs/>
          <w:kern w:val="0"/>
          <w:szCs w:val="24"/>
          <w:lang w:val="en-US" w:eastAsia="zh-CN" w:bidi="ar"/>
        </w:rPr>
        <w:fldChar w:fldCharType="separate"/>
      </w:r>
      <w:r>
        <w:rPr>
          <w:rFonts w:hint="default" w:ascii="Arial" w:hAnsi="Arial" w:cs="Arial"/>
          <w:szCs w:val="24"/>
        </w:rPr>
        <w:t>Module code: BMBM60</w:t>
      </w:r>
      <w:r>
        <w:rPr>
          <w:rFonts w:hint="eastAsia" w:ascii="Arial" w:hAnsi="Arial" w:eastAsia="宋体" w:cs="Arial"/>
          <w:szCs w:val="24"/>
          <w:lang w:val="en-US" w:eastAsia="zh-CN"/>
        </w:rPr>
        <w:t>15</w:t>
      </w:r>
      <w:r>
        <w:tab/>
      </w:r>
      <w:r>
        <w:fldChar w:fldCharType="begin"/>
      </w:r>
      <w:r>
        <w:instrText xml:space="preserve"> PAGEREF _Toc11271 \h </w:instrText>
      </w:r>
      <w:r>
        <w:fldChar w:fldCharType="separate"/>
      </w:r>
      <w:r>
        <w:t>1</w:t>
      </w:r>
      <w:r>
        <w:fldChar w:fldCharType="end"/>
      </w:r>
      <w:r>
        <w:rPr>
          <w:rFonts w:hint="default" w:ascii="Arial-BoldMT" w:hAnsi="Arial-BoldMT" w:eastAsia="Arial-BoldMT" w:cs="Arial-BoldMT"/>
          <w:bCs/>
          <w:color w:val="000000"/>
          <w:kern w:val="0"/>
          <w:szCs w:val="24"/>
          <w:lang w:val="en-US" w:eastAsia="zh-CN" w:bidi="ar"/>
        </w:rPr>
        <w:fldChar w:fldCharType="end"/>
      </w:r>
    </w:p>
    <w:p w14:paraId="2758F2EF">
      <w:pPr>
        <w:pStyle w:val="3"/>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_Toc7479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Arial-BoldMT" w:cs="Arial"/>
          <w:bCs/>
          <w:kern w:val="0"/>
          <w:szCs w:val="30"/>
          <w:lang w:val="en-US" w:eastAsia="zh-CN" w:bidi="ar"/>
        </w:rPr>
        <w:t>Executive Summary</w:t>
      </w:r>
      <w:r>
        <w:tab/>
      </w:r>
      <w:r>
        <w:fldChar w:fldCharType="begin"/>
      </w:r>
      <w:r>
        <w:instrText xml:space="preserve"> PAGEREF _Toc7479 \h </w:instrText>
      </w:r>
      <w:r>
        <w:fldChar w:fldCharType="separate"/>
      </w:r>
      <w:r>
        <w:t>4</w:t>
      </w:r>
      <w:r>
        <w:fldChar w:fldCharType="end"/>
      </w:r>
      <w:r>
        <w:rPr>
          <w:rFonts w:hint="default" w:ascii="Arial-BoldMT" w:hAnsi="Arial-BoldMT" w:eastAsia="Arial-BoldMT" w:cs="Arial-BoldMT"/>
          <w:bCs/>
          <w:color w:val="000000"/>
          <w:kern w:val="0"/>
          <w:szCs w:val="24"/>
          <w:lang w:val="en-US" w:eastAsia="zh-CN" w:bidi="ar"/>
        </w:rPr>
        <w:fldChar w:fldCharType="end"/>
      </w:r>
    </w:p>
    <w:p w14:paraId="67C760CD">
      <w:pPr>
        <w:pStyle w:val="3"/>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_Toc12747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kern w:val="0"/>
          <w:szCs w:val="30"/>
          <w:lang w:val="en-US" w:eastAsia="zh-CN" w:bidi="ar"/>
        </w:rPr>
        <w:t>1</w:t>
      </w:r>
      <w:r>
        <w:rPr>
          <w:rFonts w:hint="default" w:ascii="Arial" w:hAnsi="Arial" w:eastAsia="Arial-BoldMT" w:cs="Arial"/>
          <w:bCs/>
          <w:kern w:val="0"/>
          <w:szCs w:val="30"/>
          <w:lang w:val="en-US" w:eastAsia="zh-CN" w:bidi="ar"/>
        </w:rPr>
        <w:t>. Introduction</w:t>
      </w:r>
      <w:r>
        <w:tab/>
      </w:r>
      <w:r>
        <w:fldChar w:fldCharType="begin"/>
      </w:r>
      <w:r>
        <w:instrText xml:space="preserve"> PAGEREF _Toc12747 \h </w:instrText>
      </w:r>
      <w:r>
        <w:fldChar w:fldCharType="separate"/>
      </w:r>
      <w:r>
        <w:t>5</w:t>
      </w:r>
      <w:r>
        <w:fldChar w:fldCharType="end"/>
      </w:r>
      <w:r>
        <w:rPr>
          <w:rFonts w:hint="default" w:ascii="Arial-BoldMT" w:hAnsi="Arial-BoldMT" w:eastAsia="Arial-BoldMT" w:cs="Arial-BoldMT"/>
          <w:bCs/>
          <w:color w:val="000000"/>
          <w:kern w:val="0"/>
          <w:szCs w:val="24"/>
          <w:lang w:val="en-US" w:eastAsia="zh-CN" w:bidi="ar"/>
        </w:rPr>
        <w:fldChar w:fldCharType="end"/>
      </w:r>
    </w:p>
    <w:p w14:paraId="16F26CFD">
      <w:pPr>
        <w:pStyle w:val="3"/>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_Toc24653 </w:instrText>
      </w:r>
      <w:r>
        <w:rPr>
          <w:rFonts w:hint="default" w:ascii="Arial-BoldMT" w:hAnsi="Arial-BoldMT" w:eastAsia="Arial-BoldMT" w:cs="Arial-BoldMT"/>
          <w:bCs/>
          <w:kern w:val="0"/>
          <w:szCs w:val="24"/>
          <w:lang w:val="en-US" w:eastAsia="zh-CN" w:bidi="ar"/>
        </w:rPr>
        <w:fldChar w:fldCharType="separate"/>
      </w:r>
      <w:r>
        <w:rPr>
          <w:rFonts w:hint="eastAsia" w:ascii="Arial" w:hAnsi="Arial" w:eastAsia="Arial-BoldMT" w:cs="Arial"/>
          <w:bCs/>
          <w:kern w:val="0"/>
          <w:szCs w:val="30"/>
          <w:lang w:val="en-US" w:eastAsia="zh-CN" w:bidi="ar"/>
        </w:rPr>
        <w:t>2.</w:t>
      </w:r>
      <w:r>
        <w:rPr>
          <w:rFonts w:hint="default" w:ascii="Arial" w:hAnsi="Arial" w:eastAsia="Arial-BoldMT" w:cs="Arial"/>
          <w:bCs/>
          <w:kern w:val="0"/>
          <w:szCs w:val="30"/>
          <w:lang w:val="en-US" w:eastAsia="zh-CN" w:bidi="ar"/>
        </w:rPr>
        <w:t>External Analysis</w:t>
      </w:r>
      <w:r>
        <w:tab/>
      </w:r>
      <w:r>
        <w:fldChar w:fldCharType="begin"/>
      </w:r>
      <w:r>
        <w:instrText xml:space="preserve"> PAGEREF _Toc24653 \h </w:instrText>
      </w:r>
      <w:r>
        <w:fldChar w:fldCharType="separate"/>
      </w:r>
      <w:r>
        <w:t>6</w:t>
      </w:r>
      <w:r>
        <w:fldChar w:fldCharType="end"/>
      </w:r>
      <w:r>
        <w:rPr>
          <w:rFonts w:hint="default" w:ascii="Arial-BoldMT" w:hAnsi="Arial-BoldMT" w:eastAsia="Arial-BoldMT" w:cs="Arial-BoldMT"/>
          <w:bCs/>
          <w:color w:val="000000"/>
          <w:kern w:val="0"/>
          <w:szCs w:val="24"/>
          <w:lang w:val="en-US" w:eastAsia="zh-CN" w:bidi="ar"/>
        </w:rPr>
        <w:fldChar w:fldCharType="end"/>
      </w:r>
    </w:p>
    <w:p w14:paraId="45F388F0">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_Toc21013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Arial-BoldMT" w:cs="Arial"/>
          <w:bCs/>
          <w:kern w:val="0"/>
          <w:szCs w:val="28"/>
          <w:lang w:val="en-US" w:eastAsia="zh-CN" w:bidi="ar"/>
        </w:rPr>
        <w:t xml:space="preserve">2.1 </w:t>
      </w:r>
      <w:r>
        <w:rPr>
          <w:rFonts w:hint="default" w:ascii="Arial" w:hAnsi="Arial" w:eastAsia="宋体" w:cs="Arial"/>
          <w:bCs/>
          <w:kern w:val="0"/>
          <w:szCs w:val="28"/>
          <w:lang w:val="en-US" w:eastAsia="zh-CN" w:bidi="ar"/>
        </w:rPr>
        <w:t xml:space="preserve">PESTEL Analysis on </w:t>
      </w:r>
      <w:r>
        <w:rPr>
          <w:rFonts w:hint="default" w:ascii="Arial" w:hAnsi="Arial" w:eastAsia="Arial-BoldMT" w:cs="Arial"/>
          <w:bCs/>
          <w:kern w:val="0"/>
          <w:szCs w:val="28"/>
          <w:lang w:val="en-US" w:eastAsia="zh-CN" w:bidi="ar"/>
        </w:rPr>
        <w:t>Fast-Moving Consumer Goods (FMCG)</w:t>
      </w:r>
      <w:r>
        <w:tab/>
      </w:r>
      <w:r>
        <w:fldChar w:fldCharType="begin"/>
      </w:r>
      <w:r>
        <w:instrText xml:space="preserve"> PAGEREF _Toc21013 \h </w:instrText>
      </w:r>
      <w:r>
        <w:fldChar w:fldCharType="separate"/>
      </w:r>
      <w:r>
        <w:t>6</w:t>
      </w:r>
      <w:r>
        <w:fldChar w:fldCharType="end"/>
      </w:r>
      <w:r>
        <w:rPr>
          <w:rFonts w:hint="default" w:ascii="Arial-BoldMT" w:hAnsi="Arial-BoldMT" w:eastAsia="Arial-BoldMT" w:cs="Arial-BoldMT"/>
          <w:bCs/>
          <w:color w:val="000000"/>
          <w:kern w:val="0"/>
          <w:szCs w:val="24"/>
          <w:lang w:val="en-US" w:eastAsia="zh-CN" w:bidi="ar"/>
        </w:rPr>
        <w:fldChar w:fldCharType="end"/>
      </w:r>
    </w:p>
    <w:p w14:paraId="3E07A8C4">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_Toc6910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2.1.1 Political Factors</w:t>
      </w:r>
      <w:r>
        <w:tab/>
      </w:r>
      <w:r>
        <w:fldChar w:fldCharType="begin"/>
      </w:r>
      <w:r>
        <w:instrText xml:space="preserve"> PAGEREF _Toc6910 \h </w:instrText>
      </w:r>
      <w:r>
        <w:fldChar w:fldCharType="separate"/>
      </w:r>
      <w:r>
        <w:t>6</w:t>
      </w:r>
      <w:r>
        <w:fldChar w:fldCharType="end"/>
      </w:r>
      <w:r>
        <w:rPr>
          <w:rFonts w:hint="default" w:ascii="Arial-BoldMT" w:hAnsi="Arial-BoldMT" w:eastAsia="Arial-BoldMT" w:cs="Arial-BoldMT"/>
          <w:bCs/>
          <w:color w:val="000000"/>
          <w:kern w:val="0"/>
          <w:szCs w:val="24"/>
          <w:lang w:val="en-US" w:eastAsia="zh-CN" w:bidi="ar"/>
        </w:rPr>
        <w:fldChar w:fldCharType="end"/>
      </w:r>
    </w:p>
    <w:p w14:paraId="70128F09">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_Toc25330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2.1.2 Economic Factors</w:t>
      </w:r>
      <w:r>
        <w:tab/>
      </w:r>
      <w:r>
        <w:fldChar w:fldCharType="begin"/>
      </w:r>
      <w:r>
        <w:instrText xml:space="preserve"> PAGEREF _Toc25330 \h </w:instrText>
      </w:r>
      <w:r>
        <w:fldChar w:fldCharType="separate"/>
      </w:r>
      <w:r>
        <w:t>6</w:t>
      </w:r>
      <w:r>
        <w:fldChar w:fldCharType="end"/>
      </w:r>
      <w:r>
        <w:rPr>
          <w:rFonts w:hint="default" w:ascii="Arial-BoldMT" w:hAnsi="Arial-BoldMT" w:eastAsia="Arial-BoldMT" w:cs="Arial-BoldMT"/>
          <w:bCs/>
          <w:color w:val="000000"/>
          <w:kern w:val="0"/>
          <w:szCs w:val="24"/>
          <w:lang w:val="en-US" w:eastAsia="zh-CN" w:bidi="ar"/>
        </w:rPr>
        <w:fldChar w:fldCharType="end"/>
      </w:r>
    </w:p>
    <w:p w14:paraId="74B89AAC">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_Toc27323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2.1.3 Social Factors</w:t>
      </w:r>
      <w:r>
        <w:tab/>
      </w:r>
      <w:r>
        <w:fldChar w:fldCharType="begin"/>
      </w:r>
      <w:r>
        <w:instrText xml:space="preserve"> PAGEREF _Toc27323 \h </w:instrText>
      </w:r>
      <w:r>
        <w:fldChar w:fldCharType="separate"/>
      </w:r>
      <w:r>
        <w:t>6</w:t>
      </w:r>
      <w:r>
        <w:fldChar w:fldCharType="end"/>
      </w:r>
      <w:r>
        <w:rPr>
          <w:rFonts w:hint="default" w:ascii="Arial-BoldMT" w:hAnsi="Arial-BoldMT" w:eastAsia="Arial-BoldMT" w:cs="Arial-BoldMT"/>
          <w:bCs/>
          <w:color w:val="000000"/>
          <w:kern w:val="0"/>
          <w:szCs w:val="24"/>
          <w:lang w:val="en-US" w:eastAsia="zh-CN" w:bidi="ar"/>
        </w:rPr>
        <w:fldChar w:fldCharType="end"/>
      </w:r>
    </w:p>
    <w:p w14:paraId="4FDCA611">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_Toc7521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2.1.4 Technological Factors</w:t>
      </w:r>
      <w:r>
        <w:tab/>
      </w:r>
      <w:r>
        <w:fldChar w:fldCharType="begin"/>
      </w:r>
      <w:r>
        <w:instrText xml:space="preserve"> PAGEREF _Toc7521 \h </w:instrText>
      </w:r>
      <w:r>
        <w:fldChar w:fldCharType="separate"/>
      </w:r>
      <w:r>
        <w:t>7</w:t>
      </w:r>
      <w:r>
        <w:fldChar w:fldCharType="end"/>
      </w:r>
      <w:r>
        <w:rPr>
          <w:rFonts w:hint="default" w:ascii="Arial-BoldMT" w:hAnsi="Arial-BoldMT" w:eastAsia="Arial-BoldMT" w:cs="Arial-BoldMT"/>
          <w:bCs/>
          <w:color w:val="000000"/>
          <w:kern w:val="0"/>
          <w:szCs w:val="24"/>
          <w:lang w:val="en-US" w:eastAsia="zh-CN" w:bidi="ar"/>
        </w:rPr>
        <w:fldChar w:fldCharType="end"/>
      </w:r>
    </w:p>
    <w:p w14:paraId="2E16C8CA">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_Toc11424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2.1.5 Environmental Factors</w:t>
      </w:r>
      <w:r>
        <w:tab/>
      </w:r>
      <w:r>
        <w:fldChar w:fldCharType="begin"/>
      </w:r>
      <w:r>
        <w:instrText xml:space="preserve"> PAGEREF _Toc11424 \h </w:instrText>
      </w:r>
      <w:r>
        <w:fldChar w:fldCharType="separate"/>
      </w:r>
      <w:r>
        <w:t>7</w:t>
      </w:r>
      <w:r>
        <w:fldChar w:fldCharType="end"/>
      </w:r>
      <w:r>
        <w:rPr>
          <w:rFonts w:hint="default" w:ascii="Arial-BoldMT" w:hAnsi="Arial-BoldMT" w:eastAsia="Arial-BoldMT" w:cs="Arial-BoldMT"/>
          <w:bCs/>
          <w:color w:val="000000"/>
          <w:kern w:val="0"/>
          <w:szCs w:val="24"/>
          <w:lang w:val="en-US" w:eastAsia="zh-CN" w:bidi="ar"/>
        </w:rPr>
        <w:fldChar w:fldCharType="end"/>
      </w:r>
    </w:p>
    <w:p w14:paraId="0AFA184F">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_Toc14782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rPr>
        <w:t>2.1.6 Legal Factors</w:t>
      </w:r>
      <w:r>
        <w:tab/>
      </w:r>
      <w:r>
        <w:fldChar w:fldCharType="begin"/>
      </w:r>
      <w:r>
        <w:instrText xml:space="preserve"> PAGEREF _Toc14782 \h </w:instrText>
      </w:r>
      <w:r>
        <w:fldChar w:fldCharType="separate"/>
      </w:r>
      <w:r>
        <w:t>7</w:t>
      </w:r>
      <w:r>
        <w:fldChar w:fldCharType="end"/>
      </w:r>
      <w:r>
        <w:rPr>
          <w:rFonts w:hint="default" w:ascii="Arial-BoldMT" w:hAnsi="Arial-BoldMT" w:eastAsia="Arial-BoldMT" w:cs="Arial-BoldMT"/>
          <w:bCs/>
          <w:color w:val="000000"/>
          <w:kern w:val="0"/>
          <w:szCs w:val="24"/>
          <w:lang w:val="en-US" w:eastAsia="zh-CN" w:bidi="ar"/>
        </w:rPr>
        <w:fldChar w:fldCharType="end"/>
      </w:r>
    </w:p>
    <w:p w14:paraId="7F7860BD">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_Toc4224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8"/>
          <w:lang w:val="en-US" w:eastAsia="zh-CN"/>
        </w:rPr>
        <w:t xml:space="preserve">2.2 </w:t>
      </w:r>
      <w:r>
        <w:rPr>
          <w:rFonts w:hint="default" w:ascii="Arial" w:hAnsi="Arial" w:eastAsia="宋体" w:cs="Arial"/>
          <w:bCs/>
          <w:kern w:val="0"/>
          <w:szCs w:val="28"/>
          <w:lang w:val="en-US" w:eastAsia="zh-CN" w:bidi="ar"/>
        </w:rPr>
        <w:t xml:space="preserve">Porter’s Five Forces’ analysis of </w:t>
      </w:r>
      <w:r>
        <w:rPr>
          <w:rFonts w:hint="default" w:ascii="Arial" w:hAnsi="Arial" w:eastAsia="Arial-BoldMT" w:cs="Arial"/>
          <w:bCs/>
          <w:kern w:val="0"/>
          <w:szCs w:val="28"/>
          <w:lang w:val="en-US" w:eastAsia="zh-CN" w:bidi="ar"/>
        </w:rPr>
        <w:t>Fast-Moving Consumer Goods (FMCG)</w:t>
      </w:r>
      <w:r>
        <w:tab/>
      </w:r>
      <w:r>
        <w:fldChar w:fldCharType="begin"/>
      </w:r>
      <w:r>
        <w:instrText xml:space="preserve"> PAGEREF _Toc4224 \h </w:instrText>
      </w:r>
      <w:r>
        <w:fldChar w:fldCharType="separate"/>
      </w:r>
      <w:r>
        <w:t>7</w:t>
      </w:r>
      <w:r>
        <w:fldChar w:fldCharType="end"/>
      </w:r>
      <w:r>
        <w:rPr>
          <w:rFonts w:hint="default" w:ascii="Arial-BoldMT" w:hAnsi="Arial-BoldMT" w:eastAsia="Arial-BoldMT" w:cs="Arial-BoldMT"/>
          <w:bCs/>
          <w:color w:val="000000"/>
          <w:kern w:val="0"/>
          <w:szCs w:val="24"/>
          <w:lang w:val="en-US" w:eastAsia="zh-CN" w:bidi="ar"/>
        </w:rPr>
        <w:fldChar w:fldCharType="end"/>
      </w:r>
    </w:p>
    <w:p w14:paraId="1C79F474">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_Toc17877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2.2.1 C</w:t>
      </w:r>
      <w:r>
        <w:rPr>
          <w:rFonts w:hint="default" w:ascii="Arial" w:hAnsi="Arial" w:eastAsia="宋体" w:cs="Arial"/>
          <w:bCs/>
          <w:szCs w:val="24"/>
        </w:rPr>
        <w:t xml:space="preserve">ompetitive </w:t>
      </w:r>
      <w:r>
        <w:rPr>
          <w:rFonts w:hint="default" w:ascii="Arial" w:hAnsi="Arial" w:eastAsia="宋体" w:cs="Arial"/>
          <w:bCs/>
          <w:szCs w:val="24"/>
          <w:lang w:val="en-US" w:eastAsia="zh-CN"/>
        </w:rPr>
        <w:t>R</w:t>
      </w:r>
      <w:r>
        <w:rPr>
          <w:rFonts w:hint="default" w:ascii="Arial" w:hAnsi="Arial" w:eastAsia="宋体" w:cs="Arial"/>
          <w:bCs/>
          <w:szCs w:val="24"/>
        </w:rPr>
        <w:t>ivalry</w:t>
      </w:r>
      <w:r>
        <w:tab/>
      </w:r>
      <w:r>
        <w:fldChar w:fldCharType="begin"/>
      </w:r>
      <w:r>
        <w:instrText xml:space="preserve"> PAGEREF _Toc17877 \h </w:instrText>
      </w:r>
      <w:r>
        <w:fldChar w:fldCharType="separate"/>
      </w:r>
      <w:r>
        <w:t>8</w:t>
      </w:r>
      <w:r>
        <w:fldChar w:fldCharType="end"/>
      </w:r>
      <w:r>
        <w:rPr>
          <w:rFonts w:hint="default" w:ascii="Arial-BoldMT" w:hAnsi="Arial-BoldMT" w:eastAsia="Arial-BoldMT" w:cs="Arial-BoldMT"/>
          <w:bCs/>
          <w:color w:val="000000"/>
          <w:kern w:val="0"/>
          <w:szCs w:val="24"/>
          <w:lang w:val="en-US" w:eastAsia="zh-CN" w:bidi="ar"/>
        </w:rPr>
        <w:fldChar w:fldCharType="end"/>
      </w:r>
    </w:p>
    <w:p w14:paraId="12E4C73E">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_Toc7477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2.2.2 </w:t>
      </w:r>
      <w:r>
        <w:rPr>
          <w:rFonts w:hint="default" w:ascii="Arial" w:hAnsi="Arial" w:eastAsia="宋体" w:cs="Arial"/>
          <w:bCs/>
          <w:szCs w:val="24"/>
        </w:rPr>
        <w:t xml:space="preserve">Threat of </w:t>
      </w:r>
      <w:r>
        <w:rPr>
          <w:rFonts w:hint="default" w:ascii="Arial" w:hAnsi="Arial" w:eastAsia="宋体" w:cs="Arial"/>
          <w:bCs/>
          <w:szCs w:val="24"/>
          <w:lang w:val="en-US" w:eastAsia="zh-CN"/>
        </w:rPr>
        <w:t>N</w:t>
      </w:r>
      <w:r>
        <w:rPr>
          <w:rFonts w:hint="default" w:ascii="Arial" w:hAnsi="Arial" w:eastAsia="宋体" w:cs="Arial"/>
          <w:bCs/>
          <w:szCs w:val="24"/>
        </w:rPr>
        <w:t xml:space="preserve">ew </w:t>
      </w:r>
      <w:r>
        <w:rPr>
          <w:rFonts w:hint="default" w:ascii="Arial" w:hAnsi="Arial" w:eastAsia="宋体" w:cs="Arial"/>
          <w:bCs/>
          <w:szCs w:val="24"/>
          <w:lang w:val="en-US" w:eastAsia="zh-CN"/>
        </w:rPr>
        <w:t>E</w:t>
      </w:r>
      <w:r>
        <w:rPr>
          <w:rFonts w:hint="default" w:ascii="Arial" w:hAnsi="Arial" w:eastAsia="宋体" w:cs="Arial"/>
          <w:bCs/>
          <w:szCs w:val="24"/>
        </w:rPr>
        <w:t>ntrants</w:t>
      </w:r>
      <w:r>
        <w:tab/>
      </w:r>
      <w:r>
        <w:fldChar w:fldCharType="begin"/>
      </w:r>
      <w:r>
        <w:instrText xml:space="preserve"> PAGEREF _Toc7477 \h </w:instrText>
      </w:r>
      <w:r>
        <w:fldChar w:fldCharType="separate"/>
      </w:r>
      <w:r>
        <w:t>8</w:t>
      </w:r>
      <w:r>
        <w:fldChar w:fldCharType="end"/>
      </w:r>
      <w:r>
        <w:rPr>
          <w:rFonts w:hint="default" w:ascii="Arial-BoldMT" w:hAnsi="Arial-BoldMT" w:eastAsia="Arial-BoldMT" w:cs="Arial-BoldMT"/>
          <w:bCs/>
          <w:color w:val="000000"/>
          <w:kern w:val="0"/>
          <w:szCs w:val="24"/>
          <w:lang w:val="en-US" w:eastAsia="zh-CN" w:bidi="ar"/>
        </w:rPr>
        <w:fldChar w:fldCharType="end"/>
      </w:r>
    </w:p>
    <w:p w14:paraId="7522E754">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_Toc1130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2.2.3 </w:t>
      </w:r>
      <w:r>
        <w:rPr>
          <w:rFonts w:hint="default" w:ascii="Arial" w:hAnsi="Arial" w:eastAsia="宋体" w:cs="Arial"/>
          <w:bCs/>
          <w:szCs w:val="24"/>
        </w:rPr>
        <w:t>Bargaining Power of Suppliers</w:t>
      </w:r>
      <w:r>
        <w:tab/>
      </w:r>
      <w:r>
        <w:fldChar w:fldCharType="begin"/>
      </w:r>
      <w:r>
        <w:instrText xml:space="preserve"> PAGEREF _Toc1130 \h </w:instrText>
      </w:r>
      <w:r>
        <w:fldChar w:fldCharType="separate"/>
      </w:r>
      <w:r>
        <w:t>8</w:t>
      </w:r>
      <w:r>
        <w:fldChar w:fldCharType="end"/>
      </w:r>
      <w:r>
        <w:rPr>
          <w:rFonts w:hint="default" w:ascii="Arial-BoldMT" w:hAnsi="Arial-BoldMT" w:eastAsia="Arial-BoldMT" w:cs="Arial-BoldMT"/>
          <w:bCs/>
          <w:color w:val="000000"/>
          <w:kern w:val="0"/>
          <w:szCs w:val="24"/>
          <w:lang w:val="en-US" w:eastAsia="zh-CN" w:bidi="ar"/>
        </w:rPr>
        <w:fldChar w:fldCharType="end"/>
      </w:r>
    </w:p>
    <w:p w14:paraId="453D71EE">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_Toc19578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2.2.4 </w:t>
      </w:r>
      <w:r>
        <w:rPr>
          <w:rFonts w:hint="default" w:ascii="Arial" w:hAnsi="Arial" w:eastAsia="宋体" w:cs="Arial"/>
          <w:bCs/>
          <w:szCs w:val="24"/>
        </w:rPr>
        <w:t>Bargaining Power of Buyers</w:t>
      </w:r>
      <w:r>
        <w:tab/>
      </w:r>
      <w:r>
        <w:fldChar w:fldCharType="begin"/>
      </w:r>
      <w:r>
        <w:instrText xml:space="preserve"> PAGEREF _Toc19578 \h </w:instrText>
      </w:r>
      <w:r>
        <w:fldChar w:fldCharType="separate"/>
      </w:r>
      <w:r>
        <w:t>8</w:t>
      </w:r>
      <w:r>
        <w:fldChar w:fldCharType="end"/>
      </w:r>
      <w:r>
        <w:rPr>
          <w:rFonts w:hint="default" w:ascii="Arial-BoldMT" w:hAnsi="Arial-BoldMT" w:eastAsia="Arial-BoldMT" w:cs="Arial-BoldMT"/>
          <w:bCs/>
          <w:color w:val="000000"/>
          <w:kern w:val="0"/>
          <w:szCs w:val="24"/>
          <w:lang w:val="en-US" w:eastAsia="zh-CN" w:bidi="ar"/>
        </w:rPr>
        <w:fldChar w:fldCharType="end"/>
      </w:r>
    </w:p>
    <w:p w14:paraId="0E448843">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_Toc27183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2.2.5 </w:t>
      </w:r>
      <w:r>
        <w:rPr>
          <w:rFonts w:hint="default" w:ascii="Arial" w:hAnsi="Arial" w:eastAsia="宋体" w:cs="Arial"/>
          <w:bCs/>
          <w:szCs w:val="24"/>
        </w:rPr>
        <w:t>Threat of Substitutes</w:t>
      </w:r>
      <w:r>
        <w:tab/>
      </w:r>
      <w:r>
        <w:fldChar w:fldCharType="begin"/>
      </w:r>
      <w:r>
        <w:instrText xml:space="preserve"> PAGEREF _Toc27183 \h </w:instrText>
      </w:r>
      <w:r>
        <w:fldChar w:fldCharType="separate"/>
      </w:r>
      <w:r>
        <w:t>9</w:t>
      </w:r>
      <w:r>
        <w:fldChar w:fldCharType="end"/>
      </w:r>
      <w:r>
        <w:rPr>
          <w:rFonts w:hint="default" w:ascii="Arial-BoldMT" w:hAnsi="Arial-BoldMT" w:eastAsia="Arial-BoldMT" w:cs="Arial-BoldMT"/>
          <w:bCs/>
          <w:color w:val="000000"/>
          <w:kern w:val="0"/>
          <w:szCs w:val="24"/>
          <w:lang w:val="en-US" w:eastAsia="zh-CN" w:bidi="ar"/>
        </w:rPr>
        <w:fldChar w:fldCharType="end"/>
      </w:r>
    </w:p>
    <w:p w14:paraId="5B1B3C1E">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_Toc8853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2.3 </w:t>
      </w:r>
      <w:r>
        <w:rPr>
          <w:rFonts w:hint="default" w:ascii="Arial" w:hAnsi="Arial" w:eastAsia="宋体" w:cs="Arial"/>
          <w:bCs/>
          <w:szCs w:val="24"/>
        </w:rPr>
        <w:t>Internal Analysis of Unilever</w:t>
      </w:r>
      <w:r>
        <w:tab/>
      </w:r>
      <w:r>
        <w:fldChar w:fldCharType="begin"/>
      </w:r>
      <w:r>
        <w:instrText xml:space="preserve"> PAGEREF _Toc8853 \h </w:instrText>
      </w:r>
      <w:r>
        <w:fldChar w:fldCharType="separate"/>
      </w:r>
      <w:r>
        <w:t>9</w:t>
      </w:r>
      <w:r>
        <w:fldChar w:fldCharType="end"/>
      </w:r>
      <w:r>
        <w:rPr>
          <w:rFonts w:hint="default" w:ascii="Arial-BoldMT" w:hAnsi="Arial-BoldMT" w:eastAsia="Arial-BoldMT" w:cs="Arial-BoldMT"/>
          <w:bCs/>
          <w:color w:val="000000"/>
          <w:kern w:val="0"/>
          <w:szCs w:val="24"/>
          <w:lang w:val="en-US" w:eastAsia="zh-CN" w:bidi="ar"/>
        </w:rPr>
        <w:fldChar w:fldCharType="end"/>
      </w:r>
    </w:p>
    <w:p w14:paraId="360D8E82">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_Toc11071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2.3.1 </w:t>
      </w:r>
      <w:r>
        <w:rPr>
          <w:rFonts w:hint="default" w:ascii="Arial" w:hAnsi="Arial" w:eastAsia="宋体" w:cs="Arial"/>
          <w:bCs/>
          <w:szCs w:val="24"/>
        </w:rPr>
        <w:t>Resource-Based View (RBV)</w:t>
      </w:r>
      <w:r>
        <w:tab/>
      </w:r>
      <w:r>
        <w:fldChar w:fldCharType="begin"/>
      </w:r>
      <w:r>
        <w:instrText xml:space="preserve"> PAGEREF _Toc11071 \h </w:instrText>
      </w:r>
      <w:r>
        <w:fldChar w:fldCharType="separate"/>
      </w:r>
      <w:r>
        <w:t>9</w:t>
      </w:r>
      <w:r>
        <w:fldChar w:fldCharType="end"/>
      </w:r>
      <w:r>
        <w:rPr>
          <w:rFonts w:hint="default" w:ascii="Arial-BoldMT" w:hAnsi="Arial-BoldMT" w:eastAsia="Arial-BoldMT" w:cs="Arial-BoldMT"/>
          <w:bCs/>
          <w:color w:val="000000"/>
          <w:kern w:val="0"/>
          <w:szCs w:val="24"/>
          <w:lang w:val="en-US" w:eastAsia="zh-CN" w:bidi="ar"/>
        </w:rPr>
        <w:fldChar w:fldCharType="end"/>
      </w:r>
    </w:p>
    <w:p w14:paraId="7AC2A0F2">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_Toc2144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2.3.2 </w:t>
      </w:r>
      <w:r>
        <w:rPr>
          <w:rFonts w:hint="default" w:ascii="Arial" w:hAnsi="Arial" w:eastAsia="宋体" w:cs="Arial"/>
          <w:bCs/>
          <w:szCs w:val="24"/>
        </w:rPr>
        <w:t>Value Chain Analysis</w:t>
      </w:r>
      <w:r>
        <w:tab/>
      </w:r>
      <w:r>
        <w:fldChar w:fldCharType="begin"/>
      </w:r>
      <w:r>
        <w:instrText xml:space="preserve"> PAGEREF _Toc2144 \h </w:instrText>
      </w:r>
      <w:r>
        <w:fldChar w:fldCharType="separate"/>
      </w:r>
      <w:r>
        <w:t>9</w:t>
      </w:r>
      <w:r>
        <w:fldChar w:fldCharType="end"/>
      </w:r>
      <w:r>
        <w:rPr>
          <w:rFonts w:hint="default" w:ascii="Arial-BoldMT" w:hAnsi="Arial-BoldMT" w:eastAsia="Arial-BoldMT" w:cs="Arial-BoldMT"/>
          <w:bCs/>
          <w:color w:val="000000"/>
          <w:kern w:val="0"/>
          <w:szCs w:val="24"/>
          <w:lang w:val="en-US" w:eastAsia="zh-CN" w:bidi="ar"/>
        </w:rPr>
        <w:fldChar w:fldCharType="end"/>
      </w:r>
    </w:p>
    <w:p w14:paraId="296D3CB5">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_Toc9618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8"/>
          <w:lang w:val="en-US" w:eastAsia="zh-CN"/>
        </w:rPr>
        <w:t xml:space="preserve">2.4 </w:t>
      </w:r>
      <w:r>
        <w:rPr>
          <w:rFonts w:hint="default" w:ascii="Arial" w:hAnsi="Arial" w:eastAsia="宋体" w:cs="Arial"/>
          <w:bCs/>
          <w:szCs w:val="28"/>
        </w:rPr>
        <w:t>SWOT Analysis</w:t>
      </w:r>
      <w:r>
        <w:rPr>
          <w:rFonts w:hint="eastAsia" w:ascii="Arial" w:hAnsi="Arial" w:eastAsia="宋体" w:cs="Arial"/>
          <w:bCs/>
          <w:szCs w:val="28"/>
          <w:lang w:val="en-US" w:eastAsia="zh-CN"/>
        </w:rPr>
        <w:t xml:space="preserve"> </w:t>
      </w:r>
      <w:r>
        <w:rPr>
          <w:rFonts w:hint="default" w:ascii="Arial" w:hAnsi="Arial" w:eastAsia="宋体" w:cs="Arial"/>
          <w:bCs/>
          <w:szCs w:val="24"/>
        </w:rPr>
        <w:t>of Unilever</w:t>
      </w:r>
      <w:r>
        <w:tab/>
      </w:r>
      <w:r>
        <w:fldChar w:fldCharType="begin"/>
      </w:r>
      <w:r>
        <w:instrText xml:space="preserve"> PAGEREF _Toc9618 \h </w:instrText>
      </w:r>
      <w:r>
        <w:fldChar w:fldCharType="separate"/>
      </w:r>
      <w:r>
        <w:t>10</w:t>
      </w:r>
      <w:r>
        <w:fldChar w:fldCharType="end"/>
      </w:r>
      <w:r>
        <w:rPr>
          <w:rFonts w:hint="default" w:ascii="Arial-BoldMT" w:hAnsi="Arial-BoldMT" w:eastAsia="Arial-BoldMT" w:cs="Arial-BoldMT"/>
          <w:bCs/>
          <w:color w:val="000000"/>
          <w:kern w:val="0"/>
          <w:szCs w:val="24"/>
          <w:lang w:val="en-US" w:eastAsia="zh-CN" w:bidi="ar"/>
        </w:rPr>
        <w:fldChar w:fldCharType="end"/>
      </w:r>
    </w:p>
    <w:p w14:paraId="6DFB57A3">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_Toc8809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8"/>
          <w:lang w:val="en-US" w:eastAsia="zh-CN"/>
        </w:rPr>
        <w:t xml:space="preserve">2.5 </w:t>
      </w:r>
      <w:r>
        <w:rPr>
          <w:rFonts w:hint="default" w:ascii="Arial" w:hAnsi="Arial" w:eastAsia="宋体" w:cs="Arial"/>
          <w:bCs/>
          <w:szCs w:val="28"/>
        </w:rPr>
        <w:t>Strategy Formulation &amp; Competitive Positioning of Unilever</w:t>
      </w:r>
      <w:r>
        <w:tab/>
      </w:r>
      <w:r>
        <w:fldChar w:fldCharType="begin"/>
      </w:r>
      <w:r>
        <w:instrText xml:space="preserve"> PAGEREF _Toc8809 \h </w:instrText>
      </w:r>
      <w:r>
        <w:fldChar w:fldCharType="separate"/>
      </w:r>
      <w:r>
        <w:t>11</w:t>
      </w:r>
      <w:r>
        <w:fldChar w:fldCharType="end"/>
      </w:r>
      <w:r>
        <w:rPr>
          <w:rFonts w:hint="default" w:ascii="Arial-BoldMT" w:hAnsi="Arial-BoldMT" w:eastAsia="Arial-BoldMT" w:cs="Arial-BoldMT"/>
          <w:bCs/>
          <w:color w:val="000000"/>
          <w:kern w:val="0"/>
          <w:szCs w:val="24"/>
          <w:lang w:val="en-US" w:eastAsia="zh-CN" w:bidi="ar"/>
        </w:rPr>
        <w:fldChar w:fldCharType="end"/>
      </w:r>
    </w:p>
    <w:p w14:paraId="2DD3D3C1">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_Toc6161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2.5.1 </w:t>
      </w:r>
      <w:r>
        <w:rPr>
          <w:rFonts w:hint="default" w:ascii="Arial" w:hAnsi="Arial" w:eastAsia="宋体" w:cs="Arial"/>
          <w:bCs/>
          <w:szCs w:val="24"/>
        </w:rPr>
        <w:t>Current Strategic Positioning: Porter’s Generic Strategies</w:t>
      </w:r>
      <w:r>
        <w:tab/>
      </w:r>
      <w:r>
        <w:fldChar w:fldCharType="begin"/>
      </w:r>
      <w:r>
        <w:instrText xml:space="preserve"> PAGEREF _Toc6161 \h </w:instrText>
      </w:r>
      <w:r>
        <w:fldChar w:fldCharType="separate"/>
      </w:r>
      <w:r>
        <w:t>11</w:t>
      </w:r>
      <w:r>
        <w:fldChar w:fldCharType="end"/>
      </w:r>
      <w:r>
        <w:rPr>
          <w:rFonts w:hint="default" w:ascii="Arial-BoldMT" w:hAnsi="Arial-BoldMT" w:eastAsia="Arial-BoldMT" w:cs="Arial-BoldMT"/>
          <w:bCs/>
          <w:color w:val="000000"/>
          <w:kern w:val="0"/>
          <w:szCs w:val="24"/>
          <w:lang w:val="en-US" w:eastAsia="zh-CN" w:bidi="ar"/>
        </w:rPr>
        <w:fldChar w:fldCharType="end"/>
      </w:r>
    </w:p>
    <w:p w14:paraId="7FDF1D7E">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_Toc30273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2.5.2 </w:t>
      </w:r>
      <w:r>
        <w:rPr>
          <w:rFonts w:hint="default" w:ascii="Arial" w:hAnsi="Arial" w:eastAsia="宋体" w:cs="Arial"/>
          <w:bCs/>
          <w:szCs w:val="24"/>
        </w:rPr>
        <w:t>Potential Growth Strategies: Ansoff’s Matrix</w:t>
      </w:r>
      <w:r>
        <w:tab/>
      </w:r>
      <w:r>
        <w:fldChar w:fldCharType="begin"/>
      </w:r>
      <w:r>
        <w:instrText xml:space="preserve"> PAGEREF _Toc30273 \h </w:instrText>
      </w:r>
      <w:r>
        <w:fldChar w:fldCharType="separate"/>
      </w:r>
      <w:r>
        <w:t>11</w:t>
      </w:r>
      <w:r>
        <w:fldChar w:fldCharType="end"/>
      </w:r>
      <w:r>
        <w:rPr>
          <w:rFonts w:hint="default" w:ascii="Arial-BoldMT" w:hAnsi="Arial-BoldMT" w:eastAsia="Arial-BoldMT" w:cs="Arial-BoldMT"/>
          <w:bCs/>
          <w:color w:val="000000"/>
          <w:kern w:val="0"/>
          <w:szCs w:val="24"/>
          <w:lang w:val="en-US" w:eastAsia="zh-CN" w:bidi="ar"/>
        </w:rPr>
        <w:fldChar w:fldCharType="end"/>
      </w:r>
    </w:p>
    <w:p w14:paraId="30A83B54">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_Toc21289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2.5.3 </w:t>
      </w:r>
      <w:r>
        <w:rPr>
          <w:rFonts w:hint="default" w:ascii="Arial" w:hAnsi="Arial" w:eastAsia="宋体" w:cs="Arial"/>
          <w:bCs/>
          <w:szCs w:val="24"/>
        </w:rPr>
        <w:t>Mergers &amp; Acquisitions (M&amp;A) Assessment</w:t>
      </w:r>
      <w:r>
        <w:tab/>
      </w:r>
      <w:r>
        <w:fldChar w:fldCharType="begin"/>
      </w:r>
      <w:r>
        <w:instrText xml:space="preserve"> PAGEREF _Toc21289 \h </w:instrText>
      </w:r>
      <w:r>
        <w:fldChar w:fldCharType="separate"/>
      </w:r>
      <w:r>
        <w:t>12</w:t>
      </w:r>
      <w:r>
        <w:fldChar w:fldCharType="end"/>
      </w:r>
      <w:r>
        <w:rPr>
          <w:rFonts w:hint="default" w:ascii="Arial-BoldMT" w:hAnsi="Arial-BoldMT" w:eastAsia="Arial-BoldMT" w:cs="Arial-BoldMT"/>
          <w:bCs/>
          <w:color w:val="000000"/>
          <w:kern w:val="0"/>
          <w:szCs w:val="24"/>
          <w:lang w:val="en-US" w:eastAsia="zh-CN" w:bidi="ar"/>
        </w:rPr>
        <w:fldChar w:fldCharType="end"/>
      </w:r>
    </w:p>
    <w:p w14:paraId="134F93B4">
      <w:pPr>
        <w:pStyle w:val="4"/>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_Toc30525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8"/>
          <w:lang w:val="en-US" w:eastAsia="zh-CN"/>
        </w:rPr>
        <w:t xml:space="preserve">2.6 </w:t>
      </w:r>
      <w:r>
        <w:rPr>
          <w:rFonts w:hint="default" w:ascii="Arial" w:hAnsi="Arial" w:eastAsia="宋体" w:cs="Arial"/>
          <w:bCs/>
          <w:szCs w:val="28"/>
        </w:rPr>
        <w:t>Sustainability &amp; Strategic Recommendations for Unilever</w:t>
      </w:r>
      <w:r>
        <w:tab/>
      </w:r>
      <w:r>
        <w:fldChar w:fldCharType="begin"/>
      </w:r>
      <w:r>
        <w:instrText xml:space="preserve"> PAGEREF _Toc30525 \h </w:instrText>
      </w:r>
      <w:r>
        <w:fldChar w:fldCharType="separate"/>
      </w:r>
      <w:r>
        <w:t>12</w:t>
      </w:r>
      <w:r>
        <w:fldChar w:fldCharType="end"/>
      </w:r>
      <w:r>
        <w:rPr>
          <w:rFonts w:hint="default" w:ascii="Arial-BoldMT" w:hAnsi="Arial-BoldMT" w:eastAsia="Arial-BoldMT" w:cs="Arial-BoldMT"/>
          <w:bCs/>
          <w:color w:val="000000"/>
          <w:kern w:val="0"/>
          <w:szCs w:val="24"/>
          <w:lang w:val="en-US" w:eastAsia="zh-CN" w:bidi="ar"/>
        </w:rPr>
        <w:fldChar w:fldCharType="end"/>
      </w:r>
    </w:p>
    <w:p w14:paraId="45FEEE35">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_Toc14092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2.6.1 </w:t>
      </w:r>
      <w:r>
        <w:rPr>
          <w:rFonts w:hint="default" w:ascii="Arial" w:hAnsi="Arial" w:eastAsia="宋体" w:cs="Arial"/>
          <w:bCs/>
          <w:szCs w:val="24"/>
        </w:rPr>
        <w:t>Evaluation of Sustainability Initiatives and Strategic Implications</w:t>
      </w:r>
      <w:r>
        <w:tab/>
      </w:r>
      <w:r>
        <w:fldChar w:fldCharType="begin"/>
      </w:r>
      <w:r>
        <w:instrText xml:space="preserve"> PAGEREF _Toc14092 \h </w:instrText>
      </w:r>
      <w:r>
        <w:fldChar w:fldCharType="separate"/>
      </w:r>
      <w:r>
        <w:t>12</w:t>
      </w:r>
      <w:r>
        <w:fldChar w:fldCharType="end"/>
      </w:r>
      <w:r>
        <w:rPr>
          <w:rFonts w:hint="default" w:ascii="Arial-BoldMT" w:hAnsi="Arial-BoldMT" w:eastAsia="Arial-BoldMT" w:cs="Arial-BoldMT"/>
          <w:bCs/>
          <w:color w:val="000000"/>
          <w:kern w:val="0"/>
          <w:szCs w:val="24"/>
          <w:lang w:val="en-US" w:eastAsia="zh-CN" w:bidi="ar"/>
        </w:rPr>
        <w:fldChar w:fldCharType="end"/>
      </w:r>
    </w:p>
    <w:p w14:paraId="6DF8568C">
      <w:pPr>
        <w:pStyle w:val="2"/>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_Toc7725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24"/>
          <w:lang w:val="en-US" w:eastAsia="zh-CN"/>
        </w:rPr>
        <w:t xml:space="preserve">2.6.2 </w:t>
      </w:r>
      <w:r>
        <w:rPr>
          <w:rFonts w:hint="default" w:ascii="Arial" w:hAnsi="Arial" w:eastAsia="宋体" w:cs="Arial"/>
          <w:bCs/>
          <w:szCs w:val="24"/>
        </w:rPr>
        <w:t>Strategic Recommendations for Improved Sustainability and Positioning</w:t>
      </w:r>
      <w:r>
        <w:tab/>
      </w:r>
      <w:r>
        <w:fldChar w:fldCharType="begin"/>
      </w:r>
      <w:r>
        <w:instrText xml:space="preserve"> PAGEREF _Toc7725 \h </w:instrText>
      </w:r>
      <w:r>
        <w:fldChar w:fldCharType="separate"/>
      </w:r>
      <w:r>
        <w:t>13</w:t>
      </w:r>
      <w:r>
        <w:fldChar w:fldCharType="end"/>
      </w:r>
      <w:r>
        <w:rPr>
          <w:rFonts w:hint="default" w:ascii="Arial-BoldMT" w:hAnsi="Arial-BoldMT" w:eastAsia="Arial-BoldMT" w:cs="Arial-BoldMT"/>
          <w:bCs/>
          <w:color w:val="000000"/>
          <w:kern w:val="0"/>
          <w:szCs w:val="24"/>
          <w:lang w:val="en-US" w:eastAsia="zh-CN" w:bidi="ar"/>
        </w:rPr>
        <w:fldChar w:fldCharType="end"/>
      </w:r>
    </w:p>
    <w:p w14:paraId="313A6AB8">
      <w:pPr>
        <w:pStyle w:val="3"/>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_Toc13581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30"/>
          <w:lang w:val="en-US" w:eastAsia="zh-CN"/>
        </w:rPr>
        <w:t xml:space="preserve">3. </w:t>
      </w:r>
      <w:r>
        <w:rPr>
          <w:rFonts w:hint="default" w:ascii="Arial" w:hAnsi="Arial" w:eastAsia="宋体" w:cs="Arial"/>
          <w:bCs/>
          <w:szCs w:val="30"/>
          <w:lang w:val="en-US" w:eastAsia="zh-CN"/>
        </w:rPr>
        <w:t>Conclusion</w:t>
      </w:r>
      <w:r>
        <w:tab/>
      </w:r>
      <w:r>
        <w:fldChar w:fldCharType="begin"/>
      </w:r>
      <w:r>
        <w:instrText xml:space="preserve"> PAGEREF _Toc13581 \h </w:instrText>
      </w:r>
      <w:r>
        <w:fldChar w:fldCharType="separate"/>
      </w:r>
      <w:r>
        <w:t>14</w:t>
      </w:r>
      <w:r>
        <w:fldChar w:fldCharType="end"/>
      </w:r>
      <w:r>
        <w:rPr>
          <w:rFonts w:hint="default" w:ascii="Arial-BoldMT" w:hAnsi="Arial-BoldMT" w:eastAsia="Arial-BoldMT" w:cs="Arial-BoldMT"/>
          <w:bCs/>
          <w:color w:val="000000"/>
          <w:kern w:val="0"/>
          <w:szCs w:val="24"/>
          <w:lang w:val="en-US" w:eastAsia="zh-CN" w:bidi="ar"/>
        </w:rPr>
        <w:fldChar w:fldCharType="end"/>
      </w:r>
    </w:p>
    <w:p w14:paraId="1377F559">
      <w:pPr>
        <w:pStyle w:val="3"/>
        <w:tabs>
          <w:tab w:val="right" w:leader="dot" w:pos="8306"/>
        </w:tabs>
      </w:pPr>
      <w:r>
        <w:rPr>
          <w:rFonts w:hint="default" w:ascii="Arial-BoldMT" w:hAnsi="Arial-BoldMT" w:eastAsia="Arial-BoldMT" w:cs="Arial-BoldMT"/>
          <w:bCs/>
          <w:color w:val="000000"/>
          <w:kern w:val="0"/>
          <w:szCs w:val="24"/>
          <w:lang w:val="en-US" w:eastAsia="zh-CN" w:bidi="ar"/>
        </w:rPr>
        <w:fldChar w:fldCharType="begin"/>
      </w:r>
      <w:r>
        <w:rPr>
          <w:rFonts w:hint="default" w:ascii="Arial-BoldMT" w:hAnsi="Arial-BoldMT" w:eastAsia="Arial-BoldMT" w:cs="Arial-BoldMT"/>
          <w:bCs/>
          <w:kern w:val="0"/>
          <w:szCs w:val="24"/>
          <w:lang w:val="en-US" w:eastAsia="zh-CN" w:bidi="ar"/>
        </w:rPr>
        <w:instrText xml:space="preserve"> HYPERLINK \l _Toc3030 </w:instrText>
      </w:r>
      <w:r>
        <w:rPr>
          <w:rFonts w:hint="default" w:ascii="Arial-BoldMT" w:hAnsi="Arial-BoldMT" w:eastAsia="Arial-BoldMT" w:cs="Arial-BoldMT"/>
          <w:bCs/>
          <w:kern w:val="0"/>
          <w:szCs w:val="24"/>
          <w:lang w:val="en-US" w:eastAsia="zh-CN" w:bidi="ar"/>
        </w:rPr>
        <w:fldChar w:fldCharType="separate"/>
      </w:r>
      <w:r>
        <w:rPr>
          <w:rFonts w:hint="default" w:ascii="Arial" w:hAnsi="Arial" w:eastAsia="宋体" w:cs="Arial"/>
          <w:bCs/>
          <w:szCs w:val="30"/>
          <w:lang w:val="en-US" w:eastAsia="zh-CN"/>
        </w:rPr>
        <w:t>References</w:t>
      </w:r>
      <w:r>
        <w:tab/>
      </w:r>
      <w:r>
        <w:fldChar w:fldCharType="begin"/>
      </w:r>
      <w:r>
        <w:instrText xml:space="preserve"> PAGEREF _Toc3030 \h </w:instrText>
      </w:r>
      <w:r>
        <w:fldChar w:fldCharType="separate"/>
      </w:r>
      <w:r>
        <w:t>15</w:t>
      </w:r>
      <w:r>
        <w:fldChar w:fldCharType="end"/>
      </w:r>
      <w:r>
        <w:rPr>
          <w:rFonts w:hint="default" w:ascii="Arial-BoldMT" w:hAnsi="Arial-BoldMT" w:eastAsia="Arial-BoldMT" w:cs="Arial-BoldMT"/>
          <w:bCs/>
          <w:color w:val="000000"/>
          <w:kern w:val="0"/>
          <w:szCs w:val="24"/>
          <w:lang w:val="en-US" w:eastAsia="zh-CN" w:bidi="ar"/>
        </w:rPr>
        <w:fldChar w:fldCharType="end"/>
      </w:r>
    </w:p>
    <w:p w14:paraId="365A821C">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r>
        <w:rPr>
          <w:rFonts w:hint="default" w:ascii="Arial-BoldMT" w:hAnsi="Arial-BoldMT" w:eastAsia="Arial-BoldMT" w:cs="Arial-BoldMT"/>
          <w:bCs/>
          <w:color w:val="000000"/>
          <w:kern w:val="0"/>
          <w:szCs w:val="24"/>
          <w:lang w:val="en-US" w:eastAsia="zh-CN" w:bidi="ar"/>
        </w:rPr>
        <w:fldChar w:fldCharType="end"/>
      </w:r>
    </w:p>
    <w:p w14:paraId="1952B8C8">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64F87738">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467210D5">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3247AAB4">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0494E246">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68F3AA3C">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313A317F">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6B102712">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2D8D4411">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5ED314B9">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23B4640B">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17D1AFCF">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37201B3E">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718F2FC8">
      <w:pPr>
        <w:keepNext w:val="0"/>
        <w:keepLines w:val="0"/>
        <w:widowControl/>
        <w:suppressLineNumbers w:val="0"/>
        <w:jc w:val="left"/>
        <w:rPr>
          <w:rFonts w:hint="default" w:ascii="Arial-BoldMT" w:hAnsi="Arial-BoldMT" w:eastAsia="Arial-BoldMT" w:cs="Arial-BoldMT"/>
          <w:b/>
          <w:bCs/>
          <w:color w:val="000000"/>
          <w:kern w:val="0"/>
          <w:sz w:val="24"/>
          <w:szCs w:val="24"/>
          <w:lang w:val="en-US" w:eastAsia="zh-CN" w:bidi="ar"/>
        </w:rPr>
      </w:pPr>
    </w:p>
    <w:p w14:paraId="0A2FFC51">
      <w:pPr>
        <w:keepNext w:val="0"/>
        <w:keepLines w:val="0"/>
        <w:widowControl/>
        <w:suppressLineNumbers w:val="0"/>
        <w:jc w:val="left"/>
        <w:outlineLvl w:val="0"/>
        <w:rPr>
          <w:rFonts w:hint="default" w:ascii="Arial" w:hAnsi="Arial" w:eastAsia="Arial-BoldMT" w:cs="Arial"/>
          <w:b/>
          <w:bCs/>
          <w:color w:val="000000"/>
          <w:kern w:val="0"/>
          <w:sz w:val="30"/>
          <w:szCs w:val="30"/>
          <w:lang w:val="en-US" w:eastAsia="zh-CN" w:bidi="ar"/>
        </w:rPr>
      </w:pPr>
      <w:bookmarkStart w:id="2" w:name="_Toc7479"/>
      <w:r>
        <w:rPr>
          <w:rFonts w:hint="default" w:ascii="Arial" w:hAnsi="Arial" w:eastAsia="Arial-BoldMT" w:cs="Arial"/>
          <w:b/>
          <w:bCs/>
          <w:color w:val="000000"/>
          <w:kern w:val="0"/>
          <w:sz w:val="30"/>
          <w:szCs w:val="30"/>
          <w:lang w:val="en-US" w:eastAsia="zh-CN" w:bidi="ar"/>
        </w:rPr>
        <w:t>Executive Summary</w:t>
      </w:r>
      <w:bookmarkEnd w:id="2"/>
    </w:p>
    <w:p w14:paraId="32D0F29D">
      <w:pPr>
        <w:pStyle w:val="5"/>
        <w:keepNext w:val="0"/>
        <w:keepLines w:val="0"/>
        <w:widowControl/>
        <w:suppressLineNumbers w:val="0"/>
        <w:spacing w:line="360" w:lineRule="auto"/>
        <w:jc w:val="both"/>
        <w:rPr>
          <w:rFonts w:hint="default" w:ascii="Arial" w:hAnsi="Arial" w:cs="Arial"/>
          <w:b w:val="0"/>
          <w:bCs w:val="0"/>
        </w:rPr>
      </w:pPr>
      <w:r>
        <w:rPr>
          <w:rFonts w:hint="default" w:ascii="Arial" w:hAnsi="Arial" w:cs="Arial"/>
          <w:b w:val="0"/>
          <w:bCs w:val="0"/>
        </w:rPr>
        <w:t xml:space="preserve">This report provides a comprehensive strategic analysis of Unilever, focusing on its current market position, internal strengths, external challenges, and sustainability initiatives. Unilever, a leading multinational FMCG company, is renowned for its strong brand portfolio, global reach, and commitment to sustainability. Using frameworks like </w:t>
      </w:r>
      <w:r>
        <w:rPr>
          <w:rStyle w:val="8"/>
          <w:rFonts w:hint="default" w:ascii="Arial" w:hAnsi="Arial" w:cs="Arial"/>
          <w:b w:val="0"/>
          <w:bCs w:val="0"/>
        </w:rPr>
        <w:t>PESTEL Analysis</w:t>
      </w:r>
      <w:r>
        <w:rPr>
          <w:rFonts w:hint="default" w:ascii="Arial" w:hAnsi="Arial" w:cs="Arial"/>
          <w:b w:val="0"/>
          <w:bCs w:val="0"/>
        </w:rPr>
        <w:t xml:space="preserve"> and </w:t>
      </w:r>
      <w:r>
        <w:rPr>
          <w:rStyle w:val="8"/>
          <w:rFonts w:hint="default" w:ascii="Arial" w:hAnsi="Arial" w:cs="Arial"/>
          <w:b w:val="0"/>
          <w:bCs w:val="0"/>
        </w:rPr>
        <w:t>Porter’s Five Forces</w:t>
      </w:r>
      <w:r>
        <w:rPr>
          <w:rFonts w:hint="default" w:ascii="Arial" w:hAnsi="Arial" w:cs="Arial"/>
          <w:b w:val="0"/>
          <w:bCs w:val="0"/>
        </w:rPr>
        <w:t>, the report examines external factors affecting the company, such as regulatory pressures, shifting consumer preferences, technological advancements, and intense competition.</w:t>
      </w:r>
    </w:p>
    <w:p w14:paraId="44A83288">
      <w:pPr>
        <w:pStyle w:val="5"/>
        <w:keepNext w:val="0"/>
        <w:keepLines w:val="0"/>
        <w:widowControl/>
        <w:suppressLineNumbers w:val="0"/>
        <w:spacing w:line="360" w:lineRule="auto"/>
        <w:jc w:val="both"/>
        <w:rPr>
          <w:rFonts w:hint="default" w:ascii="Arial" w:hAnsi="Arial" w:cs="Arial"/>
          <w:b w:val="0"/>
          <w:bCs w:val="0"/>
        </w:rPr>
      </w:pPr>
      <w:r>
        <w:rPr>
          <w:rFonts w:hint="default" w:ascii="Arial" w:hAnsi="Arial" w:cs="Arial"/>
          <w:b w:val="0"/>
          <w:bCs w:val="0"/>
        </w:rPr>
        <w:t xml:space="preserve">Internally, the </w:t>
      </w:r>
      <w:r>
        <w:rPr>
          <w:rStyle w:val="8"/>
          <w:rFonts w:hint="default" w:ascii="Arial" w:hAnsi="Arial" w:cs="Arial"/>
          <w:b w:val="0"/>
          <w:bCs w:val="0"/>
        </w:rPr>
        <w:t>Resource-Based View (RBV)</w:t>
      </w:r>
      <w:r>
        <w:rPr>
          <w:rFonts w:hint="default" w:ascii="Arial" w:hAnsi="Arial" w:cs="Arial"/>
          <w:b w:val="0"/>
          <w:bCs w:val="0"/>
        </w:rPr>
        <w:t xml:space="preserve"> and </w:t>
      </w:r>
      <w:r>
        <w:rPr>
          <w:rStyle w:val="8"/>
          <w:rFonts w:hint="default" w:ascii="Arial" w:hAnsi="Arial" w:cs="Arial"/>
          <w:b w:val="0"/>
          <w:bCs w:val="0"/>
        </w:rPr>
        <w:t>Value Chain Analysis</w:t>
      </w:r>
      <w:r>
        <w:rPr>
          <w:rFonts w:hint="default" w:ascii="Arial" w:hAnsi="Arial" w:cs="Arial"/>
          <w:b w:val="0"/>
          <w:bCs w:val="0"/>
        </w:rPr>
        <w:t xml:space="preserve"> reveal Unilever’s key resources, including its extensive manufacturing network, financial strength, brand equity, and operational efficiency. Through </w:t>
      </w:r>
      <w:r>
        <w:rPr>
          <w:rStyle w:val="8"/>
          <w:rFonts w:hint="default" w:ascii="Arial" w:hAnsi="Arial" w:cs="Arial"/>
          <w:b w:val="0"/>
          <w:bCs w:val="0"/>
        </w:rPr>
        <w:t>SWOT analysis</w:t>
      </w:r>
      <w:r>
        <w:rPr>
          <w:rFonts w:hint="default" w:ascii="Arial" w:hAnsi="Arial" w:cs="Arial"/>
          <w:b w:val="0"/>
          <w:bCs w:val="0"/>
        </w:rPr>
        <w:t>, the report identifies Unilever’s strengths in innovation, supply chain management, and sustainability leadership, while recognizing weaknesses like dependency on traditional retail and challenges in plastic waste reduction.</w:t>
      </w:r>
    </w:p>
    <w:p w14:paraId="721E342F">
      <w:pPr>
        <w:pStyle w:val="5"/>
        <w:keepNext w:val="0"/>
        <w:keepLines w:val="0"/>
        <w:widowControl/>
        <w:suppressLineNumbers w:val="0"/>
        <w:spacing w:line="360" w:lineRule="auto"/>
        <w:jc w:val="both"/>
        <w:rPr>
          <w:rFonts w:hint="default" w:ascii="Arial" w:hAnsi="Arial" w:cs="Arial"/>
          <w:b w:val="0"/>
          <w:bCs w:val="0"/>
        </w:rPr>
      </w:pPr>
      <w:r>
        <w:rPr>
          <w:rFonts w:hint="default" w:ascii="Arial" w:hAnsi="Arial" w:cs="Arial"/>
          <w:b w:val="0"/>
          <w:bCs w:val="0"/>
        </w:rPr>
        <w:t xml:space="preserve">Strategically, Unilever is positioned using </w:t>
      </w:r>
      <w:r>
        <w:rPr>
          <w:rStyle w:val="8"/>
          <w:rFonts w:hint="default" w:ascii="Arial" w:hAnsi="Arial" w:cs="Arial"/>
          <w:b w:val="0"/>
          <w:bCs w:val="0"/>
        </w:rPr>
        <w:t xml:space="preserve">Porter’s </w:t>
      </w:r>
      <w:r>
        <w:rPr>
          <w:rStyle w:val="8"/>
          <w:rFonts w:hint="eastAsia" w:ascii="Arial" w:hAnsi="Arial" w:eastAsia="宋体" w:cs="Arial"/>
          <w:b w:val="0"/>
          <w:bCs w:val="0"/>
          <w:lang w:val="en-US" w:eastAsia="zh-CN"/>
        </w:rPr>
        <w:t>d</w:t>
      </w:r>
      <w:r>
        <w:rPr>
          <w:rStyle w:val="8"/>
          <w:rFonts w:hint="default" w:ascii="Arial" w:hAnsi="Arial" w:cs="Arial"/>
          <w:b w:val="0"/>
          <w:bCs w:val="0"/>
        </w:rPr>
        <w:t xml:space="preserve">ifferentiation </w:t>
      </w:r>
      <w:r>
        <w:rPr>
          <w:rStyle w:val="8"/>
          <w:rFonts w:hint="eastAsia" w:ascii="Arial" w:hAnsi="Arial" w:eastAsia="宋体" w:cs="Arial"/>
          <w:b w:val="0"/>
          <w:bCs w:val="0"/>
          <w:lang w:val="en-US" w:eastAsia="zh-CN"/>
        </w:rPr>
        <w:t>s</w:t>
      </w:r>
      <w:r>
        <w:rPr>
          <w:rStyle w:val="8"/>
          <w:rFonts w:hint="default" w:ascii="Arial" w:hAnsi="Arial" w:cs="Arial"/>
          <w:b w:val="0"/>
          <w:bCs w:val="0"/>
        </w:rPr>
        <w:t>trategy</w:t>
      </w:r>
      <w:r>
        <w:rPr>
          <w:rFonts w:hint="default" w:ascii="Arial" w:hAnsi="Arial" w:cs="Arial"/>
          <w:b w:val="0"/>
          <w:bCs w:val="0"/>
        </w:rPr>
        <w:t xml:space="preserve">, offering premium, eco-friendly, and health-focused products. Growth strategies recommended through </w:t>
      </w:r>
      <w:r>
        <w:rPr>
          <w:rStyle w:val="8"/>
          <w:rFonts w:hint="default" w:ascii="Arial" w:hAnsi="Arial" w:cs="Arial"/>
          <w:b w:val="0"/>
          <w:bCs w:val="0"/>
        </w:rPr>
        <w:t>Ansoff’s Matrix</w:t>
      </w:r>
      <w:r>
        <w:rPr>
          <w:rFonts w:hint="default" w:ascii="Arial" w:hAnsi="Arial" w:cs="Arial"/>
          <w:b w:val="0"/>
          <w:bCs w:val="0"/>
        </w:rPr>
        <w:t xml:space="preserve"> include market penetration, development in emerging markets, product innovation, and diversification. Past M&amp;A activities like the acquisitions of Horlicks and The Vegetarian Butcher further support its growth.</w:t>
      </w:r>
    </w:p>
    <w:p w14:paraId="75B19664">
      <w:pPr>
        <w:pStyle w:val="5"/>
        <w:keepNext w:val="0"/>
        <w:keepLines w:val="0"/>
        <w:widowControl/>
        <w:suppressLineNumbers w:val="0"/>
        <w:spacing w:line="360" w:lineRule="auto"/>
        <w:jc w:val="both"/>
        <w:outlineLvl w:val="0"/>
        <w:rPr>
          <w:rFonts w:hint="default" w:ascii="Arial" w:hAnsi="Arial" w:cs="Arial"/>
          <w:b w:val="0"/>
          <w:bCs w:val="0"/>
        </w:rPr>
      </w:pPr>
      <w:bookmarkStart w:id="3" w:name="_Toc16243"/>
      <w:r>
        <w:rPr>
          <w:rFonts w:hint="default" w:ascii="Arial" w:hAnsi="Arial" w:cs="Arial"/>
          <w:b w:val="0"/>
          <w:bCs w:val="0"/>
        </w:rPr>
        <w:t>To enhance sustainability and competitiveness, recommendations include deepening circular economy initiatives, leveraging digital technologies for supply chain transparency, expanding plant-based offerings, and strengthening local partnerships. Overall, the report emphasizes the importance of integrating strategic management with sustainable business practices to ensure Unilever’s long-term success.</w:t>
      </w:r>
      <w:bookmarkEnd w:id="3"/>
    </w:p>
    <w:p w14:paraId="4DE6843C">
      <w:pPr>
        <w:keepNext w:val="0"/>
        <w:keepLines w:val="0"/>
        <w:widowControl/>
        <w:suppressLineNumbers w:val="0"/>
        <w:jc w:val="left"/>
        <w:outlineLvl w:val="0"/>
        <w:rPr>
          <w:rFonts w:hint="default" w:ascii="Arial" w:hAnsi="Arial" w:cs="Arial"/>
          <w:b/>
          <w:bCs/>
          <w:sz w:val="30"/>
          <w:szCs w:val="30"/>
        </w:rPr>
      </w:pPr>
      <w:bookmarkStart w:id="4" w:name="_Toc12747"/>
      <w:r>
        <w:rPr>
          <w:rFonts w:hint="default" w:ascii="Arial" w:hAnsi="Arial" w:eastAsia="宋体" w:cs="Arial"/>
          <w:b/>
          <w:bCs/>
          <w:color w:val="000000"/>
          <w:kern w:val="0"/>
          <w:sz w:val="30"/>
          <w:szCs w:val="30"/>
          <w:lang w:val="en-US" w:eastAsia="zh-CN" w:bidi="ar"/>
        </w:rPr>
        <w:t>1</w:t>
      </w:r>
      <w:r>
        <w:rPr>
          <w:rFonts w:hint="default" w:ascii="Arial" w:hAnsi="Arial" w:eastAsia="Arial-BoldMT" w:cs="Arial"/>
          <w:b/>
          <w:bCs/>
          <w:color w:val="000000"/>
          <w:kern w:val="0"/>
          <w:sz w:val="30"/>
          <w:szCs w:val="30"/>
          <w:lang w:val="en-US" w:eastAsia="zh-CN" w:bidi="ar"/>
        </w:rPr>
        <w:t>. Introduction</w:t>
      </w:r>
      <w:bookmarkEnd w:id="4"/>
    </w:p>
    <w:p w14:paraId="0B53FFAE">
      <w:p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 is a British-Dutch multinational consumer goods company specializing in food, beverages, personal care, and household products. Founded in 1929, it operates in over 190 countries, with a portfolio of more than 400 brands, including Dove, Knorr, Lipton, and Ben &amp; Jerry’s. As one of the world's largest </w:t>
      </w:r>
      <w:r>
        <w:rPr>
          <w:rFonts w:hint="eastAsia" w:ascii="Arial" w:hAnsi="Arial" w:eastAsia="宋体" w:cs="Arial"/>
          <w:b w:val="0"/>
          <w:bCs w:val="0"/>
          <w:sz w:val="24"/>
          <w:szCs w:val="24"/>
          <w:lang w:val="en-US" w:eastAsia="zh-CN"/>
        </w:rPr>
        <w:t>F</w:t>
      </w:r>
      <w:r>
        <w:rPr>
          <w:rFonts w:hint="default" w:ascii="Arial" w:hAnsi="Arial" w:eastAsia="宋体" w:cs="Arial"/>
          <w:b w:val="0"/>
          <w:bCs w:val="0"/>
          <w:sz w:val="24"/>
          <w:szCs w:val="24"/>
        </w:rPr>
        <w:t>ast-</w:t>
      </w:r>
      <w:r>
        <w:rPr>
          <w:rFonts w:hint="eastAsia"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oving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onsumer </w:t>
      </w:r>
      <w:r>
        <w:rPr>
          <w:rFonts w:hint="eastAsia" w:ascii="Arial" w:hAnsi="Arial" w:eastAsia="宋体" w:cs="Arial"/>
          <w:b w:val="0"/>
          <w:bCs w:val="0"/>
          <w:sz w:val="24"/>
          <w:szCs w:val="24"/>
          <w:lang w:val="en-US" w:eastAsia="zh-CN"/>
        </w:rPr>
        <w:t>G</w:t>
      </w:r>
      <w:r>
        <w:rPr>
          <w:rFonts w:hint="default" w:ascii="Arial" w:hAnsi="Arial" w:eastAsia="宋体" w:cs="Arial"/>
          <w:b w:val="0"/>
          <w:bCs w:val="0"/>
          <w:sz w:val="24"/>
          <w:szCs w:val="24"/>
        </w:rPr>
        <w:t>oods (FMCG) companies, Unilever serves billions of consumers globally and plays a significant role in shaping industry trends</w:t>
      </w:r>
      <w:r>
        <w:rPr>
          <w:rFonts w:hint="eastAsia" w:ascii="Arial" w:hAnsi="Arial" w:eastAsia="宋体" w:cs="Arial"/>
          <w:b w:val="0"/>
          <w:bCs w:val="0"/>
          <w:sz w:val="24"/>
          <w:szCs w:val="24"/>
          <w:lang w:val="en-US" w:eastAsia="zh-CN"/>
        </w:rPr>
        <w:t>(lieu et al,2021).</w:t>
      </w:r>
    </w:p>
    <w:p w14:paraId="454A5D8C">
      <w:p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 is crucial for strategic analysis due to its expansive global presence, diverse product portfolio, and commitment to sustainability. Economic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hallenges</w:t>
      </w:r>
      <w:r>
        <w:rPr>
          <w:rFonts w:hint="default" w:ascii="Arial" w:hAnsi="Arial" w:eastAsia="宋体" w:cs="Arial"/>
          <w:b w:val="0"/>
          <w:bCs w:val="0"/>
          <w:sz w:val="24"/>
          <w:szCs w:val="24"/>
          <w:lang w:val="en-US" w:eastAsia="zh-CN"/>
        </w:rPr>
        <w:t xml:space="preserve"> that </w:t>
      </w:r>
      <w:r>
        <w:rPr>
          <w:rFonts w:hint="default" w:ascii="Arial" w:hAnsi="Arial" w:eastAsia="宋体" w:cs="Arial"/>
          <w:b w:val="0"/>
          <w:bCs w:val="0"/>
          <w:sz w:val="24"/>
          <w:szCs w:val="24"/>
        </w:rPr>
        <w:t>Unilever</w:t>
      </w:r>
      <w:r>
        <w:rPr>
          <w:rFonts w:hint="default" w:ascii="Arial" w:hAnsi="Arial" w:eastAsia="宋体" w:cs="Arial"/>
          <w:b w:val="0"/>
          <w:bCs w:val="0"/>
          <w:sz w:val="24"/>
          <w:szCs w:val="24"/>
          <w:lang w:val="en-US" w:eastAsia="zh-CN"/>
        </w:rPr>
        <w:t xml:space="preserve"> faces include r</w:t>
      </w:r>
      <w:r>
        <w:rPr>
          <w:rFonts w:hint="default" w:ascii="Arial" w:hAnsi="Arial" w:eastAsia="宋体" w:cs="Arial"/>
          <w:b w:val="0"/>
          <w:bCs w:val="0"/>
          <w:sz w:val="24"/>
          <w:szCs w:val="24"/>
        </w:rPr>
        <w:t>ising costs of raw materials, energy, and logistics impact profit margins</w:t>
      </w:r>
      <w:r>
        <w:rPr>
          <w:rFonts w:hint="default" w:ascii="Arial" w:hAnsi="Arial" w:eastAsia="宋体" w:cs="Arial"/>
          <w:b w:val="0"/>
          <w:bCs w:val="0"/>
          <w:sz w:val="24"/>
          <w:szCs w:val="24"/>
          <w:lang w:val="en-US" w:eastAsia="zh-CN"/>
        </w:rPr>
        <w:t xml:space="preserve"> leads to i</w:t>
      </w:r>
      <w:r>
        <w:rPr>
          <w:rFonts w:hint="default" w:ascii="Arial" w:hAnsi="Arial" w:eastAsia="宋体" w:cs="Arial"/>
          <w:b w:val="0"/>
          <w:bCs w:val="0"/>
          <w:sz w:val="24"/>
          <w:szCs w:val="24"/>
        </w:rPr>
        <w:t xml:space="preserve">nflation and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ost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ressures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Global supply chain issues, including delays and shortages, affect production efficiency</w:t>
      </w:r>
      <w:r>
        <w:rPr>
          <w:rFonts w:hint="default" w:ascii="Arial" w:hAnsi="Arial" w:eastAsia="宋体" w:cs="Arial"/>
          <w:b w:val="0"/>
          <w:bCs w:val="0"/>
          <w:sz w:val="24"/>
          <w:szCs w:val="24"/>
          <w:lang w:val="en-US" w:eastAsia="zh-CN"/>
        </w:rPr>
        <w:t xml:space="preserve"> leads to s</w:t>
      </w:r>
      <w:r>
        <w:rPr>
          <w:rStyle w:val="8"/>
          <w:rFonts w:hint="default" w:ascii="Arial" w:hAnsi="Arial" w:eastAsia="宋体" w:cs="Arial"/>
          <w:b w:val="0"/>
          <w:bCs w:val="0"/>
          <w:sz w:val="24"/>
          <w:szCs w:val="24"/>
        </w:rPr>
        <w:t xml:space="preserve">upply </w:t>
      </w:r>
      <w:r>
        <w:rPr>
          <w:rStyle w:val="8"/>
          <w:rFonts w:hint="default" w:ascii="Arial" w:hAnsi="Arial" w:eastAsia="宋体" w:cs="Arial"/>
          <w:b w:val="0"/>
          <w:bCs w:val="0"/>
          <w:sz w:val="24"/>
          <w:szCs w:val="24"/>
          <w:lang w:val="en-US" w:eastAsia="zh-CN"/>
        </w:rPr>
        <w:t>c</w:t>
      </w:r>
      <w:r>
        <w:rPr>
          <w:rStyle w:val="8"/>
          <w:rFonts w:hint="default" w:ascii="Arial" w:hAnsi="Arial" w:eastAsia="宋体" w:cs="Arial"/>
          <w:b w:val="0"/>
          <w:bCs w:val="0"/>
          <w:sz w:val="24"/>
          <w:szCs w:val="24"/>
        </w:rPr>
        <w:t xml:space="preserve">hain </w:t>
      </w:r>
      <w:r>
        <w:rPr>
          <w:rStyle w:val="8"/>
          <w:rFonts w:hint="default" w:ascii="Arial" w:hAnsi="Arial" w:eastAsia="宋体" w:cs="Arial"/>
          <w:b w:val="0"/>
          <w:bCs w:val="0"/>
          <w:sz w:val="24"/>
          <w:szCs w:val="24"/>
          <w:lang w:val="en-US" w:eastAsia="zh-CN"/>
        </w:rPr>
        <w:t>d</w:t>
      </w:r>
      <w:r>
        <w:rPr>
          <w:rStyle w:val="8"/>
          <w:rFonts w:hint="default" w:ascii="Arial" w:hAnsi="Arial" w:eastAsia="宋体" w:cs="Arial"/>
          <w:b w:val="0"/>
          <w:bCs w:val="0"/>
          <w:sz w:val="24"/>
          <w:szCs w:val="24"/>
        </w:rPr>
        <w:t>isruptions</w:t>
      </w:r>
      <w:r>
        <w:rPr>
          <w:rStyle w:val="8"/>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Operating in multiple markets exposes Unilever to foreign exchange risks</w:t>
      </w:r>
      <w:r>
        <w:rPr>
          <w:rFonts w:hint="default" w:ascii="Arial" w:hAnsi="Arial" w:eastAsia="宋体" w:cs="Arial"/>
          <w:b w:val="0"/>
          <w:bCs w:val="0"/>
          <w:sz w:val="24"/>
          <w:szCs w:val="24"/>
          <w:lang w:val="en-US" w:eastAsia="zh-CN"/>
        </w:rPr>
        <w:t xml:space="preserve"> leads to c</w:t>
      </w:r>
      <w:r>
        <w:rPr>
          <w:rFonts w:hint="default" w:ascii="Arial" w:hAnsi="Arial" w:eastAsia="宋体" w:cs="Arial"/>
          <w:b w:val="0"/>
          <w:bCs w:val="0"/>
          <w:sz w:val="24"/>
          <w:szCs w:val="24"/>
        </w:rPr>
        <w:t xml:space="preserve">urrency </w:t>
      </w:r>
      <w:r>
        <w:rPr>
          <w:rFonts w:hint="default" w:ascii="Arial" w:hAnsi="Arial" w:eastAsia="宋体" w:cs="Arial"/>
          <w:b w:val="0"/>
          <w:bCs w:val="0"/>
          <w:sz w:val="24"/>
          <w:szCs w:val="24"/>
          <w:lang w:val="en-US" w:eastAsia="zh-CN"/>
        </w:rPr>
        <w:t>f</w:t>
      </w:r>
      <w:r>
        <w:rPr>
          <w:rFonts w:hint="default" w:ascii="Arial" w:hAnsi="Arial" w:eastAsia="宋体" w:cs="Arial"/>
          <w:b w:val="0"/>
          <w:bCs w:val="0"/>
          <w:sz w:val="24"/>
          <w:szCs w:val="24"/>
        </w:rPr>
        <w:t>luctuations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Iglesias</w:t>
      </w:r>
      <w:r>
        <w:rPr>
          <w:rFonts w:hint="eastAsia" w:ascii="Arial" w:hAnsi="Arial" w:eastAsia="宋体" w:cs="Arial"/>
          <w:i w:val="0"/>
          <w:iCs w:val="0"/>
          <w:caps w:val="0"/>
          <w:color w:val="222222"/>
          <w:spacing w:val="0"/>
          <w:sz w:val="24"/>
          <w:szCs w:val="24"/>
          <w:shd w:val="clear" w:fill="FFFFFF"/>
          <w:lang w:val="en-US" w:eastAsia="zh-CN"/>
        </w:rPr>
        <w:t xml:space="preserve"> et al,2023).</w:t>
      </w:r>
    </w:p>
    <w:p w14:paraId="5DA3F558">
      <w:pPr>
        <w:spacing w:line="36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Strategic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hallenges</w:t>
      </w:r>
      <w:r>
        <w:rPr>
          <w:rFonts w:hint="default" w:ascii="Arial" w:hAnsi="Arial" w:eastAsia="宋体" w:cs="Arial"/>
          <w:b w:val="0"/>
          <w:bCs w:val="0"/>
          <w:sz w:val="24"/>
          <w:szCs w:val="24"/>
          <w:lang w:val="en-US" w:eastAsia="zh-CN"/>
        </w:rPr>
        <w:t xml:space="preserve"> that </w:t>
      </w:r>
      <w:r>
        <w:rPr>
          <w:rFonts w:hint="default" w:ascii="Arial" w:hAnsi="Arial" w:eastAsia="宋体" w:cs="Arial"/>
          <w:b w:val="0"/>
          <w:bCs w:val="0"/>
          <w:sz w:val="24"/>
          <w:szCs w:val="24"/>
        </w:rPr>
        <w:t>Unilever</w:t>
      </w:r>
      <w:r>
        <w:rPr>
          <w:rFonts w:hint="default" w:ascii="Arial" w:hAnsi="Arial" w:eastAsia="宋体" w:cs="Arial"/>
          <w:b w:val="0"/>
          <w:bCs w:val="0"/>
          <w:sz w:val="24"/>
          <w:szCs w:val="24"/>
          <w:lang w:val="en-US" w:eastAsia="zh-CN"/>
        </w:rPr>
        <w:t xml:space="preserve"> faces include i</w:t>
      </w:r>
      <w:r>
        <w:rPr>
          <w:rFonts w:hint="default" w:ascii="Arial" w:hAnsi="Arial" w:eastAsia="宋体" w:cs="Arial"/>
          <w:b w:val="0"/>
          <w:bCs w:val="0"/>
          <w:sz w:val="24"/>
          <w:szCs w:val="24"/>
        </w:rPr>
        <w:t>ncreasing regulatory and consumer expectations for ethical sourcing and environmental impact</w:t>
      </w:r>
      <w:r>
        <w:rPr>
          <w:rFonts w:hint="default" w:ascii="Arial" w:hAnsi="Arial" w:eastAsia="宋体" w:cs="Arial"/>
          <w:b w:val="0"/>
          <w:bCs w:val="0"/>
          <w:sz w:val="24"/>
          <w:szCs w:val="24"/>
          <w:lang w:val="en-US" w:eastAsia="zh-CN"/>
        </w:rPr>
        <w:t xml:space="preserve"> cause c</w:t>
      </w:r>
      <w:r>
        <w:rPr>
          <w:rFonts w:hint="default" w:ascii="Arial" w:hAnsi="Arial" w:eastAsia="宋体" w:cs="Arial"/>
          <w:b w:val="0"/>
          <w:bCs w:val="0"/>
          <w:sz w:val="24"/>
          <w:szCs w:val="24"/>
        </w:rPr>
        <w:t>hallenge</w:t>
      </w:r>
      <w:r>
        <w:rPr>
          <w:rFonts w:hint="default" w:ascii="Arial" w:hAnsi="Arial" w:eastAsia="宋体" w:cs="Arial"/>
          <w:b w:val="0"/>
          <w:bCs w:val="0"/>
          <w:sz w:val="24"/>
          <w:szCs w:val="24"/>
          <w:lang w:val="en-US" w:eastAsia="zh-CN"/>
        </w:rPr>
        <w:t xml:space="preserve"> to s</w:t>
      </w:r>
      <w:r>
        <w:rPr>
          <w:rFonts w:hint="default" w:ascii="Arial" w:hAnsi="Arial" w:eastAsia="宋体" w:cs="Arial"/>
          <w:b w:val="0"/>
          <w:bCs w:val="0"/>
          <w:sz w:val="24"/>
          <w:szCs w:val="24"/>
        </w:rPr>
        <w:t xml:space="preserve">ustainability and ESG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ompliance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Shifting towards e-commerce and direct-to-consumer channels amid changing shopping habits</w:t>
      </w:r>
      <w:r>
        <w:rPr>
          <w:rFonts w:hint="default" w:ascii="Arial" w:hAnsi="Arial" w:eastAsia="宋体" w:cs="Arial"/>
          <w:b w:val="0"/>
          <w:bCs w:val="0"/>
          <w:sz w:val="24"/>
          <w:szCs w:val="24"/>
          <w:lang w:val="en-US" w:eastAsia="zh-CN"/>
        </w:rPr>
        <w:t xml:space="preserve"> cause c</w:t>
      </w:r>
      <w:r>
        <w:rPr>
          <w:rFonts w:hint="default" w:ascii="Arial" w:hAnsi="Arial" w:eastAsia="宋体" w:cs="Arial"/>
          <w:b w:val="0"/>
          <w:bCs w:val="0"/>
          <w:sz w:val="24"/>
          <w:szCs w:val="24"/>
        </w:rPr>
        <w:t>hallenge</w:t>
      </w:r>
      <w:r>
        <w:rPr>
          <w:rFonts w:hint="default" w:ascii="Arial" w:hAnsi="Arial" w:eastAsia="宋体" w:cs="Arial"/>
          <w:b w:val="0"/>
          <w:bCs w:val="0"/>
          <w:sz w:val="24"/>
          <w:szCs w:val="24"/>
          <w:lang w:val="en-US" w:eastAsia="zh-CN"/>
        </w:rPr>
        <w:t xml:space="preserve"> to d</w:t>
      </w:r>
      <w:r>
        <w:rPr>
          <w:rFonts w:hint="default" w:ascii="Arial" w:hAnsi="Arial" w:eastAsia="宋体" w:cs="Arial"/>
          <w:b w:val="0"/>
          <w:bCs w:val="0"/>
          <w:sz w:val="24"/>
          <w:szCs w:val="24"/>
        </w:rPr>
        <w:t xml:space="preserve">igital </w:t>
      </w:r>
      <w:r>
        <w:rPr>
          <w:rFonts w:hint="default" w:ascii="Arial" w:hAnsi="Arial" w:eastAsia="宋体" w:cs="Arial"/>
          <w:b w:val="0"/>
          <w:bCs w:val="0"/>
          <w:sz w:val="24"/>
          <w:szCs w:val="24"/>
          <w:lang w:val="en-US" w:eastAsia="zh-CN"/>
        </w:rPr>
        <w:t>t</w:t>
      </w:r>
      <w:r>
        <w:rPr>
          <w:rFonts w:hint="default" w:ascii="Arial" w:hAnsi="Arial" w:eastAsia="宋体" w:cs="Arial"/>
          <w:b w:val="0"/>
          <w:bCs w:val="0"/>
          <w:sz w:val="24"/>
          <w:szCs w:val="24"/>
        </w:rPr>
        <w:t>ransformation</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The d</w:t>
      </w:r>
      <w:r>
        <w:rPr>
          <w:rFonts w:hint="default" w:ascii="Arial" w:hAnsi="Arial" w:eastAsia="宋体" w:cs="Arial"/>
          <w:b w:val="0"/>
          <w:bCs w:val="0"/>
          <w:sz w:val="24"/>
          <w:szCs w:val="24"/>
        </w:rPr>
        <w:t>emand for healthier, organic, and eco-friendly products requires continuous innovation</w:t>
      </w:r>
      <w:r>
        <w:rPr>
          <w:rFonts w:hint="default" w:ascii="Arial" w:hAnsi="Arial" w:eastAsia="宋体" w:cs="Arial"/>
          <w:b w:val="0"/>
          <w:bCs w:val="0"/>
          <w:sz w:val="24"/>
          <w:szCs w:val="24"/>
          <w:lang w:val="en-US" w:eastAsia="zh-CN"/>
        </w:rPr>
        <w:t xml:space="preserve"> cause c</w:t>
      </w:r>
      <w:r>
        <w:rPr>
          <w:rFonts w:hint="default" w:ascii="Arial" w:hAnsi="Arial" w:eastAsia="宋体" w:cs="Arial"/>
          <w:b w:val="0"/>
          <w:bCs w:val="0"/>
          <w:sz w:val="24"/>
          <w:szCs w:val="24"/>
        </w:rPr>
        <w:t>hallenge</w:t>
      </w:r>
      <w:r>
        <w:rPr>
          <w:rFonts w:hint="default" w:ascii="Arial" w:hAnsi="Arial" w:eastAsia="宋体" w:cs="Arial"/>
          <w:b w:val="0"/>
          <w:bCs w:val="0"/>
          <w:sz w:val="24"/>
          <w:szCs w:val="24"/>
          <w:lang w:val="en-US" w:eastAsia="zh-CN"/>
        </w:rPr>
        <w:t xml:space="preserve"> to e</w:t>
      </w:r>
      <w:r>
        <w:rPr>
          <w:rFonts w:hint="default" w:ascii="Arial" w:hAnsi="Arial" w:eastAsia="宋体" w:cs="Arial"/>
          <w:b w:val="0"/>
          <w:bCs w:val="0"/>
          <w:sz w:val="24"/>
          <w:szCs w:val="24"/>
        </w:rPr>
        <w:t>volv</w:t>
      </w:r>
      <w:r>
        <w:rPr>
          <w:rFonts w:hint="default" w:ascii="Arial" w:hAnsi="Arial" w:eastAsia="宋体" w:cs="Arial"/>
          <w:b w:val="0"/>
          <w:bCs w:val="0"/>
          <w:sz w:val="24"/>
          <w:szCs w:val="24"/>
          <w:lang w:val="en-US" w:eastAsia="zh-CN"/>
        </w:rPr>
        <w:t>es</w:t>
      </w:r>
      <w:r>
        <w:rPr>
          <w:rFonts w:hint="default" w:ascii="Arial" w:hAnsi="Arial" w:eastAsia="宋体" w:cs="Arial"/>
          <w:b w:val="0"/>
          <w:bCs w:val="0"/>
          <w:sz w:val="24"/>
          <w:szCs w:val="24"/>
        </w:rPr>
        <w:t xml:space="preserve">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onsumer</w:t>
      </w:r>
      <w:r>
        <w:rPr>
          <w:rFonts w:hint="default" w:ascii="Arial" w:hAnsi="Arial" w:eastAsia="宋体" w:cs="Arial"/>
          <w:b w:val="0"/>
          <w:bCs w:val="0"/>
          <w:sz w:val="24"/>
          <w:szCs w:val="24"/>
          <w:lang w:val="en-US" w:eastAsia="zh-CN"/>
        </w:rPr>
        <w:t>s’p</w:t>
      </w:r>
      <w:r>
        <w:rPr>
          <w:rFonts w:hint="default" w:ascii="Arial" w:hAnsi="Arial" w:eastAsia="宋体" w:cs="Arial"/>
          <w:b w:val="0"/>
          <w:bCs w:val="0"/>
          <w:sz w:val="24"/>
          <w:szCs w:val="24"/>
        </w:rPr>
        <w:t>references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Growing pressure from global competitors and private-label brands challenges market share</w:t>
      </w:r>
      <w:r>
        <w:rPr>
          <w:rFonts w:hint="default" w:ascii="Arial" w:hAnsi="Arial" w:eastAsia="宋体" w:cs="Arial"/>
          <w:b w:val="0"/>
          <w:bCs w:val="0"/>
          <w:sz w:val="24"/>
          <w:szCs w:val="24"/>
          <w:lang w:val="en-US" w:eastAsia="zh-CN"/>
        </w:rPr>
        <w:t xml:space="preserve"> leads to i</w:t>
      </w:r>
      <w:r>
        <w:rPr>
          <w:rFonts w:hint="default" w:ascii="Arial" w:hAnsi="Arial" w:eastAsia="宋体" w:cs="Arial"/>
          <w:b w:val="0"/>
          <w:bCs w:val="0"/>
          <w:sz w:val="24"/>
          <w:szCs w:val="24"/>
        </w:rPr>
        <w:t>ntens</w:t>
      </w:r>
      <w:r>
        <w:rPr>
          <w:rFonts w:hint="default"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ompetition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Tien,</w:t>
      </w:r>
      <w:r>
        <w:rPr>
          <w:rFonts w:hint="eastAsia" w:ascii="Arial" w:hAnsi="Arial" w:eastAsia="宋体" w:cs="Arial"/>
          <w:i w:val="0"/>
          <w:iCs w:val="0"/>
          <w:caps w:val="0"/>
          <w:color w:val="222222"/>
          <w:spacing w:val="0"/>
          <w:sz w:val="24"/>
          <w:szCs w:val="24"/>
          <w:shd w:val="clear" w:fill="FFFFFF"/>
          <w:lang w:val="en-US" w:eastAsia="zh-CN"/>
        </w:rPr>
        <w:t>2019).</w:t>
      </w:r>
    </w:p>
    <w:p w14:paraId="2AD62E50">
      <w:pPr>
        <w:keepNext w:val="0"/>
        <w:keepLines w:val="0"/>
        <w:widowControl/>
        <w:numPr>
          <w:numId w:val="0"/>
        </w:numPr>
        <w:suppressLineNumbers w:val="0"/>
        <w:jc w:val="left"/>
        <w:outlineLvl w:val="0"/>
        <w:rPr>
          <w:rFonts w:ascii="Arial-BoldMT" w:hAnsi="Arial-BoldMT" w:eastAsia="Arial-BoldMT" w:cs="Arial-BoldMT"/>
          <w:b/>
          <w:bCs/>
          <w:color w:val="000000"/>
          <w:kern w:val="0"/>
          <w:sz w:val="24"/>
          <w:szCs w:val="24"/>
          <w:lang w:val="en-US" w:eastAsia="zh-CN" w:bidi="ar"/>
        </w:rPr>
      </w:pPr>
      <w:bookmarkStart w:id="5" w:name="_Toc24653"/>
      <w:r>
        <w:rPr>
          <w:rFonts w:hint="eastAsia" w:ascii="Arial" w:hAnsi="Arial" w:eastAsia="Arial-BoldMT" w:cs="Arial"/>
          <w:b/>
          <w:bCs/>
          <w:color w:val="000000"/>
          <w:kern w:val="0"/>
          <w:sz w:val="30"/>
          <w:szCs w:val="30"/>
          <w:lang w:val="en-US" w:eastAsia="zh-CN" w:bidi="ar"/>
        </w:rPr>
        <w:t>2.</w:t>
      </w:r>
      <w:r>
        <w:rPr>
          <w:rFonts w:hint="default" w:ascii="Arial" w:hAnsi="Arial" w:eastAsia="Arial-BoldMT" w:cs="Arial"/>
          <w:b/>
          <w:bCs/>
          <w:color w:val="000000"/>
          <w:kern w:val="0"/>
          <w:sz w:val="30"/>
          <w:szCs w:val="30"/>
          <w:lang w:val="en-US" w:eastAsia="zh-CN" w:bidi="ar"/>
        </w:rPr>
        <w:t>External Analysis</w:t>
      </w:r>
      <w:bookmarkEnd w:id="5"/>
      <w:r>
        <w:rPr>
          <w:rFonts w:hint="default" w:ascii="Arial" w:hAnsi="Arial" w:eastAsia="Arial-BoldMT" w:cs="Arial"/>
          <w:b/>
          <w:bCs/>
          <w:color w:val="000000"/>
          <w:kern w:val="0"/>
          <w:sz w:val="30"/>
          <w:szCs w:val="30"/>
          <w:lang w:val="en-US" w:eastAsia="zh-CN" w:bidi="ar"/>
        </w:rPr>
        <w:t xml:space="preserve"> </w:t>
      </w:r>
      <w:r>
        <w:rPr>
          <w:rFonts w:ascii="Arial-BoldMT" w:hAnsi="Arial-BoldMT" w:eastAsia="Arial-BoldMT" w:cs="Arial-BoldMT"/>
          <w:b/>
          <w:bCs/>
          <w:color w:val="000000"/>
          <w:kern w:val="0"/>
          <w:sz w:val="24"/>
          <w:szCs w:val="24"/>
          <w:lang w:val="en-US" w:eastAsia="zh-CN" w:bidi="ar"/>
        </w:rPr>
        <w:t xml:space="preserve"> </w:t>
      </w:r>
    </w:p>
    <w:p w14:paraId="1E40DA8B">
      <w:pPr>
        <w:keepNext w:val="0"/>
        <w:keepLines w:val="0"/>
        <w:widowControl/>
        <w:numPr>
          <w:ilvl w:val="1"/>
          <w:numId w:val="1"/>
        </w:numPr>
        <w:suppressLineNumbers w:val="0"/>
        <w:jc w:val="both"/>
        <w:outlineLvl w:val="1"/>
        <w:rPr>
          <w:rFonts w:hint="default" w:ascii="Arial" w:hAnsi="Arial" w:eastAsia="Arial-BoldMT" w:cs="Arial"/>
          <w:b/>
          <w:bCs/>
          <w:color w:val="000000"/>
          <w:kern w:val="0"/>
          <w:sz w:val="28"/>
          <w:szCs w:val="28"/>
          <w:lang w:val="en-US" w:eastAsia="zh-CN" w:bidi="ar"/>
        </w:rPr>
      </w:pPr>
      <w:bookmarkStart w:id="6" w:name="_Toc21013"/>
      <w:r>
        <w:rPr>
          <w:rFonts w:hint="default" w:ascii="Arial" w:hAnsi="Arial" w:eastAsia="宋体" w:cs="Arial"/>
          <w:b/>
          <w:bCs/>
          <w:color w:val="000000"/>
          <w:kern w:val="0"/>
          <w:sz w:val="28"/>
          <w:szCs w:val="28"/>
          <w:lang w:val="en-US" w:eastAsia="zh-CN" w:bidi="ar"/>
        </w:rPr>
        <w:t xml:space="preserve">PESTEL Analysis on </w:t>
      </w:r>
      <w:r>
        <w:rPr>
          <w:rFonts w:hint="default" w:ascii="Arial" w:hAnsi="Arial" w:eastAsia="Arial-BoldMT" w:cs="Arial"/>
          <w:b/>
          <w:bCs/>
          <w:color w:val="000000"/>
          <w:kern w:val="0"/>
          <w:sz w:val="28"/>
          <w:szCs w:val="28"/>
          <w:lang w:val="en-US" w:eastAsia="zh-CN" w:bidi="ar"/>
        </w:rPr>
        <w:t>Fast-Moving Consumer Goods (FMCG)</w:t>
      </w:r>
      <w:bookmarkEnd w:id="6"/>
    </w:p>
    <w:p w14:paraId="13EC642F">
      <w:pPr>
        <w:keepNext w:val="0"/>
        <w:keepLines w:val="0"/>
        <w:widowControl/>
        <w:numPr>
          <w:ilvl w:val="2"/>
          <w:numId w:val="1"/>
        </w:numPr>
        <w:suppressLineNumbers w:val="0"/>
        <w:ind w:left="0" w:leftChars="0" w:firstLine="0" w:firstLineChars="0"/>
        <w:jc w:val="left"/>
        <w:outlineLvl w:val="2"/>
        <w:rPr>
          <w:rFonts w:hint="default" w:ascii="Arial" w:hAnsi="Arial" w:eastAsia="宋体" w:cs="Arial"/>
          <w:b/>
          <w:bCs/>
          <w:sz w:val="24"/>
          <w:szCs w:val="24"/>
        </w:rPr>
      </w:pPr>
      <w:bookmarkStart w:id="7" w:name="_Toc6910"/>
      <w:r>
        <w:rPr>
          <w:rFonts w:hint="default" w:ascii="Arial" w:hAnsi="Arial" w:eastAsia="宋体" w:cs="Arial"/>
          <w:b/>
          <w:bCs/>
          <w:sz w:val="24"/>
          <w:szCs w:val="24"/>
        </w:rPr>
        <w:t>Political Factors</w:t>
      </w:r>
      <w:bookmarkEnd w:id="7"/>
    </w:p>
    <w:p w14:paraId="2B09C57F">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For r</w:t>
      </w:r>
      <w:r>
        <w:rPr>
          <w:rFonts w:hint="default" w:ascii="Arial" w:hAnsi="Arial" w:eastAsia="宋体" w:cs="Arial"/>
          <w:b w:val="0"/>
          <w:bCs w:val="0"/>
          <w:sz w:val="24"/>
          <w:szCs w:val="24"/>
        </w:rPr>
        <w:t xml:space="preserve">egulatory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olicies</w:t>
      </w:r>
      <w:r>
        <w:rPr>
          <w:rFonts w:hint="default" w:ascii="Arial" w:hAnsi="Arial" w:eastAsia="宋体" w:cs="Arial"/>
          <w:b w:val="0"/>
          <w:bCs w:val="0"/>
          <w:sz w:val="24"/>
          <w:szCs w:val="24"/>
          <w:lang w:val="en-US" w:eastAsia="zh-CN"/>
        </w:rPr>
        <w:t>,g</w:t>
      </w:r>
      <w:r>
        <w:rPr>
          <w:rFonts w:hint="default" w:ascii="Arial" w:hAnsi="Arial" w:eastAsia="宋体" w:cs="Arial"/>
          <w:b w:val="0"/>
          <w:bCs w:val="0"/>
          <w:sz w:val="24"/>
          <w:szCs w:val="24"/>
        </w:rPr>
        <w:t>overnments impose regulations on product safety, advertising, and labeling (e.g.,FDA regulations in the U.S).</w:t>
      </w:r>
      <w:r>
        <w:rPr>
          <w:rFonts w:hint="default" w:ascii="Arial" w:hAnsi="Arial" w:eastAsia="宋体" w:cs="Arial"/>
          <w:b w:val="0"/>
          <w:bCs w:val="0"/>
          <w:sz w:val="24"/>
          <w:szCs w:val="24"/>
          <w:lang w:val="en-US" w:eastAsia="zh-CN"/>
        </w:rPr>
        <w:t>For t</w:t>
      </w:r>
      <w:r>
        <w:rPr>
          <w:rFonts w:hint="default" w:ascii="Arial" w:hAnsi="Arial" w:eastAsia="宋体" w:cs="Arial"/>
          <w:b w:val="0"/>
          <w:bCs w:val="0"/>
          <w:sz w:val="24"/>
          <w:szCs w:val="24"/>
        </w:rPr>
        <w:t xml:space="preserve">rade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olicies and </w:t>
      </w:r>
      <w:r>
        <w:rPr>
          <w:rFonts w:hint="default" w:ascii="Arial" w:hAnsi="Arial" w:eastAsia="宋体" w:cs="Arial"/>
          <w:b w:val="0"/>
          <w:bCs w:val="0"/>
          <w:sz w:val="24"/>
          <w:szCs w:val="24"/>
          <w:lang w:val="en-US" w:eastAsia="zh-CN"/>
        </w:rPr>
        <w:t>t</w:t>
      </w:r>
      <w:r>
        <w:rPr>
          <w:rFonts w:hint="default" w:ascii="Arial" w:hAnsi="Arial" w:eastAsia="宋体" w:cs="Arial"/>
          <w:b w:val="0"/>
          <w:bCs w:val="0"/>
          <w:sz w:val="24"/>
          <w:szCs w:val="24"/>
        </w:rPr>
        <w:t>ariffs</w:t>
      </w:r>
      <w:r>
        <w:rPr>
          <w:rFonts w:hint="default" w:ascii="Arial" w:hAnsi="Arial" w:eastAsia="宋体" w:cs="Arial"/>
          <w:b w:val="0"/>
          <w:bCs w:val="0"/>
          <w:sz w:val="24"/>
          <w:szCs w:val="24"/>
          <w:lang w:val="en-US" w:eastAsia="zh-CN"/>
        </w:rPr>
        <w:t>,i</w:t>
      </w:r>
      <w:r>
        <w:rPr>
          <w:rFonts w:hint="default" w:ascii="Arial" w:hAnsi="Arial" w:eastAsia="宋体" w:cs="Arial"/>
          <w:b w:val="0"/>
          <w:bCs w:val="0"/>
          <w:sz w:val="24"/>
          <w:szCs w:val="24"/>
        </w:rPr>
        <w:t>nternational trade restrictions, tariffs, and import</w:t>
      </w:r>
      <w:r>
        <w:rPr>
          <w:rFonts w:hint="eastAsia" w:ascii="Arial" w:hAnsi="Arial" w:eastAsia="宋体" w:cs="Arial"/>
          <w:b w:val="0"/>
          <w:bCs w:val="0"/>
          <w:sz w:val="24"/>
          <w:szCs w:val="24"/>
          <w:lang w:val="en-US" w:eastAsia="zh-CN"/>
        </w:rPr>
        <w:t xml:space="preserve"> or </w:t>
      </w:r>
      <w:r>
        <w:rPr>
          <w:rFonts w:hint="default" w:ascii="Arial" w:hAnsi="Arial" w:eastAsia="宋体" w:cs="Arial"/>
          <w:b w:val="0"/>
          <w:bCs w:val="0"/>
          <w:sz w:val="24"/>
          <w:szCs w:val="24"/>
        </w:rPr>
        <w:t>export regulations impact supply chains.</w:t>
      </w:r>
      <w:r>
        <w:rPr>
          <w:rFonts w:hint="default" w:ascii="Arial" w:hAnsi="Arial" w:eastAsia="宋体" w:cs="Arial"/>
          <w:b w:val="0"/>
          <w:bCs w:val="0"/>
          <w:sz w:val="24"/>
          <w:szCs w:val="24"/>
          <w:lang w:val="en-US" w:eastAsia="zh-CN"/>
        </w:rPr>
        <w:t>For g</w:t>
      </w:r>
      <w:r>
        <w:rPr>
          <w:rFonts w:hint="default" w:ascii="Arial" w:hAnsi="Arial" w:eastAsia="宋体" w:cs="Arial"/>
          <w:b w:val="0"/>
          <w:bCs w:val="0"/>
          <w:sz w:val="24"/>
          <w:szCs w:val="24"/>
        </w:rPr>
        <w:t xml:space="preserve">overnment </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tability</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olitical instability in key markets can disrupt operations and investment decisions.</w:t>
      </w:r>
      <w:r>
        <w:rPr>
          <w:rFonts w:hint="default" w:ascii="Arial" w:hAnsi="Arial" w:eastAsia="宋体" w:cs="Arial"/>
          <w:b w:val="0"/>
          <w:bCs w:val="0"/>
          <w:sz w:val="24"/>
          <w:szCs w:val="24"/>
          <w:lang w:val="en-US" w:eastAsia="zh-CN"/>
        </w:rPr>
        <w:t>For t</w:t>
      </w:r>
      <w:r>
        <w:rPr>
          <w:rFonts w:hint="default" w:ascii="Arial" w:hAnsi="Arial" w:eastAsia="宋体" w:cs="Arial"/>
          <w:b w:val="0"/>
          <w:bCs w:val="0"/>
          <w:sz w:val="24"/>
          <w:szCs w:val="24"/>
        </w:rPr>
        <w:t xml:space="preserve">axation and </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ubsidies</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hanges in corporate tax rates or government incentives affect FMCG pricing and profitability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Reza</w:t>
      </w:r>
      <w:r>
        <w:rPr>
          <w:rFonts w:hint="eastAsia" w:ascii="Arial" w:hAnsi="Arial" w:eastAsia="宋体" w:cs="Arial"/>
          <w:i w:val="0"/>
          <w:iCs w:val="0"/>
          <w:caps w:val="0"/>
          <w:color w:val="222222"/>
          <w:spacing w:val="0"/>
          <w:sz w:val="24"/>
          <w:szCs w:val="24"/>
          <w:shd w:val="clear" w:fill="FFFFFF"/>
          <w:lang w:val="en-US" w:eastAsia="zh-CN"/>
        </w:rPr>
        <w:t>,2020).</w:t>
      </w:r>
    </w:p>
    <w:p w14:paraId="59A30978">
      <w:pPr>
        <w:keepNext w:val="0"/>
        <w:keepLines w:val="0"/>
        <w:widowControl/>
        <w:numPr>
          <w:ilvl w:val="2"/>
          <w:numId w:val="1"/>
        </w:numPr>
        <w:suppressLineNumbers w:val="0"/>
        <w:ind w:left="0" w:leftChars="0" w:firstLine="0" w:firstLineChars="0"/>
        <w:jc w:val="left"/>
        <w:outlineLvl w:val="2"/>
        <w:rPr>
          <w:rFonts w:hint="default" w:ascii="Arial" w:hAnsi="Arial" w:eastAsia="宋体" w:cs="Arial"/>
          <w:b/>
          <w:bCs/>
          <w:sz w:val="24"/>
          <w:szCs w:val="24"/>
        </w:rPr>
      </w:pPr>
      <w:bookmarkStart w:id="8" w:name="_Toc25330"/>
      <w:r>
        <w:rPr>
          <w:rFonts w:hint="default" w:ascii="Arial" w:hAnsi="Arial" w:eastAsia="宋体" w:cs="Arial"/>
          <w:b/>
          <w:bCs/>
          <w:sz w:val="24"/>
          <w:szCs w:val="24"/>
        </w:rPr>
        <w:t>Economic Factors</w:t>
      </w:r>
      <w:bookmarkEnd w:id="8"/>
    </w:p>
    <w:p w14:paraId="0D61DE42">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rPr>
        <w:t>Rising costs of raw materials, energy, and transportation affect profit margins</w:t>
      </w:r>
      <w:r>
        <w:rPr>
          <w:rFonts w:hint="default" w:ascii="Arial" w:hAnsi="Arial" w:eastAsia="宋体" w:cs="Arial"/>
          <w:sz w:val="24"/>
          <w:szCs w:val="24"/>
          <w:lang w:val="en-US" w:eastAsia="zh-CN"/>
        </w:rPr>
        <w:t>,it means i</w:t>
      </w:r>
      <w:r>
        <w:rPr>
          <w:rFonts w:hint="default" w:ascii="Arial" w:hAnsi="Arial" w:eastAsia="宋体" w:cs="Arial"/>
          <w:sz w:val="24"/>
          <w:szCs w:val="24"/>
        </w:rPr>
        <w:t xml:space="preserve">nflation and </w:t>
      </w:r>
      <w:r>
        <w:rPr>
          <w:rFonts w:hint="default" w:ascii="Arial" w:hAnsi="Arial" w:eastAsia="宋体" w:cs="Arial"/>
          <w:sz w:val="24"/>
          <w:szCs w:val="24"/>
          <w:lang w:val="en-US" w:eastAsia="zh-CN"/>
        </w:rPr>
        <w:t>c</w:t>
      </w:r>
      <w:r>
        <w:rPr>
          <w:rFonts w:hint="default" w:ascii="Arial" w:hAnsi="Arial" w:eastAsia="宋体" w:cs="Arial"/>
          <w:sz w:val="24"/>
          <w:szCs w:val="24"/>
        </w:rPr>
        <w:t xml:space="preserve">ost </w:t>
      </w:r>
      <w:r>
        <w:rPr>
          <w:rFonts w:hint="default" w:ascii="Arial" w:hAnsi="Arial" w:eastAsia="宋体" w:cs="Arial"/>
          <w:sz w:val="24"/>
          <w:szCs w:val="24"/>
          <w:lang w:val="en-US" w:eastAsia="zh-CN"/>
        </w:rPr>
        <w:t>p</w:t>
      </w:r>
      <w:r>
        <w:rPr>
          <w:rFonts w:hint="default" w:ascii="Arial" w:hAnsi="Arial" w:eastAsia="宋体" w:cs="Arial"/>
          <w:sz w:val="24"/>
          <w:szCs w:val="24"/>
        </w:rPr>
        <w:t>ressures</w:t>
      </w:r>
      <w:r>
        <w:rPr>
          <w:rFonts w:hint="default" w:ascii="Arial" w:hAnsi="Arial" w:eastAsia="宋体" w:cs="Arial"/>
          <w:sz w:val="24"/>
          <w:szCs w:val="24"/>
          <w:lang w:val="en-US" w:eastAsia="zh-CN"/>
        </w:rPr>
        <w:t>.</w:t>
      </w:r>
      <w:r>
        <w:rPr>
          <w:rFonts w:hint="default" w:ascii="Arial" w:hAnsi="Arial" w:eastAsia="宋体" w:cs="Arial"/>
          <w:sz w:val="24"/>
          <w:szCs w:val="24"/>
        </w:rPr>
        <w:t>Multinational FMCG firms face currency risks impacting pricing and revenues</w:t>
      </w:r>
      <w:r>
        <w:rPr>
          <w:rFonts w:hint="default" w:ascii="Arial" w:hAnsi="Arial" w:eastAsia="宋体" w:cs="Arial"/>
          <w:sz w:val="24"/>
          <w:szCs w:val="24"/>
          <w:lang w:val="en-US" w:eastAsia="zh-CN"/>
        </w:rPr>
        <w:t>.</w:t>
      </w:r>
      <w:r>
        <w:rPr>
          <w:rFonts w:hint="default" w:ascii="Arial" w:hAnsi="Arial" w:eastAsia="宋体" w:cs="Arial"/>
          <w:sz w:val="24"/>
          <w:szCs w:val="24"/>
        </w:rPr>
        <w:t>Economic downturns reduce disposable income, affecting demand for premium FMCG products</w:t>
      </w:r>
      <w:r>
        <w:rPr>
          <w:rFonts w:hint="default" w:ascii="Arial" w:hAnsi="Arial" w:eastAsia="宋体" w:cs="Arial"/>
          <w:sz w:val="24"/>
          <w:szCs w:val="24"/>
          <w:lang w:val="en-US" w:eastAsia="zh-CN"/>
        </w:rPr>
        <w:t>.For i</w:t>
      </w:r>
      <w:r>
        <w:rPr>
          <w:rFonts w:hint="default" w:ascii="Arial" w:hAnsi="Arial" w:eastAsia="宋体" w:cs="Arial"/>
          <w:sz w:val="24"/>
          <w:szCs w:val="24"/>
        </w:rPr>
        <w:t xml:space="preserve">nterest </w:t>
      </w:r>
      <w:r>
        <w:rPr>
          <w:rFonts w:hint="default" w:ascii="Arial" w:hAnsi="Arial" w:eastAsia="宋体" w:cs="Arial"/>
          <w:sz w:val="24"/>
          <w:szCs w:val="24"/>
          <w:lang w:val="en-US" w:eastAsia="zh-CN"/>
        </w:rPr>
        <w:t>r</w:t>
      </w:r>
      <w:r>
        <w:rPr>
          <w:rFonts w:hint="default" w:ascii="Arial" w:hAnsi="Arial" w:eastAsia="宋体" w:cs="Arial"/>
          <w:sz w:val="24"/>
          <w:szCs w:val="24"/>
        </w:rPr>
        <w:t>ates</w:t>
      </w:r>
      <w:r>
        <w:rPr>
          <w:rFonts w:hint="default" w:ascii="Arial" w:hAnsi="Arial" w:eastAsia="宋体" w:cs="Arial"/>
          <w:sz w:val="24"/>
          <w:szCs w:val="24"/>
          <w:lang w:val="en-US" w:eastAsia="zh-CN"/>
        </w:rPr>
        <w:t>,h</w:t>
      </w:r>
      <w:r>
        <w:rPr>
          <w:rFonts w:hint="default" w:ascii="Arial" w:hAnsi="Arial" w:eastAsia="宋体" w:cs="Arial"/>
          <w:sz w:val="24"/>
          <w:szCs w:val="24"/>
        </w:rPr>
        <w:t>igh-interest rates may limit consumer spending and increase borrowing costs for companies</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Chandra</w:t>
      </w:r>
      <w:r>
        <w:rPr>
          <w:rFonts w:hint="eastAsia" w:ascii="Arial" w:hAnsi="Arial" w:eastAsia="宋体" w:cs="Arial"/>
          <w:i w:val="0"/>
          <w:iCs w:val="0"/>
          <w:caps w:val="0"/>
          <w:color w:val="222222"/>
          <w:spacing w:val="0"/>
          <w:sz w:val="24"/>
          <w:szCs w:val="24"/>
          <w:shd w:val="clear" w:fill="FFFFFF"/>
          <w:lang w:val="en-US" w:eastAsia="zh-CN"/>
        </w:rPr>
        <w:t xml:space="preserve"> and </w:t>
      </w:r>
      <w:r>
        <w:rPr>
          <w:rFonts w:ascii="Arial" w:hAnsi="Arial" w:eastAsia="宋体" w:cs="Arial"/>
          <w:i w:val="0"/>
          <w:iCs w:val="0"/>
          <w:caps w:val="0"/>
          <w:color w:val="222222"/>
          <w:spacing w:val="0"/>
          <w:sz w:val="24"/>
          <w:szCs w:val="24"/>
          <w:shd w:val="clear" w:fill="FFFFFF"/>
        </w:rPr>
        <w:t>Jatmika,2022</w:t>
      </w:r>
      <w:r>
        <w:rPr>
          <w:rFonts w:hint="eastAsia" w:ascii="Arial" w:hAnsi="Arial" w:eastAsia="宋体" w:cs="Arial"/>
          <w:i w:val="0"/>
          <w:iCs w:val="0"/>
          <w:caps w:val="0"/>
          <w:color w:val="222222"/>
          <w:spacing w:val="0"/>
          <w:sz w:val="24"/>
          <w:szCs w:val="24"/>
          <w:shd w:val="clear" w:fill="FFFFFF"/>
          <w:lang w:val="en-US" w:eastAsia="zh-CN"/>
        </w:rPr>
        <w:t>).</w:t>
      </w:r>
    </w:p>
    <w:p w14:paraId="0CD9AB29">
      <w:pPr>
        <w:keepNext w:val="0"/>
        <w:keepLines w:val="0"/>
        <w:widowControl/>
        <w:numPr>
          <w:ilvl w:val="2"/>
          <w:numId w:val="1"/>
        </w:numPr>
        <w:suppressLineNumbers w:val="0"/>
        <w:ind w:left="0" w:leftChars="0" w:firstLine="0" w:firstLineChars="0"/>
        <w:jc w:val="left"/>
        <w:outlineLvl w:val="2"/>
        <w:rPr>
          <w:rFonts w:hint="default" w:ascii="Arial" w:hAnsi="Arial" w:eastAsia="宋体" w:cs="Arial"/>
          <w:b/>
          <w:bCs/>
          <w:sz w:val="24"/>
          <w:szCs w:val="24"/>
        </w:rPr>
      </w:pPr>
      <w:bookmarkStart w:id="9" w:name="_Toc27323"/>
      <w:r>
        <w:rPr>
          <w:rFonts w:hint="default" w:ascii="Arial" w:hAnsi="Arial" w:eastAsia="宋体" w:cs="Arial"/>
          <w:b/>
          <w:bCs/>
          <w:sz w:val="24"/>
          <w:szCs w:val="24"/>
        </w:rPr>
        <w:t>Social Factors</w:t>
      </w:r>
      <w:bookmarkEnd w:id="9"/>
    </w:p>
    <w:p w14:paraId="069DC3B6">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For c</w:t>
      </w:r>
      <w:r>
        <w:rPr>
          <w:rFonts w:hint="default" w:ascii="Arial" w:hAnsi="Arial" w:eastAsia="宋体" w:cs="Arial"/>
          <w:sz w:val="24"/>
          <w:szCs w:val="24"/>
        </w:rPr>
        <w:t xml:space="preserve">hanging </w:t>
      </w:r>
      <w:r>
        <w:rPr>
          <w:rFonts w:hint="default" w:ascii="Arial" w:hAnsi="Arial" w:eastAsia="宋体" w:cs="Arial"/>
          <w:sz w:val="24"/>
          <w:szCs w:val="24"/>
          <w:lang w:val="en-US" w:eastAsia="zh-CN"/>
        </w:rPr>
        <w:t>c</w:t>
      </w:r>
      <w:r>
        <w:rPr>
          <w:rFonts w:hint="default" w:ascii="Arial" w:hAnsi="Arial" w:eastAsia="宋体" w:cs="Arial"/>
          <w:sz w:val="24"/>
          <w:szCs w:val="24"/>
        </w:rPr>
        <w:t xml:space="preserve">onsumer </w:t>
      </w:r>
      <w:r>
        <w:rPr>
          <w:rFonts w:hint="default" w:ascii="Arial" w:hAnsi="Arial" w:eastAsia="宋体" w:cs="Arial"/>
          <w:sz w:val="24"/>
          <w:szCs w:val="24"/>
          <w:lang w:val="en-US" w:eastAsia="zh-CN"/>
        </w:rPr>
        <w:t>p</w:t>
      </w:r>
      <w:r>
        <w:rPr>
          <w:rFonts w:hint="default" w:ascii="Arial" w:hAnsi="Arial" w:eastAsia="宋体" w:cs="Arial"/>
          <w:sz w:val="24"/>
          <w:szCs w:val="24"/>
        </w:rPr>
        <w:t>references</w:t>
      </w:r>
      <w:r>
        <w:rPr>
          <w:rFonts w:hint="default" w:ascii="Arial" w:hAnsi="Arial" w:eastAsia="宋体" w:cs="Arial"/>
          <w:sz w:val="24"/>
          <w:szCs w:val="24"/>
          <w:lang w:val="en-US" w:eastAsia="zh-CN"/>
        </w:rPr>
        <w:t>,c</w:t>
      </w:r>
      <w:r>
        <w:rPr>
          <w:rFonts w:hint="default" w:ascii="Arial" w:hAnsi="Arial" w:eastAsia="宋体" w:cs="Arial"/>
          <w:sz w:val="24"/>
          <w:szCs w:val="24"/>
        </w:rPr>
        <w:t>onsumer</w:t>
      </w:r>
      <w:r>
        <w:rPr>
          <w:rFonts w:hint="default" w:ascii="Arial" w:hAnsi="Arial" w:eastAsia="宋体" w:cs="Arial"/>
          <w:sz w:val="24"/>
          <w:szCs w:val="24"/>
          <w:lang w:val="en-US" w:eastAsia="zh-CN"/>
        </w:rPr>
        <w:t>s may i</w:t>
      </w:r>
      <w:r>
        <w:rPr>
          <w:rFonts w:hint="default" w:ascii="Arial" w:hAnsi="Arial" w:eastAsia="宋体" w:cs="Arial"/>
          <w:sz w:val="24"/>
          <w:szCs w:val="24"/>
        </w:rPr>
        <w:t>ncrease demand for organic, healthy, and sustainable products.</w:t>
      </w:r>
      <w:r>
        <w:rPr>
          <w:rFonts w:hint="default" w:ascii="Arial" w:hAnsi="Arial" w:eastAsia="宋体" w:cs="Arial"/>
          <w:sz w:val="24"/>
          <w:szCs w:val="24"/>
          <w:lang w:val="en-US" w:eastAsia="zh-CN"/>
        </w:rPr>
        <w:t>For d</w:t>
      </w:r>
      <w:r>
        <w:rPr>
          <w:rFonts w:hint="default" w:ascii="Arial" w:hAnsi="Arial" w:eastAsia="宋体" w:cs="Arial"/>
          <w:sz w:val="24"/>
          <w:szCs w:val="24"/>
        </w:rPr>
        <w:t xml:space="preserve">emographic </w:t>
      </w:r>
      <w:r>
        <w:rPr>
          <w:rFonts w:hint="default" w:ascii="Arial" w:hAnsi="Arial" w:eastAsia="宋体" w:cs="Arial"/>
          <w:sz w:val="24"/>
          <w:szCs w:val="24"/>
          <w:lang w:val="en-US" w:eastAsia="zh-CN"/>
        </w:rPr>
        <w:t>s</w:t>
      </w:r>
      <w:r>
        <w:rPr>
          <w:rFonts w:hint="default" w:ascii="Arial" w:hAnsi="Arial" w:eastAsia="宋体" w:cs="Arial"/>
          <w:sz w:val="24"/>
          <w:szCs w:val="24"/>
        </w:rPr>
        <w:t>hifts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a</w:t>
      </w:r>
      <w:r>
        <w:rPr>
          <w:rFonts w:hint="default" w:ascii="Arial" w:hAnsi="Arial" w:eastAsia="宋体" w:cs="Arial"/>
          <w:sz w:val="24"/>
          <w:szCs w:val="24"/>
        </w:rPr>
        <w:t>ging populations, urbanization, and changing household structures influence product demand.</w:t>
      </w:r>
      <w:r>
        <w:rPr>
          <w:rFonts w:hint="default" w:ascii="Arial" w:hAnsi="Arial" w:eastAsia="宋体" w:cs="Arial"/>
          <w:sz w:val="24"/>
          <w:szCs w:val="24"/>
          <w:lang w:val="en-US" w:eastAsia="zh-CN"/>
        </w:rPr>
        <w:t>For c</w:t>
      </w:r>
      <w:r>
        <w:rPr>
          <w:rFonts w:hint="default" w:ascii="Arial" w:hAnsi="Arial" w:eastAsia="宋体" w:cs="Arial"/>
          <w:sz w:val="24"/>
          <w:szCs w:val="24"/>
        </w:rPr>
        <w:t xml:space="preserve">ultural </w:t>
      </w:r>
      <w:r>
        <w:rPr>
          <w:rFonts w:hint="default" w:ascii="Arial" w:hAnsi="Arial" w:eastAsia="宋体" w:cs="Arial"/>
          <w:sz w:val="24"/>
          <w:szCs w:val="24"/>
          <w:lang w:val="en-US" w:eastAsia="zh-CN"/>
        </w:rPr>
        <w:t>i</w:t>
      </w:r>
      <w:r>
        <w:rPr>
          <w:rFonts w:hint="default" w:ascii="Arial" w:hAnsi="Arial" w:eastAsia="宋体" w:cs="Arial"/>
          <w:sz w:val="24"/>
          <w:szCs w:val="24"/>
        </w:rPr>
        <w:t>nfluences</w:t>
      </w:r>
      <w:r>
        <w:rPr>
          <w:rFonts w:hint="default" w:ascii="Arial" w:hAnsi="Arial" w:eastAsia="宋体" w:cs="Arial"/>
          <w:sz w:val="24"/>
          <w:szCs w:val="24"/>
          <w:lang w:val="en-US" w:eastAsia="zh-CN"/>
        </w:rPr>
        <w:t>,r</w:t>
      </w:r>
      <w:r>
        <w:rPr>
          <w:rFonts w:hint="default" w:ascii="Arial" w:hAnsi="Arial" w:eastAsia="宋体" w:cs="Arial"/>
          <w:sz w:val="24"/>
          <w:szCs w:val="24"/>
        </w:rPr>
        <w:t>egional preferences impact product acceptance and marketing strategies.</w:t>
      </w:r>
      <w:r>
        <w:rPr>
          <w:rFonts w:hint="default" w:ascii="Arial" w:hAnsi="Arial" w:eastAsia="宋体" w:cs="Arial"/>
          <w:sz w:val="24"/>
          <w:szCs w:val="24"/>
          <w:lang w:val="en-US" w:eastAsia="zh-CN"/>
        </w:rPr>
        <w:t>For l</w:t>
      </w:r>
      <w:r>
        <w:rPr>
          <w:rFonts w:hint="default" w:ascii="Arial" w:hAnsi="Arial" w:eastAsia="宋体" w:cs="Arial"/>
          <w:sz w:val="24"/>
          <w:szCs w:val="24"/>
        </w:rPr>
        <w:t xml:space="preserve">ifestyle </w:t>
      </w:r>
      <w:r>
        <w:rPr>
          <w:rFonts w:hint="default" w:ascii="Arial" w:hAnsi="Arial" w:eastAsia="宋体" w:cs="Arial"/>
          <w:sz w:val="24"/>
          <w:szCs w:val="24"/>
          <w:lang w:val="en-US" w:eastAsia="zh-CN"/>
        </w:rPr>
        <w:t>c</w:t>
      </w:r>
      <w:r>
        <w:rPr>
          <w:rFonts w:hint="default" w:ascii="Arial" w:hAnsi="Arial" w:eastAsia="宋体" w:cs="Arial"/>
          <w:sz w:val="24"/>
          <w:szCs w:val="24"/>
        </w:rPr>
        <w:t>hanges</w:t>
      </w:r>
      <w:r>
        <w:rPr>
          <w:rFonts w:hint="default" w:ascii="Arial" w:hAnsi="Arial" w:eastAsia="宋体" w:cs="Arial"/>
          <w:sz w:val="24"/>
          <w:szCs w:val="24"/>
          <w:lang w:val="en-US" w:eastAsia="zh-CN"/>
        </w:rPr>
        <w:t>,</w:t>
      </w:r>
      <w:r>
        <w:rPr>
          <w:rFonts w:hint="default" w:ascii="Arial" w:hAnsi="Arial" w:eastAsia="宋体" w:cs="Arial"/>
          <w:sz w:val="24"/>
          <w:szCs w:val="24"/>
        </w:rPr>
        <w:t>Growth of health-conscious and convenience-seeking consumers affects product innovation</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Daryanto,Dewanti</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 xml:space="preserve">and Farras, </w:t>
      </w:r>
      <w:r>
        <w:rPr>
          <w:rFonts w:hint="eastAsia" w:ascii="Arial" w:hAnsi="Arial" w:eastAsia="宋体" w:cs="Arial"/>
          <w:i w:val="0"/>
          <w:iCs w:val="0"/>
          <w:caps w:val="0"/>
          <w:color w:val="222222"/>
          <w:spacing w:val="0"/>
          <w:sz w:val="24"/>
          <w:szCs w:val="24"/>
          <w:shd w:val="clear" w:fill="FFFFFF"/>
          <w:lang w:val="en-US" w:eastAsia="zh-CN"/>
        </w:rPr>
        <w:t>2020).</w:t>
      </w:r>
    </w:p>
    <w:p w14:paraId="30D94212">
      <w:pPr>
        <w:keepNext w:val="0"/>
        <w:keepLines w:val="0"/>
        <w:widowControl/>
        <w:numPr>
          <w:ilvl w:val="2"/>
          <w:numId w:val="1"/>
        </w:numPr>
        <w:suppressLineNumbers w:val="0"/>
        <w:ind w:left="0" w:leftChars="0" w:firstLine="0" w:firstLineChars="0"/>
        <w:jc w:val="left"/>
        <w:outlineLvl w:val="2"/>
        <w:rPr>
          <w:rFonts w:hint="default" w:ascii="Arial" w:hAnsi="Arial" w:eastAsia="宋体" w:cs="Arial"/>
          <w:b/>
          <w:bCs/>
          <w:sz w:val="24"/>
          <w:szCs w:val="24"/>
        </w:rPr>
      </w:pPr>
      <w:bookmarkStart w:id="10" w:name="_Toc7521"/>
      <w:r>
        <w:rPr>
          <w:rFonts w:hint="default" w:ascii="Arial" w:hAnsi="Arial" w:eastAsia="宋体" w:cs="Arial"/>
          <w:b/>
          <w:bCs/>
          <w:sz w:val="24"/>
          <w:szCs w:val="24"/>
        </w:rPr>
        <w:t>Technological Factors</w:t>
      </w:r>
      <w:bookmarkEnd w:id="10"/>
    </w:p>
    <w:p w14:paraId="459A92C4">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Facing e</w:t>
      </w:r>
      <w:r>
        <w:rPr>
          <w:rFonts w:hint="default" w:ascii="Arial" w:hAnsi="Arial" w:eastAsia="宋体" w:cs="Arial"/>
          <w:sz w:val="24"/>
          <w:szCs w:val="24"/>
        </w:rPr>
        <w:t>-commerce</w:t>
      </w:r>
      <w:r>
        <w:rPr>
          <w:rFonts w:hint="default" w:ascii="Arial" w:hAnsi="Arial" w:eastAsia="宋体" w:cs="Arial"/>
          <w:sz w:val="24"/>
          <w:szCs w:val="24"/>
          <w:lang w:val="en-US" w:eastAsia="zh-CN"/>
        </w:rPr>
        <w:t>’s</w:t>
      </w:r>
      <w:r>
        <w:rPr>
          <w:rFonts w:hint="default" w:ascii="Arial" w:hAnsi="Arial" w:eastAsia="宋体" w:cs="Arial"/>
          <w:sz w:val="24"/>
          <w:szCs w:val="24"/>
        </w:rPr>
        <w:t xml:space="preserve"> </w:t>
      </w:r>
      <w:r>
        <w:rPr>
          <w:rFonts w:hint="default" w:ascii="Arial" w:hAnsi="Arial" w:eastAsia="宋体" w:cs="Arial"/>
          <w:sz w:val="24"/>
          <w:szCs w:val="24"/>
          <w:lang w:val="en-US" w:eastAsia="zh-CN"/>
        </w:rPr>
        <w:t>g</w:t>
      </w:r>
      <w:r>
        <w:rPr>
          <w:rFonts w:hint="default" w:ascii="Arial" w:hAnsi="Arial" w:eastAsia="宋体" w:cs="Arial"/>
          <w:sz w:val="24"/>
          <w:szCs w:val="24"/>
        </w:rPr>
        <w:t>rowth</w:t>
      </w:r>
      <w:r>
        <w:rPr>
          <w:rFonts w:hint="default" w:ascii="Arial" w:hAnsi="Arial" w:eastAsia="宋体" w:cs="Arial"/>
          <w:sz w:val="24"/>
          <w:szCs w:val="24"/>
          <w:lang w:val="en-US" w:eastAsia="zh-CN"/>
        </w:rPr>
        <w:t>,</w:t>
      </w:r>
      <w:r>
        <w:rPr>
          <w:rFonts w:hint="default" w:ascii="Arial" w:hAnsi="Arial" w:eastAsia="宋体" w:cs="Arial"/>
          <w:sz w:val="24"/>
          <w:szCs w:val="24"/>
        </w:rPr>
        <w:t>FMCG brands must invest in online sales channels and digital marketing.</w:t>
      </w:r>
      <w:r>
        <w:rPr>
          <w:rFonts w:hint="default" w:ascii="Arial" w:hAnsi="Arial" w:eastAsia="宋体" w:cs="Arial"/>
          <w:sz w:val="24"/>
          <w:szCs w:val="24"/>
          <w:lang w:val="en-US" w:eastAsia="zh-CN"/>
        </w:rPr>
        <w:t>The development of a</w:t>
      </w:r>
      <w:r>
        <w:rPr>
          <w:rFonts w:hint="default" w:ascii="Arial" w:hAnsi="Arial" w:eastAsia="宋体" w:cs="Arial"/>
          <w:sz w:val="24"/>
          <w:szCs w:val="24"/>
        </w:rPr>
        <w:t xml:space="preserve">utomation &amp; </w:t>
      </w:r>
      <w:r>
        <w:rPr>
          <w:rFonts w:hint="default" w:ascii="Arial" w:hAnsi="Arial" w:eastAsia="宋体" w:cs="Arial"/>
          <w:sz w:val="24"/>
          <w:szCs w:val="24"/>
          <w:lang w:val="en-US" w:eastAsia="zh-CN"/>
        </w:rPr>
        <w:t>ai i</w:t>
      </w:r>
      <w:r>
        <w:rPr>
          <w:rFonts w:hint="default" w:ascii="Arial" w:hAnsi="Arial" w:eastAsia="宋体" w:cs="Arial"/>
          <w:sz w:val="24"/>
          <w:szCs w:val="24"/>
        </w:rPr>
        <w:t>mproves supply chain efficiency and customer engagement through personalized marketing.</w:t>
      </w:r>
      <w:r>
        <w:rPr>
          <w:rFonts w:hint="default" w:ascii="Arial" w:hAnsi="Arial" w:eastAsia="宋体" w:cs="Arial"/>
          <w:sz w:val="24"/>
          <w:szCs w:val="24"/>
          <w:lang w:val="en-US" w:eastAsia="zh-CN"/>
        </w:rPr>
        <w:t>For p</w:t>
      </w:r>
      <w:r>
        <w:rPr>
          <w:rFonts w:hint="default" w:ascii="Arial" w:hAnsi="Arial" w:eastAsia="宋体" w:cs="Arial"/>
          <w:sz w:val="24"/>
          <w:szCs w:val="24"/>
        </w:rPr>
        <w:t>roduct</w:t>
      </w:r>
      <w:r>
        <w:rPr>
          <w:rFonts w:hint="default" w:ascii="Arial" w:hAnsi="Arial" w:eastAsia="宋体" w:cs="Arial"/>
          <w:sz w:val="24"/>
          <w:szCs w:val="24"/>
          <w:lang w:val="en-US" w:eastAsia="zh-CN"/>
        </w:rPr>
        <w:t>’s</w:t>
      </w:r>
      <w:r>
        <w:rPr>
          <w:rFonts w:hint="default" w:ascii="Arial" w:hAnsi="Arial" w:eastAsia="宋体" w:cs="Arial"/>
          <w:sz w:val="24"/>
          <w:szCs w:val="24"/>
        </w:rPr>
        <w:t xml:space="preserve"> </w:t>
      </w:r>
      <w:r>
        <w:rPr>
          <w:rFonts w:hint="default" w:ascii="Arial" w:hAnsi="Arial" w:eastAsia="宋体" w:cs="Arial"/>
          <w:sz w:val="24"/>
          <w:szCs w:val="24"/>
          <w:lang w:val="en-US" w:eastAsia="zh-CN"/>
        </w:rPr>
        <w:t>i</w:t>
      </w:r>
      <w:r>
        <w:rPr>
          <w:rFonts w:hint="default" w:ascii="Arial" w:hAnsi="Arial" w:eastAsia="宋体" w:cs="Arial"/>
          <w:sz w:val="24"/>
          <w:szCs w:val="24"/>
        </w:rPr>
        <w:t>nnovation</w:t>
      </w:r>
      <w:r>
        <w:rPr>
          <w:rFonts w:hint="default" w:ascii="Arial" w:hAnsi="Arial" w:eastAsia="宋体" w:cs="Arial"/>
          <w:sz w:val="24"/>
          <w:szCs w:val="24"/>
          <w:lang w:val="en-US" w:eastAsia="zh-CN"/>
        </w:rPr>
        <w:t>,a</w:t>
      </w:r>
      <w:r>
        <w:rPr>
          <w:rFonts w:hint="default" w:ascii="Arial" w:hAnsi="Arial" w:eastAsia="宋体" w:cs="Arial"/>
          <w:sz w:val="24"/>
          <w:szCs w:val="24"/>
        </w:rPr>
        <w:t>dvancements in packaging, preservation, and alternative ingredients drive new product development.</w:t>
      </w:r>
      <w:r>
        <w:rPr>
          <w:rFonts w:hint="default" w:ascii="Arial" w:hAnsi="Arial" w:eastAsia="宋体" w:cs="Arial"/>
          <w:sz w:val="24"/>
          <w:szCs w:val="24"/>
          <w:lang w:val="en-US" w:eastAsia="zh-CN"/>
        </w:rPr>
        <w:t>The development of b</w:t>
      </w:r>
      <w:r>
        <w:rPr>
          <w:rFonts w:hint="default" w:ascii="Arial" w:hAnsi="Arial" w:eastAsia="宋体" w:cs="Arial"/>
          <w:sz w:val="24"/>
          <w:szCs w:val="24"/>
        </w:rPr>
        <w:t xml:space="preserve">ig </w:t>
      </w:r>
      <w:r>
        <w:rPr>
          <w:rFonts w:hint="default" w:ascii="Arial" w:hAnsi="Arial" w:eastAsia="宋体" w:cs="Arial"/>
          <w:sz w:val="24"/>
          <w:szCs w:val="24"/>
          <w:lang w:val="en-US" w:eastAsia="zh-CN"/>
        </w:rPr>
        <w:t>d</w:t>
      </w:r>
      <w:r>
        <w:rPr>
          <w:rFonts w:hint="default" w:ascii="Arial" w:hAnsi="Arial" w:eastAsia="宋体" w:cs="Arial"/>
          <w:sz w:val="24"/>
          <w:szCs w:val="24"/>
        </w:rPr>
        <w:t xml:space="preserve">ata &amp; </w:t>
      </w:r>
      <w:r>
        <w:rPr>
          <w:rFonts w:hint="default" w:ascii="Arial" w:hAnsi="Arial" w:eastAsia="宋体" w:cs="Arial"/>
          <w:sz w:val="24"/>
          <w:szCs w:val="24"/>
          <w:lang w:val="en-US" w:eastAsia="zh-CN"/>
        </w:rPr>
        <w:t>a</w:t>
      </w:r>
      <w:r>
        <w:rPr>
          <w:rFonts w:hint="default" w:ascii="Arial" w:hAnsi="Arial" w:eastAsia="宋体" w:cs="Arial"/>
          <w:sz w:val="24"/>
          <w:szCs w:val="24"/>
        </w:rPr>
        <w:t>nalytics</w:t>
      </w:r>
      <w:r>
        <w:rPr>
          <w:rFonts w:hint="default" w:ascii="Arial" w:hAnsi="Arial" w:eastAsia="宋体" w:cs="Arial"/>
          <w:sz w:val="24"/>
          <w:szCs w:val="24"/>
          <w:lang w:val="en-US" w:eastAsia="zh-CN"/>
        </w:rPr>
        <w:t xml:space="preserve"> e</w:t>
      </w:r>
      <w:r>
        <w:rPr>
          <w:rFonts w:hint="default" w:ascii="Arial" w:hAnsi="Arial" w:eastAsia="宋体" w:cs="Arial"/>
          <w:sz w:val="24"/>
          <w:szCs w:val="24"/>
        </w:rPr>
        <w:t>nhances consumer insights, demand forecasting, and targeted advertising</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Chiedu,Long</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Ashar,</w:t>
      </w:r>
      <w:r>
        <w:rPr>
          <w:rFonts w:hint="eastAsia" w:ascii="Arial" w:hAnsi="Arial" w:eastAsia="宋体" w:cs="Arial"/>
          <w:i w:val="0"/>
          <w:iCs w:val="0"/>
          <w:caps w:val="0"/>
          <w:color w:val="222222"/>
          <w:spacing w:val="0"/>
          <w:sz w:val="24"/>
          <w:szCs w:val="24"/>
          <w:shd w:val="clear" w:fill="FFFFFF"/>
          <w:lang w:val="en-US" w:eastAsia="zh-CN"/>
        </w:rPr>
        <w:t>2022).</w:t>
      </w:r>
    </w:p>
    <w:p w14:paraId="68F5D161">
      <w:pPr>
        <w:keepNext w:val="0"/>
        <w:keepLines w:val="0"/>
        <w:widowControl/>
        <w:numPr>
          <w:ilvl w:val="2"/>
          <w:numId w:val="1"/>
        </w:numPr>
        <w:suppressLineNumbers w:val="0"/>
        <w:ind w:left="0" w:leftChars="0" w:firstLine="0" w:firstLineChars="0"/>
        <w:jc w:val="both"/>
        <w:outlineLvl w:val="2"/>
        <w:rPr>
          <w:rFonts w:hint="default" w:ascii="Arial" w:hAnsi="Arial" w:eastAsia="宋体" w:cs="Arial"/>
          <w:b/>
          <w:bCs/>
          <w:sz w:val="24"/>
          <w:szCs w:val="24"/>
        </w:rPr>
      </w:pPr>
      <w:bookmarkStart w:id="11" w:name="_Toc11424"/>
      <w:r>
        <w:rPr>
          <w:rFonts w:hint="default" w:ascii="Arial" w:hAnsi="Arial" w:eastAsia="宋体" w:cs="Arial"/>
          <w:b/>
          <w:bCs/>
          <w:sz w:val="24"/>
          <w:szCs w:val="24"/>
        </w:rPr>
        <w:t>Environmental Factors</w:t>
      </w:r>
      <w:bookmarkEnd w:id="11"/>
    </w:p>
    <w:p w14:paraId="1E21CEAE">
      <w:pPr>
        <w:keepNext w:val="0"/>
        <w:keepLines w:val="0"/>
        <w:widowControl/>
        <w:numPr>
          <w:ilvl w:val="0"/>
          <w:numId w:val="0"/>
        </w:numPr>
        <w:suppressLineNumbers w:val="0"/>
        <w:spacing w:line="360" w:lineRule="auto"/>
        <w:ind w:leftChars="0"/>
        <w:jc w:val="both"/>
        <w:rPr>
          <w:rFonts w:hint="default" w:ascii="Arial" w:hAnsi="Arial" w:eastAsia="宋体" w:cs="Arial"/>
          <w:b w:val="0"/>
          <w:bCs/>
          <w:sz w:val="24"/>
          <w:szCs w:val="24"/>
          <w:lang w:val="en-US" w:eastAsia="zh-CN"/>
        </w:rPr>
      </w:pPr>
      <w:r>
        <w:rPr>
          <w:rStyle w:val="8"/>
          <w:rFonts w:hint="default" w:ascii="Arial" w:hAnsi="Arial" w:eastAsia="宋体" w:cs="Arial"/>
          <w:b w:val="0"/>
          <w:bCs/>
          <w:sz w:val="24"/>
          <w:szCs w:val="24"/>
        </w:rPr>
        <w:t xml:space="preserve">Sustainability </w:t>
      </w:r>
      <w:r>
        <w:rPr>
          <w:rStyle w:val="8"/>
          <w:rFonts w:hint="default" w:ascii="Arial" w:hAnsi="Arial" w:eastAsia="宋体" w:cs="Arial"/>
          <w:b w:val="0"/>
          <w:bCs/>
          <w:sz w:val="24"/>
          <w:szCs w:val="24"/>
          <w:lang w:val="en-US" w:eastAsia="zh-CN"/>
        </w:rPr>
        <w:t>c</w:t>
      </w:r>
      <w:r>
        <w:rPr>
          <w:rStyle w:val="8"/>
          <w:rFonts w:hint="default" w:ascii="Arial" w:hAnsi="Arial" w:eastAsia="宋体" w:cs="Arial"/>
          <w:b w:val="0"/>
          <w:bCs/>
          <w:sz w:val="24"/>
          <w:szCs w:val="24"/>
        </w:rPr>
        <w:t>oncerns</w:t>
      </w:r>
      <w:r>
        <w:rPr>
          <w:rStyle w:val="8"/>
          <w:rFonts w:hint="default" w:ascii="Arial" w:hAnsi="Arial" w:eastAsia="宋体" w:cs="Arial"/>
          <w:b w:val="0"/>
          <w:bCs/>
          <w:sz w:val="24"/>
          <w:szCs w:val="24"/>
          <w:lang w:val="en-US" w:eastAsia="zh-CN"/>
        </w:rPr>
        <w:t xml:space="preserve"> rises </w:t>
      </w:r>
      <w:r>
        <w:rPr>
          <w:rFonts w:hint="default" w:ascii="Arial" w:hAnsi="Arial" w:eastAsia="宋体" w:cs="Arial"/>
          <w:b w:val="0"/>
          <w:bCs/>
          <w:sz w:val="24"/>
          <w:szCs w:val="24"/>
        </w:rPr>
        <w:t>pressure to use eco-friendly packaging and sustainable sourcing.</w:t>
      </w:r>
      <w:r>
        <w:rPr>
          <w:rFonts w:hint="default" w:ascii="Arial" w:hAnsi="Arial" w:eastAsia="宋体" w:cs="Arial"/>
          <w:b w:val="0"/>
          <w:bCs/>
          <w:sz w:val="24"/>
          <w:szCs w:val="24"/>
          <w:lang w:val="en-US" w:eastAsia="zh-CN"/>
        </w:rPr>
        <w:t>For c</w:t>
      </w:r>
      <w:r>
        <w:rPr>
          <w:rFonts w:hint="default" w:ascii="Arial" w:hAnsi="Arial" w:eastAsia="宋体" w:cs="Arial"/>
          <w:b w:val="0"/>
          <w:bCs/>
          <w:sz w:val="24"/>
          <w:szCs w:val="24"/>
        </w:rPr>
        <w:t xml:space="preserve">limate </w:t>
      </w:r>
      <w:r>
        <w:rPr>
          <w:rFonts w:hint="default" w:ascii="Arial" w:hAnsi="Arial" w:eastAsia="宋体" w:cs="Arial"/>
          <w:b w:val="0"/>
          <w:bCs/>
          <w:sz w:val="24"/>
          <w:szCs w:val="24"/>
          <w:lang w:val="en-US" w:eastAsia="zh-CN"/>
        </w:rPr>
        <w:t>c</w:t>
      </w:r>
      <w:r>
        <w:rPr>
          <w:rFonts w:hint="default" w:ascii="Arial" w:hAnsi="Arial" w:eastAsia="宋体" w:cs="Arial"/>
          <w:b w:val="0"/>
          <w:bCs/>
          <w:sz w:val="24"/>
          <w:szCs w:val="24"/>
        </w:rPr>
        <w:t xml:space="preserve">hange </w:t>
      </w:r>
      <w:r>
        <w:rPr>
          <w:rFonts w:hint="default" w:ascii="Arial" w:hAnsi="Arial" w:eastAsia="宋体" w:cs="Arial"/>
          <w:b w:val="0"/>
          <w:bCs/>
          <w:sz w:val="24"/>
          <w:szCs w:val="24"/>
          <w:lang w:val="en-US" w:eastAsia="zh-CN"/>
        </w:rPr>
        <w:t>i</w:t>
      </w:r>
      <w:r>
        <w:rPr>
          <w:rFonts w:hint="default" w:ascii="Arial" w:hAnsi="Arial" w:eastAsia="宋体" w:cs="Arial"/>
          <w:b w:val="0"/>
          <w:bCs/>
          <w:sz w:val="24"/>
          <w:szCs w:val="24"/>
        </w:rPr>
        <w:t>mpact</w:t>
      </w:r>
      <w:r>
        <w:rPr>
          <w:rFonts w:hint="default" w:ascii="Arial" w:hAnsi="Arial" w:eastAsia="宋体" w:cs="Arial"/>
          <w:b w:val="0"/>
          <w:bCs/>
          <w:sz w:val="24"/>
          <w:szCs w:val="24"/>
          <w:lang w:val="en-US" w:eastAsia="zh-CN"/>
        </w:rPr>
        <w:t>,w</w:t>
      </w:r>
      <w:r>
        <w:rPr>
          <w:rFonts w:hint="default" w:ascii="Arial" w:hAnsi="Arial" w:eastAsia="宋体" w:cs="Arial"/>
          <w:b w:val="0"/>
          <w:bCs/>
          <w:sz w:val="24"/>
          <w:szCs w:val="24"/>
        </w:rPr>
        <w:t>eather disruptions affect agricultural supply chains and raw material availability.</w:t>
      </w:r>
      <w:r>
        <w:rPr>
          <w:rFonts w:hint="default" w:ascii="Arial" w:hAnsi="Arial" w:eastAsia="宋体" w:cs="Arial"/>
          <w:b w:val="0"/>
          <w:bCs/>
          <w:sz w:val="24"/>
          <w:szCs w:val="24"/>
          <w:lang w:val="en-US" w:eastAsia="zh-CN"/>
        </w:rPr>
        <w:t>For w</w:t>
      </w:r>
      <w:r>
        <w:rPr>
          <w:rFonts w:hint="default" w:ascii="Arial" w:hAnsi="Arial" w:eastAsia="宋体" w:cs="Arial"/>
          <w:b w:val="0"/>
          <w:bCs/>
          <w:sz w:val="24"/>
          <w:szCs w:val="24"/>
        </w:rPr>
        <w:t xml:space="preserve">aste </w:t>
      </w:r>
      <w:r>
        <w:rPr>
          <w:rFonts w:hint="default" w:ascii="Arial" w:hAnsi="Arial" w:eastAsia="宋体" w:cs="Arial"/>
          <w:b w:val="0"/>
          <w:bCs/>
          <w:sz w:val="24"/>
          <w:szCs w:val="24"/>
          <w:lang w:val="en-US" w:eastAsia="zh-CN"/>
        </w:rPr>
        <w:t>m</w:t>
      </w:r>
      <w:r>
        <w:rPr>
          <w:rFonts w:hint="default" w:ascii="Arial" w:hAnsi="Arial" w:eastAsia="宋体" w:cs="Arial"/>
          <w:b w:val="0"/>
          <w:bCs/>
          <w:sz w:val="24"/>
          <w:szCs w:val="24"/>
        </w:rPr>
        <w:t xml:space="preserve">anagement </w:t>
      </w:r>
      <w:r>
        <w:rPr>
          <w:rFonts w:hint="default" w:ascii="Arial" w:hAnsi="Arial" w:eastAsia="宋体" w:cs="Arial"/>
          <w:b w:val="0"/>
          <w:bCs/>
          <w:sz w:val="24"/>
          <w:szCs w:val="24"/>
          <w:lang w:val="en-US" w:eastAsia="zh-CN"/>
        </w:rPr>
        <w:t>r</w:t>
      </w:r>
      <w:r>
        <w:rPr>
          <w:rFonts w:hint="default" w:ascii="Arial" w:hAnsi="Arial" w:eastAsia="宋体" w:cs="Arial"/>
          <w:b w:val="0"/>
          <w:bCs/>
          <w:sz w:val="24"/>
          <w:szCs w:val="24"/>
        </w:rPr>
        <w:t>egulations</w:t>
      </w:r>
      <w:r>
        <w:rPr>
          <w:rFonts w:hint="default" w:ascii="Arial" w:hAnsi="Arial" w:eastAsia="宋体" w:cs="Arial"/>
          <w:b w:val="0"/>
          <w:bCs/>
          <w:sz w:val="24"/>
          <w:szCs w:val="24"/>
          <w:lang w:val="en-US" w:eastAsia="zh-CN"/>
        </w:rPr>
        <w:t>,g</w:t>
      </w:r>
      <w:r>
        <w:rPr>
          <w:rFonts w:hint="default" w:ascii="Arial" w:hAnsi="Arial" w:eastAsia="宋体" w:cs="Arial"/>
          <w:b w:val="0"/>
          <w:bCs/>
          <w:sz w:val="24"/>
          <w:szCs w:val="24"/>
        </w:rPr>
        <w:t>overnments enforce recycling and waste reduction policies affecting production processes.</w:t>
      </w:r>
      <w:r>
        <w:rPr>
          <w:rFonts w:hint="default" w:ascii="Arial" w:hAnsi="Arial" w:eastAsia="宋体" w:cs="Arial"/>
          <w:b w:val="0"/>
          <w:bCs/>
          <w:sz w:val="24"/>
          <w:szCs w:val="24"/>
          <w:lang w:val="en-US" w:eastAsia="zh-CN"/>
        </w:rPr>
        <w:t>For c</w:t>
      </w:r>
      <w:r>
        <w:rPr>
          <w:rFonts w:hint="default" w:ascii="Arial" w:hAnsi="Arial" w:eastAsia="宋体" w:cs="Arial"/>
          <w:b w:val="0"/>
          <w:bCs/>
          <w:sz w:val="24"/>
          <w:szCs w:val="24"/>
        </w:rPr>
        <w:t xml:space="preserve">arbon </w:t>
      </w:r>
      <w:r>
        <w:rPr>
          <w:rFonts w:hint="default" w:ascii="Arial" w:hAnsi="Arial" w:eastAsia="宋体" w:cs="Arial"/>
          <w:b w:val="0"/>
          <w:bCs/>
          <w:sz w:val="24"/>
          <w:szCs w:val="24"/>
          <w:lang w:val="en-US" w:eastAsia="zh-CN"/>
        </w:rPr>
        <w:t>f</w:t>
      </w:r>
      <w:r>
        <w:rPr>
          <w:rFonts w:hint="default" w:ascii="Arial" w:hAnsi="Arial" w:eastAsia="宋体" w:cs="Arial"/>
          <w:b w:val="0"/>
          <w:bCs/>
          <w:sz w:val="24"/>
          <w:szCs w:val="24"/>
        </w:rPr>
        <w:t xml:space="preserve">ootprint </w:t>
      </w:r>
      <w:r>
        <w:rPr>
          <w:rFonts w:hint="default" w:ascii="Arial" w:hAnsi="Arial" w:eastAsia="宋体" w:cs="Arial"/>
          <w:b w:val="0"/>
          <w:bCs/>
          <w:sz w:val="24"/>
          <w:szCs w:val="24"/>
          <w:lang w:val="en-US" w:eastAsia="zh-CN"/>
        </w:rPr>
        <w:t>r</w:t>
      </w:r>
      <w:r>
        <w:rPr>
          <w:rFonts w:hint="default" w:ascii="Arial" w:hAnsi="Arial" w:eastAsia="宋体" w:cs="Arial"/>
          <w:b w:val="0"/>
          <w:bCs/>
          <w:sz w:val="24"/>
          <w:szCs w:val="24"/>
        </w:rPr>
        <w:t>eduction</w:t>
      </w:r>
      <w:r>
        <w:rPr>
          <w:rFonts w:hint="default" w:ascii="Arial" w:hAnsi="Arial" w:eastAsia="宋体" w:cs="Arial"/>
          <w:b w:val="0"/>
          <w:bCs/>
          <w:sz w:val="24"/>
          <w:szCs w:val="24"/>
          <w:lang w:val="en-US" w:eastAsia="zh-CN"/>
        </w:rPr>
        <w:t>,</w:t>
      </w:r>
      <w:r>
        <w:rPr>
          <w:rFonts w:hint="default" w:ascii="Arial" w:hAnsi="Arial" w:eastAsia="宋体" w:cs="Arial"/>
          <w:b w:val="0"/>
          <w:bCs/>
          <w:sz w:val="24"/>
          <w:szCs w:val="24"/>
        </w:rPr>
        <w:t>FMCG firms invest in renewable energy and carbon-neutral initiatives to meet ESG goals</w:t>
      </w:r>
      <w:r>
        <w:rPr>
          <w:rFonts w:hint="eastAsia" w:ascii="Arial" w:hAnsi="Arial" w:eastAsia="宋体" w:cs="Arial"/>
          <w:b w:val="0"/>
          <w:bCs/>
          <w:sz w:val="24"/>
          <w:szCs w:val="24"/>
          <w:lang w:val="en-US" w:eastAsia="zh-CN"/>
        </w:rPr>
        <w:t>(D</w:t>
      </w:r>
      <w:r>
        <w:rPr>
          <w:rFonts w:ascii="Arial" w:hAnsi="Arial" w:eastAsia="宋体" w:cs="Arial"/>
          <w:i w:val="0"/>
          <w:iCs w:val="0"/>
          <w:caps w:val="0"/>
          <w:color w:val="222222"/>
          <w:spacing w:val="0"/>
          <w:sz w:val="24"/>
          <w:szCs w:val="24"/>
          <w:shd w:val="clear" w:fill="FFFFFF"/>
        </w:rPr>
        <w:t>e Bruin</w:t>
      </w:r>
      <w:r>
        <w:rPr>
          <w:rFonts w:hint="eastAsia" w:ascii="Arial" w:hAnsi="Arial" w:eastAsia="宋体" w:cs="Arial"/>
          <w:i w:val="0"/>
          <w:iCs w:val="0"/>
          <w:caps w:val="0"/>
          <w:color w:val="222222"/>
          <w:spacing w:val="0"/>
          <w:sz w:val="24"/>
          <w:szCs w:val="24"/>
          <w:shd w:val="clear" w:fill="FFFFFF"/>
          <w:lang w:val="en-US" w:eastAsia="zh-CN"/>
        </w:rPr>
        <w:t xml:space="preserve"> et al,2020).</w:t>
      </w:r>
    </w:p>
    <w:p w14:paraId="7AF6C88D">
      <w:pPr>
        <w:keepNext w:val="0"/>
        <w:keepLines w:val="0"/>
        <w:widowControl/>
        <w:numPr>
          <w:ilvl w:val="2"/>
          <w:numId w:val="1"/>
        </w:numPr>
        <w:suppressLineNumbers w:val="0"/>
        <w:ind w:left="0" w:leftChars="0" w:firstLine="0" w:firstLineChars="0"/>
        <w:jc w:val="left"/>
        <w:outlineLvl w:val="2"/>
        <w:rPr>
          <w:rFonts w:hint="default" w:ascii="Arial" w:hAnsi="Arial" w:eastAsia="宋体" w:cs="Arial"/>
          <w:b/>
          <w:bCs/>
          <w:sz w:val="24"/>
          <w:szCs w:val="24"/>
        </w:rPr>
      </w:pPr>
      <w:bookmarkStart w:id="12" w:name="_Toc14782"/>
      <w:r>
        <w:rPr>
          <w:rFonts w:hint="default" w:ascii="Arial" w:hAnsi="Arial" w:eastAsia="宋体" w:cs="Arial"/>
          <w:b/>
          <w:bCs/>
          <w:sz w:val="24"/>
          <w:szCs w:val="24"/>
        </w:rPr>
        <w:t>Legal Factors</w:t>
      </w:r>
      <w:bookmarkEnd w:id="12"/>
    </w:p>
    <w:p w14:paraId="125E331D">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For c</w:t>
      </w:r>
      <w:r>
        <w:rPr>
          <w:rFonts w:hint="default" w:ascii="Arial" w:hAnsi="Arial" w:eastAsia="宋体" w:cs="Arial"/>
          <w:sz w:val="24"/>
          <w:szCs w:val="24"/>
        </w:rPr>
        <w:t xml:space="preserve">onsumer </w:t>
      </w:r>
      <w:r>
        <w:rPr>
          <w:rFonts w:hint="default" w:ascii="Arial" w:hAnsi="Arial" w:eastAsia="宋体" w:cs="Arial"/>
          <w:sz w:val="24"/>
          <w:szCs w:val="24"/>
          <w:lang w:val="en-US" w:eastAsia="zh-CN"/>
        </w:rPr>
        <w:t>p</w:t>
      </w:r>
      <w:r>
        <w:rPr>
          <w:rFonts w:hint="default" w:ascii="Arial" w:hAnsi="Arial" w:eastAsia="宋体" w:cs="Arial"/>
          <w:sz w:val="24"/>
          <w:szCs w:val="24"/>
        </w:rPr>
        <w:t xml:space="preserve">rotection </w:t>
      </w:r>
      <w:r>
        <w:rPr>
          <w:rFonts w:hint="default" w:ascii="Arial" w:hAnsi="Arial" w:eastAsia="宋体" w:cs="Arial"/>
          <w:sz w:val="24"/>
          <w:szCs w:val="24"/>
          <w:lang w:val="en-US" w:eastAsia="zh-CN"/>
        </w:rPr>
        <w:t>l</w:t>
      </w:r>
      <w:r>
        <w:rPr>
          <w:rFonts w:hint="default" w:ascii="Arial" w:hAnsi="Arial" w:eastAsia="宋体" w:cs="Arial"/>
          <w:sz w:val="24"/>
          <w:szCs w:val="24"/>
        </w:rPr>
        <w:t>aws</w:t>
      </w:r>
      <w:r>
        <w:rPr>
          <w:rFonts w:hint="default" w:ascii="Arial" w:hAnsi="Arial" w:eastAsia="宋体" w:cs="Arial"/>
          <w:sz w:val="24"/>
          <w:szCs w:val="24"/>
          <w:lang w:val="en-US" w:eastAsia="zh-CN"/>
        </w:rPr>
        <w:t>,r</w:t>
      </w:r>
      <w:r>
        <w:rPr>
          <w:rFonts w:hint="default" w:ascii="Arial" w:hAnsi="Arial" w:eastAsia="宋体" w:cs="Arial"/>
          <w:sz w:val="24"/>
          <w:szCs w:val="24"/>
        </w:rPr>
        <w:t>egulations on labeling, advertising, and health claims affect product positioning.</w:t>
      </w:r>
      <w:r>
        <w:rPr>
          <w:rFonts w:hint="default" w:ascii="Arial" w:hAnsi="Arial" w:eastAsia="宋体" w:cs="Arial"/>
          <w:sz w:val="24"/>
          <w:szCs w:val="24"/>
          <w:lang w:val="en-US" w:eastAsia="zh-CN"/>
        </w:rPr>
        <w:t>For e</w:t>
      </w:r>
      <w:r>
        <w:rPr>
          <w:rFonts w:hint="default" w:ascii="Arial" w:hAnsi="Arial" w:eastAsia="宋体" w:cs="Arial"/>
          <w:sz w:val="24"/>
          <w:szCs w:val="24"/>
        </w:rPr>
        <w:t xml:space="preserve">mployment </w:t>
      </w:r>
      <w:r>
        <w:rPr>
          <w:rFonts w:hint="default" w:ascii="Arial" w:hAnsi="Arial" w:eastAsia="宋体" w:cs="Arial"/>
          <w:sz w:val="24"/>
          <w:szCs w:val="24"/>
          <w:lang w:val="en-US" w:eastAsia="zh-CN"/>
        </w:rPr>
        <w:t>l</w:t>
      </w:r>
      <w:r>
        <w:rPr>
          <w:rFonts w:hint="default" w:ascii="Arial" w:hAnsi="Arial" w:eastAsia="宋体" w:cs="Arial"/>
          <w:sz w:val="24"/>
          <w:szCs w:val="24"/>
        </w:rPr>
        <w:t>aws</w:t>
      </w:r>
      <w:r>
        <w:rPr>
          <w:rFonts w:hint="default" w:ascii="Arial" w:hAnsi="Arial" w:eastAsia="宋体" w:cs="Arial"/>
          <w:sz w:val="24"/>
          <w:szCs w:val="24"/>
          <w:lang w:val="en-US" w:eastAsia="zh-CN"/>
        </w:rPr>
        <w:t>,l</w:t>
      </w:r>
      <w:r>
        <w:rPr>
          <w:rFonts w:hint="default" w:ascii="Arial" w:hAnsi="Arial" w:eastAsia="宋体" w:cs="Arial"/>
          <w:sz w:val="24"/>
          <w:szCs w:val="24"/>
        </w:rPr>
        <w:t>abor laws impact wages, working conditions, and supply chain management.</w:t>
      </w:r>
      <w:r>
        <w:rPr>
          <w:rFonts w:hint="default" w:ascii="Arial" w:hAnsi="Arial" w:eastAsia="宋体" w:cs="Arial"/>
          <w:sz w:val="24"/>
          <w:szCs w:val="24"/>
          <w:lang w:val="en-US" w:eastAsia="zh-CN"/>
        </w:rPr>
        <w:t>For i</w:t>
      </w:r>
      <w:r>
        <w:rPr>
          <w:rFonts w:hint="default" w:ascii="Arial" w:hAnsi="Arial" w:eastAsia="宋体" w:cs="Arial"/>
          <w:sz w:val="24"/>
          <w:szCs w:val="24"/>
        </w:rPr>
        <w:t xml:space="preserve">ntellectual </w:t>
      </w:r>
      <w:r>
        <w:rPr>
          <w:rFonts w:hint="default" w:ascii="Arial" w:hAnsi="Arial" w:eastAsia="宋体" w:cs="Arial"/>
          <w:sz w:val="24"/>
          <w:szCs w:val="24"/>
          <w:lang w:val="en-US" w:eastAsia="zh-CN"/>
        </w:rPr>
        <w:t>p</w:t>
      </w:r>
      <w:r>
        <w:rPr>
          <w:rFonts w:hint="default" w:ascii="Arial" w:hAnsi="Arial" w:eastAsia="宋体" w:cs="Arial"/>
          <w:sz w:val="24"/>
          <w:szCs w:val="24"/>
        </w:rPr>
        <w:t xml:space="preserve">roperty </w:t>
      </w:r>
      <w:r>
        <w:rPr>
          <w:rFonts w:hint="default" w:ascii="Arial" w:hAnsi="Arial" w:eastAsia="宋体" w:cs="Arial"/>
          <w:sz w:val="24"/>
          <w:szCs w:val="24"/>
          <w:lang w:val="en-US" w:eastAsia="zh-CN"/>
        </w:rPr>
        <w:t>r</w:t>
      </w:r>
      <w:r>
        <w:rPr>
          <w:rFonts w:hint="default" w:ascii="Arial" w:hAnsi="Arial" w:eastAsia="宋体" w:cs="Arial"/>
          <w:sz w:val="24"/>
          <w:szCs w:val="24"/>
        </w:rPr>
        <w:t>ights</w:t>
      </w:r>
      <w:r>
        <w:rPr>
          <w:rFonts w:hint="default" w:ascii="Arial" w:hAnsi="Arial" w:eastAsia="宋体" w:cs="Arial"/>
          <w:sz w:val="24"/>
          <w:szCs w:val="24"/>
          <w:lang w:val="en-US" w:eastAsia="zh-CN"/>
        </w:rPr>
        <w:t>,p</w:t>
      </w:r>
      <w:r>
        <w:rPr>
          <w:rFonts w:hint="default" w:ascii="Arial" w:hAnsi="Arial" w:eastAsia="宋体" w:cs="Arial"/>
          <w:sz w:val="24"/>
          <w:szCs w:val="24"/>
        </w:rPr>
        <w:t>rotecting trademarks and innovations is crucial to maintaining competitive advantage.</w:t>
      </w:r>
      <w:r>
        <w:rPr>
          <w:rFonts w:hint="default" w:ascii="Arial" w:hAnsi="Arial" w:eastAsia="宋体" w:cs="Arial"/>
          <w:sz w:val="24"/>
          <w:szCs w:val="24"/>
          <w:lang w:val="en-US" w:eastAsia="zh-CN"/>
        </w:rPr>
        <w:t>For d</w:t>
      </w:r>
      <w:r>
        <w:rPr>
          <w:rFonts w:hint="default" w:ascii="Arial" w:hAnsi="Arial" w:eastAsia="宋体" w:cs="Arial"/>
          <w:sz w:val="24"/>
          <w:szCs w:val="24"/>
        </w:rPr>
        <w:t xml:space="preserve">ata </w:t>
      </w:r>
      <w:r>
        <w:rPr>
          <w:rFonts w:hint="default" w:ascii="Arial" w:hAnsi="Arial" w:eastAsia="宋体" w:cs="Arial"/>
          <w:sz w:val="24"/>
          <w:szCs w:val="24"/>
          <w:lang w:val="en-US" w:eastAsia="zh-CN"/>
        </w:rPr>
        <w:t>p</w:t>
      </w:r>
      <w:r>
        <w:rPr>
          <w:rFonts w:hint="default" w:ascii="Arial" w:hAnsi="Arial" w:eastAsia="宋体" w:cs="Arial"/>
          <w:sz w:val="24"/>
          <w:szCs w:val="24"/>
        </w:rPr>
        <w:t xml:space="preserve">rotection </w:t>
      </w:r>
      <w:r>
        <w:rPr>
          <w:rFonts w:hint="eastAsia" w:ascii="Arial" w:hAnsi="Arial" w:eastAsia="宋体" w:cs="Arial"/>
          <w:sz w:val="24"/>
          <w:szCs w:val="24"/>
          <w:lang w:val="en-US" w:eastAsia="zh-CN"/>
        </w:rPr>
        <w:t>and</w:t>
      </w:r>
      <w:r>
        <w:rPr>
          <w:rFonts w:hint="default" w:ascii="Arial" w:hAnsi="Arial" w:eastAsia="宋体" w:cs="Arial"/>
          <w:sz w:val="24"/>
          <w:szCs w:val="24"/>
        </w:rPr>
        <w:t xml:space="preserve"> </w:t>
      </w:r>
      <w:r>
        <w:rPr>
          <w:rFonts w:hint="default" w:ascii="Arial" w:hAnsi="Arial" w:eastAsia="宋体" w:cs="Arial"/>
          <w:sz w:val="24"/>
          <w:szCs w:val="24"/>
          <w:lang w:val="en-US" w:eastAsia="zh-CN"/>
        </w:rPr>
        <w:t>p</w:t>
      </w:r>
      <w:r>
        <w:rPr>
          <w:rFonts w:hint="default" w:ascii="Arial" w:hAnsi="Arial" w:eastAsia="宋体" w:cs="Arial"/>
          <w:sz w:val="24"/>
          <w:szCs w:val="24"/>
        </w:rPr>
        <w:t>rivacy</w:t>
      </w:r>
      <w:r>
        <w:rPr>
          <w:rFonts w:hint="default" w:ascii="Arial" w:hAnsi="Arial" w:eastAsia="宋体" w:cs="Arial"/>
          <w:sz w:val="24"/>
          <w:szCs w:val="24"/>
          <w:lang w:val="en-US" w:eastAsia="zh-CN"/>
        </w:rPr>
        <w:t>,s</w:t>
      </w:r>
      <w:r>
        <w:rPr>
          <w:rFonts w:hint="default" w:ascii="Arial" w:hAnsi="Arial" w:eastAsia="宋体" w:cs="Arial"/>
          <w:sz w:val="24"/>
          <w:szCs w:val="24"/>
        </w:rPr>
        <w:t>tricter regulations on consumer data usage impact digital marketing strategies</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Jevtić</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Milovanović,</w:t>
      </w:r>
      <w:r>
        <w:rPr>
          <w:rFonts w:hint="eastAsia" w:ascii="Arial" w:hAnsi="Arial" w:eastAsia="宋体" w:cs="Arial"/>
          <w:i w:val="0"/>
          <w:iCs w:val="0"/>
          <w:caps w:val="0"/>
          <w:color w:val="222222"/>
          <w:spacing w:val="0"/>
          <w:sz w:val="24"/>
          <w:szCs w:val="24"/>
          <w:shd w:val="clear" w:fill="FFFFFF"/>
          <w:lang w:val="en-US" w:eastAsia="zh-CN"/>
        </w:rPr>
        <w:t>2020).</w:t>
      </w:r>
    </w:p>
    <w:p w14:paraId="19A2D7B3">
      <w:pPr>
        <w:keepNext w:val="0"/>
        <w:keepLines w:val="0"/>
        <w:widowControl/>
        <w:suppressLineNumbers w:val="0"/>
        <w:spacing w:line="360" w:lineRule="auto"/>
        <w:jc w:val="both"/>
        <w:outlineLvl w:val="1"/>
        <w:rPr>
          <w:rFonts w:hint="default" w:ascii="Arial" w:hAnsi="Arial" w:cs="Arial"/>
          <w:b/>
          <w:bCs/>
          <w:sz w:val="28"/>
          <w:szCs w:val="28"/>
          <w:lang w:val="en-US"/>
        </w:rPr>
      </w:pPr>
      <w:bookmarkStart w:id="13" w:name="_Toc4224"/>
      <w:r>
        <w:rPr>
          <w:rFonts w:hint="default" w:ascii="Arial" w:hAnsi="Arial" w:eastAsia="宋体" w:cs="Arial"/>
          <w:b/>
          <w:bCs/>
          <w:sz w:val="28"/>
          <w:szCs w:val="28"/>
          <w:lang w:val="en-US" w:eastAsia="zh-CN"/>
        </w:rPr>
        <w:t xml:space="preserve">2.2 </w:t>
      </w:r>
      <w:r>
        <w:rPr>
          <w:rFonts w:hint="default" w:ascii="Arial" w:hAnsi="Arial" w:eastAsia="宋体" w:cs="Arial"/>
          <w:b/>
          <w:bCs/>
          <w:color w:val="000000"/>
          <w:kern w:val="0"/>
          <w:sz w:val="28"/>
          <w:szCs w:val="28"/>
          <w:lang w:val="en-US" w:eastAsia="zh-CN" w:bidi="ar"/>
        </w:rPr>
        <w:t xml:space="preserve">Porter’s Five Forces’ analysis of </w:t>
      </w:r>
      <w:r>
        <w:rPr>
          <w:rFonts w:hint="default" w:ascii="Arial" w:hAnsi="Arial" w:eastAsia="Arial-BoldMT" w:cs="Arial"/>
          <w:b/>
          <w:bCs/>
          <w:color w:val="000000"/>
          <w:kern w:val="0"/>
          <w:sz w:val="28"/>
          <w:szCs w:val="28"/>
          <w:lang w:val="en-US" w:eastAsia="zh-CN" w:bidi="ar"/>
        </w:rPr>
        <w:t>Fast-Moving Consumer Goods (FMCG)</w:t>
      </w:r>
      <w:bookmarkEnd w:id="13"/>
    </w:p>
    <w:p w14:paraId="1D896309">
      <w:pPr>
        <w:keepNext w:val="0"/>
        <w:keepLines w:val="0"/>
        <w:widowControl/>
        <w:numPr>
          <w:ilvl w:val="0"/>
          <w:numId w:val="0"/>
        </w:numPr>
        <w:suppressLineNumbers w:val="0"/>
        <w:ind w:leftChars="0"/>
        <w:jc w:val="both"/>
        <w:outlineLvl w:val="2"/>
        <w:rPr>
          <w:rFonts w:hint="default" w:ascii="Arial" w:hAnsi="Arial" w:eastAsia="宋体" w:cs="Arial"/>
          <w:b/>
          <w:bCs/>
          <w:sz w:val="24"/>
          <w:szCs w:val="24"/>
        </w:rPr>
      </w:pPr>
      <w:bookmarkStart w:id="14" w:name="_Toc17877"/>
      <w:r>
        <w:rPr>
          <w:rFonts w:hint="default" w:ascii="Arial" w:hAnsi="Arial" w:eastAsia="宋体" w:cs="Arial"/>
          <w:b/>
          <w:bCs/>
          <w:sz w:val="24"/>
          <w:szCs w:val="24"/>
          <w:lang w:val="en-US" w:eastAsia="zh-CN"/>
        </w:rPr>
        <w:t>2.2.1 C</w:t>
      </w:r>
      <w:r>
        <w:rPr>
          <w:rFonts w:hint="default" w:ascii="Arial" w:hAnsi="Arial" w:eastAsia="宋体" w:cs="Arial"/>
          <w:b/>
          <w:bCs/>
          <w:sz w:val="24"/>
          <w:szCs w:val="24"/>
        </w:rPr>
        <w:t xml:space="preserve">ompetitive </w:t>
      </w:r>
      <w:r>
        <w:rPr>
          <w:rFonts w:hint="default" w:ascii="Arial" w:hAnsi="Arial" w:eastAsia="宋体" w:cs="Arial"/>
          <w:b/>
          <w:bCs/>
          <w:sz w:val="24"/>
          <w:szCs w:val="24"/>
          <w:lang w:val="en-US" w:eastAsia="zh-CN"/>
        </w:rPr>
        <w:t>R</w:t>
      </w:r>
      <w:r>
        <w:rPr>
          <w:rFonts w:hint="default" w:ascii="Arial" w:hAnsi="Arial" w:eastAsia="宋体" w:cs="Arial"/>
          <w:b/>
          <w:bCs/>
          <w:sz w:val="24"/>
          <w:szCs w:val="24"/>
        </w:rPr>
        <w:t>ivalry</w:t>
      </w:r>
      <w:bookmarkEnd w:id="14"/>
    </w:p>
    <w:p w14:paraId="107BB771">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The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ompetitive </w:t>
      </w:r>
      <w:r>
        <w:rPr>
          <w:rFonts w:hint="eastAsia" w:ascii="Arial" w:hAnsi="Arial" w:eastAsia="宋体" w:cs="Arial"/>
          <w:b w:val="0"/>
          <w:bCs w:val="0"/>
          <w:sz w:val="24"/>
          <w:szCs w:val="24"/>
          <w:lang w:val="en-US" w:eastAsia="zh-CN"/>
        </w:rPr>
        <w:t>r</w:t>
      </w:r>
      <w:r>
        <w:rPr>
          <w:rFonts w:hint="default" w:ascii="Arial" w:hAnsi="Arial" w:eastAsia="宋体" w:cs="Arial"/>
          <w:b w:val="0"/>
          <w:bCs w:val="0"/>
          <w:sz w:val="24"/>
          <w:szCs w:val="24"/>
        </w:rPr>
        <w:t>ivalry</w:t>
      </w:r>
      <w:r>
        <w:rPr>
          <w:rFonts w:hint="default" w:ascii="Arial" w:hAnsi="Arial" w:eastAsia="宋体" w:cs="Arial"/>
          <w:b w:val="0"/>
          <w:bCs w:val="0"/>
          <w:sz w:val="24"/>
          <w:szCs w:val="24"/>
          <w:lang w:val="en-US" w:eastAsia="zh-CN"/>
        </w:rPr>
        <w:t xml:space="preserve"> of </w:t>
      </w:r>
      <w:r>
        <w:rPr>
          <w:rFonts w:hint="eastAsia" w:ascii="Arial" w:hAnsi="Arial" w:eastAsia="宋体" w:cs="Arial"/>
          <w:b w:val="0"/>
          <w:bCs w:val="0"/>
          <w:sz w:val="24"/>
          <w:szCs w:val="24"/>
          <w:lang w:val="en-US" w:eastAsia="zh-CN"/>
        </w:rPr>
        <w:t>F</w:t>
      </w:r>
      <w:r>
        <w:rPr>
          <w:rFonts w:hint="default" w:ascii="Arial" w:hAnsi="Arial" w:eastAsia="Arial-BoldMT" w:cs="Arial"/>
          <w:b w:val="0"/>
          <w:bCs w:val="0"/>
          <w:color w:val="000000"/>
          <w:kern w:val="0"/>
          <w:sz w:val="24"/>
          <w:szCs w:val="24"/>
          <w:lang w:val="en-US" w:eastAsia="zh-CN" w:bidi="ar"/>
        </w:rPr>
        <w:t>ast-</w:t>
      </w:r>
      <w:r>
        <w:rPr>
          <w:rFonts w:hint="eastAsia" w:ascii="Arial" w:hAnsi="Arial" w:eastAsia="Arial-BoldMT" w:cs="Arial"/>
          <w:b w:val="0"/>
          <w:bCs w:val="0"/>
          <w:color w:val="000000"/>
          <w:kern w:val="0"/>
          <w:sz w:val="24"/>
          <w:szCs w:val="24"/>
          <w:lang w:val="en-US" w:eastAsia="zh-CN" w:bidi="ar"/>
        </w:rPr>
        <w:t>M</w:t>
      </w:r>
      <w:r>
        <w:rPr>
          <w:rFonts w:hint="default" w:ascii="Arial" w:hAnsi="Arial" w:eastAsia="Arial-BoldMT" w:cs="Arial"/>
          <w:b w:val="0"/>
          <w:bCs w:val="0"/>
          <w:color w:val="000000"/>
          <w:kern w:val="0"/>
          <w:sz w:val="24"/>
          <w:szCs w:val="24"/>
          <w:lang w:val="en-US" w:eastAsia="zh-CN" w:bidi="ar"/>
        </w:rPr>
        <w:t>oving Consumer Goods (FMCG) is high.</w:t>
      </w:r>
      <w:r>
        <w:rPr>
          <w:rFonts w:hint="default" w:ascii="Arial" w:hAnsi="Arial" w:eastAsia="宋体" w:cs="Arial"/>
          <w:b w:val="0"/>
          <w:bCs w:val="0"/>
          <w:sz w:val="24"/>
          <w:szCs w:val="24"/>
        </w:rPr>
        <w:t>The FMCG sector is highly competitive, with major global players like Unilever, Procter &amp; Gamble, Nestlé, and local brands fighting for market share.Low product differentiation in categories like household goods and food leads to intense price wars.Brand loyalty and strong marketing strategies help leading brands maintain dominance, but private labels and new entrants increase competition.Frequent innovation in product formulations, packaging, and marketing strategies intensifies rivalry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Purnama</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Yani,</w:t>
      </w:r>
      <w:r>
        <w:rPr>
          <w:rFonts w:hint="eastAsia" w:ascii="Arial" w:hAnsi="Arial" w:eastAsia="宋体" w:cs="Arial"/>
          <w:i w:val="0"/>
          <w:iCs w:val="0"/>
          <w:caps w:val="0"/>
          <w:color w:val="222222"/>
          <w:spacing w:val="0"/>
          <w:sz w:val="24"/>
          <w:szCs w:val="24"/>
          <w:shd w:val="clear" w:fill="FFFFFF"/>
          <w:lang w:val="en-US" w:eastAsia="zh-CN"/>
        </w:rPr>
        <w:t>2023).</w:t>
      </w:r>
    </w:p>
    <w:p w14:paraId="0045ABFB">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15" w:name="_Toc7477"/>
      <w:r>
        <w:rPr>
          <w:rFonts w:hint="default" w:ascii="Arial" w:hAnsi="Arial" w:eastAsia="宋体" w:cs="Arial"/>
          <w:b/>
          <w:bCs/>
          <w:sz w:val="24"/>
          <w:szCs w:val="24"/>
          <w:lang w:val="en-US" w:eastAsia="zh-CN"/>
        </w:rPr>
        <w:t xml:space="preserve">2.2.2 </w:t>
      </w:r>
      <w:r>
        <w:rPr>
          <w:rFonts w:hint="default" w:ascii="Arial" w:hAnsi="Arial" w:eastAsia="宋体" w:cs="Arial"/>
          <w:b/>
          <w:bCs/>
          <w:sz w:val="24"/>
          <w:szCs w:val="24"/>
        </w:rPr>
        <w:t xml:space="preserve">Threat of </w:t>
      </w:r>
      <w:r>
        <w:rPr>
          <w:rFonts w:hint="default" w:ascii="Arial" w:hAnsi="Arial" w:eastAsia="宋体" w:cs="Arial"/>
          <w:b/>
          <w:bCs/>
          <w:sz w:val="24"/>
          <w:szCs w:val="24"/>
          <w:lang w:val="en-US" w:eastAsia="zh-CN"/>
        </w:rPr>
        <w:t>N</w:t>
      </w:r>
      <w:r>
        <w:rPr>
          <w:rFonts w:hint="default" w:ascii="Arial" w:hAnsi="Arial" w:eastAsia="宋体" w:cs="Arial"/>
          <w:b/>
          <w:bCs/>
          <w:sz w:val="24"/>
          <w:szCs w:val="24"/>
        </w:rPr>
        <w:t xml:space="preserve">ew </w:t>
      </w:r>
      <w:r>
        <w:rPr>
          <w:rFonts w:hint="default" w:ascii="Arial" w:hAnsi="Arial" w:eastAsia="宋体" w:cs="Arial"/>
          <w:b/>
          <w:bCs/>
          <w:sz w:val="24"/>
          <w:szCs w:val="24"/>
          <w:lang w:val="en-US" w:eastAsia="zh-CN"/>
        </w:rPr>
        <w:t>E</w:t>
      </w:r>
      <w:r>
        <w:rPr>
          <w:rFonts w:hint="default" w:ascii="Arial" w:hAnsi="Arial" w:eastAsia="宋体" w:cs="Arial"/>
          <w:b/>
          <w:bCs/>
          <w:sz w:val="24"/>
          <w:szCs w:val="24"/>
        </w:rPr>
        <w:t>ntrants</w:t>
      </w:r>
      <w:bookmarkEnd w:id="15"/>
    </w:p>
    <w:p w14:paraId="01343213">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The </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 xml:space="preserve">hreat of </w:t>
      </w:r>
      <w:r>
        <w:rPr>
          <w:rFonts w:hint="eastAsia" w:ascii="Arial" w:hAnsi="Arial" w:eastAsia="宋体" w:cs="Arial"/>
          <w:b w:val="0"/>
          <w:bCs w:val="0"/>
          <w:sz w:val="24"/>
          <w:szCs w:val="24"/>
          <w:lang w:val="en-US" w:eastAsia="zh-CN"/>
        </w:rPr>
        <w:t>n</w:t>
      </w:r>
      <w:r>
        <w:rPr>
          <w:rFonts w:hint="default" w:ascii="Arial" w:hAnsi="Arial" w:eastAsia="宋体" w:cs="Arial"/>
          <w:b w:val="0"/>
          <w:bCs w:val="0"/>
          <w:sz w:val="24"/>
          <w:szCs w:val="24"/>
        </w:rPr>
        <w:t xml:space="preserve">ew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ntrants</w:t>
      </w:r>
      <w:r>
        <w:rPr>
          <w:rFonts w:hint="default" w:ascii="Arial" w:hAnsi="Arial" w:eastAsia="宋体" w:cs="Arial"/>
          <w:b w:val="0"/>
          <w:bCs w:val="0"/>
          <w:sz w:val="24"/>
          <w:szCs w:val="24"/>
          <w:lang w:val="en-US" w:eastAsia="zh-CN"/>
        </w:rPr>
        <w:t xml:space="preserve"> of </w:t>
      </w:r>
      <w:r>
        <w:rPr>
          <w:rFonts w:hint="default" w:ascii="Arial" w:hAnsi="Arial" w:eastAsia="Arial-BoldMT" w:cs="Arial"/>
          <w:b w:val="0"/>
          <w:bCs w:val="0"/>
          <w:color w:val="000000"/>
          <w:kern w:val="0"/>
          <w:sz w:val="24"/>
          <w:szCs w:val="24"/>
          <w:lang w:val="en-US" w:eastAsia="zh-CN" w:bidi="ar"/>
        </w:rPr>
        <w:t xml:space="preserve">Fast-Moving Consumer Goods (FMCG) is </w:t>
      </w:r>
      <w:r>
        <w:rPr>
          <w:rFonts w:hint="eastAsia" w:ascii="Arial" w:hAnsi="Arial" w:eastAsia="Arial-BoldMT" w:cs="Arial"/>
          <w:b w:val="0"/>
          <w:bCs w:val="0"/>
          <w:color w:val="000000"/>
          <w:kern w:val="0"/>
          <w:sz w:val="24"/>
          <w:szCs w:val="24"/>
          <w:lang w:val="en-US" w:eastAsia="zh-CN" w:bidi="ar"/>
        </w:rPr>
        <w:t>m</w:t>
      </w:r>
      <w:r>
        <w:rPr>
          <w:rFonts w:hint="default" w:ascii="Arial" w:hAnsi="Arial" w:eastAsia="宋体" w:cs="Arial"/>
          <w:b w:val="0"/>
          <w:bCs w:val="0"/>
          <w:sz w:val="24"/>
          <w:szCs w:val="24"/>
        </w:rPr>
        <w:t xml:space="preserve">oderate to </w:t>
      </w:r>
      <w:r>
        <w:rPr>
          <w:rFonts w:hint="eastAsia" w:ascii="Arial" w:hAnsi="Arial" w:eastAsia="宋体" w:cs="Arial"/>
          <w:b w:val="0"/>
          <w:bCs w:val="0"/>
          <w:sz w:val="24"/>
          <w:szCs w:val="24"/>
          <w:lang w:val="en-US" w:eastAsia="zh-CN"/>
        </w:rPr>
        <w:t>h</w:t>
      </w:r>
      <w:r>
        <w:rPr>
          <w:rFonts w:hint="default" w:ascii="Arial" w:hAnsi="Arial" w:eastAsia="宋体" w:cs="Arial"/>
          <w:b w:val="0"/>
          <w:bCs w:val="0"/>
          <w:sz w:val="24"/>
          <w:szCs w:val="24"/>
        </w:rPr>
        <w:t>igh</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Low barriers to entry in some segments (e.g., organic and niche FMCG products) encourage new players.However, high initial investment in branding, distribution networks, and regulatory compliance makes it challenging for new entrants to compete with established firms.Established brands benefit from economies of scale, making it harder for newcomers to compete on price and efficiency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Almutairi</w:t>
      </w:r>
      <w:r>
        <w:rPr>
          <w:rFonts w:hint="eastAsia" w:ascii="Arial" w:hAnsi="Arial" w:eastAsia="宋体" w:cs="Arial"/>
          <w:i w:val="0"/>
          <w:iCs w:val="0"/>
          <w:caps w:val="0"/>
          <w:color w:val="222222"/>
          <w:spacing w:val="0"/>
          <w:sz w:val="24"/>
          <w:szCs w:val="24"/>
          <w:shd w:val="clear" w:fill="FFFFFF"/>
          <w:lang w:val="en-US" w:eastAsia="zh-CN"/>
        </w:rPr>
        <w:t>,2023).</w:t>
      </w:r>
    </w:p>
    <w:p w14:paraId="751686CA">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16" w:name="_Toc1130"/>
      <w:r>
        <w:rPr>
          <w:rFonts w:hint="default" w:ascii="Arial" w:hAnsi="Arial" w:eastAsia="宋体" w:cs="Arial"/>
          <w:b/>
          <w:bCs/>
          <w:sz w:val="24"/>
          <w:szCs w:val="24"/>
          <w:lang w:val="en-US" w:eastAsia="zh-CN"/>
        </w:rPr>
        <w:t xml:space="preserve">2.2.3 </w:t>
      </w:r>
      <w:r>
        <w:rPr>
          <w:rFonts w:hint="default" w:ascii="Arial" w:hAnsi="Arial" w:eastAsia="宋体" w:cs="Arial"/>
          <w:b/>
          <w:bCs/>
          <w:sz w:val="24"/>
          <w:szCs w:val="24"/>
        </w:rPr>
        <w:t>Bargaining Power of Suppliers</w:t>
      </w:r>
      <w:bookmarkEnd w:id="16"/>
    </w:p>
    <w:p w14:paraId="23E8E4C9">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The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argaining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ower of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uppliers</w:t>
      </w:r>
      <w:r>
        <w:rPr>
          <w:rFonts w:hint="default" w:ascii="Arial" w:hAnsi="Arial" w:eastAsia="宋体" w:cs="Arial"/>
          <w:b w:val="0"/>
          <w:bCs w:val="0"/>
          <w:sz w:val="24"/>
          <w:szCs w:val="24"/>
          <w:lang w:val="en-US" w:eastAsia="zh-CN"/>
        </w:rPr>
        <w:t xml:space="preserve"> of </w:t>
      </w:r>
      <w:r>
        <w:rPr>
          <w:rFonts w:hint="default" w:ascii="Arial" w:hAnsi="Arial" w:eastAsia="Arial-BoldMT" w:cs="Arial"/>
          <w:b w:val="0"/>
          <w:bCs w:val="0"/>
          <w:color w:val="000000"/>
          <w:kern w:val="0"/>
          <w:sz w:val="24"/>
          <w:szCs w:val="24"/>
          <w:lang w:val="en-US" w:eastAsia="zh-CN" w:bidi="ar"/>
        </w:rPr>
        <w:t>Fast-Moving Consumer Goods (FMCG) is l</w:t>
      </w:r>
      <w:r>
        <w:rPr>
          <w:rFonts w:hint="default" w:ascii="Arial" w:hAnsi="Arial" w:eastAsia="宋体" w:cs="Arial"/>
          <w:b w:val="0"/>
          <w:bCs w:val="0"/>
          <w:sz w:val="24"/>
          <w:szCs w:val="24"/>
        </w:rPr>
        <w:t xml:space="preserve">ow to </w:t>
      </w:r>
      <w:r>
        <w:rPr>
          <w:rFonts w:hint="default" w:ascii="Arial" w:hAnsi="Arial" w:eastAsia="宋体" w:cs="Arial"/>
          <w:b w:val="0"/>
          <w:bCs w:val="0"/>
          <w:sz w:val="24"/>
          <w:szCs w:val="24"/>
          <w:lang w:val="en-US" w:eastAsia="zh-CN"/>
        </w:rPr>
        <w:t>m</w:t>
      </w:r>
      <w:r>
        <w:rPr>
          <w:rFonts w:hint="default" w:ascii="Arial" w:hAnsi="Arial" w:eastAsia="宋体" w:cs="Arial"/>
          <w:b w:val="0"/>
          <w:bCs w:val="0"/>
          <w:sz w:val="24"/>
          <w:szCs w:val="24"/>
        </w:rPr>
        <w:t>oderate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Large FMCG companies source raw materials from multiple suppliers, reducing supplier power.Some suppliers of unique ingredients (e.g., sustainable palm oil, organic cocoa) may have moderate power due to high demand for ethical sourcing.Supply chain disruptions (e.g., inflation, logistics issues) can temporarily increase supplier influence</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Magagan</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Ngugi,</w:t>
      </w:r>
      <w:r>
        <w:rPr>
          <w:rFonts w:hint="eastAsia" w:ascii="Arial" w:hAnsi="Arial" w:eastAsia="宋体" w:cs="Arial"/>
          <w:i w:val="0"/>
          <w:iCs w:val="0"/>
          <w:caps w:val="0"/>
          <w:color w:val="222222"/>
          <w:spacing w:val="0"/>
          <w:sz w:val="24"/>
          <w:szCs w:val="24"/>
          <w:shd w:val="clear" w:fill="FFFFFF"/>
          <w:lang w:val="en-US" w:eastAsia="zh-CN"/>
        </w:rPr>
        <w:t>2021).</w:t>
      </w:r>
    </w:p>
    <w:p w14:paraId="64F7A24B">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17" w:name="_Toc19578"/>
      <w:r>
        <w:rPr>
          <w:rFonts w:hint="default" w:ascii="Arial" w:hAnsi="Arial" w:eastAsia="宋体" w:cs="Arial"/>
          <w:b/>
          <w:bCs/>
          <w:sz w:val="24"/>
          <w:szCs w:val="24"/>
          <w:lang w:val="en-US" w:eastAsia="zh-CN"/>
        </w:rPr>
        <w:t xml:space="preserve">2.2.4 </w:t>
      </w:r>
      <w:r>
        <w:rPr>
          <w:rFonts w:hint="default" w:ascii="Arial" w:hAnsi="Arial" w:eastAsia="宋体" w:cs="Arial"/>
          <w:b/>
          <w:bCs/>
          <w:sz w:val="24"/>
          <w:szCs w:val="24"/>
        </w:rPr>
        <w:t>Bargaining Power of Buyers</w:t>
      </w:r>
      <w:bookmarkEnd w:id="17"/>
    </w:p>
    <w:p w14:paraId="421F7A80">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The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argaining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ower of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uyers</w:t>
      </w:r>
      <w:r>
        <w:rPr>
          <w:rFonts w:hint="default" w:ascii="Arial" w:hAnsi="Arial" w:eastAsia="宋体" w:cs="Arial"/>
          <w:b w:val="0"/>
          <w:bCs w:val="0"/>
          <w:sz w:val="24"/>
          <w:szCs w:val="24"/>
          <w:lang w:val="en-US" w:eastAsia="zh-CN"/>
        </w:rPr>
        <w:t xml:space="preserve"> of </w:t>
      </w:r>
      <w:r>
        <w:rPr>
          <w:rFonts w:hint="default" w:ascii="Arial" w:hAnsi="Arial" w:eastAsia="Arial-BoldMT" w:cs="Arial"/>
          <w:b w:val="0"/>
          <w:bCs w:val="0"/>
          <w:color w:val="000000"/>
          <w:kern w:val="0"/>
          <w:sz w:val="24"/>
          <w:szCs w:val="24"/>
          <w:lang w:val="en-US" w:eastAsia="zh-CN" w:bidi="ar"/>
        </w:rPr>
        <w:t>Fast-Moving Consumer Goods (FMCG) is h</w:t>
      </w:r>
      <w:r>
        <w:rPr>
          <w:rFonts w:hint="default" w:ascii="Arial" w:hAnsi="Arial" w:eastAsia="宋体" w:cs="Arial"/>
          <w:b w:val="0"/>
          <w:bCs w:val="0"/>
          <w:sz w:val="24"/>
          <w:szCs w:val="24"/>
        </w:rPr>
        <w:t>igh</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Consumers have access to multiple brands and substitutes, increasing their bargaining power.Retailers and supermarkets exert significant pressure on FMCG companies by demanding better pricing, promotions, and exclusive products.The rise of e-commerce allows consumers to compare prices and reviews, making brand loyalty more challenging to maintain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Dzuhrina</w:t>
      </w:r>
      <w:r>
        <w:rPr>
          <w:rFonts w:hint="eastAsia" w:ascii="Arial" w:hAnsi="Arial" w:eastAsia="宋体" w:cs="Arial"/>
          <w:i w:val="0"/>
          <w:iCs w:val="0"/>
          <w:caps w:val="0"/>
          <w:color w:val="222222"/>
          <w:spacing w:val="0"/>
          <w:sz w:val="24"/>
          <w:szCs w:val="24"/>
          <w:shd w:val="clear" w:fill="FFFFFF"/>
          <w:lang w:val="en-US" w:eastAsia="zh-CN"/>
        </w:rPr>
        <w:t>,2023).</w:t>
      </w:r>
    </w:p>
    <w:p w14:paraId="0C37D17E">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18" w:name="_Toc27183"/>
      <w:r>
        <w:rPr>
          <w:rFonts w:hint="default" w:ascii="Arial" w:hAnsi="Arial" w:eastAsia="宋体" w:cs="Arial"/>
          <w:b/>
          <w:bCs/>
          <w:sz w:val="24"/>
          <w:szCs w:val="24"/>
          <w:lang w:val="en-US" w:eastAsia="zh-CN"/>
        </w:rPr>
        <w:t xml:space="preserve">2.2.5 </w:t>
      </w:r>
      <w:r>
        <w:rPr>
          <w:rFonts w:hint="default" w:ascii="Arial" w:hAnsi="Arial" w:eastAsia="宋体" w:cs="Arial"/>
          <w:b/>
          <w:bCs/>
          <w:sz w:val="24"/>
          <w:szCs w:val="24"/>
        </w:rPr>
        <w:t>Threat of Substitutes</w:t>
      </w:r>
      <w:bookmarkEnd w:id="18"/>
    </w:p>
    <w:p w14:paraId="3D6AA722">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The </w:t>
      </w:r>
      <w:r>
        <w:rPr>
          <w:rFonts w:hint="eastAsia" w:ascii="Arial" w:hAnsi="Arial" w:eastAsia="宋体" w:cs="Arial"/>
          <w:sz w:val="24"/>
          <w:szCs w:val="24"/>
          <w:lang w:val="en-US" w:eastAsia="zh-CN"/>
        </w:rPr>
        <w:t>t</w:t>
      </w:r>
      <w:r>
        <w:rPr>
          <w:rFonts w:hint="default" w:ascii="Arial" w:hAnsi="Arial" w:eastAsia="宋体" w:cs="Arial"/>
          <w:sz w:val="24"/>
          <w:szCs w:val="24"/>
        </w:rPr>
        <w:t xml:space="preserve">hreat of </w:t>
      </w:r>
      <w:r>
        <w:rPr>
          <w:rFonts w:hint="eastAsia" w:ascii="Arial" w:hAnsi="Arial" w:eastAsia="宋体" w:cs="Arial"/>
          <w:sz w:val="24"/>
          <w:szCs w:val="24"/>
          <w:lang w:val="en-US" w:eastAsia="zh-CN"/>
        </w:rPr>
        <w:t>s</w:t>
      </w:r>
      <w:r>
        <w:rPr>
          <w:rFonts w:hint="default" w:ascii="Arial" w:hAnsi="Arial" w:eastAsia="宋体" w:cs="Arial"/>
          <w:sz w:val="24"/>
          <w:szCs w:val="24"/>
        </w:rPr>
        <w:t>ubstitutes</w:t>
      </w:r>
      <w:r>
        <w:rPr>
          <w:rFonts w:hint="default" w:ascii="Arial" w:hAnsi="Arial" w:eastAsia="宋体" w:cs="Arial"/>
          <w:sz w:val="24"/>
          <w:szCs w:val="24"/>
          <w:lang w:val="en-US" w:eastAsia="zh-CN"/>
        </w:rPr>
        <w:t xml:space="preserve"> is m</w:t>
      </w:r>
      <w:r>
        <w:rPr>
          <w:rFonts w:hint="default" w:ascii="Arial" w:hAnsi="Arial" w:eastAsia="宋体" w:cs="Arial"/>
          <w:sz w:val="24"/>
          <w:szCs w:val="24"/>
        </w:rPr>
        <w:t xml:space="preserve">oderate to </w:t>
      </w:r>
      <w:r>
        <w:rPr>
          <w:rFonts w:hint="default" w:ascii="Arial" w:hAnsi="Arial" w:eastAsia="宋体" w:cs="Arial"/>
          <w:sz w:val="24"/>
          <w:szCs w:val="24"/>
          <w:lang w:val="en-US" w:eastAsia="zh-CN"/>
        </w:rPr>
        <w:t>h</w:t>
      </w:r>
      <w:r>
        <w:rPr>
          <w:rFonts w:hint="default" w:ascii="Arial" w:hAnsi="Arial" w:eastAsia="宋体" w:cs="Arial"/>
          <w:sz w:val="24"/>
          <w:szCs w:val="24"/>
        </w:rPr>
        <w:t>igh</w:t>
      </w:r>
      <w:r>
        <w:rPr>
          <w:rFonts w:hint="default" w:ascii="Arial" w:hAnsi="Arial" w:eastAsia="宋体" w:cs="Arial"/>
          <w:sz w:val="24"/>
          <w:szCs w:val="24"/>
          <w:lang w:val="en-US" w:eastAsia="zh-CN"/>
        </w:rPr>
        <w:t>.</w:t>
      </w:r>
      <w:r>
        <w:rPr>
          <w:rFonts w:hint="default" w:ascii="Arial" w:hAnsi="Arial" w:eastAsia="宋体" w:cs="Arial"/>
          <w:sz w:val="24"/>
          <w:szCs w:val="24"/>
        </w:rPr>
        <w:t>Private-label brands and generic alternatives often offer similar products at lower prices, posing a strong threat.Shifts toward healthier, eco-friendly, or DIY (do-it-yourself) solutions impact demand for traditional FMCG products.Innovation in new product categories (e.g., plant-based foods, sustainable packaging) helps mitigate substitution risks</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Baragiola</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Mauri,</w:t>
      </w:r>
      <w:r>
        <w:rPr>
          <w:rFonts w:hint="eastAsia" w:ascii="Arial" w:hAnsi="Arial" w:eastAsia="宋体" w:cs="Arial"/>
          <w:i w:val="0"/>
          <w:iCs w:val="0"/>
          <w:caps w:val="0"/>
          <w:color w:val="222222"/>
          <w:spacing w:val="0"/>
          <w:sz w:val="24"/>
          <w:szCs w:val="24"/>
          <w:shd w:val="clear" w:fill="FFFFFF"/>
          <w:lang w:val="en-US" w:eastAsia="zh-CN"/>
        </w:rPr>
        <w:t>2021).</w:t>
      </w:r>
    </w:p>
    <w:p w14:paraId="288F111C">
      <w:pPr>
        <w:keepNext w:val="0"/>
        <w:keepLines w:val="0"/>
        <w:widowControl/>
        <w:numPr>
          <w:ilvl w:val="0"/>
          <w:numId w:val="0"/>
        </w:numPr>
        <w:suppressLineNumbers w:val="0"/>
        <w:ind w:leftChars="0"/>
        <w:jc w:val="left"/>
        <w:outlineLvl w:val="1"/>
        <w:rPr>
          <w:rFonts w:hint="default" w:ascii="Arial" w:hAnsi="Arial" w:eastAsia="宋体" w:cs="Arial"/>
          <w:b/>
          <w:bCs/>
          <w:sz w:val="24"/>
          <w:szCs w:val="24"/>
        </w:rPr>
      </w:pPr>
      <w:bookmarkStart w:id="19" w:name="_Toc8853"/>
      <w:r>
        <w:rPr>
          <w:rFonts w:hint="default" w:ascii="Arial" w:hAnsi="Arial" w:eastAsia="宋体" w:cs="Arial"/>
          <w:b/>
          <w:bCs/>
          <w:sz w:val="24"/>
          <w:szCs w:val="24"/>
          <w:lang w:val="en-US" w:eastAsia="zh-CN"/>
        </w:rPr>
        <w:t xml:space="preserve">2.3 </w:t>
      </w:r>
      <w:r>
        <w:rPr>
          <w:rFonts w:hint="default" w:ascii="Arial" w:hAnsi="Arial" w:eastAsia="宋体" w:cs="Arial"/>
          <w:b/>
          <w:bCs/>
          <w:sz w:val="24"/>
          <w:szCs w:val="24"/>
        </w:rPr>
        <w:t>Internal Analysis of Unilever</w:t>
      </w:r>
      <w:bookmarkEnd w:id="19"/>
    </w:p>
    <w:p w14:paraId="0267AD04">
      <w:pPr>
        <w:keepNext w:val="0"/>
        <w:keepLines w:val="0"/>
        <w:widowControl/>
        <w:numPr>
          <w:ilvl w:val="0"/>
          <w:numId w:val="0"/>
        </w:numPr>
        <w:suppressLineNumbers w:val="0"/>
        <w:ind w:leftChars="0"/>
        <w:jc w:val="both"/>
        <w:outlineLvl w:val="2"/>
        <w:rPr>
          <w:rFonts w:hint="default" w:ascii="Arial" w:hAnsi="Arial" w:eastAsia="宋体" w:cs="Arial"/>
          <w:b/>
          <w:bCs/>
          <w:sz w:val="24"/>
          <w:szCs w:val="24"/>
          <w:lang w:val="en-US" w:eastAsia="zh-CN"/>
        </w:rPr>
      </w:pPr>
      <w:bookmarkStart w:id="20" w:name="_Toc11071"/>
      <w:r>
        <w:rPr>
          <w:rFonts w:hint="default" w:ascii="Arial" w:hAnsi="Arial" w:eastAsia="宋体" w:cs="Arial"/>
          <w:b/>
          <w:bCs/>
          <w:sz w:val="24"/>
          <w:szCs w:val="24"/>
          <w:lang w:val="en-US" w:eastAsia="zh-CN"/>
        </w:rPr>
        <w:t xml:space="preserve">2.3.1 </w:t>
      </w:r>
      <w:r>
        <w:rPr>
          <w:rFonts w:hint="default" w:ascii="Arial" w:hAnsi="Arial" w:eastAsia="宋体" w:cs="Arial"/>
          <w:b/>
          <w:bCs/>
          <w:sz w:val="24"/>
          <w:szCs w:val="24"/>
        </w:rPr>
        <w:t>Resource-Based View (RBV)</w:t>
      </w:r>
      <w:bookmarkEnd w:id="20"/>
    </w:p>
    <w:p w14:paraId="440E1B24">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Unilever’s resources and capabilities play a crucial role in maintaining its competitive advantage. According to the </w:t>
      </w:r>
      <w:r>
        <w:rPr>
          <w:rStyle w:val="8"/>
          <w:rFonts w:hint="default" w:ascii="Arial" w:hAnsi="Arial" w:eastAsia="宋体" w:cs="Arial"/>
          <w:b w:val="0"/>
          <w:bCs w:val="0"/>
          <w:sz w:val="24"/>
          <w:szCs w:val="24"/>
        </w:rPr>
        <w:t>VRIO framework</w:t>
      </w:r>
      <w:r>
        <w:rPr>
          <w:rFonts w:hint="default" w:ascii="Arial" w:hAnsi="Arial" w:eastAsia="宋体" w:cs="Arial"/>
          <w:b w:val="0"/>
          <w:bCs w:val="0"/>
          <w:sz w:val="24"/>
          <w:szCs w:val="24"/>
        </w:rPr>
        <w:t>, valuable, rare, inimitable, and organized resources ensure sustained success.</w:t>
      </w:r>
      <w:r>
        <w:rPr>
          <w:rFonts w:hint="default" w:ascii="Arial" w:hAnsi="Arial" w:eastAsia="宋体" w:cs="Arial"/>
          <w:b w:val="0"/>
          <w:bCs w:val="0"/>
          <w:sz w:val="24"/>
          <w:szCs w:val="24"/>
          <w:lang w:val="en-US" w:eastAsia="zh-CN"/>
        </w:rPr>
        <w:t>t</w:t>
      </w:r>
      <w:r>
        <w:rPr>
          <w:rFonts w:hint="default" w:ascii="Arial" w:hAnsi="Arial" w:eastAsia="宋体" w:cs="Arial"/>
          <w:b w:val="0"/>
          <w:bCs w:val="0"/>
          <w:sz w:val="24"/>
          <w:szCs w:val="24"/>
        </w:rPr>
        <w:t xml:space="preserve">angible </w:t>
      </w:r>
      <w:r>
        <w:rPr>
          <w:rFonts w:hint="default" w:ascii="Arial" w:hAnsi="Arial" w:eastAsia="宋体" w:cs="Arial"/>
          <w:b w:val="0"/>
          <w:bCs w:val="0"/>
          <w:sz w:val="24"/>
          <w:szCs w:val="24"/>
          <w:lang w:val="en-US" w:eastAsia="zh-CN"/>
        </w:rPr>
        <w:t>r</w:t>
      </w:r>
      <w:r>
        <w:rPr>
          <w:rFonts w:hint="default" w:ascii="Arial" w:hAnsi="Arial" w:eastAsia="宋体" w:cs="Arial"/>
          <w:b w:val="0"/>
          <w:bCs w:val="0"/>
          <w:sz w:val="24"/>
          <w:szCs w:val="24"/>
        </w:rPr>
        <w:t>esources</w:t>
      </w:r>
      <w:r>
        <w:rPr>
          <w:rFonts w:hint="default" w:ascii="Arial" w:hAnsi="Arial" w:eastAsia="宋体" w:cs="Arial"/>
          <w:b w:val="0"/>
          <w:bCs w:val="0"/>
          <w:sz w:val="24"/>
          <w:szCs w:val="24"/>
          <w:lang w:val="en-US" w:eastAsia="zh-CN"/>
        </w:rPr>
        <w:t xml:space="preserve"> includes g</w:t>
      </w:r>
      <w:r>
        <w:rPr>
          <w:rFonts w:hint="default" w:ascii="Arial" w:hAnsi="Arial" w:eastAsia="宋体" w:cs="Arial"/>
          <w:b w:val="0"/>
          <w:bCs w:val="0"/>
          <w:sz w:val="24"/>
          <w:szCs w:val="24"/>
        </w:rPr>
        <w:t xml:space="preserve">lobal </w:t>
      </w:r>
      <w:r>
        <w:rPr>
          <w:rFonts w:hint="default"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anufacturing </w:t>
      </w:r>
      <w:r>
        <w:rPr>
          <w:rFonts w:hint="default" w:ascii="Arial" w:hAnsi="Arial" w:eastAsia="宋体" w:cs="Arial"/>
          <w:b w:val="0"/>
          <w:bCs w:val="0"/>
          <w:sz w:val="24"/>
          <w:szCs w:val="24"/>
          <w:lang w:val="en-US" w:eastAsia="zh-CN"/>
        </w:rPr>
        <w:t>n</w:t>
      </w:r>
      <w:r>
        <w:rPr>
          <w:rFonts w:hint="default" w:ascii="Arial" w:hAnsi="Arial" w:eastAsia="宋体" w:cs="Arial"/>
          <w:b w:val="0"/>
          <w:bCs w:val="0"/>
          <w:sz w:val="24"/>
          <w:szCs w:val="24"/>
        </w:rPr>
        <w:t>etwork</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Unilever operates over 300 factories worldwide, providing economies of scale and cost efficiency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Its robust financial health supports continuous investment in R&amp;D, acquisitions, and sustainability initiatives.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Extensive and reliable supply chains enable global product distribution.Intangible </w:t>
      </w:r>
      <w:r>
        <w:rPr>
          <w:rFonts w:hint="default" w:ascii="Arial" w:hAnsi="Arial" w:eastAsia="宋体" w:cs="Arial"/>
          <w:b w:val="0"/>
          <w:bCs w:val="0"/>
          <w:sz w:val="24"/>
          <w:szCs w:val="24"/>
          <w:lang w:val="en-US" w:eastAsia="zh-CN"/>
        </w:rPr>
        <w:t>r</w:t>
      </w:r>
      <w:r>
        <w:rPr>
          <w:rFonts w:hint="default" w:ascii="Arial" w:hAnsi="Arial" w:eastAsia="宋体" w:cs="Arial"/>
          <w:b w:val="0"/>
          <w:bCs w:val="0"/>
          <w:sz w:val="24"/>
          <w:szCs w:val="24"/>
        </w:rPr>
        <w:t>esources</w:t>
      </w:r>
      <w:r>
        <w:rPr>
          <w:rFonts w:hint="default" w:ascii="Arial" w:hAnsi="Arial" w:eastAsia="宋体" w:cs="Arial"/>
          <w:b w:val="0"/>
          <w:bCs w:val="0"/>
          <w:sz w:val="24"/>
          <w:szCs w:val="24"/>
          <w:lang w:val="en-US" w:eastAsia="zh-CN"/>
        </w:rPr>
        <w:t xml:space="preserve"> includes wide b</w:t>
      </w:r>
      <w:r>
        <w:rPr>
          <w:rFonts w:hint="default" w:ascii="Arial" w:hAnsi="Arial" w:eastAsia="宋体" w:cs="Arial"/>
          <w:b w:val="0"/>
          <w:bCs w:val="0"/>
          <w:sz w:val="24"/>
          <w:szCs w:val="24"/>
        </w:rPr>
        <w:t xml:space="preserve">rand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ortfolio</w:t>
      </w:r>
      <w:r>
        <w:rPr>
          <w:rFonts w:hint="default" w:ascii="Arial" w:hAnsi="Arial" w:eastAsia="宋体" w:cs="Arial"/>
          <w:b w:val="0"/>
          <w:bCs w:val="0"/>
          <w:sz w:val="24"/>
          <w:szCs w:val="24"/>
          <w:lang w:val="en-US" w:eastAsia="zh-CN"/>
        </w:rPr>
        <w:t xml:space="preserve"> U</w:t>
      </w:r>
      <w:r>
        <w:rPr>
          <w:rFonts w:hint="default" w:ascii="Arial" w:hAnsi="Arial" w:eastAsia="宋体" w:cs="Arial"/>
          <w:b w:val="0"/>
          <w:bCs w:val="0"/>
          <w:sz w:val="24"/>
          <w:szCs w:val="24"/>
        </w:rPr>
        <w:t>nilever owns more than 400 brands, including iconic names like Dove, Knorr, and Magnum, ensuring strong brand equity and customer loyalty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Unilever’s commitment to its Sustainable Living Plan enhances its brand image and meets growing ESG expectations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Decades of consistent product quality and ethical practices have built a positive global reputation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Nahar</w:t>
      </w:r>
      <w:r>
        <w:rPr>
          <w:rFonts w:hint="eastAsia" w:ascii="Arial" w:hAnsi="Arial" w:eastAsia="宋体" w:cs="Arial"/>
          <w:i w:val="0"/>
          <w:iCs w:val="0"/>
          <w:caps w:val="0"/>
          <w:color w:val="222222"/>
          <w:spacing w:val="0"/>
          <w:sz w:val="24"/>
          <w:szCs w:val="24"/>
          <w:shd w:val="clear" w:fill="FFFFFF"/>
          <w:lang w:val="en-US" w:eastAsia="zh-CN"/>
        </w:rPr>
        <w:t xml:space="preserve"> and </w:t>
      </w:r>
      <w:r>
        <w:rPr>
          <w:rFonts w:ascii="Arial" w:hAnsi="Arial" w:eastAsia="宋体" w:cs="Arial"/>
          <w:i w:val="0"/>
          <w:iCs w:val="0"/>
          <w:caps w:val="0"/>
          <w:color w:val="222222"/>
          <w:spacing w:val="0"/>
          <w:sz w:val="24"/>
          <w:szCs w:val="24"/>
          <w:shd w:val="clear" w:fill="FFFFFF"/>
        </w:rPr>
        <w:t xml:space="preserve">Zayed, </w:t>
      </w:r>
      <w:r>
        <w:rPr>
          <w:rFonts w:hint="eastAsia" w:ascii="Arial" w:hAnsi="Arial" w:eastAsia="宋体" w:cs="Arial"/>
          <w:i w:val="0"/>
          <w:iCs w:val="0"/>
          <w:caps w:val="0"/>
          <w:color w:val="222222"/>
          <w:spacing w:val="0"/>
          <w:sz w:val="24"/>
          <w:szCs w:val="24"/>
          <w:shd w:val="clear" w:fill="FFFFFF"/>
          <w:lang w:val="en-US" w:eastAsia="zh-CN"/>
        </w:rPr>
        <w:t>2019).</w:t>
      </w:r>
    </w:p>
    <w:p w14:paraId="1C2DC922">
      <w:pPr>
        <w:keepNext w:val="0"/>
        <w:keepLines w:val="0"/>
        <w:widowControl/>
        <w:numPr>
          <w:ilvl w:val="0"/>
          <w:numId w:val="0"/>
        </w:numPr>
        <w:suppressLineNumbers w:val="0"/>
        <w:ind w:leftChars="0"/>
        <w:jc w:val="both"/>
        <w:outlineLvl w:val="2"/>
        <w:rPr>
          <w:rFonts w:hint="default" w:ascii="Arial" w:hAnsi="Arial" w:eastAsia="宋体" w:cs="Arial"/>
          <w:b/>
          <w:bCs/>
          <w:sz w:val="24"/>
          <w:szCs w:val="24"/>
        </w:rPr>
      </w:pPr>
      <w:bookmarkStart w:id="21" w:name="_Toc2144"/>
      <w:r>
        <w:rPr>
          <w:rFonts w:hint="default" w:ascii="Arial" w:hAnsi="Arial" w:eastAsia="宋体" w:cs="Arial"/>
          <w:b/>
          <w:bCs/>
          <w:sz w:val="24"/>
          <w:szCs w:val="24"/>
          <w:lang w:val="en-US" w:eastAsia="zh-CN"/>
        </w:rPr>
        <w:t xml:space="preserve">2.3.2 </w:t>
      </w:r>
      <w:r>
        <w:rPr>
          <w:rFonts w:hint="default" w:ascii="Arial" w:hAnsi="Arial" w:eastAsia="宋体" w:cs="Arial"/>
          <w:b/>
          <w:bCs/>
          <w:sz w:val="24"/>
          <w:szCs w:val="24"/>
        </w:rPr>
        <w:t>Value Chain Analysis</w:t>
      </w:r>
      <w:bookmarkEnd w:id="21"/>
    </w:p>
    <w:p w14:paraId="3DCD7797">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rPr>
        <w:t xml:space="preserve">Unilever’s value chain activities demonstrate high operational efficiency and strategic integration.Primary </w:t>
      </w:r>
      <w:r>
        <w:rPr>
          <w:rFonts w:hint="default" w:ascii="Arial" w:hAnsi="Arial" w:eastAsia="宋体" w:cs="Arial"/>
          <w:sz w:val="24"/>
          <w:szCs w:val="24"/>
          <w:lang w:val="en-US" w:eastAsia="zh-CN"/>
        </w:rPr>
        <w:t>a</w:t>
      </w:r>
      <w:r>
        <w:rPr>
          <w:rFonts w:hint="default" w:ascii="Arial" w:hAnsi="Arial" w:eastAsia="宋体" w:cs="Arial"/>
          <w:sz w:val="24"/>
          <w:szCs w:val="24"/>
        </w:rPr>
        <w:t>ctivities</w:t>
      </w:r>
      <w:r>
        <w:rPr>
          <w:rFonts w:hint="default" w:ascii="Arial" w:hAnsi="Arial" w:eastAsia="宋体" w:cs="Arial"/>
          <w:sz w:val="24"/>
          <w:szCs w:val="24"/>
          <w:lang w:val="en-US" w:eastAsia="zh-CN"/>
        </w:rPr>
        <w:t xml:space="preserve"> includes i</w:t>
      </w:r>
      <w:r>
        <w:rPr>
          <w:rFonts w:hint="default" w:ascii="Arial" w:hAnsi="Arial" w:eastAsia="宋体" w:cs="Arial"/>
          <w:sz w:val="24"/>
          <w:szCs w:val="24"/>
        </w:rPr>
        <w:t xml:space="preserve">nbound </w:t>
      </w:r>
      <w:r>
        <w:rPr>
          <w:rFonts w:hint="default" w:ascii="Arial" w:hAnsi="Arial" w:eastAsia="宋体" w:cs="Arial"/>
          <w:sz w:val="24"/>
          <w:szCs w:val="24"/>
          <w:lang w:val="en-US" w:eastAsia="zh-CN"/>
        </w:rPr>
        <w:t>l</w:t>
      </w:r>
      <w:r>
        <w:rPr>
          <w:rFonts w:hint="default" w:ascii="Arial" w:hAnsi="Arial" w:eastAsia="宋体" w:cs="Arial"/>
          <w:sz w:val="24"/>
          <w:szCs w:val="24"/>
        </w:rPr>
        <w:t>ogistics</w:t>
      </w:r>
      <w:r>
        <w:rPr>
          <w:rFonts w:hint="default" w:ascii="Arial" w:hAnsi="Arial" w:eastAsia="宋体" w:cs="Arial"/>
          <w:sz w:val="24"/>
          <w:szCs w:val="24"/>
          <w:lang w:val="en-US" w:eastAsia="zh-CN"/>
        </w:rPr>
        <w:t>,</w:t>
      </w:r>
      <w:r>
        <w:rPr>
          <w:rFonts w:hint="default" w:ascii="Arial" w:hAnsi="Arial" w:eastAsia="宋体" w:cs="Arial"/>
          <w:sz w:val="24"/>
          <w:szCs w:val="24"/>
        </w:rPr>
        <w:t>Unilever effectively manages procurement from sustainable sources, ensuring ethical and efficient raw material supply</w:t>
      </w:r>
      <w:r>
        <w:rPr>
          <w:rFonts w:hint="default" w:ascii="Arial" w:hAnsi="Arial" w:eastAsia="宋体" w:cs="Arial"/>
          <w:sz w:val="24"/>
          <w:szCs w:val="24"/>
          <w:lang w:val="en-US" w:eastAsia="zh-CN"/>
        </w:rPr>
        <w:t>;</w:t>
      </w:r>
      <w:r>
        <w:rPr>
          <w:rFonts w:hint="default" w:ascii="Arial" w:hAnsi="Arial" w:eastAsia="宋体" w:cs="Arial"/>
          <w:sz w:val="24"/>
          <w:szCs w:val="24"/>
        </w:rPr>
        <w:t>Unilever</w:t>
      </w:r>
      <w:r>
        <w:rPr>
          <w:rFonts w:hint="default" w:ascii="Arial" w:hAnsi="Arial" w:eastAsia="宋体" w:cs="Arial"/>
          <w:sz w:val="24"/>
          <w:szCs w:val="24"/>
          <w:lang w:val="en-US" w:eastAsia="zh-CN"/>
        </w:rPr>
        <w:t xml:space="preserve"> </w:t>
      </w:r>
      <w:r>
        <w:rPr>
          <w:rFonts w:hint="default" w:ascii="Arial" w:hAnsi="Arial" w:eastAsia="宋体" w:cs="Arial"/>
          <w:sz w:val="24"/>
          <w:szCs w:val="24"/>
        </w:rPr>
        <w:t>use of advanced manufacturing technology, lean production techniques, and automation enhances productivity and cost control</w:t>
      </w:r>
      <w:r>
        <w:rPr>
          <w:rFonts w:hint="default" w:ascii="Arial" w:hAnsi="Arial" w:eastAsia="宋体" w:cs="Arial"/>
          <w:sz w:val="24"/>
          <w:szCs w:val="24"/>
          <w:lang w:val="en-US" w:eastAsia="zh-CN"/>
        </w:rPr>
        <w:t>;</w:t>
      </w:r>
      <w:r>
        <w:rPr>
          <w:rFonts w:hint="default" w:ascii="Arial" w:hAnsi="Arial" w:eastAsia="宋体" w:cs="Arial"/>
          <w:sz w:val="24"/>
          <w:szCs w:val="24"/>
        </w:rPr>
        <w:t>Strong relationships with global retailers, wholesalers, and e-commerce platforms ensure smooth product distribution</w:t>
      </w:r>
      <w:r>
        <w:rPr>
          <w:rFonts w:hint="default" w:ascii="Arial" w:hAnsi="Arial" w:eastAsia="宋体" w:cs="Arial"/>
          <w:sz w:val="24"/>
          <w:szCs w:val="24"/>
          <w:lang w:val="en-US" w:eastAsia="zh-CN"/>
        </w:rPr>
        <w:t>;</w:t>
      </w:r>
      <w:r>
        <w:rPr>
          <w:rFonts w:hint="default" w:ascii="Arial" w:hAnsi="Arial" w:eastAsia="宋体" w:cs="Arial"/>
          <w:sz w:val="24"/>
          <w:szCs w:val="24"/>
        </w:rPr>
        <w:t>Unilever’s significant investment in advertising and digital platforms maintains brand visibility and consumer loyalty</w:t>
      </w:r>
      <w:r>
        <w:rPr>
          <w:rFonts w:hint="default" w:ascii="Arial" w:hAnsi="Arial" w:eastAsia="宋体" w:cs="Arial"/>
          <w:sz w:val="24"/>
          <w:szCs w:val="24"/>
          <w:lang w:val="en-US" w:eastAsia="zh-CN"/>
        </w:rPr>
        <w:t>;</w:t>
      </w:r>
      <w:r>
        <w:rPr>
          <w:rFonts w:hint="default" w:ascii="Arial" w:hAnsi="Arial" w:eastAsia="宋体" w:cs="Arial"/>
          <w:sz w:val="24"/>
          <w:szCs w:val="24"/>
        </w:rPr>
        <w:t xml:space="preserve">Customer feedback mechanisms and after-sales support systems are well-developed to retain customers and enhance satisfaction.Support </w:t>
      </w:r>
      <w:r>
        <w:rPr>
          <w:rFonts w:hint="default" w:ascii="Arial" w:hAnsi="Arial" w:eastAsia="宋体" w:cs="Arial"/>
          <w:sz w:val="24"/>
          <w:szCs w:val="24"/>
          <w:lang w:val="en-US" w:eastAsia="zh-CN"/>
        </w:rPr>
        <w:t>a</w:t>
      </w:r>
      <w:r>
        <w:rPr>
          <w:rFonts w:hint="default" w:ascii="Arial" w:hAnsi="Arial" w:eastAsia="宋体" w:cs="Arial"/>
          <w:sz w:val="24"/>
          <w:szCs w:val="24"/>
        </w:rPr>
        <w:t>ctivities</w:t>
      </w:r>
      <w:r>
        <w:rPr>
          <w:rFonts w:hint="default" w:ascii="Arial" w:hAnsi="Arial" w:eastAsia="宋体" w:cs="Arial"/>
          <w:sz w:val="24"/>
          <w:szCs w:val="24"/>
          <w:lang w:val="en-US" w:eastAsia="zh-CN"/>
        </w:rPr>
        <w:t xml:space="preserve"> includes t</w:t>
      </w:r>
      <w:r>
        <w:rPr>
          <w:rFonts w:hint="default" w:ascii="Arial" w:hAnsi="Arial" w:eastAsia="宋体" w:cs="Arial"/>
          <w:sz w:val="24"/>
          <w:szCs w:val="24"/>
        </w:rPr>
        <w:t xml:space="preserve">echnology </w:t>
      </w:r>
      <w:r>
        <w:rPr>
          <w:rFonts w:hint="default" w:ascii="Arial" w:hAnsi="Arial" w:eastAsia="宋体" w:cs="Arial"/>
          <w:sz w:val="24"/>
          <w:szCs w:val="24"/>
          <w:lang w:val="en-US" w:eastAsia="zh-CN"/>
        </w:rPr>
        <w:t>d</w:t>
      </w:r>
      <w:r>
        <w:rPr>
          <w:rFonts w:hint="default" w:ascii="Arial" w:hAnsi="Arial" w:eastAsia="宋体" w:cs="Arial"/>
          <w:sz w:val="24"/>
          <w:szCs w:val="24"/>
        </w:rPr>
        <w:t>evelopment</w:t>
      </w:r>
      <w:r>
        <w:rPr>
          <w:rFonts w:hint="default" w:ascii="Arial" w:hAnsi="Arial" w:eastAsia="宋体" w:cs="Arial"/>
          <w:sz w:val="24"/>
          <w:szCs w:val="24"/>
          <w:lang w:val="en-US" w:eastAsia="zh-CN"/>
        </w:rPr>
        <w:t>,</w:t>
      </w:r>
      <w:r>
        <w:rPr>
          <w:rFonts w:hint="default" w:ascii="Arial" w:hAnsi="Arial" w:eastAsia="宋体" w:cs="Arial"/>
          <w:sz w:val="24"/>
          <w:szCs w:val="24"/>
        </w:rPr>
        <w:t>Unilever</w:t>
      </w:r>
      <w:r>
        <w:rPr>
          <w:rFonts w:hint="default" w:ascii="Arial" w:hAnsi="Arial" w:eastAsia="宋体" w:cs="Arial"/>
          <w:sz w:val="24"/>
          <w:szCs w:val="24"/>
          <w:lang w:val="en-US" w:eastAsia="zh-CN"/>
        </w:rPr>
        <w:t xml:space="preserve"> makes i</w:t>
      </w:r>
      <w:r>
        <w:rPr>
          <w:rFonts w:hint="default" w:ascii="Arial" w:hAnsi="Arial" w:eastAsia="宋体" w:cs="Arial"/>
          <w:sz w:val="24"/>
          <w:szCs w:val="24"/>
        </w:rPr>
        <w:t>nvestment in AI, data analytics, and digital tools improves demand forecasting, supply chain management, and personalized marketing</w:t>
      </w:r>
      <w:r>
        <w:rPr>
          <w:rFonts w:hint="default" w:ascii="Arial" w:hAnsi="Arial" w:eastAsia="宋体" w:cs="Arial"/>
          <w:sz w:val="24"/>
          <w:szCs w:val="24"/>
          <w:lang w:val="en-US" w:eastAsia="zh-CN"/>
        </w:rPr>
        <w:t>;</w:t>
      </w:r>
      <w:r>
        <w:rPr>
          <w:rFonts w:hint="default" w:ascii="Arial" w:hAnsi="Arial" w:eastAsia="宋体" w:cs="Arial"/>
          <w:sz w:val="24"/>
          <w:szCs w:val="24"/>
        </w:rPr>
        <w:t>Ethical sourcing and supplier partnerships support sustainable practices and cost efficiency</w:t>
      </w:r>
      <w:r>
        <w:rPr>
          <w:rFonts w:hint="default" w:ascii="Arial" w:hAnsi="Arial" w:eastAsia="宋体" w:cs="Arial"/>
          <w:sz w:val="24"/>
          <w:szCs w:val="24"/>
          <w:lang w:val="en-US" w:eastAsia="zh-CN"/>
        </w:rPr>
        <w:t>;</w:t>
      </w:r>
      <w:r>
        <w:rPr>
          <w:rFonts w:hint="default" w:ascii="Arial" w:hAnsi="Arial" w:eastAsia="宋体" w:cs="Arial"/>
          <w:sz w:val="24"/>
          <w:szCs w:val="24"/>
        </w:rPr>
        <w:t>Strong focus on leadership development, diversity, and employee engagement enhances workforce capabilities</w:t>
      </w:r>
      <w:r>
        <w:rPr>
          <w:rFonts w:hint="default" w:ascii="Arial" w:hAnsi="Arial" w:eastAsia="宋体" w:cs="Arial"/>
          <w:sz w:val="24"/>
          <w:szCs w:val="24"/>
          <w:lang w:val="en-US" w:eastAsia="zh-CN"/>
        </w:rPr>
        <w:t>;</w:t>
      </w:r>
      <w:r>
        <w:rPr>
          <w:rFonts w:hint="default" w:ascii="Arial" w:hAnsi="Arial" w:eastAsia="宋体" w:cs="Arial"/>
          <w:sz w:val="24"/>
          <w:szCs w:val="24"/>
        </w:rPr>
        <w:t>Effective governance structures and sustainability-focused corporate strategies ensure long-term stability</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Faria</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Cunha,</w:t>
      </w:r>
      <w:r>
        <w:rPr>
          <w:rFonts w:hint="eastAsia" w:ascii="Arial" w:hAnsi="Arial" w:eastAsia="宋体" w:cs="Arial"/>
          <w:i w:val="0"/>
          <w:iCs w:val="0"/>
          <w:caps w:val="0"/>
          <w:color w:val="222222"/>
          <w:spacing w:val="0"/>
          <w:sz w:val="24"/>
          <w:szCs w:val="24"/>
          <w:shd w:val="clear" w:fill="FFFFFF"/>
          <w:lang w:val="en-US" w:eastAsia="zh-CN"/>
        </w:rPr>
        <w:t>2022).</w:t>
      </w:r>
    </w:p>
    <w:p w14:paraId="68F4A89D">
      <w:pPr>
        <w:keepNext w:val="0"/>
        <w:keepLines w:val="0"/>
        <w:widowControl/>
        <w:numPr>
          <w:ilvl w:val="0"/>
          <w:numId w:val="0"/>
        </w:numPr>
        <w:suppressLineNumbers w:val="0"/>
        <w:ind w:leftChars="0"/>
        <w:jc w:val="both"/>
        <w:outlineLvl w:val="1"/>
        <w:rPr>
          <w:rFonts w:hint="default" w:ascii="Arial" w:hAnsi="Arial" w:eastAsia="宋体" w:cs="Arial"/>
          <w:b/>
          <w:bCs/>
          <w:sz w:val="28"/>
          <w:szCs w:val="28"/>
        </w:rPr>
      </w:pPr>
      <w:bookmarkStart w:id="22" w:name="_Toc9618"/>
      <w:r>
        <w:rPr>
          <w:rFonts w:hint="default" w:ascii="Arial" w:hAnsi="Arial" w:eastAsia="宋体" w:cs="Arial"/>
          <w:b/>
          <w:bCs/>
          <w:sz w:val="28"/>
          <w:szCs w:val="28"/>
          <w:lang w:val="en-US" w:eastAsia="zh-CN"/>
        </w:rPr>
        <w:t xml:space="preserve">2.4 </w:t>
      </w:r>
      <w:r>
        <w:rPr>
          <w:rFonts w:hint="default" w:ascii="Arial" w:hAnsi="Arial" w:eastAsia="宋体" w:cs="Arial"/>
          <w:b/>
          <w:bCs/>
          <w:sz w:val="28"/>
          <w:szCs w:val="28"/>
        </w:rPr>
        <w:t>SWOT Analysis</w:t>
      </w:r>
      <w:bookmarkEnd w:id="22"/>
      <w:r>
        <w:rPr>
          <w:rFonts w:hint="eastAsia" w:ascii="Arial" w:hAnsi="Arial" w:eastAsia="宋体" w:cs="Arial"/>
          <w:b/>
          <w:bCs/>
          <w:sz w:val="28"/>
          <w:szCs w:val="28"/>
          <w:lang w:val="en-US" w:eastAsia="zh-CN"/>
        </w:rPr>
        <w:t xml:space="preserve"> </w:t>
      </w:r>
      <w:r>
        <w:rPr>
          <w:rFonts w:hint="default" w:ascii="Arial" w:hAnsi="Arial" w:eastAsia="宋体" w:cs="Arial"/>
          <w:b/>
          <w:bCs/>
          <w:sz w:val="30"/>
          <w:szCs w:val="30"/>
        </w:rPr>
        <w:t>of Unilever</w:t>
      </w:r>
    </w:p>
    <w:p w14:paraId="3BADF8B6">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Strengths</w:t>
      </w:r>
      <w:r>
        <w:rPr>
          <w:rFonts w:hint="default" w:ascii="Arial" w:hAnsi="Arial" w:eastAsia="宋体" w:cs="Arial"/>
          <w:sz w:val="24"/>
          <w:szCs w:val="24"/>
          <w:lang w:val="en-US" w:eastAsia="zh-CN"/>
        </w:rPr>
        <w:t>:</w:t>
      </w:r>
      <w:r>
        <w:rPr>
          <w:rFonts w:hint="default" w:ascii="Arial" w:hAnsi="Arial" w:eastAsia="宋体" w:cs="Arial"/>
          <w:sz w:val="24"/>
          <w:szCs w:val="24"/>
        </w:rPr>
        <w:t>Strong brand recognition and customer loyalty</w:t>
      </w:r>
      <w:r>
        <w:rPr>
          <w:rFonts w:hint="default" w:ascii="Arial" w:hAnsi="Arial" w:eastAsia="宋体" w:cs="Arial"/>
          <w:sz w:val="24"/>
          <w:szCs w:val="24"/>
          <w:lang w:val="en-US" w:eastAsia="zh-CN"/>
        </w:rPr>
        <w:t>.</w:t>
      </w:r>
      <w:r>
        <w:rPr>
          <w:rFonts w:hint="default" w:ascii="Arial" w:hAnsi="Arial" w:eastAsia="宋体" w:cs="Arial"/>
          <w:sz w:val="24"/>
          <w:szCs w:val="24"/>
        </w:rPr>
        <w:t>Economies of scale leading to cost efficiency.Well-established distribution and supply chain networks.Continuous innovation and R&amp;D investment.</w:t>
      </w:r>
    </w:p>
    <w:p w14:paraId="40DA8A40">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Weaknesses</w:t>
      </w:r>
      <w:r>
        <w:rPr>
          <w:rFonts w:hint="default" w:ascii="Arial" w:hAnsi="Arial" w:eastAsia="宋体" w:cs="Arial"/>
          <w:sz w:val="24"/>
          <w:szCs w:val="24"/>
          <w:lang w:val="en-US" w:eastAsia="zh-CN"/>
        </w:rPr>
        <w:t>:</w:t>
      </w:r>
      <w:r>
        <w:rPr>
          <w:rFonts w:hint="default" w:ascii="Arial" w:hAnsi="Arial" w:eastAsia="宋体" w:cs="Arial"/>
          <w:sz w:val="24"/>
          <w:szCs w:val="24"/>
        </w:rPr>
        <w:t>High dependency on traditional retail channels, making adaptation to e-commerce slower.Vulnerability to raw material price fluctuations.Challenges in reducing plastic waste and meeting sustainability targets.</w:t>
      </w:r>
    </w:p>
    <w:p w14:paraId="1FBCDA0B">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Opportunities</w:t>
      </w:r>
      <w:r>
        <w:rPr>
          <w:rFonts w:hint="default" w:ascii="Arial" w:hAnsi="Arial" w:eastAsia="宋体" w:cs="Arial"/>
          <w:sz w:val="24"/>
          <w:szCs w:val="24"/>
          <w:lang w:val="en-US" w:eastAsia="zh-CN"/>
        </w:rPr>
        <w:t>:</w:t>
      </w:r>
      <w:r>
        <w:rPr>
          <w:rFonts w:hint="default" w:ascii="Arial" w:hAnsi="Arial" w:eastAsia="宋体" w:cs="Arial"/>
          <w:sz w:val="24"/>
          <w:szCs w:val="24"/>
        </w:rPr>
        <w:t>Growth in e-commerce and direct-to-consumer sales.Increasing demand for health-conscious and sustainable products.Expansion into emerging markets with growing middle-class consumers.</w:t>
      </w:r>
    </w:p>
    <w:p w14:paraId="43E027FC">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default" w:ascii="Arial" w:hAnsi="Arial" w:eastAsia="宋体" w:cs="Arial"/>
          <w:sz w:val="24"/>
          <w:szCs w:val="24"/>
        </w:rPr>
        <w:t>Threats</w:t>
      </w:r>
      <w:r>
        <w:rPr>
          <w:rFonts w:hint="default" w:ascii="Arial" w:hAnsi="Arial" w:eastAsia="宋体" w:cs="Arial"/>
          <w:sz w:val="24"/>
          <w:szCs w:val="24"/>
          <w:lang w:val="en-US" w:eastAsia="zh-CN"/>
        </w:rPr>
        <w:t>:</w:t>
      </w:r>
      <w:r>
        <w:rPr>
          <w:rFonts w:hint="default" w:ascii="Arial" w:hAnsi="Arial" w:eastAsia="宋体" w:cs="Arial"/>
          <w:sz w:val="24"/>
          <w:szCs w:val="24"/>
        </w:rPr>
        <w:t>Intense competition from global brands and private-label products.Changing consumer preferences toward niche and local brands.Regulatory pressure regarding sustainability, plastic usage, and sugar content in food products</w:t>
      </w:r>
      <w:r>
        <w:rPr>
          <w:rFonts w:hint="eastAsia" w:ascii="Arial" w:hAnsi="Arial" w:eastAsia="宋体" w:cs="Arial"/>
          <w:sz w:val="24"/>
          <w:szCs w:val="24"/>
          <w:lang w:val="en-US" w:eastAsia="zh-CN"/>
        </w:rPr>
        <w:t>(</w:t>
      </w:r>
      <w:r>
        <w:rPr>
          <w:rFonts w:ascii="Arial" w:hAnsi="Arial" w:eastAsia="宋体" w:cs="Arial"/>
          <w:i w:val="0"/>
          <w:iCs w:val="0"/>
          <w:caps w:val="0"/>
          <w:color w:val="222222"/>
          <w:spacing w:val="0"/>
          <w:sz w:val="24"/>
          <w:szCs w:val="24"/>
          <w:shd w:val="clear" w:fill="FFFFFF"/>
        </w:rPr>
        <w:t>Cheng</w:t>
      </w:r>
      <w:r>
        <w:rPr>
          <w:rFonts w:hint="eastAsia" w:ascii="Arial" w:hAnsi="Arial" w:eastAsia="宋体" w:cs="Arial"/>
          <w:i w:val="0"/>
          <w:iCs w:val="0"/>
          <w:caps w:val="0"/>
          <w:color w:val="222222"/>
          <w:spacing w:val="0"/>
          <w:sz w:val="24"/>
          <w:szCs w:val="24"/>
          <w:shd w:val="clear" w:fill="FFFFFF"/>
          <w:lang w:val="en-US" w:eastAsia="zh-CN"/>
        </w:rPr>
        <w:t>,2021).</w:t>
      </w:r>
    </w:p>
    <w:p w14:paraId="5824C4F5">
      <w:pPr>
        <w:keepNext w:val="0"/>
        <w:keepLines w:val="0"/>
        <w:widowControl/>
        <w:numPr>
          <w:ilvl w:val="0"/>
          <w:numId w:val="0"/>
        </w:numPr>
        <w:suppressLineNumbers w:val="0"/>
        <w:spacing w:line="360" w:lineRule="auto"/>
        <w:ind w:leftChars="0"/>
        <w:jc w:val="both"/>
        <w:outlineLvl w:val="1"/>
        <w:rPr>
          <w:rFonts w:hint="default" w:ascii="Arial" w:hAnsi="Arial" w:eastAsia="宋体" w:cs="Arial"/>
          <w:b/>
          <w:bCs/>
          <w:sz w:val="28"/>
          <w:szCs w:val="28"/>
        </w:rPr>
      </w:pPr>
      <w:bookmarkStart w:id="23" w:name="_Toc8809"/>
      <w:r>
        <w:rPr>
          <w:rFonts w:hint="default" w:ascii="Arial" w:hAnsi="Arial" w:eastAsia="宋体" w:cs="Arial"/>
          <w:b/>
          <w:bCs/>
          <w:sz w:val="28"/>
          <w:szCs w:val="28"/>
          <w:lang w:val="en-US" w:eastAsia="zh-CN"/>
        </w:rPr>
        <w:t xml:space="preserve">2.5 </w:t>
      </w:r>
      <w:r>
        <w:rPr>
          <w:rFonts w:hint="default" w:ascii="Arial" w:hAnsi="Arial" w:eastAsia="宋体" w:cs="Arial"/>
          <w:b/>
          <w:bCs/>
          <w:sz w:val="28"/>
          <w:szCs w:val="28"/>
        </w:rPr>
        <w:t>Strategy Formulation &amp; Competitive Positioning of Unilever</w:t>
      </w:r>
      <w:bookmarkEnd w:id="23"/>
    </w:p>
    <w:p w14:paraId="5DC03916">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24" w:name="_Toc6161"/>
      <w:r>
        <w:rPr>
          <w:rFonts w:hint="default" w:ascii="Arial" w:hAnsi="Arial" w:eastAsia="宋体" w:cs="Arial"/>
          <w:b/>
          <w:bCs/>
          <w:sz w:val="24"/>
          <w:szCs w:val="24"/>
          <w:lang w:val="en-US" w:eastAsia="zh-CN"/>
        </w:rPr>
        <w:t xml:space="preserve">2.5.1 </w:t>
      </w:r>
      <w:r>
        <w:rPr>
          <w:rFonts w:hint="default" w:ascii="Arial" w:hAnsi="Arial" w:eastAsia="宋体" w:cs="Arial"/>
          <w:b/>
          <w:bCs/>
          <w:sz w:val="24"/>
          <w:szCs w:val="24"/>
        </w:rPr>
        <w:t>Current Strategic Positioning: Porter’s Generic Strategies</w:t>
      </w:r>
      <w:bookmarkEnd w:id="24"/>
    </w:p>
    <w:p w14:paraId="22E5CABB">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Unilever’s current strategic positioning can be effectively explained using </w:t>
      </w:r>
      <w:r>
        <w:rPr>
          <w:rStyle w:val="8"/>
          <w:rFonts w:hint="default" w:ascii="Arial" w:hAnsi="Arial" w:eastAsia="宋体" w:cs="Arial"/>
          <w:b w:val="0"/>
          <w:bCs w:val="0"/>
          <w:sz w:val="24"/>
          <w:szCs w:val="24"/>
        </w:rPr>
        <w:t>Porter’s Generic Strategies</w:t>
      </w:r>
      <w:r>
        <w:rPr>
          <w:rFonts w:hint="default" w:ascii="Arial" w:hAnsi="Arial" w:eastAsia="宋体" w:cs="Arial"/>
          <w:b w:val="0"/>
          <w:bCs w:val="0"/>
          <w:sz w:val="24"/>
          <w:szCs w:val="24"/>
        </w:rPr>
        <w:t xml:space="preserve">, particularly focusing on a </w:t>
      </w:r>
      <w:r>
        <w:rPr>
          <w:rFonts w:hint="eastAsia" w:ascii="Arial" w:hAnsi="Arial" w:eastAsia="宋体" w:cs="Arial"/>
          <w:b w:val="0"/>
          <w:bCs w:val="0"/>
          <w:sz w:val="24"/>
          <w:szCs w:val="24"/>
          <w:lang w:val="en-US" w:eastAsia="zh-CN"/>
        </w:rPr>
        <w:t>d</w:t>
      </w:r>
      <w:r>
        <w:rPr>
          <w:rStyle w:val="8"/>
          <w:rFonts w:hint="default" w:ascii="Arial" w:hAnsi="Arial" w:eastAsia="宋体" w:cs="Arial"/>
          <w:b w:val="0"/>
          <w:bCs w:val="0"/>
          <w:sz w:val="24"/>
          <w:szCs w:val="24"/>
        </w:rPr>
        <w:t xml:space="preserve">ifferentiation </w:t>
      </w:r>
      <w:r>
        <w:rPr>
          <w:rStyle w:val="8"/>
          <w:rFonts w:hint="eastAsia" w:ascii="Arial" w:hAnsi="Arial" w:eastAsia="宋体" w:cs="Arial"/>
          <w:b w:val="0"/>
          <w:bCs w:val="0"/>
          <w:sz w:val="24"/>
          <w:szCs w:val="24"/>
          <w:lang w:val="en-US" w:eastAsia="zh-CN"/>
        </w:rPr>
        <w:t>s</w:t>
      </w:r>
      <w:r>
        <w:rPr>
          <w:rStyle w:val="8"/>
          <w:rFonts w:hint="default" w:ascii="Arial" w:hAnsi="Arial" w:eastAsia="宋体" w:cs="Arial"/>
          <w:b w:val="0"/>
          <w:bCs w:val="0"/>
          <w:sz w:val="24"/>
          <w:szCs w:val="24"/>
        </w:rPr>
        <w:t>trategy</w:t>
      </w:r>
      <w:r>
        <w:rPr>
          <w:rFonts w:hint="default" w:ascii="Arial" w:hAnsi="Arial" w:eastAsia="宋体" w:cs="Arial"/>
          <w:b w:val="0"/>
          <w:bCs w:val="0"/>
          <w:sz w:val="24"/>
          <w:szCs w:val="24"/>
        </w:rPr>
        <w:t xml:space="preserve">. Unilever operates in highly competitive FMCG markets and distinguishes itself through its strong emphasis on </w:t>
      </w:r>
      <w:r>
        <w:rPr>
          <w:rStyle w:val="8"/>
          <w:rFonts w:hint="default" w:ascii="Arial" w:hAnsi="Arial" w:eastAsia="宋体" w:cs="Arial"/>
          <w:b w:val="0"/>
          <w:bCs w:val="0"/>
          <w:sz w:val="24"/>
          <w:szCs w:val="24"/>
        </w:rPr>
        <w:t>brand equity, product innovation, and sustainability leadership</w:t>
      </w:r>
      <w:r>
        <w:rPr>
          <w:rFonts w:hint="default" w:ascii="Arial" w:hAnsi="Arial" w:eastAsia="宋体" w:cs="Arial"/>
          <w:b w:val="0"/>
          <w:bCs w:val="0"/>
          <w:sz w:val="24"/>
          <w:szCs w:val="24"/>
        </w:rPr>
        <w:t>. The company offers premium-quality, health-conscious, and environmentally sustainable products, differentiating itself from cost-leaders and private-label competitors.</w:t>
      </w:r>
    </w:p>
    <w:p w14:paraId="65DEECC3">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Unilever's commitment to sustainability—evident through initiatives like the </w:t>
      </w:r>
      <w:r>
        <w:rPr>
          <w:rStyle w:val="8"/>
          <w:rFonts w:hint="default" w:ascii="Arial" w:hAnsi="Arial" w:eastAsia="宋体" w:cs="Arial"/>
          <w:b w:val="0"/>
          <w:bCs w:val="0"/>
          <w:sz w:val="24"/>
          <w:szCs w:val="24"/>
        </w:rPr>
        <w:t>Unilever Sustainable Living Plan (USLP)</w:t>
      </w:r>
      <w:r>
        <w:rPr>
          <w:rFonts w:hint="default" w:ascii="Arial" w:hAnsi="Arial" w:eastAsia="宋体" w:cs="Arial"/>
          <w:b w:val="0"/>
          <w:bCs w:val="0"/>
          <w:sz w:val="24"/>
          <w:szCs w:val="24"/>
        </w:rPr>
        <w:t>—and its investment in ethical sourcing, eco-friendly packaging, and social responsibility enhances its brand image and allows it to command premium pricing. This differentiation is further reinforced by a diverse global brand portfolio, including Dove, Ben &amp; Jerry’s, and Hellmann’s, tailored to meet the preferences of local and global markets alike</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Stanley</w:t>
      </w:r>
      <w:r>
        <w:rPr>
          <w:rFonts w:hint="eastAsia" w:ascii="Arial" w:hAnsi="Arial" w:eastAsia="宋体" w:cs="Arial"/>
          <w:i w:val="0"/>
          <w:iCs w:val="0"/>
          <w:caps w:val="0"/>
          <w:color w:val="222222"/>
          <w:spacing w:val="0"/>
          <w:sz w:val="24"/>
          <w:szCs w:val="24"/>
          <w:shd w:val="clear" w:fill="FFFFFF"/>
          <w:lang w:val="en-US" w:eastAsia="zh-CN"/>
        </w:rPr>
        <w:t xml:space="preserve"> et al,2022).</w:t>
      </w:r>
    </w:p>
    <w:p w14:paraId="5EF5A7B6">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25" w:name="_Toc30273"/>
      <w:r>
        <w:rPr>
          <w:rFonts w:hint="default" w:ascii="Arial" w:hAnsi="Arial" w:eastAsia="宋体" w:cs="Arial"/>
          <w:b/>
          <w:bCs/>
          <w:sz w:val="24"/>
          <w:szCs w:val="24"/>
          <w:lang w:val="en-US" w:eastAsia="zh-CN"/>
        </w:rPr>
        <w:t xml:space="preserve">2.5.2 </w:t>
      </w:r>
      <w:r>
        <w:rPr>
          <w:rFonts w:hint="default" w:ascii="Arial" w:hAnsi="Arial" w:eastAsia="宋体" w:cs="Arial"/>
          <w:b/>
          <w:bCs/>
          <w:sz w:val="24"/>
          <w:szCs w:val="24"/>
        </w:rPr>
        <w:t>Potential Growth Strategies: Ansoff’s Matrix</w:t>
      </w:r>
      <w:bookmarkEnd w:id="25"/>
    </w:p>
    <w:p w14:paraId="3580E133">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Unilever’s potential growth strategies can be explored using </w:t>
      </w:r>
      <w:r>
        <w:rPr>
          <w:rStyle w:val="8"/>
          <w:rFonts w:hint="default" w:ascii="Arial" w:hAnsi="Arial" w:eastAsia="宋体" w:cs="Arial"/>
          <w:b w:val="0"/>
          <w:bCs w:val="0"/>
          <w:sz w:val="24"/>
          <w:szCs w:val="24"/>
        </w:rPr>
        <w:t>Ansoff’s Matrix</w:t>
      </w:r>
      <w:r>
        <w:rPr>
          <w:rFonts w:hint="default" w:ascii="Arial" w:hAnsi="Arial" w:eastAsia="宋体" w:cs="Arial"/>
          <w:b w:val="0"/>
          <w:bCs w:val="0"/>
          <w:sz w:val="24"/>
          <w:szCs w:val="24"/>
        </w:rPr>
        <w:t xml:space="preserve">, which provides four avenues:Market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enetration</w:t>
      </w:r>
      <w:r>
        <w:rPr>
          <w:rFonts w:hint="default" w:ascii="Arial" w:hAnsi="Arial" w:eastAsia="宋体" w:cs="Arial"/>
          <w:b w:val="0"/>
          <w:bCs w:val="0"/>
          <w:sz w:val="24"/>
          <w:szCs w:val="24"/>
          <w:lang w:val="en-US" w:eastAsia="zh-CN"/>
        </w:rPr>
        <w:t>,m</w:t>
      </w:r>
      <w:r>
        <w:rPr>
          <w:rFonts w:hint="default" w:ascii="Arial" w:hAnsi="Arial" w:eastAsia="宋体" w:cs="Arial"/>
          <w:b w:val="0"/>
          <w:bCs w:val="0"/>
          <w:sz w:val="24"/>
          <w:szCs w:val="24"/>
        </w:rPr>
        <w:t xml:space="preserve">arket </w:t>
      </w:r>
      <w:r>
        <w:rPr>
          <w:rFonts w:hint="default" w:ascii="Arial" w:hAnsi="Arial" w:eastAsia="宋体" w:cs="Arial"/>
          <w:b w:val="0"/>
          <w:bCs w:val="0"/>
          <w:sz w:val="24"/>
          <w:szCs w:val="24"/>
          <w:lang w:val="en-US" w:eastAsia="zh-CN"/>
        </w:rPr>
        <w:t>d</w:t>
      </w:r>
      <w:r>
        <w:rPr>
          <w:rFonts w:hint="default" w:ascii="Arial" w:hAnsi="Arial" w:eastAsia="宋体" w:cs="Arial"/>
          <w:b w:val="0"/>
          <w:bCs w:val="0"/>
          <w:sz w:val="24"/>
          <w:szCs w:val="24"/>
        </w:rPr>
        <w:t>evelopment</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 xml:space="preserve">roduct </w:t>
      </w:r>
      <w:r>
        <w:rPr>
          <w:rFonts w:hint="default" w:ascii="Arial" w:hAnsi="Arial" w:eastAsia="宋体" w:cs="Arial"/>
          <w:b w:val="0"/>
          <w:bCs w:val="0"/>
          <w:sz w:val="24"/>
          <w:szCs w:val="24"/>
          <w:lang w:val="en-US" w:eastAsia="zh-CN"/>
        </w:rPr>
        <w:t>d</w:t>
      </w:r>
      <w:r>
        <w:rPr>
          <w:rFonts w:hint="default" w:ascii="Arial" w:hAnsi="Arial" w:eastAsia="宋体" w:cs="Arial"/>
          <w:b w:val="0"/>
          <w:bCs w:val="0"/>
          <w:sz w:val="24"/>
          <w:szCs w:val="24"/>
        </w:rPr>
        <w:t>evelopment</w:t>
      </w:r>
      <w:r>
        <w:rPr>
          <w:rFonts w:hint="default" w:ascii="Arial" w:hAnsi="Arial" w:eastAsia="宋体" w:cs="Arial"/>
          <w:b w:val="0"/>
          <w:bCs w:val="0"/>
          <w:sz w:val="24"/>
          <w:szCs w:val="24"/>
          <w:lang w:val="en-US" w:eastAsia="zh-CN"/>
        </w:rPr>
        <w:t xml:space="preserve"> and d</w:t>
      </w:r>
      <w:r>
        <w:rPr>
          <w:rFonts w:hint="default" w:ascii="Arial" w:hAnsi="Arial" w:eastAsia="宋体" w:cs="Arial"/>
          <w:b w:val="0"/>
          <w:bCs w:val="0"/>
          <w:sz w:val="24"/>
          <w:szCs w:val="24"/>
        </w:rPr>
        <w:t>iversification</w:t>
      </w:r>
      <w:r>
        <w:rPr>
          <w:rFonts w:hint="default" w:ascii="Arial" w:hAnsi="Arial" w:eastAsia="宋体" w:cs="Arial"/>
          <w:b w:val="0"/>
          <w:bCs w:val="0"/>
          <w:sz w:val="24"/>
          <w:szCs w:val="24"/>
          <w:lang w:val="en-US" w:eastAsia="zh-CN"/>
        </w:rPr>
        <w:t>.For m</w:t>
      </w:r>
      <w:r>
        <w:rPr>
          <w:rFonts w:hint="default" w:ascii="Arial" w:hAnsi="Arial" w:eastAsia="宋体" w:cs="Arial"/>
          <w:b w:val="0"/>
          <w:bCs w:val="0"/>
          <w:sz w:val="24"/>
          <w:szCs w:val="24"/>
        </w:rPr>
        <w:t>arket</w:t>
      </w:r>
      <w:r>
        <w:rPr>
          <w:rFonts w:hint="default" w:ascii="Arial" w:hAnsi="Arial" w:eastAsia="宋体" w:cs="Arial"/>
          <w:b w:val="0"/>
          <w:bCs w:val="0"/>
          <w:sz w:val="24"/>
          <w:szCs w:val="24"/>
          <w:lang w:val="en-US" w:eastAsia="zh-CN"/>
        </w:rPr>
        <w:t xml:space="preserve"> p</w:t>
      </w:r>
      <w:r>
        <w:rPr>
          <w:rFonts w:hint="default" w:ascii="Arial" w:hAnsi="Arial" w:eastAsia="宋体" w:cs="Arial"/>
          <w:b w:val="0"/>
          <w:bCs w:val="0"/>
          <w:sz w:val="24"/>
          <w:szCs w:val="24"/>
        </w:rPr>
        <w:t>enetration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Unilever continues to strengthen its position in existing markets by increasing market share through aggressive marketing, promotional campaigns, and competitive pricing, especially in core categories like personal care and food products.</w:t>
      </w:r>
      <w:r>
        <w:rPr>
          <w:rFonts w:hint="default" w:ascii="Arial" w:hAnsi="Arial" w:eastAsia="宋体" w:cs="Arial"/>
          <w:b w:val="0"/>
          <w:bCs w:val="0"/>
          <w:sz w:val="24"/>
          <w:szCs w:val="24"/>
          <w:lang w:val="en-US" w:eastAsia="zh-CN"/>
        </w:rPr>
        <w:t>For m</w:t>
      </w:r>
      <w:r>
        <w:rPr>
          <w:rFonts w:hint="default" w:ascii="Arial" w:hAnsi="Arial" w:eastAsia="宋体" w:cs="Arial"/>
          <w:b w:val="0"/>
          <w:bCs w:val="0"/>
          <w:sz w:val="24"/>
          <w:szCs w:val="24"/>
        </w:rPr>
        <w:t xml:space="preserve">arket </w:t>
      </w:r>
      <w:r>
        <w:rPr>
          <w:rFonts w:hint="default" w:ascii="Arial" w:hAnsi="Arial" w:eastAsia="宋体" w:cs="Arial"/>
          <w:b w:val="0"/>
          <w:bCs w:val="0"/>
          <w:sz w:val="24"/>
          <w:szCs w:val="24"/>
          <w:lang w:val="en-US" w:eastAsia="zh-CN"/>
        </w:rPr>
        <w:t>d</w:t>
      </w:r>
      <w:r>
        <w:rPr>
          <w:rFonts w:hint="default" w:ascii="Arial" w:hAnsi="Arial" w:eastAsia="宋体" w:cs="Arial"/>
          <w:b w:val="0"/>
          <w:bCs w:val="0"/>
          <w:sz w:val="24"/>
          <w:szCs w:val="24"/>
        </w:rPr>
        <w:t>evelopment</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Unilever actively targets </w:t>
      </w:r>
      <w:r>
        <w:rPr>
          <w:rStyle w:val="8"/>
          <w:rFonts w:hint="default" w:ascii="Arial" w:hAnsi="Arial" w:eastAsia="宋体" w:cs="Arial"/>
          <w:b w:val="0"/>
          <w:bCs w:val="0"/>
          <w:sz w:val="24"/>
          <w:szCs w:val="24"/>
        </w:rPr>
        <w:t>emerging markets</w:t>
      </w:r>
      <w:r>
        <w:rPr>
          <w:rFonts w:hint="default" w:ascii="Arial" w:hAnsi="Arial" w:eastAsia="宋体" w:cs="Arial"/>
          <w:b w:val="0"/>
          <w:bCs w:val="0"/>
          <w:sz w:val="24"/>
          <w:szCs w:val="24"/>
        </w:rPr>
        <w:t xml:space="preserve"> (e.g., India, Southeast Asia, and Africa), where rising middle-class incomes and urbanization present substantial growth opportunities. The company adapts products and pricing strategies to local preferences and economic conditions.</w:t>
      </w:r>
      <w:r>
        <w:rPr>
          <w:rFonts w:hint="default" w:ascii="Arial" w:hAnsi="Arial" w:eastAsia="宋体" w:cs="Arial"/>
          <w:b w:val="0"/>
          <w:bCs w:val="0"/>
          <w:sz w:val="24"/>
          <w:szCs w:val="24"/>
          <w:lang w:val="en-US" w:eastAsia="zh-CN"/>
        </w:rPr>
        <w:t>For d</w:t>
      </w:r>
      <w:r>
        <w:rPr>
          <w:rFonts w:hint="default" w:ascii="Arial" w:hAnsi="Arial" w:eastAsia="宋体" w:cs="Arial"/>
          <w:b w:val="0"/>
          <w:bCs w:val="0"/>
          <w:sz w:val="24"/>
          <w:szCs w:val="24"/>
        </w:rPr>
        <w:t>iversification</w:t>
      </w:r>
      <w:r>
        <w:rPr>
          <w:rFonts w:hint="default" w:ascii="Arial" w:hAnsi="Arial" w:eastAsia="宋体" w:cs="Arial"/>
          <w:b w:val="0"/>
          <w:bCs w:val="0"/>
          <w:sz w:val="24"/>
          <w:szCs w:val="24"/>
          <w:lang w:val="en-US" w:eastAsia="zh-CN"/>
        </w:rPr>
        <w:t>,w</w:t>
      </w:r>
      <w:r>
        <w:rPr>
          <w:rFonts w:hint="default" w:ascii="Arial" w:hAnsi="Arial" w:eastAsia="宋体" w:cs="Arial"/>
          <w:b w:val="0"/>
          <w:bCs w:val="0"/>
          <w:sz w:val="24"/>
          <w:szCs w:val="24"/>
        </w:rPr>
        <w:t>hile primarily focused on core FMCG areas, Unilever has cautiously diversified into adjacent sectors like health and wellness, including acquiring brands that align with emerging consumer trends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Damayanti</w:t>
      </w:r>
      <w:r>
        <w:rPr>
          <w:rFonts w:hint="eastAsia" w:ascii="Arial" w:hAnsi="Arial" w:eastAsia="宋体" w:cs="Arial"/>
          <w:i w:val="0"/>
          <w:iCs w:val="0"/>
          <w:caps w:val="0"/>
          <w:color w:val="222222"/>
          <w:spacing w:val="0"/>
          <w:sz w:val="24"/>
          <w:szCs w:val="24"/>
          <w:shd w:val="clear" w:fill="FFFFFF"/>
          <w:lang w:val="en-US" w:eastAsia="zh-CN"/>
        </w:rPr>
        <w:t xml:space="preserve"> and </w:t>
      </w:r>
      <w:r>
        <w:rPr>
          <w:rFonts w:ascii="Arial" w:hAnsi="Arial" w:eastAsia="宋体" w:cs="Arial"/>
          <w:i w:val="0"/>
          <w:iCs w:val="0"/>
          <w:caps w:val="0"/>
          <w:color w:val="222222"/>
          <w:spacing w:val="0"/>
          <w:sz w:val="24"/>
          <w:szCs w:val="24"/>
          <w:shd w:val="clear" w:fill="FFFFFF"/>
        </w:rPr>
        <w:t>Halimah</w:t>
      </w:r>
      <w:r>
        <w:rPr>
          <w:rFonts w:hint="eastAsia" w:ascii="Arial" w:hAnsi="Arial" w:eastAsia="宋体" w:cs="Arial"/>
          <w:i w:val="0"/>
          <w:iCs w:val="0"/>
          <w:caps w:val="0"/>
          <w:color w:val="222222"/>
          <w:spacing w:val="0"/>
          <w:sz w:val="24"/>
          <w:szCs w:val="24"/>
          <w:shd w:val="clear" w:fill="FFFFFF"/>
          <w:lang w:val="en-US" w:eastAsia="zh-CN"/>
        </w:rPr>
        <w:t>,2023).</w:t>
      </w:r>
    </w:p>
    <w:p w14:paraId="4B4A6871">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26" w:name="_Toc21289"/>
      <w:r>
        <w:rPr>
          <w:rFonts w:hint="default" w:ascii="Arial" w:hAnsi="Arial" w:eastAsia="宋体" w:cs="Arial"/>
          <w:b/>
          <w:bCs/>
          <w:sz w:val="24"/>
          <w:szCs w:val="24"/>
          <w:lang w:val="en-US" w:eastAsia="zh-CN"/>
        </w:rPr>
        <w:t xml:space="preserve">2.5.3 </w:t>
      </w:r>
      <w:r>
        <w:rPr>
          <w:rFonts w:hint="default" w:ascii="Arial" w:hAnsi="Arial" w:eastAsia="宋体" w:cs="Arial"/>
          <w:b/>
          <w:bCs/>
          <w:sz w:val="24"/>
          <w:szCs w:val="24"/>
        </w:rPr>
        <w:t>Mergers &amp; Acquisitions (M&amp;A) Assessment</w:t>
      </w:r>
      <w:bookmarkEnd w:id="26"/>
    </w:p>
    <w:p w14:paraId="17A7A762">
      <w:pPr>
        <w:keepNext w:val="0"/>
        <w:keepLines w:val="0"/>
        <w:widowControl/>
        <w:numPr>
          <w:ilvl w:val="0"/>
          <w:numId w:val="0"/>
        </w:numPr>
        <w:suppressLineNumbers w:val="0"/>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 has pursued selective </w:t>
      </w:r>
      <w:r>
        <w:rPr>
          <w:rStyle w:val="8"/>
          <w:rFonts w:hint="default" w:ascii="Arial" w:hAnsi="Arial" w:eastAsia="宋体" w:cs="Arial"/>
          <w:b w:val="0"/>
          <w:bCs w:val="0"/>
          <w:sz w:val="24"/>
          <w:szCs w:val="24"/>
        </w:rPr>
        <w:t>M&amp;A activities</w:t>
      </w:r>
      <w:r>
        <w:rPr>
          <w:rFonts w:hint="default" w:ascii="Arial" w:hAnsi="Arial" w:eastAsia="宋体" w:cs="Arial"/>
          <w:b w:val="0"/>
          <w:bCs w:val="0"/>
          <w:sz w:val="24"/>
          <w:szCs w:val="24"/>
        </w:rPr>
        <w:t xml:space="preserve"> to strengthen its brand portfolio and expand into high-growth segments. Notable past acquisitions include</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Vegetarian Butcher (2018)</w:t>
      </w:r>
      <w:r>
        <w:rPr>
          <w:rFonts w:hint="default" w:ascii="Arial" w:hAnsi="Arial" w:eastAsia="宋体" w:cs="Arial"/>
          <w:b w:val="0"/>
          <w:bCs w:val="0"/>
          <w:sz w:val="24"/>
          <w:szCs w:val="24"/>
          <w:lang w:val="en-US" w:eastAsia="zh-CN"/>
        </w:rPr>
        <w:t xml:space="preserve">and </w:t>
      </w:r>
      <w:r>
        <w:rPr>
          <w:rFonts w:hint="default" w:ascii="Arial" w:hAnsi="Arial" w:eastAsia="宋体" w:cs="Arial"/>
          <w:b w:val="0"/>
          <w:bCs w:val="0"/>
          <w:sz w:val="24"/>
          <w:szCs w:val="24"/>
        </w:rPr>
        <w:t>Horlicks (2019)</w:t>
      </w:r>
      <w:r>
        <w:rPr>
          <w:rFonts w:hint="default" w:ascii="Arial" w:hAnsi="Arial" w:eastAsia="宋体" w:cs="Arial"/>
          <w:b w:val="0"/>
          <w:bCs w:val="0"/>
          <w:sz w:val="24"/>
          <w:szCs w:val="24"/>
          <w:lang w:val="en-US" w:eastAsia="zh-CN"/>
        </w:rPr>
        <w:t>.</w:t>
      </w:r>
      <w:r>
        <w:rPr>
          <w:rStyle w:val="8"/>
          <w:rFonts w:hint="default" w:ascii="Arial" w:hAnsi="Arial" w:eastAsia="宋体" w:cs="Arial"/>
          <w:b w:val="0"/>
          <w:bCs w:val="0"/>
          <w:sz w:val="24"/>
          <w:szCs w:val="24"/>
        </w:rPr>
        <w:t>Vegetarian Butcher (2018):</w:t>
      </w:r>
      <w:r>
        <w:rPr>
          <w:rFonts w:hint="default" w:ascii="Arial" w:hAnsi="Arial" w:eastAsia="宋体" w:cs="Arial"/>
          <w:b w:val="0"/>
          <w:bCs w:val="0"/>
          <w:sz w:val="24"/>
          <w:szCs w:val="24"/>
        </w:rPr>
        <w:t xml:space="preserve"> This acquisition aligned with the rising demand for plant-based protein products and supported Unilever’s sustainability and health goals.</w:t>
      </w:r>
      <w:r>
        <w:rPr>
          <w:rStyle w:val="8"/>
          <w:rFonts w:hint="default" w:ascii="Arial" w:hAnsi="Arial" w:eastAsia="宋体" w:cs="Arial"/>
          <w:b w:val="0"/>
          <w:bCs w:val="0"/>
          <w:sz w:val="24"/>
          <w:szCs w:val="24"/>
        </w:rPr>
        <w:t>Horlicks (2019):</w:t>
      </w:r>
      <w:r>
        <w:rPr>
          <w:rFonts w:hint="default" w:ascii="Arial" w:hAnsi="Arial" w:eastAsia="宋体" w:cs="Arial"/>
          <w:b w:val="0"/>
          <w:bCs w:val="0"/>
          <w:sz w:val="24"/>
          <w:szCs w:val="24"/>
        </w:rPr>
        <w:t xml:space="preserve"> Unilever acquired Horlicks and other GSK consumer health brands to enhance its presence in the Indian market and expand in the health-focused beverages segment</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Lukman</w:t>
      </w:r>
      <w:r>
        <w:rPr>
          <w:rFonts w:hint="eastAsia" w:ascii="Arial" w:hAnsi="Arial" w:eastAsia="宋体" w:cs="Arial"/>
          <w:i w:val="0"/>
          <w:iCs w:val="0"/>
          <w:caps w:val="0"/>
          <w:color w:val="222222"/>
          <w:spacing w:val="0"/>
          <w:sz w:val="24"/>
          <w:szCs w:val="24"/>
          <w:shd w:val="clear" w:fill="FFFFFF"/>
          <w:lang w:val="en-US" w:eastAsia="zh-CN"/>
        </w:rPr>
        <w:t>,2021).</w:t>
      </w:r>
    </w:p>
    <w:p w14:paraId="297FB556">
      <w:pPr>
        <w:keepNext w:val="0"/>
        <w:keepLines w:val="0"/>
        <w:widowControl/>
        <w:numPr>
          <w:ilvl w:val="0"/>
          <w:numId w:val="0"/>
        </w:numPr>
        <w:suppressLineNumbers w:val="0"/>
        <w:ind w:leftChars="0"/>
        <w:jc w:val="left"/>
        <w:outlineLvl w:val="1"/>
        <w:rPr>
          <w:rFonts w:hint="default" w:ascii="Arial" w:hAnsi="Arial" w:eastAsia="宋体" w:cs="Arial"/>
          <w:b/>
          <w:bCs/>
          <w:sz w:val="28"/>
          <w:szCs w:val="28"/>
        </w:rPr>
      </w:pPr>
      <w:bookmarkStart w:id="27" w:name="_Toc30525"/>
      <w:r>
        <w:rPr>
          <w:rFonts w:hint="default" w:ascii="Arial" w:hAnsi="Arial" w:eastAsia="宋体" w:cs="Arial"/>
          <w:b/>
          <w:bCs/>
          <w:sz w:val="28"/>
          <w:szCs w:val="28"/>
          <w:lang w:val="en-US" w:eastAsia="zh-CN"/>
        </w:rPr>
        <w:t xml:space="preserve">2.6 </w:t>
      </w:r>
      <w:r>
        <w:rPr>
          <w:rFonts w:hint="default" w:ascii="Arial" w:hAnsi="Arial" w:eastAsia="宋体" w:cs="Arial"/>
          <w:b/>
          <w:bCs/>
          <w:sz w:val="28"/>
          <w:szCs w:val="28"/>
        </w:rPr>
        <w:t>Sustainability &amp; Strategic Recommendations for Unilever</w:t>
      </w:r>
      <w:bookmarkEnd w:id="27"/>
    </w:p>
    <w:p w14:paraId="3E9D1514">
      <w:pPr>
        <w:keepNext w:val="0"/>
        <w:keepLines w:val="0"/>
        <w:widowControl/>
        <w:numPr>
          <w:ilvl w:val="0"/>
          <w:numId w:val="0"/>
        </w:numPr>
        <w:suppressLineNumbers w:val="0"/>
        <w:ind w:leftChars="0"/>
        <w:jc w:val="left"/>
        <w:outlineLvl w:val="2"/>
        <w:rPr>
          <w:rFonts w:hint="default" w:ascii="Arial" w:hAnsi="Arial" w:eastAsia="宋体" w:cs="Arial"/>
          <w:b/>
          <w:bCs/>
          <w:sz w:val="24"/>
          <w:szCs w:val="24"/>
        </w:rPr>
      </w:pPr>
      <w:bookmarkStart w:id="28" w:name="_Toc14092"/>
      <w:r>
        <w:rPr>
          <w:rFonts w:hint="default" w:ascii="Arial" w:hAnsi="Arial" w:eastAsia="宋体" w:cs="Arial"/>
          <w:b/>
          <w:bCs/>
          <w:sz w:val="24"/>
          <w:szCs w:val="24"/>
          <w:lang w:val="en-US" w:eastAsia="zh-CN"/>
        </w:rPr>
        <w:t xml:space="preserve">2.6.1 </w:t>
      </w:r>
      <w:r>
        <w:rPr>
          <w:rFonts w:hint="default" w:ascii="Arial" w:hAnsi="Arial" w:eastAsia="宋体" w:cs="Arial"/>
          <w:b/>
          <w:bCs/>
          <w:sz w:val="24"/>
          <w:szCs w:val="24"/>
        </w:rPr>
        <w:t>Evaluation of Sustainability Initiatives and Strategic Implications</w:t>
      </w:r>
      <w:bookmarkEnd w:id="28"/>
    </w:p>
    <w:p w14:paraId="5692032E">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Unilever has long been recognized as a leader in corporate sustainability, primarily through its </w:t>
      </w:r>
      <w:r>
        <w:rPr>
          <w:rStyle w:val="8"/>
          <w:rFonts w:hint="default" w:ascii="Arial" w:hAnsi="Arial" w:eastAsia="宋体" w:cs="Arial"/>
          <w:b w:val="0"/>
          <w:bCs w:val="0"/>
          <w:sz w:val="24"/>
          <w:szCs w:val="24"/>
        </w:rPr>
        <w:t>Unilever Sustainable Living Plan (USLP)</w:t>
      </w:r>
      <w:r>
        <w:rPr>
          <w:rFonts w:hint="default" w:ascii="Arial" w:hAnsi="Arial" w:eastAsia="宋体" w:cs="Arial"/>
          <w:b w:val="0"/>
          <w:bCs w:val="0"/>
          <w:sz w:val="24"/>
          <w:szCs w:val="24"/>
        </w:rPr>
        <w:t xml:space="preserve"> and its evolved </w:t>
      </w:r>
      <w:r>
        <w:rPr>
          <w:rFonts w:hint="default" w:ascii="Arial" w:hAnsi="Arial" w:eastAsia="宋体" w:cs="Arial"/>
          <w:b w:val="0"/>
          <w:bCs w:val="0"/>
          <w:sz w:val="24"/>
          <w:szCs w:val="24"/>
          <w:lang w:val="en-US" w:eastAsia="zh-CN"/>
        </w:rPr>
        <w:t>c</w:t>
      </w:r>
      <w:r>
        <w:rPr>
          <w:rStyle w:val="8"/>
          <w:rFonts w:hint="default" w:ascii="Arial" w:hAnsi="Arial" w:eastAsia="宋体" w:cs="Arial"/>
          <w:b w:val="0"/>
          <w:bCs w:val="0"/>
          <w:sz w:val="24"/>
          <w:szCs w:val="24"/>
        </w:rPr>
        <w:t xml:space="preserve">ompass </w:t>
      </w:r>
      <w:r>
        <w:rPr>
          <w:rStyle w:val="8"/>
          <w:rFonts w:hint="default" w:ascii="Arial" w:hAnsi="Arial" w:eastAsia="宋体" w:cs="Arial"/>
          <w:b w:val="0"/>
          <w:bCs w:val="0"/>
          <w:sz w:val="24"/>
          <w:szCs w:val="24"/>
          <w:lang w:val="en-US" w:eastAsia="zh-CN"/>
        </w:rPr>
        <w:t>s</w:t>
      </w:r>
      <w:r>
        <w:rPr>
          <w:rStyle w:val="8"/>
          <w:rFonts w:hint="default" w:ascii="Arial" w:hAnsi="Arial" w:eastAsia="宋体" w:cs="Arial"/>
          <w:b w:val="0"/>
          <w:bCs w:val="0"/>
          <w:sz w:val="24"/>
          <w:szCs w:val="24"/>
        </w:rPr>
        <w:t>trategy</w:t>
      </w:r>
      <w:r>
        <w:rPr>
          <w:rFonts w:hint="default" w:ascii="Arial" w:hAnsi="Arial" w:eastAsia="宋体" w:cs="Arial"/>
          <w:b w:val="0"/>
          <w:bCs w:val="0"/>
          <w:sz w:val="24"/>
          <w:szCs w:val="24"/>
        </w:rPr>
        <w:t xml:space="preserve">. These initiatives focus on key areas such as reducing carbon emissions, sustainable sourcing, waste reduction, water stewardship, and promoting social inclusion. Unilever has committed to achieving </w:t>
      </w:r>
      <w:r>
        <w:rPr>
          <w:rStyle w:val="8"/>
          <w:rFonts w:hint="default" w:ascii="Arial" w:hAnsi="Arial" w:eastAsia="宋体" w:cs="Arial"/>
          <w:b w:val="0"/>
          <w:bCs w:val="0"/>
          <w:sz w:val="24"/>
          <w:szCs w:val="24"/>
        </w:rPr>
        <w:t>net-zero emissions by 2039</w:t>
      </w:r>
      <w:r>
        <w:rPr>
          <w:rFonts w:hint="default" w:ascii="Arial" w:hAnsi="Arial" w:eastAsia="宋体" w:cs="Arial"/>
          <w:b w:val="0"/>
          <w:bCs w:val="0"/>
          <w:sz w:val="24"/>
          <w:szCs w:val="24"/>
        </w:rPr>
        <w:t>, making all its plastic packaging reusable, recyclable, or compostable by 2025, and ensuring fair wages across its value chain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Michael, Raharjo</w:t>
      </w:r>
      <w:r>
        <w:rPr>
          <w:rFonts w:hint="eastAsia" w:ascii="Arial" w:hAnsi="Arial" w:eastAsia="宋体" w:cs="Arial"/>
          <w:i w:val="0"/>
          <w:iCs w:val="0"/>
          <w:caps w:val="0"/>
          <w:color w:val="222222"/>
          <w:spacing w:val="0"/>
          <w:sz w:val="24"/>
          <w:szCs w:val="24"/>
          <w:shd w:val="clear" w:fill="FFFFFF"/>
          <w:lang w:val="en-US" w:eastAsia="zh-CN"/>
        </w:rPr>
        <w:t xml:space="preserve"> </w:t>
      </w:r>
      <w:r>
        <w:rPr>
          <w:rFonts w:ascii="Arial" w:hAnsi="Arial" w:eastAsia="宋体" w:cs="Arial"/>
          <w:i w:val="0"/>
          <w:iCs w:val="0"/>
          <w:caps w:val="0"/>
          <w:color w:val="222222"/>
          <w:spacing w:val="0"/>
          <w:sz w:val="24"/>
          <w:szCs w:val="24"/>
          <w:shd w:val="clear" w:fill="FFFFFF"/>
        </w:rPr>
        <w:t>and Resnawaty,</w:t>
      </w:r>
      <w:r>
        <w:rPr>
          <w:rFonts w:hint="eastAsia" w:ascii="Arial" w:hAnsi="Arial" w:eastAsia="宋体" w:cs="Arial"/>
          <w:i w:val="0"/>
          <w:iCs w:val="0"/>
          <w:caps w:val="0"/>
          <w:color w:val="222222"/>
          <w:spacing w:val="0"/>
          <w:sz w:val="24"/>
          <w:szCs w:val="24"/>
          <w:shd w:val="clear" w:fill="FFFFFF"/>
          <w:lang w:val="en-US" w:eastAsia="zh-CN"/>
        </w:rPr>
        <w:t>2019).</w:t>
      </w:r>
    </w:p>
    <w:p w14:paraId="07DD2F44">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Strategically, these sustainability efforts strengthen Unilever’s </w:t>
      </w:r>
      <w:r>
        <w:rPr>
          <w:rStyle w:val="8"/>
          <w:rFonts w:hint="default" w:ascii="Arial" w:hAnsi="Arial" w:eastAsia="宋体" w:cs="Arial"/>
          <w:b w:val="0"/>
          <w:bCs w:val="0"/>
          <w:sz w:val="24"/>
          <w:szCs w:val="24"/>
        </w:rPr>
        <w:t>differentiation strategy</w:t>
      </w:r>
      <w:r>
        <w:rPr>
          <w:rFonts w:hint="default" w:ascii="Arial" w:hAnsi="Arial" w:eastAsia="宋体" w:cs="Arial"/>
          <w:b w:val="0"/>
          <w:bCs w:val="0"/>
          <w:sz w:val="24"/>
          <w:szCs w:val="24"/>
        </w:rPr>
        <w:t xml:space="preserve"> by aligning the brand with growing consumer demand for ethical, eco-friendly, and socially responsible products. Sustainability leadership also enhances brand equity, builds customer loyalty, mitigates regulatory risks, and attracts sustainability-conscious investors. However, meeting ambitious sustainability targets requires continuous innovation, significant investment, and close collaboration with suppliers, which may affect operational costs and supply chain complexities in the short term</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Hu,</w:t>
      </w:r>
      <w:r>
        <w:rPr>
          <w:rFonts w:hint="eastAsia" w:ascii="Arial" w:hAnsi="Arial" w:eastAsia="宋体" w:cs="Arial"/>
          <w:i w:val="0"/>
          <w:iCs w:val="0"/>
          <w:caps w:val="0"/>
          <w:color w:val="222222"/>
          <w:spacing w:val="0"/>
          <w:sz w:val="24"/>
          <w:szCs w:val="24"/>
          <w:shd w:val="clear" w:fill="FFFFFF"/>
          <w:lang w:val="en-US" w:eastAsia="zh-CN"/>
        </w:rPr>
        <w:t>2023).</w:t>
      </w:r>
    </w:p>
    <w:p w14:paraId="6C8E1280">
      <w:pPr>
        <w:keepNext w:val="0"/>
        <w:keepLines w:val="0"/>
        <w:widowControl/>
        <w:numPr>
          <w:ilvl w:val="0"/>
          <w:numId w:val="0"/>
        </w:numPr>
        <w:suppressLineNumbers w:val="0"/>
        <w:ind w:leftChars="0"/>
        <w:jc w:val="both"/>
        <w:outlineLvl w:val="2"/>
        <w:rPr>
          <w:rFonts w:hint="default" w:ascii="Arial" w:hAnsi="Arial" w:eastAsia="宋体" w:cs="Arial"/>
          <w:b/>
          <w:bCs/>
          <w:sz w:val="24"/>
          <w:szCs w:val="24"/>
        </w:rPr>
      </w:pPr>
      <w:bookmarkStart w:id="29" w:name="_Toc7725"/>
      <w:r>
        <w:rPr>
          <w:rFonts w:hint="default" w:ascii="Arial" w:hAnsi="Arial" w:eastAsia="宋体" w:cs="Arial"/>
          <w:b/>
          <w:bCs/>
          <w:sz w:val="24"/>
          <w:szCs w:val="24"/>
          <w:lang w:val="en-US" w:eastAsia="zh-CN"/>
        </w:rPr>
        <w:t xml:space="preserve">2.6.2 </w:t>
      </w:r>
      <w:r>
        <w:rPr>
          <w:rFonts w:hint="default" w:ascii="Arial" w:hAnsi="Arial" w:eastAsia="宋体" w:cs="Arial"/>
          <w:b/>
          <w:bCs/>
          <w:sz w:val="24"/>
          <w:szCs w:val="24"/>
        </w:rPr>
        <w:t>Strategic Recommendations for Improved Sustainability and Positioning</w:t>
      </w:r>
      <w:bookmarkEnd w:id="29"/>
    </w:p>
    <w:p w14:paraId="2F6881F9">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Unilever</w:t>
      </w:r>
      <w:r>
        <w:rPr>
          <w:rFonts w:hint="default" w:ascii="Arial" w:hAnsi="Arial" w:eastAsia="宋体" w:cs="Arial"/>
          <w:b w:val="0"/>
          <w:bCs w:val="0"/>
          <w:sz w:val="24"/>
          <w:szCs w:val="24"/>
          <w:lang w:val="en-US" w:eastAsia="zh-CN"/>
        </w:rPr>
        <w:t xml:space="preserve"> should d</w:t>
      </w:r>
      <w:r>
        <w:rPr>
          <w:rFonts w:hint="default" w:ascii="Arial" w:hAnsi="Arial" w:eastAsia="宋体" w:cs="Arial"/>
          <w:b w:val="0"/>
          <w:bCs w:val="0"/>
          <w:sz w:val="24"/>
          <w:szCs w:val="24"/>
        </w:rPr>
        <w:t xml:space="preserve">eepen </w:t>
      </w:r>
      <w:r>
        <w:rPr>
          <w:rFonts w:hint="default"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ircular </w:t>
      </w:r>
      <w:r>
        <w:rPr>
          <w:rFonts w:hint="default"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conomy </w:t>
      </w:r>
      <w:r>
        <w:rPr>
          <w:rFonts w:hint="default" w:ascii="Arial" w:hAnsi="Arial" w:eastAsia="宋体" w:cs="Arial"/>
          <w:b w:val="0"/>
          <w:bCs w:val="0"/>
          <w:sz w:val="24"/>
          <w:szCs w:val="24"/>
          <w:lang w:val="en-US" w:eastAsia="zh-CN"/>
        </w:rPr>
        <w:t>i</w:t>
      </w:r>
      <w:r>
        <w:rPr>
          <w:rFonts w:hint="default" w:ascii="Arial" w:hAnsi="Arial" w:eastAsia="宋体" w:cs="Arial"/>
          <w:b w:val="0"/>
          <w:bCs w:val="0"/>
          <w:sz w:val="24"/>
          <w:szCs w:val="24"/>
        </w:rPr>
        <w:t>nitiatives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While Unilever is progressing in plastic reduction and recycling, it should further invest in </w:t>
      </w:r>
      <w:r>
        <w:rPr>
          <w:rStyle w:val="8"/>
          <w:rFonts w:hint="default" w:ascii="Arial" w:hAnsi="Arial" w:eastAsia="宋体" w:cs="Arial"/>
          <w:b w:val="0"/>
          <w:bCs w:val="0"/>
          <w:sz w:val="24"/>
          <w:szCs w:val="24"/>
        </w:rPr>
        <w:t>closed-loop systems</w:t>
      </w:r>
      <w:r>
        <w:rPr>
          <w:rFonts w:hint="default" w:ascii="Arial" w:hAnsi="Arial" w:eastAsia="宋体" w:cs="Arial"/>
          <w:b w:val="0"/>
          <w:bCs w:val="0"/>
          <w:sz w:val="24"/>
          <w:szCs w:val="24"/>
        </w:rPr>
        <w:t xml:space="preserve"> by scaling up refillable packaging solutions and partnering with governments and NGOs to build effective recycling infrastructure in emerging markets. This not only addresses environmental concerns but also strengthens brand loyalty through innovative customer engagement models</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Maharani</w:t>
      </w:r>
      <w:r>
        <w:rPr>
          <w:rFonts w:hint="eastAsia" w:ascii="Arial" w:hAnsi="Arial" w:eastAsia="宋体" w:cs="Arial"/>
          <w:i w:val="0"/>
          <w:iCs w:val="0"/>
          <w:caps w:val="0"/>
          <w:color w:val="222222"/>
          <w:spacing w:val="0"/>
          <w:sz w:val="24"/>
          <w:szCs w:val="24"/>
          <w:shd w:val="clear" w:fill="FFFFFF"/>
          <w:lang w:val="en-US" w:eastAsia="zh-CN"/>
        </w:rPr>
        <w:t xml:space="preserve"> et al,2020).</w:t>
      </w:r>
    </w:p>
    <w:p w14:paraId="506BFA28">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Unilever</w:t>
      </w:r>
      <w:r>
        <w:rPr>
          <w:rFonts w:hint="default" w:ascii="Arial" w:hAnsi="Arial" w:eastAsia="宋体" w:cs="Arial"/>
          <w:b w:val="0"/>
          <w:bCs w:val="0"/>
          <w:sz w:val="24"/>
          <w:szCs w:val="24"/>
          <w:lang w:val="en-US" w:eastAsia="zh-CN"/>
        </w:rPr>
        <w:t xml:space="preserve"> should a</w:t>
      </w:r>
      <w:r>
        <w:rPr>
          <w:rFonts w:hint="default" w:ascii="Arial" w:hAnsi="Arial" w:eastAsia="宋体" w:cs="Arial"/>
          <w:b w:val="0"/>
          <w:bCs w:val="0"/>
          <w:sz w:val="24"/>
          <w:szCs w:val="24"/>
        </w:rPr>
        <w:t xml:space="preserve">ccelerate </w:t>
      </w:r>
      <w:r>
        <w:rPr>
          <w:rFonts w:hint="default" w:ascii="Arial" w:hAnsi="Arial" w:eastAsia="宋体" w:cs="Arial"/>
          <w:b w:val="0"/>
          <w:bCs w:val="0"/>
          <w:sz w:val="24"/>
          <w:szCs w:val="24"/>
          <w:lang w:val="en-US" w:eastAsia="zh-CN"/>
        </w:rPr>
        <w:t>d</w:t>
      </w:r>
      <w:r>
        <w:rPr>
          <w:rFonts w:hint="default" w:ascii="Arial" w:hAnsi="Arial" w:eastAsia="宋体" w:cs="Arial"/>
          <w:b w:val="0"/>
          <w:bCs w:val="0"/>
          <w:sz w:val="24"/>
          <w:szCs w:val="24"/>
        </w:rPr>
        <w:t xml:space="preserve">igitalization for </w:t>
      </w:r>
      <w:r>
        <w:rPr>
          <w:rFonts w:hint="default" w:ascii="Arial" w:hAnsi="Arial" w:eastAsia="宋体" w:cs="Arial"/>
          <w:b w:val="0"/>
          <w:bCs w:val="0"/>
          <w:sz w:val="24"/>
          <w:szCs w:val="24"/>
          <w:lang w:val="en-US" w:eastAsia="zh-CN"/>
        </w:rPr>
        <w:t>s</w:t>
      </w:r>
      <w:r>
        <w:rPr>
          <w:rFonts w:hint="default" w:ascii="Arial" w:hAnsi="Arial" w:eastAsia="宋体" w:cs="Arial"/>
          <w:b w:val="0"/>
          <w:bCs w:val="0"/>
          <w:sz w:val="24"/>
          <w:szCs w:val="24"/>
        </w:rPr>
        <w:t>ustainability</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Unilever should leverage </w:t>
      </w:r>
      <w:r>
        <w:rPr>
          <w:rStyle w:val="8"/>
          <w:rFonts w:hint="default" w:ascii="Arial" w:hAnsi="Arial" w:eastAsia="宋体" w:cs="Arial"/>
          <w:b w:val="0"/>
          <w:bCs w:val="0"/>
          <w:sz w:val="24"/>
          <w:szCs w:val="24"/>
        </w:rPr>
        <w:t>AI and blockchain technology</w:t>
      </w:r>
      <w:r>
        <w:rPr>
          <w:rFonts w:hint="default" w:ascii="Arial" w:hAnsi="Arial" w:eastAsia="宋体" w:cs="Arial"/>
          <w:b w:val="0"/>
          <w:bCs w:val="0"/>
          <w:sz w:val="24"/>
          <w:szCs w:val="24"/>
        </w:rPr>
        <w:t xml:space="preserve"> to increase transparency and traceability in its supply chain, ensuring ethical sourcing and reducing environmental impacts. Digital tools can help monitor carbon emissions, resource usage, and supplier compliance more effectively, enhancing both sustainability outcomes and operational efficiency</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Shrestha</w:t>
      </w:r>
      <w:r>
        <w:rPr>
          <w:rFonts w:hint="eastAsia" w:ascii="Arial" w:hAnsi="Arial" w:eastAsia="宋体" w:cs="Arial"/>
          <w:i w:val="0"/>
          <w:iCs w:val="0"/>
          <w:caps w:val="0"/>
          <w:color w:val="222222"/>
          <w:spacing w:val="0"/>
          <w:sz w:val="24"/>
          <w:szCs w:val="24"/>
          <w:shd w:val="clear" w:fill="FFFFFF"/>
          <w:lang w:val="en-US" w:eastAsia="zh-CN"/>
        </w:rPr>
        <w:t>,2019).</w:t>
      </w:r>
    </w:p>
    <w:p w14:paraId="1DAA8329">
      <w:pPr>
        <w:keepNext w:val="0"/>
        <w:keepLines w:val="0"/>
        <w:widowControl/>
        <w:numPr>
          <w:ilvl w:val="0"/>
          <w:numId w:val="0"/>
        </w:numPr>
        <w:suppressLineNumbers w:val="0"/>
        <w:spacing w:line="360" w:lineRule="auto"/>
        <w:ind w:leftChars="0"/>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Unilever</w:t>
      </w:r>
      <w:r>
        <w:rPr>
          <w:rFonts w:hint="default" w:ascii="Arial" w:hAnsi="Arial" w:eastAsia="宋体" w:cs="Arial"/>
          <w:b w:val="0"/>
          <w:bCs w:val="0"/>
          <w:sz w:val="24"/>
          <w:szCs w:val="24"/>
          <w:lang w:val="en-US" w:eastAsia="zh-CN"/>
        </w:rPr>
        <w:t xml:space="preserve"> should e</w:t>
      </w:r>
      <w:r>
        <w:rPr>
          <w:rFonts w:hint="default" w:ascii="Arial" w:hAnsi="Arial" w:eastAsia="宋体" w:cs="Arial"/>
          <w:b w:val="0"/>
          <w:bCs w:val="0"/>
          <w:sz w:val="24"/>
          <w:szCs w:val="24"/>
        </w:rPr>
        <w:t xml:space="preserve">xpand in </w:t>
      </w:r>
      <w:r>
        <w:rPr>
          <w:rFonts w:hint="default" w:ascii="Arial" w:hAnsi="Arial" w:eastAsia="宋体" w:cs="Arial"/>
          <w:b w:val="0"/>
          <w:bCs w:val="0"/>
          <w:sz w:val="24"/>
          <w:szCs w:val="24"/>
          <w:lang w:val="en-US" w:eastAsia="zh-CN"/>
        </w:rPr>
        <w:t>h</w:t>
      </w:r>
      <w:r>
        <w:rPr>
          <w:rFonts w:hint="default" w:ascii="Arial" w:hAnsi="Arial" w:eastAsia="宋体" w:cs="Arial"/>
          <w:b w:val="0"/>
          <w:bCs w:val="0"/>
          <w:sz w:val="24"/>
          <w:szCs w:val="24"/>
        </w:rPr>
        <w:t xml:space="preserve">ealth &amp; </w:t>
      </w:r>
      <w:r>
        <w:rPr>
          <w:rFonts w:hint="default" w:ascii="Arial" w:hAnsi="Arial" w:eastAsia="宋体" w:cs="Arial"/>
          <w:b w:val="0"/>
          <w:bCs w:val="0"/>
          <w:sz w:val="24"/>
          <w:szCs w:val="24"/>
          <w:lang w:val="en-US" w:eastAsia="zh-CN"/>
        </w:rPr>
        <w:t>w</w:t>
      </w:r>
      <w:r>
        <w:rPr>
          <w:rFonts w:hint="default" w:ascii="Arial" w:hAnsi="Arial" w:eastAsia="宋体" w:cs="Arial"/>
          <w:b w:val="0"/>
          <w:bCs w:val="0"/>
          <w:sz w:val="24"/>
          <w:szCs w:val="24"/>
        </w:rPr>
        <w:t xml:space="preserve">ellness and </w:t>
      </w:r>
      <w:r>
        <w:rPr>
          <w:rFonts w:hint="default" w:ascii="Arial" w:hAnsi="Arial" w:eastAsia="宋体" w:cs="Arial"/>
          <w:b w:val="0"/>
          <w:bCs w:val="0"/>
          <w:sz w:val="24"/>
          <w:szCs w:val="24"/>
          <w:lang w:val="en-US" w:eastAsia="zh-CN"/>
        </w:rPr>
        <w:t>p</w:t>
      </w:r>
      <w:r>
        <w:rPr>
          <w:rFonts w:hint="default" w:ascii="Arial" w:hAnsi="Arial" w:eastAsia="宋体" w:cs="Arial"/>
          <w:b w:val="0"/>
          <w:bCs w:val="0"/>
          <w:sz w:val="24"/>
          <w:szCs w:val="24"/>
        </w:rPr>
        <w:t>lant-</w:t>
      </w:r>
      <w:r>
        <w:rPr>
          <w:rFonts w:hint="default"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ased </w:t>
      </w:r>
      <w:r>
        <w:rPr>
          <w:rFonts w:hint="default" w:ascii="Arial" w:hAnsi="Arial" w:eastAsia="宋体" w:cs="Arial"/>
          <w:b w:val="0"/>
          <w:bCs w:val="0"/>
          <w:sz w:val="24"/>
          <w:szCs w:val="24"/>
          <w:lang w:val="en-US" w:eastAsia="zh-CN"/>
        </w:rPr>
        <w:t>m</w:t>
      </w:r>
      <w:r>
        <w:rPr>
          <w:rFonts w:hint="default" w:ascii="Arial" w:hAnsi="Arial" w:eastAsia="宋体" w:cs="Arial"/>
          <w:b w:val="0"/>
          <w:bCs w:val="0"/>
          <w:sz w:val="24"/>
          <w:szCs w:val="24"/>
        </w:rPr>
        <w:t>arkets</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 xml:space="preserve">Aligning with long-term health and sustainability trends, Unilever should prioritize the growth of its plant-based and wellness product lines, particularly in high-growth international markets. Expanding brands like </w:t>
      </w:r>
      <w:r>
        <w:rPr>
          <w:rStyle w:val="8"/>
          <w:rFonts w:hint="default" w:ascii="Arial" w:hAnsi="Arial" w:eastAsia="宋体" w:cs="Arial"/>
          <w:b w:val="0"/>
          <w:bCs w:val="0"/>
          <w:sz w:val="24"/>
          <w:szCs w:val="24"/>
        </w:rPr>
        <w:t>The Vegetarian Butcher</w:t>
      </w:r>
      <w:r>
        <w:rPr>
          <w:rFonts w:hint="default" w:ascii="Arial" w:hAnsi="Arial" w:eastAsia="宋体" w:cs="Arial"/>
          <w:b w:val="0"/>
          <w:bCs w:val="0"/>
          <w:sz w:val="24"/>
          <w:szCs w:val="24"/>
        </w:rPr>
        <w:t xml:space="preserve"> can address consumer shifts toward plant-based diets, supporting both environmental goals and revenue diversification</w:t>
      </w:r>
      <w:r>
        <w:rPr>
          <w:rFonts w:hint="eastAsia" w:ascii="Arial" w:hAnsi="Arial" w:eastAsia="宋体" w:cs="Arial"/>
          <w:b w:val="0"/>
          <w:bCs w:val="0"/>
          <w:sz w:val="24"/>
          <w:szCs w:val="24"/>
          <w:lang w:val="en-US" w:eastAsia="zh-CN"/>
        </w:rPr>
        <w:t>(</w:t>
      </w:r>
      <w:r>
        <w:rPr>
          <w:rFonts w:ascii="Arial" w:hAnsi="Arial" w:eastAsia="宋体" w:cs="Arial"/>
          <w:i w:val="0"/>
          <w:iCs w:val="0"/>
          <w:caps w:val="0"/>
          <w:color w:val="222222"/>
          <w:spacing w:val="0"/>
          <w:sz w:val="24"/>
          <w:szCs w:val="24"/>
          <w:shd w:val="clear" w:fill="FFFFFF"/>
        </w:rPr>
        <w:t>Khatun</w:t>
      </w:r>
      <w:r>
        <w:rPr>
          <w:rFonts w:hint="eastAsia" w:ascii="Arial" w:hAnsi="Arial" w:eastAsia="宋体" w:cs="Arial"/>
          <w:i w:val="0"/>
          <w:iCs w:val="0"/>
          <w:caps w:val="0"/>
          <w:color w:val="222222"/>
          <w:spacing w:val="0"/>
          <w:sz w:val="24"/>
          <w:szCs w:val="24"/>
          <w:shd w:val="clear" w:fill="FFFFFF"/>
          <w:lang w:val="en-US" w:eastAsia="zh-CN"/>
        </w:rPr>
        <w:t>,2021).</w:t>
      </w:r>
    </w:p>
    <w:p w14:paraId="13669047">
      <w:pPr>
        <w:keepNext w:val="0"/>
        <w:keepLines w:val="0"/>
        <w:widowControl/>
        <w:numPr>
          <w:ilvl w:val="0"/>
          <w:numId w:val="1"/>
        </w:numPr>
        <w:suppressLineNumbers w:val="0"/>
        <w:ind w:left="0" w:leftChars="0" w:firstLine="0" w:firstLineChars="0"/>
        <w:jc w:val="left"/>
        <w:outlineLvl w:val="0"/>
        <w:rPr>
          <w:rFonts w:hint="default" w:ascii="Arial" w:hAnsi="Arial" w:eastAsia="宋体" w:cs="Arial"/>
          <w:b/>
          <w:bCs/>
          <w:sz w:val="30"/>
          <w:szCs w:val="30"/>
          <w:lang w:val="en-US" w:eastAsia="zh-CN"/>
        </w:rPr>
      </w:pPr>
      <w:bookmarkStart w:id="30" w:name="_Toc13581"/>
      <w:r>
        <w:rPr>
          <w:rFonts w:hint="default" w:ascii="Arial" w:hAnsi="Arial" w:eastAsia="宋体" w:cs="Arial"/>
          <w:b/>
          <w:bCs/>
          <w:sz w:val="30"/>
          <w:szCs w:val="30"/>
          <w:lang w:val="en-US" w:eastAsia="zh-CN"/>
        </w:rPr>
        <w:t>Conclusion</w:t>
      </w:r>
      <w:bookmarkEnd w:id="30"/>
    </w:p>
    <w:p w14:paraId="21E7D15C">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This report has analyzed Unilever’s strategic positioning and sustainability efforts in detail. Unilever’s strong global brand portfolio, commitment to innovation, and leadership in sustainability are key strengths that support its differentiation strategy in the competitive FMCG industry. Through internal analysis, the company's operational efficiency, brand equity, and extensive supply chain capabilities have been highlighted as critical resources. Externally, factors such as rising consumer demand for sustainable products, technological advancements, and intense market competition pose both opportunities and challenges. Strategic frameworks like Porter’s Generic Strategies, Ansoff’s Matrix, and SWOT have been applied to recommend growth strategies such as expanding in emerging markets, advancing digital transformation, and investing further in sustainable innovation.</w:t>
      </w:r>
    </w:p>
    <w:p w14:paraId="64E72828">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r>
        <w:rPr>
          <w:rFonts w:hint="default" w:ascii="Arial" w:hAnsi="Arial" w:eastAsia="宋体" w:cs="Arial"/>
          <w:sz w:val="24"/>
          <w:szCs w:val="24"/>
        </w:rPr>
        <w:t>The importance of strategic management in a sustainable business environment cannot be overstated. As global consumers and regulators increasingly prioritize ethical, social, and environmental responsibility, firms like Unilever must integrate sustainability into their core strategy. Strategic management enables businesses to align long-term goals with sustainability objectives, ensuring competitiveness, regulatory compliance, and stakeholder trust. By continuously evolving its strategic approach, Unilever can secure its market leadership, contribute positively to society, and drive sustainable value creation for all stakeholders in the future.</w:t>
      </w:r>
    </w:p>
    <w:p w14:paraId="1E80506F">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rPr>
      </w:pPr>
    </w:p>
    <w:p w14:paraId="552C6056">
      <w:pPr>
        <w:keepNext w:val="0"/>
        <w:keepLines w:val="0"/>
        <w:widowControl/>
        <w:numPr>
          <w:ilvl w:val="0"/>
          <w:numId w:val="0"/>
        </w:numPr>
        <w:suppressLineNumbers w:val="0"/>
        <w:spacing w:line="360" w:lineRule="auto"/>
        <w:ind w:leftChars="0"/>
        <w:jc w:val="both"/>
        <w:rPr>
          <w:rFonts w:hint="default" w:ascii="Arial" w:hAnsi="Arial" w:eastAsia="宋体" w:cs="Arial"/>
          <w:sz w:val="24"/>
          <w:szCs w:val="24"/>
          <w:lang w:val="en-US" w:eastAsia="zh-CN"/>
        </w:rPr>
      </w:pPr>
      <w:r>
        <w:rPr>
          <w:rFonts w:hint="eastAsia" w:ascii="Arial" w:hAnsi="Arial" w:eastAsia="宋体" w:cs="Arial"/>
          <w:sz w:val="24"/>
          <w:szCs w:val="24"/>
          <w:lang w:val="en-US" w:eastAsia="zh-CN"/>
        </w:rPr>
        <w:t>Words count:2103</w:t>
      </w:r>
    </w:p>
    <w:p w14:paraId="148D31C5">
      <w:pPr>
        <w:keepNext w:val="0"/>
        <w:keepLines w:val="0"/>
        <w:widowControl/>
        <w:numPr>
          <w:ilvl w:val="0"/>
          <w:numId w:val="0"/>
        </w:numPr>
        <w:suppressLineNumbers w:val="0"/>
        <w:ind w:leftChars="0"/>
        <w:jc w:val="left"/>
        <w:outlineLvl w:val="0"/>
        <w:rPr>
          <w:rFonts w:hint="default" w:ascii="Arial" w:hAnsi="Arial" w:eastAsia="宋体" w:cs="Arial"/>
          <w:b/>
          <w:bCs/>
          <w:sz w:val="30"/>
          <w:szCs w:val="30"/>
          <w:lang w:val="en-US" w:eastAsia="zh-CN"/>
        </w:rPr>
      </w:pPr>
      <w:bookmarkStart w:id="31" w:name="_Toc3030"/>
      <w:r>
        <w:rPr>
          <w:rFonts w:hint="default" w:ascii="Arial" w:hAnsi="Arial" w:eastAsia="宋体" w:cs="Arial"/>
          <w:b/>
          <w:bCs/>
          <w:sz w:val="30"/>
          <w:szCs w:val="30"/>
          <w:lang w:val="en-US" w:eastAsia="zh-CN"/>
        </w:rPr>
        <w:t>References</w:t>
      </w:r>
      <w:bookmarkEnd w:id="31"/>
    </w:p>
    <w:p w14:paraId="653530F1">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Almutairi, Y.M., 2023. Sustainability of supply chain UNILEVER case study. </w:t>
      </w:r>
      <w:r>
        <w:rPr>
          <w:rStyle w:val="9"/>
          <w:rFonts w:hint="default" w:ascii="Arial" w:hAnsi="Arial" w:cs="Arial"/>
        </w:rPr>
        <w:t>المجلة العربية للقياس والتقويم</w:t>
      </w:r>
      <w:r>
        <w:rPr>
          <w:rFonts w:hint="default" w:ascii="Arial" w:hAnsi="Arial" w:cs="Arial"/>
        </w:rPr>
        <w:t>, 4(7), pp.210-229.</w:t>
      </w:r>
    </w:p>
    <w:p w14:paraId="0D48713F">
      <w:pPr>
        <w:pStyle w:val="5"/>
        <w:keepNext w:val="0"/>
        <w:keepLines w:val="0"/>
        <w:widowControl/>
        <w:suppressLineNumbers w:val="0"/>
        <w:spacing w:line="360" w:lineRule="auto"/>
        <w:jc w:val="both"/>
        <w:rPr>
          <w:rFonts w:hint="default" w:ascii="Arial" w:hAnsi="Arial" w:cs="Arial"/>
        </w:rPr>
      </w:pPr>
      <w:r>
        <w:rPr>
          <w:rFonts w:hint="default" w:ascii="Arial" w:hAnsi="Arial" w:cs="Arial"/>
        </w:rPr>
        <w:t>Baragiola, G. and Mauri, M., 2021. SDGs and the private sector: Unilever and P&amp;G case studies.</w:t>
      </w:r>
    </w:p>
    <w:p w14:paraId="69EC1A30">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Chandra, R. and Jatmika, S., 2022, March. Unilever Surabaya Corporate Social Responsibility (CSR) Policy in Maintaining Environmental Sustainability in Surabaya in 2014-2020. In </w:t>
      </w:r>
      <w:r>
        <w:rPr>
          <w:rStyle w:val="9"/>
          <w:rFonts w:hint="default" w:ascii="Arial" w:hAnsi="Arial" w:cs="Arial"/>
        </w:rPr>
        <w:t>International Conference on Public Organization (ICONPO 2021)</w:t>
      </w:r>
      <w:r>
        <w:rPr>
          <w:rFonts w:hint="default" w:ascii="Arial" w:hAnsi="Arial" w:cs="Arial"/>
        </w:rPr>
        <w:t xml:space="preserve"> (pp. 444-452). Atlantis Press.</w:t>
      </w:r>
    </w:p>
    <w:p w14:paraId="0431EF22">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Cheng, Y., 2021, February. Analysis on the Opportunities and Challenges of Unilever’s Differentiated Competition by Using SWOT and PEST. In </w:t>
      </w:r>
      <w:r>
        <w:rPr>
          <w:rStyle w:val="9"/>
          <w:rFonts w:hint="default" w:ascii="Arial" w:hAnsi="Arial" w:cs="Arial"/>
        </w:rPr>
        <w:t>6th International Conference on Economics, Management, Law and Education (EMLE 2020)</w:t>
      </w:r>
      <w:r>
        <w:rPr>
          <w:rFonts w:hint="default" w:ascii="Arial" w:hAnsi="Arial" w:cs="Arial"/>
        </w:rPr>
        <w:t xml:space="preserve"> (pp. 280-284). Atlantis Press.</w:t>
      </w:r>
    </w:p>
    <w:p w14:paraId="5CB8FBBF">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Chiedu, C.K., Long, C.S. and Ashar, H.B., 2022. The relationship among job satisfaction, organizational commitment and employees’ turnover at Unilever Corporation in Nigeria. </w:t>
      </w:r>
      <w:r>
        <w:rPr>
          <w:rStyle w:val="9"/>
          <w:rFonts w:hint="default" w:ascii="Arial" w:hAnsi="Arial" w:cs="Arial"/>
        </w:rPr>
        <w:t>European Journal of Multidisciplinary Studies</w:t>
      </w:r>
      <w:r>
        <w:rPr>
          <w:rFonts w:hint="default" w:ascii="Arial" w:hAnsi="Arial" w:cs="Arial"/>
        </w:rPr>
        <w:t>, 7(1), pp.62-83.</w:t>
      </w:r>
    </w:p>
    <w:p w14:paraId="3B560A84">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Damayanti, T. and Halimah, N., 2023. Analysis of financial ratios to assess financial performance at PT. Unilever Indonesia Tbk. </w:t>
      </w:r>
      <w:r>
        <w:rPr>
          <w:rStyle w:val="9"/>
          <w:rFonts w:hint="default" w:ascii="Arial" w:hAnsi="Arial" w:cs="Arial"/>
        </w:rPr>
        <w:t>International Journal Multidisciplinary Science</w:t>
      </w:r>
      <w:r>
        <w:rPr>
          <w:rFonts w:hint="default" w:ascii="Arial" w:hAnsi="Arial" w:cs="Arial"/>
        </w:rPr>
        <w:t>, 2(2), pp.11-18.</w:t>
      </w:r>
    </w:p>
    <w:p w14:paraId="4D9E319E">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Daryanto, W.M., Dewanti, R.W. and Farras, R., 2020. Financial Ratio Analysis of PT Unilever Indonesia Tbk to Measure Financial Performance. </w:t>
      </w:r>
      <w:r>
        <w:rPr>
          <w:rStyle w:val="9"/>
          <w:rFonts w:hint="default" w:ascii="Arial" w:hAnsi="Arial" w:cs="Arial"/>
        </w:rPr>
        <w:t>International Journal of Business, Economics and Law</w:t>
      </w:r>
      <w:r>
        <w:rPr>
          <w:rFonts w:hint="default" w:ascii="Arial" w:hAnsi="Arial" w:cs="Arial"/>
        </w:rPr>
        <w:t>, 23(1), pp.93-100.</w:t>
      </w:r>
    </w:p>
    <w:p w14:paraId="1D287111">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De Bruin, E.I., van der Meulen, R.T., de Wandeler, J., Zijlstra, B.J., Formsma, A.R. and Bögels, S.M., 2020. The Unilever study: positive effects on stress and risk for dropout from work after the Finding Peace in a Frantic World training. </w:t>
      </w:r>
      <w:r>
        <w:rPr>
          <w:rStyle w:val="9"/>
          <w:rFonts w:hint="default" w:ascii="Arial" w:hAnsi="Arial" w:cs="Arial"/>
        </w:rPr>
        <w:t>Mindfulness</w:t>
      </w:r>
      <w:r>
        <w:rPr>
          <w:rFonts w:hint="default" w:ascii="Arial" w:hAnsi="Arial" w:cs="Arial"/>
        </w:rPr>
        <w:t>, 11, pp.350-361.</w:t>
      </w:r>
    </w:p>
    <w:p w14:paraId="10232FC5">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Dzuhrina, I., 2023. Social Media Strategy: How Unilever Engage with Its Consumers. </w:t>
      </w:r>
      <w:r>
        <w:rPr>
          <w:rStyle w:val="9"/>
          <w:rFonts w:hint="default" w:ascii="Arial" w:hAnsi="Arial" w:cs="Arial"/>
        </w:rPr>
        <w:t>Jurnal Ilmiah Komunikasi Makna</w:t>
      </w:r>
      <w:r>
        <w:rPr>
          <w:rFonts w:hint="default" w:ascii="Arial" w:hAnsi="Arial" w:cs="Arial"/>
        </w:rPr>
        <w:t>, 2(1), pp.39-40.</w:t>
      </w:r>
    </w:p>
    <w:p w14:paraId="68B9379F">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Faria, A. and Cunha, J.F., 2022. Decolonizing business history: the case of Unilever historiography. </w:t>
      </w:r>
      <w:r>
        <w:rPr>
          <w:rStyle w:val="9"/>
          <w:rFonts w:hint="default" w:ascii="Arial" w:hAnsi="Arial" w:cs="Arial"/>
        </w:rPr>
        <w:t>Cadernos EBAPE. BR</w:t>
      </w:r>
      <w:r>
        <w:rPr>
          <w:rFonts w:hint="default" w:ascii="Arial" w:hAnsi="Arial" w:cs="Arial"/>
        </w:rPr>
        <w:t>, 20, pp.118-134.</w:t>
      </w:r>
    </w:p>
    <w:p w14:paraId="51E58AB3">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Hu, Q., 2023. Unilever‘s practice on AI-based recruitment. </w:t>
      </w:r>
      <w:r>
        <w:rPr>
          <w:rStyle w:val="9"/>
          <w:rFonts w:hint="default" w:ascii="Arial" w:hAnsi="Arial" w:cs="Arial"/>
        </w:rPr>
        <w:t>Highlights in Business, Economics and Management</w:t>
      </w:r>
      <w:r>
        <w:rPr>
          <w:rFonts w:hint="default" w:ascii="Arial" w:hAnsi="Arial" w:cs="Arial"/>
        </w:rPr>
        <w:t>, 16, pp.256-263.</w:t>
      </w:r>
    </w:p>
    <w:p w14:paraId="743C52C0">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Iglesias, O., Mingione, M., Ind, N. and Markovic, S., 2023. How to build a conscientious corporate brand together with business partners: A case study of Unilever. </w:t>
      </w:r>
      <w:r>
        <w:rPr>
          <w:rStyle w:val="9"/>
          <w:rFonts w:hint="default" w:ascii="Arial" w:hAnsi="Arial" w:cs="Arial"/>
        </w:rPr>
        <w:t>Industrial Marketing Management</w:t>
      </w:r>
      <w:r>
        <w:rPr>
          <w:rFonts w:hint="default" w:ascii="Arial" w:hAnsi="Arial" w:cs="Arial"/>
        </w:rPr>
        <w:t>, 109, pp.1-13.</w:t>
      </w:r>
    </w:p>
    <w:p w14:paraId="72AD5BBE">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Jevtić, A. and Milovanović, G., 2023. Impact of digital marketing on sustainable business: Case of the Unilever company. </w:t>
      </w:r>
      <w:r>
        <w:rPr>
          <w:rStyle w:val="9"/>
          <w:rFonts w:hint="default" w:ascii="Arial" w:hAnsi="Arial" w:cs="Arial"/>
        </w:rPr>
        <w:t>Economics of Sustainable Development</w:t>
      </w:r>
      <w:r>
        <w:rPr>
          <w:rFonts w:hint="default" w:ascii="Arial" w:hAnsi="Arial" w:cs="Arial"/>
        </w:rPr>
        <w:t>, 7(1), pp.15-28.</w:t>
      </w:r>
    </w:p>
    <w:p w14:paraId="1543B7C8">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Kang, J., Lee, S. and Choi, S., 2023. Asymmetric Vacillation in the FMCG Industry: A Case Comparison of Procter &amp; Gamble and Unilever. </w:t>
      </w:r>
      <w:r>
        <w:rPr>
          <w:rStyle w:val="9"/>
          <w:rFonts w:hint="default" w:ascii="Arial" w:hAnsi="Arial" w:cs="Arial"/>
        </w:rPr>
        <w:t>Administrative Sciences</w:t>
      </w:r>
      <w:r>
        <w:rPr>
          <w:rFonts w:hint="default" w:ascii="Arial" w:hAnsi="Arial" w:cs="Arial"/>
        </w:rPr>
        <w:t>, 13(8), p.187.</w:t>
      </w:r>
    </w:p>
    <w:p w14:paraId="321710BD">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Khatun, M.A., Haque, S.Z. and Rahman, S., 2021. Forecasting financial performance using regression techniques: a case study on comparative analysis of Nestlé and Unilever. </w:t>
      </w:r>
      <w:r>
        <w:rPr>
          <w:rStyle w:val="9"/>
          <w:rFonts w:hint="default" w:ascii="Arial" w:hAnsi="Arial" w:cs="Arial"/>
        </w:rPr>
        <w:t>AIUB Journal of Business and Economics</w:t>
      </w:r>
      <w:r>
        <w:rPr>
          <w:rFonts w:hint="default" w:ascii="Arial" w:hAnsi="Arial" w:cs="Arial"/>
        </w:rPr>
        <w:t>, 18(1), pp.133-159.</w:t>
      </w:r>
    </w:p>
    <w:p w14:paraId="72508674">
      <w:pPr>
        <w:pStyle w:val="5"/>
        <w:keepNext w:val="0"/>
        <w:keepLines w:val="0"/>
        <w:widowControl/>
        <w:suppressLineNumbers w:val="0"/>
        <w:spacing w:line="360" w:lineRule="auto"/>
        <w:jc w:val="both"/>
        <w:rPr>
          <w:rFonts w:hint="default" w:ascii="Arial" w:hAnsi="Arial" w:cs="Arial"/>
        </w:rPr>
      </w:pPr>
      <w:r>
        <w:rPr>
          <w:rFonts w:hint="default" w:ascii="Arial" w:hAnsi="Arial" w:cs="Arial"/>
        </w:rPr>
        <w:t>Lieu, P.T.H., Arunjit, N., Buapradabkul, S. and Nathaniel, D., 2021. Unilever Company Strategic Business Analysis.</w:t>
      </w:r>
    </w:p>
    <w:p w14:paraId="0A696D38">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Lukman, S.D.S., 2021. Analisis Laporan Keuangan Pada PT Unilever Indonesia Tbk. </w:t>
      </w:r>
      <w:r>
        <w:rPr>
          <w:rStyle w:val="9"/>
          <w:rFonts w:hint="default" w:ascii="Arial" w:hAnsi="Arial" w:cs="Arial"/>
        </w:rPr>
        <w:t>Amsir Management Journal</w:t>
      </w:r>
      <w:r>
        <w:rPr>
          <w:rFonts w:hint="default" w:ascii="Arial" w:hAnsi="Arial" w:cs="Arial"/>
        </w:rPr>
        <w:t>, 2(1), pp.35-49.</w:t>
      </w:r>
    </w:p>
    <w:p w14:paraId="16A0C162">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Maharani, D., Haris, H., Aprillia, N., Marthin, R., Flowerensia, D., Cuandra, F. and Zai, I., 2022. Pengaruh Supply Chain Management Terhadap Operasional Perusahaan Dan Kendala Procurement Sistem ERP Pada PT Unilever Indonesia Tbk. </w:t>
      </w:r>
      <w:r>
        <w:rPr>
          <w:rStyle w:val="9"/>
          <w:rFonts w:hint="default" w:ascii="Arial" w:hAnsi="Arial" w:cs="Arial"/>
        </w:rPr>
        <w:t>Transekonomika: Akuntansi, Bisnis Dan Keuangan</w:t>
      </w:r>
      <w:r>
        <w:rPr>
          <w:rFonts w:hint="default" w:ascii="Arial" w:hAnsi="Arial" w:cs="Arial"/>
        </w:rPr>
        <w:t>, 2(3), pp.113-126.</w:t>
      </w:r>
    </w:p>
    <w:p w14:paraId="5F31411D">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Magagan, K.C. and Ngugi, L., 2021. Influence of project management </w:t>
      </w:r>
      <w:bookmarkStart w:id="32" w:name="_GoBack"/>
      <w:bookmarkEnd w:id="32"/>
      <w:r>
        <w:rPr>
          <w:rFonts w:hint="default" w:ascii="Arial" w:hAnsi="Arial" w:cs="Arial"/>
        </w:rPr>
        <w:t xml:space="preserve">practices on performance of projects in Unilever Kenya Ltd. </w:t>
      </w:r>
      <w:r>
        <w:rPr>
          <w:rStyle w:val="9"/>
          <w:rFonts w:hint="default" w:ascii="Arial" w:hAnsi="Arial" w:cs="Arial"/>
        </w:rPr>
        <w:t>International Academic Journal of Information Sciences and Project Management</w:t>
      </w:r>
      <w:r>
        <w:rPr>
          <w:rFonts w:hint="default" w:ascii="Arial" w:hAnsi="Arial" w:cs="Arial"/>
        </w:rPr>
        <w:t>, 3(6), pp.392-418.</w:t>
      </w:r>
    </w:p>
    <w:p w14:paraId="355825C1">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Michael, R., Raharjo, S.T. and Resnawaty, R., 2019. Program CSR Yayasan Unilever Indonesia Berdasarkan Teori Triple Bottom Line. </w:t>
      </w:r>
      <w:r>
        <w:rPr>
          <w:rStyle w:val="9"/>
          <w:rFonts w:hint="default" w:ascii="Arial" w:hAnsi="Arial" w:cs="Arial"/>
        </w:rPr>
        <w:t>Focus: Jurnal Pekerjaan Sosial</w:t>
      </w:r>
      <w:r>
        <w:rPr>
          <w:rFonts w:hint="default" w:ascii="Arial" w:hAnsi="Arial" w:cs="Arial"/>
        </w:rPr>
        <w:t>, 2(1), pp.23-31.</w:t>
      </w:r>
    </w:p>
    <w:p w14:paraId="1A80BB6C">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Nahar, S. and Zayed, N.M., 2019. An analysis of the impact of remuneration on employee motivation: A case study on Unilever, Bangladesh. </w:t>
      </w:r>
      <w:r>
        <w:rPr>
          <w:rStyle w:val="9"/>
          <w:rFonts w:hint="default" w:ascii="Arial" w:hAnsi="Arial" w:cs="Arial"/>
        </w:rPr>
        <w:t>International Journal of Family Business &amp; Management</w:t>
      </w:r>
      <w:r>
        <w:rPr>
          <w:rFonts w:hint="default" w:ascii="Arial" w:hAnsi="Arial" w:cs="Arial"/>
        </w:rPr>
        <w:t>, 3(2), pp.1-5.</w:t>
      </w:r>
    </w:p>
    <w:p w14:paraId="16503AFB">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Pandey, R., Massand, A., Mulya, V.T., Sin, L.G., Naresh, V.P., Zamara, F.B., Kee, D.M.H., Binti Zamri, S.K., Binti Azmi, N.A.S., Binti Mohd Hamdan, N.N. and Aditi, A., 2021. The Impacts of Covid-19 on Unilever. </w:t>
      </w:r>
      <w:r>
        <w:rPr>
          <w:rStyle w:val="9"/>
          <w:rFonts w:hint="default" w:ascii="Arial" w:hAnsi="Arial" w:cs="Arial"/>
        </w:rPr>
        <w:t>Journal of The Community Development in Asia</w:t>
      </w:r>
      <w:r>
        <w:rPr>
          <w:rFonts w:hint="default" w:ascii="Arial" w:hAnsi="Arial" w:cs="Arial"/>
        </w:rPr>
        <w:t>, 4(1), pp.34-43.</w:t>
      </w:r>
    </w:p>
    <w:p w14:paraId="6FE4E4F6">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Purnama, I. and Yani, F., 2023. Business Income, Operational Costs, and Production Costs on Net Profit After Tax at PT Unilever Indonesia Tbk Period 2016-2021. </w:t>
      </w:r>
      <w:r>
        <w:rPr>
          <w:rStyle w:val="9"/>
          <w:rFonts w:hint="default" w:ascii="Arial" w:hAnsi="Arial" w:cs="Arial"/>
        </w:rPr>
        <w:t>Luxury: Landscape of Business Administration</w:t>
      </w:r>
      <w:r>
        <w:rPr>
          <w:rFonts w:hint="default" w:ascii="Arial" w:hAnsi="Arial" w:cs="Arial"/>
        </w:rPr>
        <w:t>, 1(1), pp.23-32.</w:t>
      </w:r>
    </w:p>
    <w:p w14:paraId="48CDE350">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Reza, M.H., 2020. Marketing strategy and sustainable plan of Unilever. </w:t>
      </w:r>
      <w:r>
        <w:rPr>
          <w:rStyle w:val="9"/>
          <w:rFonts w:hint="default" w:ascii="Arial" w:hAnsi="Arial" w:cs="Arial"/>
        </w:rPr>
        <w:t>International Journal of Scientific Research and Engineering Development</w:t>
      </w:r>
      <w:r>
        <w:rPr>
          <w:rFonts w:hint="default" w:ascii="Arial" w:hAnsi="Arial" w:cs="Arial"/>
        </w:rPr>
        <w:t>, 3(4), pp.680-692.</w:t>
      </w:r>
    </w:p>
    <w:p w14:paraId="4B6283F4">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Shrestha, B., 2019. Impact of working Capital Management on Profitability of Unilever Nepal Limited. </w:t>
      </w:r>
      <w:r>
        <w:rPr>
          <w:rStyle w:val="9"/>
          <w:rFonts w:hint="default" w:ascii="Arial" w:hAnsi="Arial" w:cs="Arial"/>
        </w:rPr>
        <w:t>International Journal of Management and Applied Science</w:t>
      </w:r>
      <w:r>
        <w:rPr>
          <w:rFonts w:hint="default" w:ascii="Arial" w:hAnsi="Arial" w:cs="Arial"/>
        </w:rPr>
        <w:t>, 5(9), pp.31-36.</w:t>
      </w:r>
    </w:p>
    <w:p w14:paraId="434DE597">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Stanley, A.O., Ovie, E.A., Ughovero, B.A. and Ijoyah, C.T., 2022. Sustainable Production Strategy and Product Availability: A Study of Unilever Nigeria PLC. </w:t>
      </w:r>
      <w:r>
        <w:rPr>
          <w:rStyle w:val="9"/>
          <w:rFonts w:hint="default" w:ascii="Arial" w:hAnsi="Arial" w:cs="Arial"/>
        </w:rPr>
        <w:t>Lafia Journal of Economics and Management Sciences</w:t>
      </w:r>
      <w:r>
        <w:rPr>
          <w:rFonts w:hint="default" w:ascii="Arial" w:hAnsi="Arial" w:cs="Arial"/>
        </w:rPr>
        <w:t>, 7, pp.44-65.</w:t>
      </w:r>
    </w:p>
    <w:p w14:paraId="368017CA">
      <w:pPr>
        <w:pStyle w:val="5"/>
        <w:keepNext w:val="0"/>
        <w:keepLines w:val="0"/>
        <w:widowControl/>
        <w:suppressLineNumbers w:val="0"/>
        <w:spacing w:line="360" w:lineRule="auto"/>
        <w:jc w:val="both"/>
        <w:rPr>
          <w:rFonts w:hint="default" w:ascii="Arial" w:hAnsi="Arial" w:cs="Arial"/>
        </w:rPr>
      </w:pPr>
      <w:r>
        <w:rPr>
          <w:rFonts w:hint="default" w:ascii="Arial" w:hAnsi="Arial" w:cs="Arial"/>
        </w:rPr>
        <w:t xml:space="preserve">Tien, N.H., 2019. Comparative Analysis of Multidomestic Strategy of P&amp;G and Unilever Corporation. </w:t>
      </w:r>
      <w:r>
        <w:rPr>
          <w:rStyle w:val="9"/>
          <w:rFonts w:hint="default" w:ascii="Arial" w:hAnsi="Arial" w:cs="Arial"/>
        </w:rPr>
        <w:t>International Journal of Foreign Trade and International Business</w:t>
      </w:r>
      <w:r>
        <w:rPr>
          <w:rFonts w:hint="default" w:ascii="Arial" w:hAnsi="Arial" w:cs="Arial"/>
        </w:rPr>
        <w:t>, 1(1), pp.5-8.</w:t>
      </w:r>
    </w:p>
    <w:p w14:paraId="5A2AE579">
      <w:pPr>
        <w:keepNext w:val="0"/>
        <w:keepLines w:val="0"/>
        <w:widowControl/>
        <w:numPr>
          <w:ilvl w:val="0"/>
          <w:numId w:val="0"/>
        </w:numPr>
        <w:suppressLineNumbers w:val="0"/>
        <w:ind w:leftChars="0"/>
        <w:jc w:val="left"/>
        <w:rPr>
          <w:rFonts w:hint="default" w:ascii="宋体" w:hAnsi="宋体" w:eastAsia="宋体" w:cs="宋体"/>
          <w:sz w:val="24"/>
          <w:szCs w:val="24"/>
          <w:lang w:val="en-US" w:eastAsia="zh-CN"/>
        </w:rPr>
      </w:pPr>
    </w:p>
    <w:p w14:paraId="654117C0">
      <w:pPr>
        <w:keepNext w:val="0"/>
        <w:keepLines w:val="0"/>
        <w:widowControl/>
        <w:numPr>
          <w:ilvl w:val="0"/>
          <w:numId w:val="0"/>
        </w:numPr>
        <w:suppressLineNumbers w:val="0"/>
        <w:ind w:leftChars="0"/>
        <w:jc w:val="left"/>
        <w:rPr>
          <w:rFonts w:hint="eastAsia" w:ascii="宋体" w:hAnsi="宋体" w:eastAsia="宋体" w:cs="宋体"/>
          <w:sz w:val="24"/>
          <w:szCs w:val="24"/>
          <w:lang w:val="en-US" w:eastAsia="zh-CN"/>
        </w:rPr>
      </w:pPr>
    </w:p>
    <w:p w14:paraId="3F6D7F20">
      <w:pPr>
        <w:keepNext w:val="0"/>
        <w:keepLines w:val="0"/>
        <w:widowControl/>
        <w:suppressLineNumbers w:val="0"/>
        <w:jc w:val="left"/>
        <w:rPr>
          <w:rFonts w:hint="default"/>
          <w:lang w:val="en-US"/>
        </w:rPr>
      </w:pPr>
    </w:p>
    <w:p w14:paraId="61168DD1">
      <w:pPr>
        <w:keepNext w:val="0"/>
        <w:keepLines w:val="0"/>
        <w:widowControl/>
        <w:numPr>
          <w:ilvl w:val="0"/>
          <w:numId w:val="0"/>
        </w:numPr>
        <w:suppressLineNumbers w:val="0"/>
        <w:jc w:val="left"/>
        <w:rPr>
          <w:rFonts w:hint="default" w:ascii="Arial-BoldMT" w:hAnsi="Arial-BoldMT" w:eastAsia="Arial-BoldMT" w:cs="Arial-BoldMT"/>
          <w:b/>
          <w:bCs/>
          <w:color w:val="000000"/>
          <w:kern w:val="0"/>
          <w:sz w:val="24"/>
          <w:szCs w:val="24"/>
          <w:lang w:val="en-US" w:eastAsia="zh-CN" w:bidi="ar"/>
        </w:rPr>
      </w:pPr>
    </w:p>
    <w:p w14:paraId="29CF09C4">
      <w:pPr>
        <w:rPr>
          <w:rFonts w:hint="eastAsia" w:ascii="宋体" w:hAnsi="宋体" w:eastAsia="宋体" w:cs="宋体"/>
          <w:sz w:val="24"/>
          <w:szCs w:val="24"/>
          <w:lang w:val="en-US" w:eastAsia="zh-CN"/>
        </w:rPr>
      </w:pPr>
    </w:p>
    <w:p w14:paraId="629833D2">
      <w:pPr>
        <w:rPr>
          <w:rFonts w:hint="eastAsia" w:ascii="宋体" w:hAnsi="宋体" w:eastAsia="宋体" w:cs="宋体"/>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678D63"/>
    <w:multiLevelType w:val="multilevel"/>
    <w:tmpl w:val="01678D63"/>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8248B7"/>
    <w:rsid w:val="6720412C"/>
    <w:rsid w:val="6F514F2C"/>
    <w:rsid w:val="760A0E2D"/>
    <w:rsid w:val="788248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Arial"/>
      <w:sz w:val="22"/>
      <w:szCs w:val="22"/>
      <w:lang w:val="en-GB" w:eastAsia="en-US"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toc 1"/>
    <w:basedOn w:val="1"/>
    <w:next w:val="1"/>
    <w:uiPriority w:val="0"/>
  </w:style>
  <w:style w:type="paragraph" w:styleId="4">
    <w:name w:val="toc 2"/>
    <w:basedOn w:val="1"/>
    <w:next w:val="1"/>
    <w:uiPriority w:val="0"/>
    <w:pPr>
      <w:ind w:left="420" w:leftChars="200"/>
    </w:p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2245</Words>
  <Characters>15849</Characters>
  <Lines>0</Lines>
  <Paragraphs>0</Paragraphs>
  <TotalTime>17</TotalTime>
  <ScaleCrop>false</ScaleCrop>
  <LinksUpToDate>false</LinksUpToDate>
  <CharactersWithSpaces>17983</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2025-03-14T16:54:00Z</dcterms:created>
  <dc:creator>阳光男孩</dc:creator>
  <cp:lastModifiedBy>阳光男孩</cp:lastModifiedBy>
  <dcterms:modified xsi:type="dcterms:W3CDTF">2025-03-20T18:56:28Z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ICV">
    <vt:lpwstr>F0F8242C284C4C83A92A940FDF384805_11</vt:lpwstr>
  </property>
  <property fmtid="{D5CDD505-2E9C-101B-9397-08002B2CF9AE}" pid="4" name="KSOTemplateDocerSaveRecord">
    <vt:lpwstr>eyJoZGlkIjoiZGM2YmNiZDkyODM2NDYyN2U5ZTZiZGI1OGFhMDQ1NjMiLCJ1c2VySWQiOiI4NjQ2MTIwNjAifQ==</vt:lpwstr>
  </property>
</Properties>
</file>