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B194455" w14:textId="0C5FCAD7" w:rsidR="00CB1794" w:rsidRDefault="00B36815">
      <w:bookmarkStart w:id="0" w:name="_Hlk38315436"/>
      <w:bookmarkEnd w:id="0"/>
      <w:r w:rsidRPr="00AF3133">
        <w:rPr>
          <w:rFonts w:ascii="Times New Roman" w:hAnsi="Times New Roman" w:cs="Times New Roman"/>
          <w:noProof/>
        </w:rPr>
        <w:drawing>
          <wp:anchor distT="0" distB="0" distL="114300" distR="114300" simplePos="0" relativeHeight="251659264" behindDoc="0" locked="0" layoutInCell="1" allowOverlap="1" wp14:anchorId="50D9CCF3" wp14:editId="4A752D83">
            <wp:simplePos x="0" y="0"/>
            <wp:positionH relativeFrom="margin">
              <wp:posOffset>-200025</wp:posOffset>
            </wp:positionH>
            <wp:positionV relativeFrom="paragraph">
              <wp:posOffset>0</wp:posOffset>
            </wp:positionV>
            <wp:extent cx="2456815" cy="977265"/>
            <wp:effectExtent l="0" t="0" r="635" b="0"/>
            <wp:wrapSquare wrapText="bothSides"/>
            <wp:docPr id="1" name="Picture 1"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56815" cy="9772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1F56230" w14:textId="0D5D4F46" w:rsidR="00B36815" w:rsidRPr="00B36815" w:rsidRDefault="00B36815" w:rsidP="00B36815"/>
    <w:p w14:paraId="4FB6F2D1" w14:textId="388E1338" w:rsidR="00B36815" w:rsidRPr="00B36815" w:rsidRDefault="00B36815" w:rsidP="00B36815"/>
    <w:p w14:paraId="3D841646" w14:textId="0F57477C" w:rsidR="00B36815" w:rsidRPr="00B36815" w:rsidRDefault="00B36815" w:rsidP="00B36815"/>
    <w:p w14:paraId="225E2189" w14:textId="1039552C" w:rsidR="00B36815" w:rsidRPr="00B36815" w:rsidRDefault="00B36815" w:rsidP="00B36815"/>
    <w:p w14:paraId="028528A5" w14:textId="4974E322" w:rsidR="00B36815" w:rsidRPr="00B36815" w:rsidRDefault="00B36815" w:rsidP="00B36815"/>
    <w:p w14:paraId="243A7B1A" w14:textId="72916690" w:rsidR="00B36815" w:rsidRPr="00454F7A" w:rsidRDefault="00B36815" w:rsidP="00B36815">
      <w:pPr>
        <w:rPr>
          <w:sz w:val="24"/>
          <w:szCs w:val="24"/>
        </w:rPr>
      </w:pPr>
    </w:p>
    <w:p w14:paraId="18B3554C" w14:textId="77777777" w:rsidR="00D55140" w:rsidRDefault="00D55140" w:rsidP="00454F7A">
      <w:pPr>
        <w:tabs>
          <w:tab w:val="left" w:pos="2830"/>
        </w:tabs>
        <w:jc w:val="center"/>
        <w:rPr>
          <w:b/>
          <w:bCs/>
          <w:sz w:val="36"/>
          <w:szCs w:val="36"/>
        </w:rPr>
      </w:pPr>
    </w:p>
    <w:p w14:paraId="1D79E909" w14:textId="32A9AF29" w:rsidR="00454F7A" w:rsidRDefault="00B36815" w:rsidP="00454F7A">
      <w:pPr>
        <w:tabs>
          <w:tab w:val="left" w:pos="2830"/>
        </w:tabs>
        <w:jc w:val="center"/>
        <w:rPr>
          <w:b/>
          <w:bCs/>
          <w:sz w:val="36"/>
          <w:szCs w:val="36"/>
        </w:rPr>
      </w:pPr>
      <w:r w:rsidRPr="00454F7A">
        <w:rPr>
          <w:b/>
          <w:bCs/>
          <w:sz w:val="36"/>
          <w:szCs w:val="36"/>
        </w:rPr>
        <w:t>Critically analys</w:t>
      </w:r>
      <w:r w:rsidR="00895663">
        <w:rPr>
          <w:b/>
          <w:bCs/>
          <w:sz w:val="36"/>
          <w:szCs w:val="36"/>
        </w:rPr>
        <w:t>ing</w:t>
      </w:r>
      <w:r w:rsidRPr="00454F7A">
        <w:rPr>
          <w:b/>
          <w:bCs/>
          <w:sz w:val="36"/>
          <w:szCs w:val="36"/>
        </w:rPr>
        <w:t xml:space="preserve"> </w:t>
      </w:r>
      <w:r w:rsidR="00317D65">
        <w:rPr>
          <w:b/>
          <w:bCs/>
          <w:sz w:val="36"/>
          <w:szCs w:val="36"/>
        </w:rPr>
        <w:t xml:space="preserve">LGBT </w:t>
      </w:r>
      <w:r w:rsidRPr="00454F7A">
        <w:rPr>
          <w:b/>
          <w:bCs/>
          <w:sz w:val="36"/>
          <w:szCs w:val="36"/>
        </w:rPr>
        <w:t>in-group attitudes towards the Transgender community</w:t>
      </w:r>
    </w:p>
    <w:p w14:paraId="42781877" w14:textId="77777777" w:rsidR="00454F7A" w:rsidRDefault="00454F7A" w:rsidP="00454F7A">
      <w:pPr>
        <w:tabs>
          <w:tab w:val="left" w:pos="2830"/>
        </w:tabs>
        <w:jc w:val="center"/>
        <w:rPr>
          <w:b/>
          <w:bCs/>
          <w:sz w:val="36"/>
          <w:szCs w:val="36"/>
        </w:rPr>
      </w:pPr>
    </w:p>
    <w:p w14:paraId="3FE5B2CA" w14:textId="3BDA583E" w:rsidR="00454F7A" w:rsidRDefault="00454F7A" w:rsidP="00454F7A">
      <w:pPr>
        <w:tabs>
          <w:tab w:val="left" w:pos="2830"/>
        </w:tabs>
        <w:jc w:val="center"/>
        <w:rPr>
          <w:b/>
          <w:bCs/>
          <w:sz w:val="36"/>
          <w:szCs w:val="36"/>
        </w:rPr>
      </w:pPr>
      <w:r>
        <w:rPr>
          <w:b/>
          <w:bCs/>
          <w:sz w:val="36"/>
          <w:szCs w:val="36"/>
        </w:rPr>
        <w:t>1702887</w:t>
      </w:r>
    </w:p>
    <w:p w14:paraId="1CA688C9" w14:textId="77777777" w:rsidR="00454F7A" w:rsidRDefault="00454F7A" w:rsidP="00454F7A">
      <w:pPr>
        <w:tabs>
          <w:tab w:val="left" w:pos="2830"/>
        </w:tabs>
        <w:jc w:val="center"/>
        <w:rPr>
          <w:b/>
          <w:bCs/>
          <w:sz w:val="36"/>
          <w:szCs w:val="36"/>
        </w:rPr>
      </w:pPr>
    </w:p>
    <w:p w14:paraId="1A2859DB" w14:textId="3575107C" w:rsidR="00D5286F" w:rsidRDefault="00454F7A" w:rsidP="00454F7A">
      <w:pPr>
        <w:tabs>
          <w:tab w:val="left" w:pos="2830"/>
        </w:tabs>
        <w:jc w:val="center"/>
        <w:rPr>
          <w:b/>
          <w:bCs/>
          <w:sz w:val="36"/>
          <w:szCs w:val="36"/>
        </w:rPr>
      </w:pPr>
      <w:r>
        <w:rPr>
          <w:b/>
          <w:bCs/>
          <w:sz w:val="36"/>
          <w:szCs w:val="36"/>
        </w:rPr>
        <w:t>University of Wales Trinity St. David</w:t>
      </w:r>
    </w:p>
    <w:p w14:paraId="67062A6E" w14:textId="77777777" w:rsidR="00D5286F" w:rsidRDefault="00D5286F">
      <w:pPr>
        <w:rPr>
          <w:b/>
          <w:bCs/>
          <w:sz w:val="36"/>
          <w:szCs w:val="36"/>
        </w:rPr>
      </w:pPr>
      <w:r>
        <w:rPr>
          <w:b/>
          <w:bCs/>
          <w:sz w:val="36"/>
          <w:szCs w:val="36"/>
        </w:rPr>
        <w:br w:type="page"/>
      </w:r>
    </w:p>
    <w:p w14:paraId="3C0F63D1" w14:textId="040CEBBD" w:rsidR="00454F7A" w:rsidRDefault="001C0F98" w:rsidP="00862BF4">
      <w:pPr>
        <w:tabs>
          <w:tab w:val="left" w:pos="2830"/>
        </w:tabs>
        <w:spacing w:line="480" w:lineRule="auto"/>
        <w:ind w:left="720"/>
        <w:jc w:val="both"/>
        <w:rPr>
          <w:sz w:val="24"/>
          <w:szCs w:val="24"/>
        </w:rPr>
      </w:pPr>
      <w:r>
        <w:rPr>
          <w:sz w:val="24"/>
          <w:szCs w:val="24"/>
        </w:rPr>
        <w:lastRenderedPageBreak/>
        <w:t xml:space="preserve">          </w:t>
      </w:r>
      <w:r w:rsidR="006C541B">
        <w:rPr>
          <w:sz w:val="24"/>
          <w:szCs w:val="24"/>
        </w:rPr>
        <w:t>The initialism LGBT is commonly used to represent the Lesbian, Gay, Bisexual and Transgender community</w:t>
      </w:r>
      <w:r w:rsidR="00EC72DB">
        <w:rPr>
          <w:sz w:val="24"/>
          <w:szCs w:val="24"/>
        </w:rPr>
        <w:t xml:space="preserve">. </w:t>
      </w:r>
      <w:r>
        <w:rPr>
          <w:sz w:val="24"/>
          <w:szCs w:val="24"/>
        </w:rPr>
        <w:t xml:space="preserve">Whilst the term is commonly </w:t>
      </w:r>
      <w:r w:rsidR="00373682">
        <w:rPr>
          <w:sz w:val="24"/>
          <w:szCs w:val="24"/>
        </w:rPr>
        <w:t>used as an umbrella term for the aforementioned communities, the trans</w:t>
      </w:r>
      <w:r w:rsidR="004128B9">
        <w:rPr>
          <w:sz w:val="24"/>
          <w:szCs w:val="24"/>
        </w:rPr>
        <w:t xml:space="preserve">gender branch of it is often </w:t>
      </w:r>
      <w:r w:rsidR="00635E0B">
        <w:rPr>
          <w:sz w:val="24"/>
          <w:szCs w:val="24"/>
        </w:rPr>
        <w:t>victim of in-group discrimination.</w:t>
      </w:r>
      <w:r w:rsidR="0074403A">
        <w:rPr>
          <w:sz w:val="24"/>
          <w:szCs w:val="24"/>
        </w:rPr>
        <w:t xml:space="preserve"> The purpose of this essay is to critically analyse the LGBT in-group attitudes towards transgenderism</w:t>
      </w:r>
      <w:r w:rsidR="00434843">
        <w:rPr>
          <w:sz w:val="24"/>
          <w:szCs w:val="24"/>
        </w:rPr>
        <w:t>.</w:t>
      </w:r>
      <w:r w:rsidR="00A07DCB">
        <w:rPr>
          <w:sz w:val="24"/>
          <w:szCs w:val="24"/>
        </w:rPr>
        <w:t xml:space="preserve"> Throughout the essay, the term</w:t>
      </w:r>
      <w:r w:rsidR="001A4006">
        <w:rPr>
          <w:sz w:val="24"/>
          <w:szCs w:val="24"/>
        </w:rPr>
        <w:t xml:space="preserve"> LGB will be used to represent the Lesbian, Gay and Bisexual community as opposed to using LGBT as the focus is the </w:t>
      </w:r>
      <w:r w:rsidR="00655F85">
        <w:rPr>
          <w:sz w:val="24"/>
          <w:szCs w:val="24"/>
        </w:rPr>
        <w:t>attitudes from them towards the transgender community.</w:t>
      </w:r>
    </w:p>
    <w:p w14:paraId="7D715255" w14:textId="7F707AF0" w:rsidR="00845C64" w:rsidRDefault="00845C64" w:rsidP="00862BF4">
      <w:pPr>
        <w:tabs>
          <w:tab w:val="left" w:pos="2830"/>
        </w:tabs>
        <w:spacing w:line="480" w:lineRule="auto"/>
        <w:ind w:left="720"/>
        <w:jc w:val="both"/>
        <w:rPr>
          <w:sz w:val="24"/>
          <w:szCs w:val="24"/>
        </w:rPr>
      </w:pPr>
    </w:p>
    <w:p w14:paraId="0284A9B6" w14:textId="5E5C00B9" w:rsidR="000B4C42" w:rsidRDefault="009E4BCF" w:rsidP="009E4BCF">
      <w:pPr>
        <w:tabs>
          <w:tab w:val="left" w:pos="2830"/>
        </w:tabs>
        <w:spacing w:line="480" w:lineRule="auto"/>
        <w:ind w:left="720"/>
        <w:jc w:val="both"/>
        <w:rPr>
          <w:sz w:val="24"/>
          <w:szCs w:val="24"/>
        </w:rPr>
      </w:pPr>
      <w:r>
        <w:rPr>
          <w:sz w:val="24"/>
          <w:szCs w:val="24"/>
        </w:rPr>
        <w:t xml:space="preserve">         </w:t>
      </w:r>
      <w:r w:rsidR="008272ED">
        <w:rPr>
          <w:sz w:val="24"/>
          <w:szCs w:val="24"/>
        </w:rPr>
        <w:t xml:space="preserve">Transgender inclusion within the LGBT community is subject to </w:t>
      </w:r>
      <w:r>
        <w:rPr>
          <w:sz w:val="24"/>
          <w:szCs w:val="24"/>
        </w:rPr>
        <w:t xml:space="preserve">differentiating opinions. A review by Amy Stone </w:t>
      </w:r>
      <w:r w:rsidR="00BF3254">
        <w:rPr>
          <w:sz w:val="24"/>
          <w:szCs w:val="24"/>
        </w:rPr>
        <w:t xml:space="preserve">(2009) explored American lesbian and gay </w:t>
      </w:r>
      <w:r w:rsidR="00025893">
        <w:rPr>
          <w:sz w:val="24"/>
          <w:szCs w:val="24"/>
        </w:rPr>
        <w:t>activists’</w:t>
      </w:r>
      <w:r w:rsidR="00BF3254">
        <w:rPr>
          <w:sz w:val="24"/>
          <w:szCs w:val="24"/>
        </w:rPr>
        <w:t xml:space="preserve"> </w:t>
      </w:r>
      <w:r w:rsidR="00EF55C9">
        <w:rPr>
          <w:sz w:val="24"/>
          <w:szCs w:val="24"/>
        </w:rPr>
        <w:t>attitudes towards Transgender inclusion within the LGBT movement. Through an analysis of 32 semi-structured interviews,</w:t>
      </w:r>
      <w:r w:rsidR="003D058D">
        <w:rPr>
          <w:sz w:val="24"/>
          <w:szCs w:val="24"/>
        </w:rPr>
        <w:t xml:space="preserve"> the responses implied that lesbian and gay people </w:t>
      </w:r>
      <w:r w:rsidR="00B1636B">
        <w:rPr>
          <w:sz w:val="24"/>
          <w:szCs w:val="24"/>
        </w:rPr>
        <w:t xml:space="preserve">are more likely to </w:t>
      </w:r>
      <w:r w:rsidR="003D058D">
        <w:rPr>
          <w:sz w:val="24"/>
          <w:szCs w:val="24"/>
        </w:rPr>
        <w:t xml:space="preserve">become transgender allies </w:t>
      </w:r>
      <w:r w:rsidR="00B1636B">
        <w:rPr>
          <w:sz w:val="24"/>
          <w:szCs w:val="24"/>
        </w:rPr>
        <w:t>through making parallels to their own oppression or discrimination with that of the tran</w:t>
      </w:r>
      <w:r w:rsidR="00025893">
        <w:rPr>
          <w:sz w:val="24"/>
          <w:szCs w:val="24"/>
        </w:rPr>
        <w:t>s</w:t>
      </w:r>
      <w:r w:rsidR="00B1636B">
        <w:rPr>
          <w:sz w:val="24"/>
          <w:szCs w:val="24"/>
        </w:rPr>
        <w:t>gender community.</w:t>
      </w:r>
      <w:r w:rsidR="00892E89">
        <w:rPr>
          <w:sz w:val="24"/>
          <w:szCs w:val="24"/>
        </w:rPr>
        <w:t xml:space="preserve"> The results also suggested that lesbians are more likely to be ambivalent </w:t>
      </w:r>
      <w:r w:rsidR="00461873">
        <w:rPr>
          <w:sz w:val="24"/>
          <w:szCs w:val="24"/>
        </w:rPr>
        <w:t xml:space="preserve">towards transgender inclusion, rooted in empathy and the </w:t>
      </w:r>
      <w:r w:rsidR="005353D1">
        <w:rPr>
          <w:sz w:val="24"/>
          <w:szCs w:val="24"/>
        </w:rPr>
        <w:t>influence of power dynamics within society. Gay men however are more likely to be opposed to transgender inclusion</w:t>
      </w:r>
      <w:r w:rsidR="00510B6E">
        <w:rPr>
          <w:sz w:val="24"/>
          <w:szCs w:val="24"/>
        </w:rPr>
        <w:t xml:space="preserve">, or only show support if the inclusion </w:t>
      </w:r>
      <w:r w:rsidR="00D816B4">
        <w:rPr>
          <w:sz w:val="24"/>
          <w:szCs w:val="24"/>
        </w:rPr>
        <w:t>stems itself in gay liberation.</w:t>
      </w:r>
      <w:r w:rsidR="001C5B9D">
        <w:rPr>
          <w:sz w:val="24"/>
          <w:szCs w:val="24"/>
        </w:rPr>
        <w:t xml:space="preserve"> Lesbian and gay people’s attitudes towards the transgender community is influenced by the ability to create connections on an empathetic level between gender and sexual orientation issues. </w:t>
      </w:r>
      <w:r w:rsidR="00064D72">
        <w:rPr>
          <w:sz w:val="24"/>
          <w:szCs w:val="24"/>
        </w:rPr>
        <w:t xml:space="preserve"> </w:t>
      </w:r>
      <w:r w:rsidR="009F73AC">
        <w:rPr>
          <w:sz w:val="24"/>
          <w:szCs w:val="24"/>
        </w:rPr>
        <w:t xml:space="preserve">The results of this show that </w:t>
      </w:r>
      <w:r w:rsidR="000B4C42">
        <w:rPr>
          <w:sz w:val="24"/>
          <w:szCs w:val="24"/>
        </w:rPr>
        <w:t>not all of the LGBT community strives towards equality for all in their community.</w:t>
      </w:r>
    </w:p>
    <w:p w14:paraId="3633AD1D" w14:textId="19F2135C" w:rsidR="001F4A0B" w:rsidRDefault="000B4C42" w:rsidP="001F4A0B">
      <w:pPr>
        <w:tabs>
          <w:tab w:val="left" w:pos="2830"/>
        </w:tabs>
        <w:spacing w:line="480" w:lineRule="auto"/>
        <w:ind w:left="720"/>
        <w:jc w:val="both"/>
        <w:rPr>
          <w:sz w:val="24"/>
          <w:szCs w:val="24"/>
        </w:rPr>
      </w:pPr>
      <w:r>
        <w:rPr>
          <w:sz w:val="24"/>
          <w:szCs w:val="24"/>
        </w:rPr>
        <w:lastRenderedPageBreak/>
        <w:t xml:space="preserve">       </w:t>
      </w:r>
      <w:r w:rsidR="00317D65">
        <w:rPr>
          <w:sz w:val="24"/>
          <w:szCs w:val="24"/>
        </w:rPr>
        <w:t xml:space="preserve">   </w:t>
      </w:r>
      <w:r w:rsidR="00305329">
        <w:rPr>
          <w:sz w:val="24"/>
          <w:szCs w:val="24"/>
        </w:rPr>
        <w:t>In 2019, a new group</w:t>
      </w:r>
      <w:r w:rsidR="005E331D">
        <w:rPr>
          <w:sz w:val="24"/>
          <w:szCs w:val="24"/>
        </w:rPr>
        <w:t xml:space="preserve"> of gay males, lesbian and bisexuals </w:t>
      </w:r>
      <w:r w:rsidR="00305329">
        <w:rPr>
          <w:sz w:val="24"/>
          <w:szCs w:val="24"/>
        </w:rPr>
        <w:t xml:space="preserve">entitled the ‘LGB Alliance’ </w:t>
      </w:r>
      <w:r w:rsidR="006668BE">
        <w:rPr>
          <w:sz w:val="24"/>
          <w:szCs w:val="24"/>
        </w:rPr>
        <w:t xml:space="preserve">, formed by British barrister </w:t>
      </w:r>
      <w:r w:rsidR="00B26A2D">
        <w:rPr>
          <w:sz w:val="24"/>
          <w:szCs w:val="24"/>
        </w:rPr>
        <w:t xml:space="preserve">Allison Bailey, </w:t>
      </w:r>
      <w:r w:rsidR="00305329">
        <w:rPr>
          <w:sz w:val="24"/>
          <w:szCs w:val="24"/>
        </w:rPr>
        <w:t>launched</w:t>
      </w:r>
      <w:r w:rsidR="00FA6CFF">
        <w:rPr>
          <w:sz w:val="24"/>
          <w:szCs w:val="24"/>
        </w:rPr>
        <w:t xml:space="preserve"> </w:t>
      </w:r>
      <w:r w:rsidR="00836A68">
        <w:rPr>
          <w:sz w:val="24"/>
          <w:szCs w:val="24"/>
        </w:rPr>
        <w:t xml:space="preserve">with the aim to </w:t>
      </w:r>
      <w:r w:rsidR="00AA55FB">
        <w:rPr>
          <w:sz w:val="24"/>
          <w:szCs w:val="24"/>
        </w:rPr>
        <w:t xml:space="preserve">separate itself from the transgender branch of the LGBT community, believing strongly that the notion of </w:t>
      </w:r>
      <w:r w:rsidR="001479AD">
        <w:rPr>
          <w:sz w:val="24"/>
          <w:szCs w:val="24"/>
        </w:rPr>
        <w:t>gender</w:t>
      </w:r>
      <w:r w:rsidR="003D789C">
        <w:rPr>
          <w:sz w:val="24"/>
          <w:szCs w:val="24"/>
        </w:rPr>
        <w:t xml:space="preserve"> and transgenderism</w:t>
      </w:r>
      <w:r w:rsidR="001479AD">
        <w:rPr>
          <w:sz w:val="24"/>
          <w:szCs w:val="24"/>
        </w:rPr>
        <w:t xml:space="preserve"> </w:t>
      </w:r>
      <w:r w:rsidR="003D789C">
        <w:rPr>
          <w:sz w:val="24"/>
          <w:szCs w:val="24"/>
        </w:rPr>
        <w:t>is stifling the LGB</w:t>
      </w:r>
      <w:r w:rsidR="00B26A2D">
        <w:rPr>
          <w:sz w:val="24"/>
          <w:szCs w:val="24"/>
        </w:rPr>
        <w:t xml:space="preserve"> communities</w:t>
      </w:r>
      <w:r w:rsidR="003D789C">
        <w:rPr>
          <w:sz w:val="24"/>
          <w:szCs w:val="24"/>
        </w:rPr>
        <w:t xml:space="preserve"> societal growth</w:t>
      </w:r>
      <w:r w:rsidR="0082430F">
        <w:rPr>
          <w:sz w:val="24"/>
          <w:szCs w:val="24"/>
        </w:rPr>
        <w:t xml:space="preserve"> </w:t>
      </w:r>
      <w:sdt>
        <w:sdtPr>
          <w:rPr>
            <w:sz w:val="24"/>
            <w:szCs w:val="24"/>
          </w:rPr>
          <w:id w:val="318393933"/>
          <w:citation/>
        </w:sdtPr>
        <w:sdtContent>
          <w:r w:rsidR="0082430F">
            <w:rPr>
              <w:sz w:val="24"/>
              <w:szCs w:val="24"/>
            </w:rPr>
            <w:fldChar w:fldCharType="begin"/>
          </w:r>
          <w:r w:rsidR="0082430F">
            <w:rPr>
              <w:sz w:val="24"/>
              <w:szCs w:val="24"/>
            </w:rPr>
            <w:instrText xml:space="preserve"> CITATION LGB20 \l 2057 </w:instrText>
          </w:r>
          <w:r w:rsidR="0082430F">
            <w:rPr>
              <w:sz w:val="24"/>
              <w:szCs w:val="24"/>
            </w:rPr>
            <w:fldChar w:fldCharType="separate"/>
          </w:r>
          <w:r w:rsidR="0061327F" w:rsidRPr="0061327F">
            <w:rPr>
              <w:noProof/>
              <w:sz w:val="24"/>
              <w:szCs w:val="24"/>
            </w:rPr>
            <w:t>(LGB Alliance, 2020)</w:t>
          </w:r>
          <w:r w:rsidR="0082430F">
            <w:rPr>
              <w:sz w:val="24"/>
              <w:szCs w:val="24"/>
            </w:rPr>
            <w:fldChar w:fldCharType="end"/>
          </w:r>
        </w:sdtContent>
      </w:sdt>
      <w:r w:rsidR="0082430F">
        <w:rPr>
          <w:sz w:val="24"/>
          <w:szCs w:val="24"/>
        </w:rPr>
        <w:t>.</w:t>
      </w:r>
      <w:r w:rsidR="00382665">
        <w:rPr>
          <w:sz w:val="24"/>
          <w:szCs w:val="24"/>
        </w:rPr>
        <w:t xml:space="preserve"> Whilst the </w:t>
      </w:r>
      <w:r w:rsidR="0001533B">
        <w:rPr>
          <w:sz w:val="24"/>
          <w:szCs w:val="24"/>
        </w:rPr>
        <w:t xml:space="preserve">organisation’s website does not strictly address nor use the word transgender, its actions </w:t>
      </w:r>
      <w:r w:rsidR="00B26A2D">
        <w:rPr>
          <w:sz w:val="24"/>
          <w:szCs w:val="24"/>
        </w:rPr>
        <w:t xml:space="preserve">and the beliefs of its supporters </w:t>
      </w:r>
      <w:r w:rsidR="002701EE">
        <w:rPr>
          <w:sz w:val="24"/>
          <w:szCs w:val="24"/>
        </w:rPr>
        <w:t xml:space="preserve">reveal its transphobic ideology. The group </w:t>
      </w:r>
      <w:r w:rsidR="006668BE">
        <w:rPr>
          <w:sz w:val="24"/>
          <w:szCs w:val="24"/>
        </w:rPr>
        <w:t>collaborated</w:t>
      </w:r>
      <w:r w:rsidR="00832C14">
        <w:rPr>
          <w:sz w:val="24"/>
          <w:szCs w:val="24"/>
        </w:rPr>
        <w:t xml:space="preserve"> with </w:t>
      </w:r>
      <w:r w:rsidR="00E87CC1">
        <w:rPr>
          <w:sz w:val="24"/>
          <w:szCs w:val="24"/>
        </w:rPr>
        <w:t xml:space="preserve">alleged </w:t>
      </w:r>
      <w:r w:rsidR="00832C14">
        <w:rPr>
          <w:sz w:val="24"/>
          <w:szCs w:val="24"/>
        </w:rPr>
        <w:t xml:space="preserve">anti-trans hate group </w:t>
      </w:r>
      <w:r w:rsidR="004D0DDD">
        <w:rPr>
          <w:sz w:val="24"/>
          <w:szCs w:val="24"/>
        </w:rPr>
        <w:t xml:space="preserve">A </w:t>
      </w:r>
      <w:r w:rsidR="00832C14">
        <w:rPr>
          <w:sz w:val="24"/>
          <w:szCs w:val="24"/>
        </w:rPr>
        <w:t>Woman’s Place UK</w:t>
      </w:r>
      <w:r w:rsidR="00D519C2">
        <w:rPr>
          <w:sz w:val="24"/>
          <w:szCs w:val="24"/>
        </w:rPr>
        <w:t xml:space="preserve"> (WPUK)</w:t>
      </w:r>
      <w:r w:rsidR="00385A07">
        <w:rPr>
          <w:sz w:val="24"/>
          <w:szCs w:val="24"/>
        </w:rPr>
        <w:t xml:space="preserve"> </w:t>
      </w:r>
      <w:sdt>
        <w:sdtPr>
          <w:rPr>
            <w:sz w:val="24"/>
            <w:szCs w:val="24"/>
          </w:rPr>
          <w:id w:val="1758791616"/>
          <w:citation/>
        </w:sdtPr>
        <w:sdtContent>
          <w:r w:rsidR="00E87CC1">
            <w:rPr>
              <w:sz w:val="24"/>
              <w:szCs w:val="24"/>
            </w:rPr>
            <w:fldChar w:fldCharType="begin"/>
          </w:r>
          <w:r w:rsidR="00E87CC1">
            <w:rPr>
              <w:sz w:val="24"/>
              <w:szCs w:val="24"/>
            </w:rPr>
            <w:instrText xml:space="preserve"> CITATION Jes18 \l 2057 </w:instrText>
          </w:r>
          <w:r w:rsidR="00E87CC1">
            <w:rPr>
              <w:sz w:val="24"/>
              <w:szCs w:val="24"/>
            </w:rPr>
            <w:fldChar w:fldCharType="separate"/>
          </w:r>
          <w:r w:rsidR="0061327F" w:rsidRPr="0061327F">
            <w:rPr>
              <w:noProof/>
              <w:sz w:val="24"/>
              <w:szCs w:val="24"/>
            </w:rPr>
            <w:t>(Glass, 2018)</w:t>
          </w:r>
          <w:r w:rsidR="00E87CC1">
            <w:rPr>
              <w:sz w:val="24"/>
              <w:szCs w:val="24"/>
            </w:rPr>
            <w:fldChar w:fldCharType="end"/>
          </w:r>
        </w:sdtContent>
      </w:sdt>
      <w:r w:rsidR="00D519C2">
        <w:rPr>
          <w:sz w:val="24"/>
          <w:szCs w:val="24"/>
        </w:rPr>
        <w:t>, a self-</w:t>
      </w:r>
      <w:r w:rsidR="00941B91">
        <w:rPr>
          <w:sz w:val="24"/>
          <w:szCs w:val="24"/>
        </w:rPr>
        <w:t>titled feminist group who regularly campaign against the Gender Recognition Act</w:t>
      </w:r>
      <w:r w:rsidR="009835B2">
        <w:rPr>
          <w:sz w:val="24"/>
          <w:szCs w:val="24"/>
        </w:rPr>
        <w:t xml:space="preserve"> (2004)</w:t>
      </w:r>
      <w:r w:rsidR="00C25DE1">
        <w:rPr>
          <w:sz w:val="24"/>
          <w:szCs w:val="24"/>
        </w:rPr>
        <w:t>.</w:t>
      </w:r>
      <w:r w:rsidR="00EA7C5F">
        <w:rPr>
          <w:sz w:val="24"/>
          <w:szCs w:val="24"/>
        </w:rPr>
        <w:t xml:space="preserve"> WPUK also have collaborated with </w:t>
      </w:r>
      <w:r w:rsidR="00C967B9">
        <w:rPr>
          <w:sz w:val="24"/>
          <w:szCs w:val="24"/>
        </w:rPr>
        <w:t xml:space="preserve">Transgender </w:t>
      </w:r>
      <w:r w:rsidR="005C39E4">
        <w:rPr>
          <w:sz w:val="24"/>
          <w:szCs w:val="24"/>
        </w:rPr>
        <w:t xml:space="preserve">Trend, a group that concerns </w:t>
      </w:r>
      <w:r w:rsidR="009D2FD6">
        <w:rPr>
          <w:sz w:val="24"/>
          <w:szCs w:val="24"/>
        </w:rPr>
        <w:t xml:space="preserve">itself </w:t>
      </w:r>
      <w:r w:rsidR="009A55A1">
        <w:rPr>
          <w:sz w:val="24"/>
          <w:szCs w:val="24"/>
        </w:rPr>
        <w:t xml:space="preserve">with </w:t>
      </w:r>
      <w:r w:rsidR="001159C7">
        <w:rPr>
          <w:sz w:val="24"/>
          <w:szCs w:val="24"/>
        </w:rPr>
        <w:t xml:space="preserve">dismantling the current increase in </w:t>
      </w:r>
      <w:r w:rsidR="003D61B1">
        <w:rPr>
          <w:sz w:val="24"/>
          <w:szCs w:val="24"/>
        </w:rPr>
        <w:t>gender non-conforming children as transgender</w:t>
      </w:r>
      <w:r w:rsidR="008220F1">
        <w:rPr>
          <w:sz w:val="24"/>
          <w:szCs w:val="24"/>
        </w:rPr>
        <w:t>, describing it as a ‘trend’ and even</w:t>
      </w:r>
      <w:r w:rsidR="009C28CD">
        <w:rPr>
          <w:sz w:val="24"/>
          <w:szCs w:val="24"/>
        </w:rPr>
        <w:t xml:space="preserve"> going as far as</w:t>
      </w:r>
      <w:r w:rsidR="008220F1">
        <w:rPr>
          <w:sz w:val="24"/>
          <w:szCs w:val="24"/>
        </w:rPr>
        <w:t xml:space="preserve"> creating </w:t>
      </w:r>
      <w:r w:rsidR="009C28CD">
        <w:rPr>
          <w:sz w:val="24"/>
          <w:szCs w:val="24"/>
        </w:rPr>
        <w:t>guides for schools.</w:t>
      </w:r>
      <w:r w:rsidR="00B578B4">
        <w:rPr>
          <w:sz w:val="24"/>
          <w:szCs w:val="24"/>
        </w:rPr>
        <w:t xml:space="preserve"> </w:t>
      </w:r>
      <w:r w:rsidR="007D344E">
        <w:rPr>
          <w:sz w:val="24"/>
          <w:szCs w:val="24"/>
        </w:rPr>
        <w:t xml:space="preserve">On top of this, further research suggests that </w:t>
      </w:r>
      <w:r w:rsidR="00CF4CEB">
        <w:rPr>
          <w:sz w:val="24"/>
          <w:szCs w:val="24"/>
        </w:rPr>
        <w:t xml:space="preserve">homophobes and </w:t>
      </w:r>
      <w:r w:rsidR="00F345B2">
        <w:rPr>
          <w:sz w:val="24"/>
          <w:szCs w:val="24"/>
        </w:rPr>
        <w:t>N</w:t>
      </w:r>
      <w:r w:rsidR="00CF4CEB">
        <w:rPr>
          <w:sz w:val="24"/>
          <w:szCs w:val="24"/>
        </w:rPr>
        <w:t>eo-</w:t>
      </w:r>
      <w:r w:rsidR="00F345B2">
        <w:rPr>
          <w:sz w:val="24"/>
          <w:szCs w:val="24"/>
        </w:rPr>
        <w:t>N</w:t>
      </w:r>
      <w:r w:rsidR="00CF4CEB">
        <w:rPr>
          <w:sz w:val="24"/>
          <w:szCs w:val="24"/>
        </w:rPr>
        <w:t xml:space="preserve">azis are supporters of the LGB Alliance </w:t>
      </w:r>
      <w:sdt>
        <w:sdtPr>
          <w:rPr>
            <w:sz w:val="24"/>
            <w:szCs w:val="24"/>
          </w:rPr>
          <w:id w:val="920909437"/>
          <w:citation/>
        </w:sdtPr>
        <w:sdtContent>
          <w:r w:rsidR="00CF4CEB">
            <w:rPr>
              <w:sz w:val="24"/>
              <w:szCs w:val="24"/>
            </w:rPr>
            <w:fldChar w:fldCharType="begin"/>
          </w:r>
          <w:r w:rsidR="00CF4CEB">
            <w:rPr>
              <w:sz w:val="24"/>
              <w:szCs w:val="24"/>
            </w:rPr>
            <w:instrText xml:space="preserve"> CITATION Vic20 \l 2057 </w:instrText>
          </w:r>
          <w:r w:rsidR="00CF4CEB">
            <w:rPr>
              <w:sz w:val="24"/>
              <w:szCs w:val="24"/>
            </w:rPr>
            <w:fldChar w:fldCharType="separate"/>
          </w:r>
          <w:r w:rsidR="0061327F" w:rsidRPr="0061327F">
            <w:rPr>
              <w:noProof/>
              <w:sz w:val="24"/>
              <w:szCs w:val="24"/>
            </w:rPr>
            <w:t>(Parsons, 2020)</w:t>
          </w:r>
          <w:r w:rsidR="00CF4CEB">
            <w:rPr>
              <w:sz w:val="24"/>
              <w:szCs w:val="24"/>
            </w:rPr>
            <w:fldChar w:fldCharType="end"/>
          </w:r>
        </w:sdtContent>
      </w:sdt>
      <w:r w:rsidR="00CF4CEB">
        <w:rPr>
          <w:sz w:val="24"/>
          <w:szCs w:val="24"/>
        </w:rPr>
        <w:t>,</w:t>
      </w:r>
      <w:r w:rsidR="00F345B2">
        <w:rPr>
          <w:sz w:val="24"/>
          <w:szCs w:val="24"/>
        </w:rPr>
        <w:t xml:space="preserve"> suggesting that the group is not built on the foundation of </w:t>
      </w:r>
      <w:r w:rsidR="00345FA4">
        <w:rPr>
          <w:sz w:val="24"/>
          <w:szCs w:val="24"/>
        </w:rPr>
        <w:t>LGB liberation that it claims it does.</w:t>
      </w:r>
    </w:p>
    <w:p w14:paraId="229445DE" w14:textId="33A02A47" w:rsidR="001F4A0B" w:rsidRDefault="001F4A0B" w:rsidP="001F4A0B">
      <w:pPr>
        <w:tabs>
          <w:tab w:val="left" w:pos="2830"/>
        </w:tabs>
        <w:spacing w:line="480" w:lineRule="auto"/>
        <w:ind w:left="720"/>
        <w:jc w:val="both"/>
        <w:rPr>
          <w:sz w:val="24"/>
          <w:szCs w:val="24"/>
        </w:rPr>
      </w:pPr>
      <w:r>
        <w:rPr>
          <w:sz w:val="24"/>
          <w:szCs w:val="24"/>
        </w:rPr>
        <w:t xml:space="preserve">          When discussing the </w:t>
      </w:r>
      <w:r w:rsidR="006070FA">
        <w:rPr>
          <w:sz w:val="24"/>
          <w:szCs w:val="24"/>
        </w:rPr>
        <w:t xml:space="preserve">validity of transgender inclusion within the LGBT community, it is important to know the history </w:t>
      </w:r>
      <w:r w:rsidR="0078729F">
        <w:rPr>
          <w:sz w:val="24"/>
          <w:szCs w:val="24"/>
        </w:rPr>
        <w:t xml:space="preserve">behind some of the landmark LGBT rights movements. One of the most iconic and prominent LGBT rights </w:t>
      </w:r>
      <w:r w:rsidR="008848B3">
        <w:rPr>
          <w:sz w:val="24"/>
          <w:szCs w:val="24"/>
        </w:rPr>
        <w:t>movements was the Stonewall riots.</w:t>
      </w:r>
      <w:r w:rsidR="003B592B">
        <w:rPr>
          <w:sz w:val="24"/>
          <w:szCs w:val="24"/>
        </w:rPr>
        <w:t xml:space="preserve"> The Stonewall riots took place </w:t>
      </w:r>
      <w:r w:rsidR="00AE4A5F">
        <w:rPr>
          <w:sz w:val="24"/>
          <w:szCs w:val="24"/>
        </w:rPr>
        <w:t>on the weekend of June 27-29, 1969, at the Stonewall Inn, and was a pivotal moment in the liberation of L</w:t>
      </w:r>
      <w:r w:rsidR="000C2771">
        <w:rPr>
          <w:sz w:val="24"/>
          <w:szCs w:val="24"/>
        </w:rPr>
        <w:t xml:space="preserve">GBT individuals </w:t>
      </w:r>
      <w:sdt>
        <w:sdtPr>
          <w:rPr>
            <w:sz w:val="24"/>
            <w:szCs w:val="24"/>
          </w:rPr>
          <w:id w:val="-1545049382"/>
          <w:citation/>
        </w:sdtPr>
        <w:sdtContent>
          <w:r w:rsidR="000C2771">
            <w:rPr>
              <w:sz w:val="24"/>
              <w:szCs w:val="24"/>
            </w:rPr>
            <w:fldChar w:fldCharType="begin"/>
          </w:r>
          <w:r w:rsidR="000C2771">
            <w:rPr>
              <w:sz w:val="24"/>
              <w:szCs w:val="24"/>
            </w:rPr>
            <w:instrText xml:space="preserve"> CITATION And04 \l 2057 </w:instrText>
          </w:r>
          <w:r w:rsidR="000C2771">
            <w:rPr>
              <w:sz w:val="24"/>
              <w:szCs w:val="24"/>
            </w:rPr>
            <w:fldChar w:fldCharType="separate"/>
          </w:r>
          <w:r w:rsidR="0061327F" w:rsidRPr="0061327F">
            <w:rPr>
              <w:noProof/>
              <w:sz w:val="24"/>
              <w:szCs w:val="24"/>
            </w:rPr>
            <w:t>(Matzner, 2004)</w:t>
          </w:r>
          <w:r w:rsidR="000C2771">
            <w:rPr>
              <w:sz w:val="24"/>
              <w:szCs w:val="24"/>
            </w:rPr>
            <w:fldChar w:fldCharType="end"/>
          </w:r>
        </w:sdtContent>
      </w:sdt>
      <w:r w:rsidR="000C2771">
        <w:rPr>
          <w:sz w:val="24"/>
          <w:szCs w:val="24"/>
        </w:rPr>
        <w:t>.</w:t>
      </w:r>
      <w:r w:rsidR="000E2CE1">
        <w:rPr>
          <w:sz w:val="24"/>
          <w:szCs w:val="24"/>
        </w:rPr>
        <w:t xml:space="preserve"> Whilst </w:t>
      </w:r>
      <w:r w:rsidR="00A22B9D">
        <w:rPr>
          <w:sz w:val="24"/>
          <w:szCs w:val="24"/>
        </w:rPr>
        <w:t xml:space="preserve">gay and lesbian activists </w:t>
      </w:r>
      <w:r w:rsidR="00A34E01">
        <w:rPr>
          <w:sz w:val="24"/>
          <w:szCs w:val="24"/>
        </w:rPr>
        <w:t xml:space="preserve">existed prior to this, </w:t>
      </w:r>
      <w:r w:rsidR="006F291E">
        <w:rPr>
          <w:sz w:val="24"/>
          <w:szCs w:val="24"/>
        </w:rPr>
        <w:t>this moment was the catalyst that empowered queer individuals to fight harder for their rights to exist.</w:t>
      </w:r>
      <w:r w:rsidR="00E035A7">
        <w:rPr>
          <w:sz w:val="24"/>
          <w:szCs w:val="24"/>
        </w:rPr>
        <w:t xml:space="preserve"> The Stonewall Inn was a </w:t>
      </w:r>
      <w:r w:rsidR="00991BFA">
        <w:rPr>
          <w:sz w:val="24"/>
          <w:szCs w:val="24"/>
        </w:rPr>
        <w:t xml:space="preserve">gay bar, and during this time period the Mayor of New York would frequently </w:t>
      </w:r>
      <w:r w:rsidR="00A92B97">
        <w:rPr>
          <w:sz w:val="24"/>
          <w:szCs w:val="24"/>
        </w:rPr>
        <w:t xml:space="preserve">organise raids </w:t>
      </w:r>
      <w:r w:rsidR="000537A6">
        <w:rPr>
          <w:sz w:val="24"/>
          <w:szCs w:val="24"/>
        </w:rPr>
        <w:t>of queer spaces</w:t>
      </w:r>
      <w:r w:rsidR="005A7AA2">
        <w:rPr>
          <w:sz w:val="24"/>
          <w:szCs w:val="24"/>
        </w:rPr>
        <w:t xml:space="preserve">, however in this instance, </w:t>
      </w:r>
      <w:r w:rsidR="005A7AA2">
        <w:rPr>
          <w:sz w:val="24"/>
          <w:szCs w:val="24"/>
        </w:rPr>
        <w:lastRenderedPageBreak/>
        <w:t xml:space="preserve">the </w:t>
      </w:r>
      <w:r w:rsidR="00AE7109">
        <w:rPr>
          <w:sz w:val="24"/>
          <w:szCs w:val="24"/>
        </w:rPr>
        <w:t>patrons of Stonewall fought back with violence</w:t>
      </w:r>
      <w:r w:rsidR="008465E4">
        <w:rPr>
          <w:sz w:val="24"/>
          <w:szCs w:val="24"/>
        </w:rPr>
        <w:t xml:space="preserve"> </w:t>
      </w:r>
      <w:sdt>
        <w:sdtPr>
          <w:rPr>
            <w:sz w:val="24"/>
            <w:szCs w:val="24"/>
          </w:rPr>
          <w:id w:val="-1564247248"/>
          <w:citation/>
        </w:sdtPr>
        <w:sdtContent>
          <w:r w:rsidR="008465E4">
            <w:rPr>
              <w:sz w:val="24"/>
              <w:szCs w:val="24"/>
            </w:rPr>
            <w:fldChar w:fldCharType="begin"/>
          </w:r>
          <w:r w:rsidR="008465E4">
            <w:rPr>
              <w:sz w:val="24"/>
              <w:szCs w:val="24"/>
            </w:rPr>
            <w:instrText xml:space="preserve"> CITATION DEm83 \l 2057 </w:instrText>
          </w:r>
          <w:r w:rsidR="008465E4">
            <w:rPr>
              <w:sz w:val="24"/>
              <w:szCs w:val="24"/>
            </w:rPr>
            <w:fldChar w:fldCharType="separate"/>
          </w:r>
          <w:r w:rsidR="0061327F" w:rsidRPr="0061327F">
            <w:rPr>
              <w:noProof/>
              <w:sz w:val="24"/>
              <w:szCs w:val="24"/>
            </w:rPr>
            <w:t>(D’Emilio, 1983)</w:t>
          </w:r>
          <w:r w:rsidR="008465E4">
            <w:rPr>
              <w:sz w:val="24"/>
              <w:szCs w:val="24"/>
            </w:rPr>
            <w:fldChar w:fldCharType="end"/>
          </w:r>
        </w:sdtContent>
      </w:sdt>
      <w:r w:rsidR="008465E4">
        <w:rPr>
          <w:sz w:val="24"/>
          <w:szCs w:val="24"/>
        </w:rPr>
        <w:t>.</w:t>
      </w:r>
      <w:r w:rsidR="00252B94">
        <w:rPr>
          <w:sz w:val="24"/>
          <w:szCs w:val="24"/>
        </w:rPr>
        <w:t xml:space="preserve"> It is claimed by many bystanders at the time that the act that ignited the riots was the throwing of a shot glass </w:t>
      </w:r>
      <w:r w:rsidR="00640E0B">
        <w:rPr>
          <w:sz w:val="24"/>
          <w:szCs w:val="24"/>
        </w:rPr>
        <w:t>into a mirror by black trans drag queen Marsha P Johnson</w:t>
      </w:r>
      <w:r w:rsidR="0093168B">
        <w:rPr>
          <w:sz w:val="24"/>
          <w:szCs w:val="24"/>
        </w:rPr>
        <w:t xml:space="preserve">, known as </w:t>
      </w:r>
      <w:r w:rsidR="00AE5B66">
        <w:rPr>
          <w:sz w:val="24"/>
          <w:szCs w:val="24"/>
        </w:rPr>
        <w:t xml:space="preserve">“the shot glass that was heard around the world” </w:t>
      </w:r>
      <w:sdt>
        <w:sdtPr>
          <w:rPr>
            <w:sz w:val="24"/>
            <w:szCs w:val="24"/>
          </w:rPr>
          <w:id w:val="-1201480033"/>
          <w:citation/>
        </w:sdtPr>
        <w:sdtContent>
          <w:r w:rsidR="008D6DFA">
            <w:rPr>
              <w:sz w:val="24"/>
              <w:szCs w:val="24"/>
            </w:rPr>
            <w:fldChar w:fldCharType="begin"/>
          </w:r>
          <w:r w:rsidR="008D6DFA">
            <w:rPr>
              <w:sz w:val="24"/>
              <w:szCs w:val="24"/>
            </w:rPr>
            <w:instrText xml:space="preserve"> CITATION Kas12 \l 2057 </w:instrText>
          </w:r>
          <w:r w:rsidR="008D6DFA">
            <w:rPr>
              <w:sz w:val="24"/>
              <w:szCs w:val="24"/>
            </w:rPr>
            <w:fldChar w:fldCharType="separate"/>
          </w:r>
          <w:r w:rsidR="0061327F" w:rsidRPr="0061327F">
            <w:rPr>
              <w:noProof/>
              <w:sz w:val="24"/>
              <w:szCs w:val="24"/>
            </w:rPr>
            <w:t>(Kasino, 2012)</w:t>
          </w:r>
          <w:r w:rsidR="008D6DFA">
            <w:rPr>
              <w:sz w:val="24"/>
              <w:szCs w:val="24"/>
            </w:rPr>
            <w:fldChar w:fldCharType="end"/>
          </w:r>
        </w:sdtContent>
      </w:sdt>
      <w:r w:rsidR="008D6DFA">
        <w:rPr>
          <w:sz w:val="24"/>
          <w:szCs w:val="24"/>
        </w:rPr>
        <w:t>.</w:t>
      </w:r>
      <w:r w:rsidR="00A03875">
        <w:rPr>
          <w:sz w:val="24"/>
          <w:szCs w:val="24"/>
        </w:rPr>
        <w:t xml:space="preserve"> </w:t>
      </w:r>
      <w:r w:rsidR="006332BB">
        <w:rPr>
          <w:sz w:val="24"/>
          <w:szCs w:val="24"/>
        </w:rPr>
        <w:t>It is interesting to note that a</w:t>
      </w:r>
      <w:r w:rsidR="00A03875">
        <w:rPr>
          <w:sz w:val="24"/>
          <w:szCs w:val="24"/>
        </w:rPr>
        <w:t xml:space="preserve">rguably the largest </w:t>
      </w:r>
      <w:r w:rsidR="00DB55EB">
        <w:rPr>
          <w:sz w:val="24"/>
          <w:szCs w:val="24"/>
        </w:rPr>
        <w:t xml:space="preserve">gay rights movement in history was started by a black trans drag queen yet in the </w:t>
      </w:r>
      <w:r w:rsidR="00312E51">
        <w:rPr>
          <w:sz w:val="24"/>
          <w:szCs w:val="24"/>
        </w:rPr>
        <w:t>present-day</w:t>
      </w:r>
      <w:r w:rsidR="00DB55EB">
        <w:rPr>
          <w:sz w:val="24"/>
          <w:szCs w:val="24"/>
        </w:rPr>
        <w:t xml:space="preserve"> </w:t>
      </w:r>
      <w:r w:rsidR="00317D65">
        <w:rPr>
          <w:sz w:val="24"/>
          <w:szCs w:val="24"/>
        </w:rPr>
        <w:t xml:space="preserve">parts of </w:t>
      </w:r>
      <w:r w:rsidR="00DB55EB">
        <w:rPr>
          <w:sz w:val="24"/>
          <w:szCs w:val="24"/>
        </w:rPr>
        <w:t xml:space="preserve">the LGB community </w:t>
      </w:r>
      <w:r w:rsidR="00843852">
        <w:rPr>
          <w:sz w:val="24"/>
          <w:szCs w:val="24"/>
        </w:rPr>
        <w:t>are</w:t>
      </w:r>
      <w:r w:rsidR="00DB55EB">
        <w:rPr>
          <w:sz w:val="24"/>
          <w:szCs w:val="24"/>
        </w:rPr>
        <w:t xml:space="preserve"> trying to erase them from the </w:t>
      </w:r>
      <w:r w:rsidR="006332BB">
        <w:rPr>
          <w:sz w:val="24"/>
          <w:szCs w:val="24"/>
        </w:rPr>
        <w:t>community.</w:t>
      </w:r>
    </w:p>
    <w:p w14:paraId="48CE8EBF" w14:textId="7EBBF7C0" w:rsidR="00710643" w:rsidRDefault="00710643" w:rsidP="001F4A0B">
      <w:pPr>
        <w:tabs>
          <w:tab w:val="left" w:pos="2830"/>
        </w:tabs>
        <w:spacing w:line="480" w:lineRule="auto"/>
        <w:ind w:left="720"/>
        <w:jc w:val="both"/>
        <w:rPr>
          <w:sz w:val="24"/>
          <w:szCs w:val="24"/>
        </w:rPr>
      </w:pPr>
      <w:r>
        <w:rPr>
          <w:sz w:val="24"/>
          <w:szCs w:val="24"/>
        </w:rPr>
        <w:t xml:space="preserve">         Erasure of t</w:t>
      </w:r>
      <w:r w:rsidR="007E7C2C">
        <w:rPr>
          <w:sz w:val="24"/>
          <w:szCs w:val="24"/>
        </w:rPr>
        <w:t xml:space="preserve">he actions of transgender people by the gay community </w:t>
      </w:r>
      <w:r w:rsidR="00510AE3">
        <w:rPr>
          <w:sz w:val="24"/>
          <w:szCs w:val="24"/>
        </w:rPr>
        <w:t>also reveals itself within the media.</w:t>
      </w:r>
      <w:r w:rsidR="007E7C2C">
        <w:rPr>
          <w:sz w:val="24"/>
          <w:szCs w:val="24"/>
        </w:rPr>
        <w:t xml:space="preserve"> </w:t>
      </w:r>
      <w:r w:rsidR="005C4FEA">
        <w:rPr>
          <w:sz w:val="24"/>
          <w:szCs w:val="24"/>
        </w:rPr>
        <w:t xml:space="preserve">The </w:t>
      </w:r>
      <w:r w:rsidR="00E35968">
        <w:rPr>
          <w:sz w:val="24"/>
          <w:szCs w:val="24"/>
        </w:rPr>
        <w:t xml:space="preserve">Roland Emmerich </w:t>
      </w:r>
      <w:r w:rsidR="00B23CC0">
        <w:rPr>
          <w:sz w:val="24"/>
          <w:szCs w:val="24"/>
        </w:rPr>
        <w:t xml:space="preserve">directed </w:t>
      </w:r>
      <w:r w:rsidR="00E35968">
        <w:rPr>
          <w:sz w:val="24"/>
          <w:szCs w:val="24"/>
        </w:rPr>
        <w:t>drama based on the Stonewall riots (2015)</w:t>
      </w:r>
      <w:r w:rsidR="00064BD0">
        <w:rPr>
          <w:sz w:val="24"/>
          <w:szCs w:val="24"/>
        </w:rPr>
        <w:t xml:space="preserve"> aptly titled Stonewall, has come under fire f</w:t>
      </w:r>
      <w:r w:rsidR="004F3394">
        <w:rPr>
          <w:sz w:val="24"/>
          <w:szCs w:val="24"/>
        </w:rPr>
        <w:t xml:space="preserve">or its </w:t>
      </w:r>
      <w:r w:rsidR="00D568D3">
        <w:rPr>
          <w:sz w:val="24"/>
          <w:szCs w:val="24"/>
        </w:rPr>
        <w:t>white washing</w:t>
      </w:r>
      <w:r w:rsidR="004F3394">
        <w:rPr>
          <w:sz w:val="24"/>
          <w:szCs w:val="24"/>
        </w:rPr>
        <w:t xml:space="preserve"> of the original events,</w:t>
      </w:r>
      <w:r w:rsidR="00843852">
        <w:rPr>
          <w:sz w:val="24"/>
          <w:szCs w:val="24"/>
        </w:rPr>
        <w:t xml:space="preserve"> historical inaccuracy,</w:t>
      </w:r>
      <w:r w:rsidR="004F3394">
        <w:rPr>
          <w:sz w:val="24"/>
          <w:szCs w:val="24"/>
        </w:rPr>
        <w:t xml:space="preserve"> as well as its lack of people of colour in its cast</w:t>
      </w:r>
      <w:r w:rsidR="00843852">
        <w:rPr>
          <w:sz w:val="24"/>
          <w:szCs w:val="24"/>
        </w:rPr>
        <w:t xml:space="preserve"> (who were integral in the </w:t>
      </w:r>
      <w:r w:rsidR="00410791">
        <w:rPr>
          <w:sz w:val="24"/>
          <w:szCs w:val="24"/>
        </w:rPr>
        <w:t>movement)</w:t>
      </w:r>
      <w:r w:rsidR="004F3394">
        <w:rPr>
          <w:sz w:val="24"/>
          <w:szCs w:val="24"/>
        </w:rPr>
        <w:t>.</w:t>
      </w:r>
      <w:r w:rsidR="009E19DE">
        <w:rPr>
          <w:sz w:val="24"/>
          <w:szCs w:val="24"/>
        </w:rPr>
        <w:t xml:space="preserve"> The film casted a </w:t>
      </w:r>
      <w:r w:rsidR="00510AE3">
        <w:rPr>
          <w:sz w:val="24"/>
          <w:szCs w:val="24"/>
        </w:rPr>
        <w:t xml:space="preserve">cisgender </w:t>
      </w:r>
      <w:r w:rsidR="009E19DE">
        <w:rPr>
          <w:sz w:val="24"/>
          <w:szCs w:val="24"/>
        </w:rPr>
        <w:t xml:space="preserve">white male in a lead role and implied that </w:t>
      </w:r>
      <w:r w:rsidR="00510AE3">
        <w:rPr>
          <w:sz w:val="24"/>
          <w:szCs w:val="24"/>
        </w:rPr>
        <w:t>said</w:t>
      </w:r>
      <w:r w:rsidR="009E19DE">
        <w:rPr>
          <w:sz w:val="24"/>
          <w:szCs w:val="24"/>
        </w:rPr>
        <w:t xml:space="preserve"> white character was the first pe</w:t>
      </w:r>
      <w:r w:rsidR="0063632C">
        <w:rPr>
          <w:sz w:val="24"/>
          <w:szCs w:val="24"/>
        </w:rPr>
        <w:t>rson to initiate the iconic</w:t>
      </w:r>
      <w:r w:rsidR="00CA6C53">
        <w:rPr>
          <w:sz w:val="24"/>
          <w:szCs w:val="24"/>
        </w:rPr>
        <w:t xml:space="preserve"> first brick throwing.</w:t>
      </w:r>
      <w:r w:rsidR="00152D63">
        <w:rPr>
          <w:sz w:val="24"/>
          <w:szCs w:val="24"/>
        </w:rPr>
        <w:t xml:space="preserve"> A review of the film </w:t>
      </w:r>
      <w:r w:rsidR="001724B9">
        <w:rPr>
          <w:sz w:val="24"/>
          <w:szCs w:val="24"/>
        </w:rPr>
        <w:t>by</w:t>
      </w:r>
      <w:r w:rsidR="00702522">
        <w:rPr>
          <w:sz w:val="24"/>
          <w:szCs w:val="24"/>
        </w:rPr>
        <w:t xml:space="preserve"> a person who was at the Stonewall riots state</w:t>
      </w:r>
      <w:r w:rsidR="00B370A5">
        <w:rPr>
          <w:sz w:val="24"/>
          <w:szCs w:val="24"/>
        </w:rPr>
        <w:t>d</w:t>
      </w:r>
      <w:r w:rsidR="00702522">
        <w:rPr>
          <w:sz w:val="24"/>
          <w:szCs w:val="24"/>
        </w:rPr>
        <w:t xml:space="preserve"> that “</w:t>
      </w:r>
      <w:r w:rsidR="00702522" w:rsidRPr="00702522">
        <w:rPr>
          <w:sz w:val="24"/>
          <w:szCs w:val="24"/>
        </w:rPr>
        <w:t>Stonewall</w:t>
      </w:r>
      <w:r w:rsidR="00702522">
        <w:rPr>
          <w:sz w:val="24"/>
          <w:szCs w:val="24"/>
        </w:rPr>
        <w:t xml:space="preserve"> </w:t>
      </w:r>
      <w:r w:rsidR="00702522" w:rsidRPr="00702522">
        <w:rPr>
          <w:sz w:val="24"/>
          <w:szCs w:val="24"/>
        </w:rPr>
        <w:t>is uninterested in any history that doesn’t revolve around its white, male, stereotypically attractive protagonist</w:t>
      </w:r>
      <w:r w:rsidR="00702522">
        <w:rPr>
          <w:sz w:val="24"/>
          <w:szCs w:val="24"/>
        </w:rPr>
        <w:t>”</w:t>
      </w:r>
      <w:r w:rsidR="00B370A5">
        <w:rPr>
          <w:sz w:val="24"/>
          <w:szCs w:val="24"/>
        </w:rPr>
        <w:t xml:space="preserve"> </w:t>
      </w:r>
      <w:sdt>
        <w:sdtPr>
          <w:rPr>
            <w:sz w:val="24"/>
            <w:szCs w:val="24"/>
          </w:rPr>
          <w:id w:val="1959679778"/>
          <w:citation/>
        </w:sdtPr>
        <w:sdtContent>
          <w:r w:rsidR="00B370A5">
            <w:rPr>
              <w:sz w:val="24"/>
              <w:szCs w:val="24"/>
            </w:rPr>
            <w:fldChar w:fldCharType="begin"/>
          </w:r>
          <w:r w:rsidR="00B370A5">
            <w:rPr>
              <w:sz w:val="24"/>
              <w:szCs w:val="24"/>
            </w:rPr>
            <w:instrText xml:space="preserve"> CITATION Mar15 \l 2057 </w:instrText>
          </w:r>
          <w:r w:rsidR="00B370A5">
            <w:rPr>
              <w:sz w:val="24"/>
              <w:szCs w:val="24"/>
            </w:rPr>
            <w:fldChar w:fldCharType="separate"/>
          </w:r>
          <w:r w:rsidR="0061327F" w:rsidRPr="0061327F">
            <w:rPr>
              <w:noProof/>
              <w:sz w:val="24"/>
              <w:szCs w:val="24"/>
            </w:rPr>
            <w:t>(Segal, 2015)</w:t>
          </w:r>
          <w:r w:rsidR="00B370A5">
            <w:rPr>
              <w:sz w:val="24"/>
              <w:szCs w:val="24"/>
            </w:rPr>
            <w:fldChar w:fldCharType="end"/>
          </w:r>
        </w:sdtContent>
      </w:sdt>
      <w:r w:rsidR="00B370A5">
        <w:rPr>
          <w:sz w:val="24"/>
          <w:szCs w:val="24"/>
        </w:rPr>
        <w:t>.</w:t>
      </w:r>
      <w:r w:rsidR="00B23CC0">
        <w:rPr>
          <w:sz w:val="24"/>
          <w:szCs w:val="24"/>
        </w:rPr>
        <w:t xml:space="preserve"> </w:t>
      </w:r>
      <w:r w:rsidR="00E34CE0">
        <w:rPr>
          <w:sz w:val="24"/>
          <w:szCs w:val="24"/>
        </w:rPr>
        <w:t xml:space="preserve">As a gay man himself, Emmerich inserting a </w:t>
      </w:r>
      <w:r w:rsidR="001078A2">
        <w:rPr>
          <w:sz w:val="24"/>
          <w:szCs w:val="24"/>
        </w:rPr>
        <w:t>cisgender</w:t>
      </w:r>
      <w:r w:rsidR="0047088C">
        <w:rPr>
          <w:sz w:val="24"/>
          <w:szCs w:val="24"/>
        </w:rPr>
        <w:t xml:space="preserve"> gay</w:t>
      </w:r>
      <w:r w:rsidR="00E34CE0">
        <w:rPr>
          <w:sz w:val="24"/>
          <w:szCs w:val="24"/>
        </w:rPr>
        <w:t xml:space="preserve"> white attractive male narrative into a</w:t>
      </w:r>
      <w:r w:rsidR="00634FD4">
        <w:rPr>
          <w:sz w:val="24"/>
          <w:szCs w:val="24"/>
        </w:rPr>
        <w:t xml:space="preserve"> notably</w:t>
      </w:r>
      <w:r w:rsidR="00E34CE0">
        <w:rPr>
          <w:sz w:val="24"/>
          <w:szCs w:val="24"/>
        </w:rPr>
        <w:t xml:space="preserve"> black trans </w:t>
      </w:r>
      <w:r w:rsidR="0047088C">
        <w:rPr>
          <w:sz w:val="24"/>
          <w:szCs w:val="24"/>
        </w:rPr>
        <w:t>moment in LGBT history</w:t>
      </w:r>
      <w:r w:rsidR="00634FD4">
        <w:rPr>
          <w:sz w:val="24"/>
          <w:szCs w:val="24"/>
        </w:rPr>
        <w:t xml:space="preserve"> is an example of trans-erasure in the media.</w:t>
      </w:r>
      <w:r w:rsidR="00664539">
        <w:rPr>
          <w:sz w:val="24"/>
          <w:szCs w:val="24"/>
        </w:rPr>
        <w:t xml:space="preserve"> Stageman (2017) suggest</w:t>
      </w:r>
      <w:r w:rsidR="00410791">
        <w:rPr>
          <w:sz w:val="24"/>
          <w:szCs w:val="24"/>
        </w:rPr>
        <w:t>ed</w:t>
      </w:r>
      <w:r w:rsidR="00664539">
        <w:rPr>
          <w:sz w:val="24"/>
          <w:szCs w:val="24"/>
        </w:rPr>
        <w:t xml:space="preserve"> that </w:t>
      </w:r>
      <w:r w:rsidR="000928C3">
        <w:rPr>
          <w:sz w:val="24"/>
          <w:szCs w:val="24"/>
        </w:rPr>
        <w:t xml:space="preserve">placing Marsha P Johnson as the main character instead of reducing her to a minor character would have improved the </w:t>
      </w:r>
      <w:r w:rsidR="005E575F">
        <w:rPr>
          <w:sz w:val="24"/>
          <w:szCs w:val="24"/>
        </w:rPr>
        <w:t xml:space="preserve">poor </w:t>
      </w:r>
      <w:r w:rsidR="00F76276">
        <w:rPr>
          <w:sz w:val="24"/>
          <w:szCs w:val="24"/>
        </w:rPr>
        <w:t xml:space="preserve">performance of the film </w:t>
      </w:r>
      <w:r w:rsidR="005E575F">
        <w:rPr>
          <w:sz w:val="24"/>
          <w:szCs w:val="24"/>
        </w:rPr>
        <w:t>as well</w:t>
      </w:r>
      <w:r w:rsidR="00F76276">
        <w:rPr>
          <w:sz w:val="24"/>
          <w:szCs w:val="24"/>
        </w:rPr>
        <w:t xml:space="preserve"> as </w:t>
      </w:r>
      <w:r w:rsidR="00DC548B">
        <w:rPr>
          <w:sz w:val="24"/>
          <w:szCs w:val="24"/>
        </w:rPr>
        <w:t>it being</w:t>
      </w:r>
      <w:r w:rsidR="00F76276">
        <w:rPr>
          <w:sz w:val="24"/>
          <w:szCs w:val="24"/>
        </w:rPr>
        <w:t xml:space="preserve"> more historically accurate</w:t>
      </w:r>
      <w:r w:rsidR="005E575F">
        <w:rPr>
          <w:sz w:val="24"/>
          <w:szCs w:val="24"/>
        </w:rPr>
        <w:t>.</w:t>
      </w:r>
      <w:r w:rsidR="00BB0EA4">
        <w:rPr>
          <w:sz w:val="24"/>
          <w:szCs w:val="24"/>
        </w:rPr>
        <w:t xml:space="preserve"> However</w:t>
      </w:r>
      <w:r w:rsidR="00DC548B">
        <w:rPr>
          <w:sz w:val="24"/>
          <w:szCs w:val="24"/>
        </w:rPr>
        <w:t xml:space="preserve">, </w:t>
      </w:r>
      <w:r w:rsidR="00784581">
        <w:rPr>
          <w:sz w:val="24"/>
          <w:szCs w:val="24"/>
        </w:rPr>
        <w:t xml:space="preserve">Stageman </w:t>
      </w:r>
      <w:r w:rsidR="007B74A6">
        <w:rPr>
          <w:sz w:val="24"/>
          <w:szCs w:val="24"/>
        </w:rPr>
        <w:t xml:space="preserve">(2017) </w:t>
      </w:r>
      <w:r w:rsidR="00784581">
        <w:rPr>
          <w:sz w:val="24"/>
          <w:szCs w:val="24"/>
        </w:rPr>
        <w:t xml:space="preserve">also suggests that the film accurately reflected the attitudes towards the LGBT community in that time period, as well as accurately reflecting the </w:t>
      </w:r>
      <w:r w:rsidR="007B74A6">
        <w:rPr>
          <w:sz w:val="24"/>
          <w:szCs w:val="24"/>
        </w:rPr>
        <w:t>need for most of said community to undertake sex work.</w:t>
      </w:r>
    </w:p>
    <w:p w14:paraId="54E41A45" w14:textId="22BC1D2C" w:rsidR="00EC3FE5" w:rsidRDefault="00261A99" w:rsidP="0061327F">
      <w:pPr>
        <w:tabs>
          <w:tab w:val="left" w:pos="2830"/>
        </w:tabs>
        <w:spacing w:line="480" w:lineRule="auto"/>
        <w:ind w:left="720"/>
        <w:jc w:val="both"/>
        <w:rPr>
          <w:sz w:val="24"/>
          <w:szCs w:val="24"/>
        </w:rPr>
      </w:pPr>
      <w:r>
        <w:rPr>
          <w:sz w:val="24"/>
          <w:szCs w:val="24"/>
        </w:rPr>
        <w:lastRenderedPageBreak/>
        <w:t xml:space="preserve">             </w:t>
      </w:r>
      <w:r w:rsidR="0061327F">
        <w:rPr>
          <w:sz w:val="24"/>
          <w:szCs w:val="24"/>
        </w:rPr>
        <w:t>Furthermore,</w:t>
      </w:r>
      <w:r>
        <w:rPr>
          <w:sz w:val="24"/>
          <w:szCs w:val="24"/>
        </w:rPr>
        <w:t xml:space="preserve"> it is important to recognise the influence of power dynamics within gay </w:t>
      </w:r>
      <w:r w:rsidR="0061327F">
        <w:rPr>
          <w:sz w:val="24"/>
          <w:szCs w:val="24"/>
        </w:rPr>
        <w:t>men’s</w:t>
      </w:r>
      <w:r>
        <w:rPr>
          <w:sz w:val="24"/>
          <w:szCs w:val="24"/>
        </w:rPr>
        <w:t xml:space="preserve"> attitudes towards transgender people. A study by Warriner, Nagoshi &amp; Nagoshi (2013</w:t>
      </w:r>
      <w:r w:rsidR="00DF6CE8">
        <w:rPr>
          <w:sz w:val="24"/>
          <w:szCs w:val="24"/>
        </w:rPr>
        <w:t xml:space="preserve">) found that gay men scored higher than lesbians on a scale of transphobia. The reasons for this were said to be linked to sexism wherein gay males still feel a threat to their dominant social role. </w:t>
      </w:r>
      <w:r w:rsidR="0061327F">
        <w:rPr>
          <w:sz w:val="24"/>
          <w:szCs w:val="24"/>
        </w:rPr>
        <w:t>R</w:t>
      </w:r>
      <w:r w:rsidR="00EC3FE5">
        <w:rPr>
          <w:sz w:val="24"/>
          <w:szCs w:val="24"/>
        </w:rPr>
        <w:t xml:space="preserve">esearch has suggested that power dynamics within the LGBT community </w:t>
      </w:r>
      <w:r w:rsidR="00B3025C">
        <w:rPr>
          <w:sz w:val="24"/>
          <w:szCs w:val="24"/>
        </w:rPr>
        <w:t>its to blame for in-group discrimination.</w:t>
      </w:r>
      <w:r w:rsidR="006D62DF">
        <w:rPr>
          <w:sz w:val="24"/>
          <w:szCs w:val="24"/>
        </w:rPr>
        <w:t xml:space="preserve"> </w:t>
      </w:r>
      <w:r w:rsidR="00050F70">
        <w:rPr>
          <w:sz w:val="24"/>
          <w:szCs w:val="24"/>
        </w:rPr>
        <w:t xml:space="preserve">Weiss (2003) states that </w:t>
      </w:r>
      <w:r w:rsidR="007D5495">
        <w:rPr>
          <w:sz w:val="24"/>
          <w:szCs w:val="24"/>
        </w:rPr>
        <w:t xml:space="preserve">assignment of different social locations for each branch of the LGBT community </w:t>
      </w:r>
      <w:r w:rsidR="008B4319">
        <w:rPr>
          <w:sz w:val="24"/>
          <w:szCs w:val="24"/>
        </w:rPr>
        <w:t>(</w:t>
      </w:r>
      <w:r w:rsidR="004568E0">
        <w:rPr>
          <w:sz w:val="24"/>
          <w:szCs w:val="24"/>
        </w:rPr>
        <w:t>stem</w:t>
      </w:r>
      <w:r w:rsidR="008B4319">
        <w:rPr>
          <w:sz w:val="24"/>
          <w:szCs w:val="24"/>
        </w:rPr>
        <w:t>ming</w:t>
      </w:r>
      <w:r w:rsidR="004568E0">
        <w:rPr>
          <w:sz w:val="24"/>
          <w:szCs w:val="24"/>
        </w:rPr>
        <w:t xml:space="preserve"> from </w:t>
      </w:r>
      <w:r w:rsidR="008B4319">
        <w:rPr>
          <w:sz w:val="24"/>
          <w:szCs w:val="24"/>
        </w:rPr>
        <w:t>changes</w:t>
      </w:r>
      <w:r w:rsidR="004568E0">
        <w:rPr>
          <w:sz w:val="24"/>
          <w:szCs w:val="24"/>
        </w:rPr>
        <w:t xml:space="preserve"> in power dynamic</w:t>
      </w:r>
      <w:r w:rsidR="008B4319">
        <w:rPr>
          <w:sz w:val="24"/>
          <w:szCs w:val="24"/>
        </w:rPr>
        <w:t>s)</w:t>
      </w:r>
      <w:r w:rsidR="0054423B">
        <w:rPr>
          <w:sz w:val="24"/>
          <w:szCs w:val="24"/>
        </w:rPr>
        <w:t xml:space="preserve"> is to blame for discrimination between the gay and lesbian community and the bisexual and transgender community.</w:t>
      </w:r>
      <w:r w:rsidR="00955CFD">
        <w:rPr>
          <w:sz w:val="24"/>
          <w:szCs w:val="24"/>
        </w:rPr>
        <w:t xml:space="preserve"> They believe that </w:t>
      </w:r>
      <w:r w:rsidR="002F6461">
        <w:rPr>
          <w:sz w:val="24"/>
          <w:szCs w:val="24"/>
        </w:rPr>
        <w:t>‘heterosexism’ is the root of the discrimination, due to the adjacent heteronormativity that comes from being a bisexual or transgender person in society.</w:t>
      </w:r>
      <w:r w:rsidR="00F35552">
        <w:rPr>
          <w:sz w:val="24"/>
          <w:szCs w:val="24"/>
        </w:rPr>
        <w:t xml:space="preserve"> </w:t>
      </w:r>
      <w:r w:rsidR="00F212C5">
        <w:rPr>
          <w:sz w:val="24"/>
          <w:szCs w:val="24"/>
        </w:rPr>
        <w:t xml:space="preserve">However, </w:t>
      </w:r>
      <w:r w:rsidR="00CD5C68">
        <w:rPr>
          <w:sz w:val="24"/>
          <w:szCs w:val="24"/>
        </w:rPr>
        <w:t>Riggs (</w:t>
      </w:r>
      <w:r w:rsidR="000A5042">
        <w:rPr>
          <w:sz w:val="24"/>
          <w:szCs w:val="24"/>
        </w:rPr>
        <w:t xml:space="preserve">2006) </w:t>
      </w:r>
      <w:r w:rsidR="00F212C5">
        <w:rPr>
          <w:sz w:val="24"/>
          <w:szCs w:val="24"/>
        </w:rPr>
        <w:t xml:space="preserve">argues that white gay males </w:t>
      </w:r>
      <w:r w:rsidR="00A349D2">
        <w:rPr>
          <w:sz w:val="24"/>
          <w:szCs w:val="24"/>
        </w:rPr>
        <w:t>hold the highest privilege within the societal view of the LGBT community</w:t>
      </w:r>
      <w:r w:rsidR="008B4319">
        <w:rPr>
          <w:sz w:val="24"/>
          <w:szCs w:val="24"/>
        </w:rPr>
        <w:t xml:space="preserve"> (white privilege)</w:t>
      </w:r>
      <w:r w:rsidR="00492387">
        <w:rPr>
          <w:sz w:val="24"/>
          <w:szCs w:val="24"/>
        </w:rPr>
        <w:t xml:space="preserve">, whilst </w:t>
      </w:r>
      <w:r w:rsidR="0065038B">
        <w:rPr>
          <w:sz w:val="24"/>
          <w:szCs w:val="24"/>
        </w:rPr>
        <w:t xml:space="preserve">he acknowledges </w:t>
      </w:r>
      <w:r w:rsidR="00705915">
        <w:rPr>
          <w:sz w:val="24"/>
          <w:szCs w:val="24"/>
        </w:rPr>
        <w:t>white gay</w:t>
      </w:r>
      <w:r w:rsidR="004E6CBC">
        <w:rPr>
          <w:sz w:val="24"/>
          <w:szCs w:val="24"/>
        </w:rPr>
        <w:t>s</w:t>
      </w:r>
      <w:r w:rsidR="00705915">
        <w:rPr>
          <w:sz w:val="24"/>
          <w:szCs w:val="24"/>
        </w:rPr>
        <w:t xml:space="preserve"> </w:t>
      </w:r>
      <w:r w:rsidR="0065038B">
        <w:rPr>
          <w:sz w:val="24"/>
          <w:szCs w:val="24"/>
        </w:rPr>
        <w:t xml:space="preserve">do face discrimination </w:t>
      </w:r>
      <w:r w:rsidR="00705915">
        <w:rPr>
          <w:sz w:val="24"/>
          <w:szCs w:val="24"/>
        </w:rPr>
        <w:t xml:space="preserve">he stresses the importance of recognising the privileged position that they have in comparison to their </w:t>
      </w:r>
      <w:r w:rsidR="0065038B">
        <w:rPr>
          <w:sz w:val="24"/>
          <w:szCs w:val="24"/>
        </w:rPr>
        <w:t>non-white counterparts.</w:t>
      </w:r>
    </w:p>
    <w:p w14:paraId="02D8154B" w14:textId="0D373963" w:rsidR="004E6CBC" w:rsidRDefault="004E6CBC" w:rsidP="001F4A0B">
      <w:pPr>
        <w:tabs>
          <w:tab w:val="left" w:pos="2830"/>
        </w:tabs>
        <w:spacing w:line="480" w:lineRule="auto"/>
        <w:ind w:left="720"/>
        <w:jc w:val="both"/>
        <w:rPr>
          <w:sz w:val="24"/>
          <w:szCs w:val="24"/>
        </w:rPr>
      </w:pPr>
      <w:r>
        <w:rPr>
          <w:sz w:val="24"/>
          <w:szCs w:val="24"/>
        </w:rPr>
        <w:t xml:space="preserve">           </w:t>
      </w:r>
      <w:r w:rsidR="003A684C">
        <w:rPr>
          <w:sz w:val="24"/>
          <w:szCs w:val="24"/>
        </w:rPr>
        <w:t>The term white privilege is a somewhat controversial topic in the current societal climate.</w:t>
      </w:r>
      <w:r w:rsidR="009C248D">
        <w:rPr>
          <w:sz w:val="24"/>
          <w:szCs w:val="24"/>
        </w:rPr>
        <w:t xml:space="preserve"> As it is an intangible </w:t>
      </w:r>
      <w:r w:rsidR="00C323B7">
        <w:rPr>
          <w:sz w:val="24"/>
          <w:szCs w:val="24"/>
        </w:rPr>
        <w:t>and invisible societal behaviour, it is often contested, most often</w:t>
      </w:r>
      <w:r w:rsidR="00E72417">
        <w:rPr>
          <w:sz w:val="24"/>
          <w:szCs w:val="24"/>
        </w:rPr>
        <w:t xml:space="preserve"> however</w:t>
      </w:r>
      <w:r w:rsidR="00C323B7">
        <w:rPr>
          <w:sz w:val="24"/>
          <w:szCs w:val="24"/>
        </w:rPr>
        <w:t xml:space="preserve"> by those who </w:t>
      </w:r>
      <w:r w:rsidR="00E72417">
        <w:rPr>
          <w:sz w:val="24"/>
          <w:szCs w:val="24"/>
        </w:rPr>
        <w:t>benefit from it.</w:t>
      </w:r>
      <w:r w:rsidR="00CF65C5">
        <w:rPr>
          <w:sz w:val="24"/>
          <w:szCs w:val="24"/>
        </w:rPr>
        <w:t xml:space="preserve"> </w:t>
      </w:r>
      <w:r w:rsidR="00EF6EC1">
        <w:rPr>
          <w:sz w:val="24"/>
          <w:szCs w:val="24"/>
        </w:rPr>
        <w:t xml:space="preserve">McIntosh (1988) suggests that </w:t>
      </w:r>
      <w:r w:rsidR="0039669A">
        <w:rPr>
          <w:sz w:val="24"/>
          <w:szCs w:val="24"/>
        </w:rPr>
        <w:t xml:space="preserve">white privilege </w:t>
      </w:r>
      <w:r w:rsidR="003A035D">
        <w:rPr>
          <w:sz w:val="24"/>
          <w:szCs w:val="24"/>
        </w:rPr>
        <w:t xml:space="preserve">is the product of </w:t>
      </w:r>
      <w:r w:rsidR="0039669A">
        <w:rPr>
          <w:sz w:val="24"/>
          <w:szCs w:val="24"/>
        </w:rPr>
        <w:t>white people hav</w:t>
      </w:r>
      <w:r w:rsidR="003A035D">
        <w:rPr>
          <w:sz w:val="24"/>
          <w:szCs w:val="24"/>
        </w:rPr>
        <w:t xml:space="preserve">ing an </w:t>
      </w:r>
      <w:r w:rsidR="0039669A">
        <w:rPr>
          <w:sz w:val="24"/>
          <w:szCs w:val="24"/>
        </w:rPr>
        <w:t>unearned advantage within society purely because they are white.</w:t>
      </w:r>
      <w:r w:rsidR="00D25B9A">
        <w:rPr>
          <w:sz w:val="24"/>
          <w:szCs w:val="24"/>
        </w:rPr>
        <w:t xml:space="preserve"> </w:t>
      </w:r>
      <w:r w:rsidR="00023E52">
        <w:rPr>
          <w:sz w:val="24"/>
          <w:szCs w:val="24"/>
        </w:rPr>
        <w:t xml:space="preserve">An example of white privilege is white people never being asked to speak for their race </w:t>
      </w:r>
      <w:r w:rsidR="00E93900">
        <w:rPr>
          <w:sz w:val="24"/>
          <w:szCs w:val="24"/>
        </w:rPr>
        <w:t>as a group whereas their non-white counterpart often find they must do so in response to the actions of a small section of their group (Miller &amp; Harris, 2005)</w:t>
      </w:r>
      <w:r w:rsidR="002A4B42">
        <w:rPr>
          <w:sz w:val="24"/>
          <w:szCs w:val="24"/>
        </w:rPr>
        <w:t xml:space="preserve">. </w:t>
      </w:r>
      <w:r w:rsidR="003B0818">
        <w:rPr>
          <w:sz w:val="24"/>
          <w:szCs w:val="24"/>
        </w:rPr>
        <w:t xml:space="preserve">White people often </w:t>
      </w:r>
      <w:r w:rsidR="009160F0">
        <w:rPr>
          <w:sz w:val="24"/>
          <w:szCs w:val="24"/>
        </w:rPr>
        <w:t xml:space="preserve">cognitively distance </w:t>
      </w:r>
      <w:r w:rsidR="009160F0">
        <w:rPr>
          <w:sz w:val="24"/>
          <w:szCs w:val="24"/>
        </w:rPr>
        <w:lastRenderedPageBreak/>
        <w:t xml:space="preserve">themselves </w:t>
      </w:r>
      <w:r w:rsidR="003B0818">
        <w:rPr>
          <w:sz w:val="24"/>
          <w:szCs w:val="24"/>
        </w:rPr>
        <w:t xml:space="preserve">from white </w:t>
      </w:r>
      <w:r w:rsidR="009160F0">
        <w:rPr>
          <w:sz w:val="24"/>
          <w:szCs w:val="24"/>
        </w:rPr>
        <w:t>privilege</w:t>
      </w:r>
      <w:r w:rsidR="003B0818">
        <w:rPr>
          <w:sz w:val="24"/>
          <w:szCs w:val="24"/>
        </w:rPr>
        <w:t xml:space="preserve">, as to admit its existence would be to </w:t>
      </w:r>
      <w:r w:rsidR="008D56A2">
        <w:rPr>
          <w:sz w:val="24"/>
          <w:szCs w:val="24"/>
        </w:rPr>
        <w:t>admit they are part of the problem</w:t>
      </w:r>
      <w:r w:rsidR="0072189D">
        <w:rPr>
          <w:sz w:val="24"/>
          <w:szCs w:val="24"/>
        </w:rPr>
        <w:t>.</w:t>
      </w:r>
      <w:r w:rsidR="00981698">
        <w:rPr>
          <w:sz w:val="24"/>
          <w:szCs w:val="24"/>
        </w:rPr>
        <w:t xml:space="preserve"> </w:t>
      </w:r>
      <w:sdt>
        <w:sdtPr>
          <w:rPr>
            <w:sz w:val="24"/>
            <w:szCs w:val="24"/>
          </w:rPr>
          <w:id w:val="1360238697"/>
          <w:citation/>
        </w:sdtPr>
        <w:sdtContent>
          <w:r w:rsidR="00981698">
            <w:rPr>
              <w:sz w:val="24"/>
              <w:szCs w:val="24"/>
            </w:rPr>
            <w:fldChar w:fldCharType="begin"/>
          </w:r>
          <w:r w:rsidR="00981698">
            <w:rPr>
              <w:sz w:val="24"/>
              <w:szCs w:val="24"/>
            </w:rPr>
            <w:instrText xml:space="preserve"> CITATION Ste12 \l 2057 </w:instrText>
          </w:r>
          <w:r w:rsidR="00981698">
            <w:rPr>
              <w:sz w:val="24"/>
              <w:szCs w:val="24"/>
            </w:rPr>
            <w:fldChar w:fldCharType="separate"/>
          </w:r>
          <w:r w:rsidR="0061327F" w:rsidRPr="0061327F">
            <w:rPr>
              <w:noProof/>
              <w:sz w:val="24"/>
              <w:szCs w:val="24"/>
            </w:rPr>
            <w:t>(Stewart, Latu, Branscombe, Phillips, &amp; Denney, 2012)</w:t>
          </w:r>
          <w:r w:rsidR="00981698">
            <w:rPr>
              <w:sz w:val="24"/>
              <w:szCs w:val="24"/>
            </w:rPr>
            <w:fldChar w:fldCharType="end"/>
          </w:r>
        </w:sdtContent>
      </w:sdt>
      <w:r w:rsidR="009160F0">
        <w:rPr>
          <w:sz w:val="24"/>
          <w:szCs w:val="24"/>
        </w:rPr>
        <w:t>.</w:t>
      </w:r>
      <w:r w:rsidR="009835CD">
        <w:rPr>
          <w:sz w:val="24"/>
          <w:szCs w:val="24"/>
        </w:rPr>
        <w:t xml:space="preserve"> </w:t>
      </w:r>
      <w:r w:rsidR="00A2386C">
        <w:rPr>
          <w:sz w:val="24"/>
          <w:szCs w:val="24"/>
        </w:rPr>
        <w:t>However, raising white people’s awareness of their position of priv</w:t>
      </w:r>
      <w:r w:rsidR="006A1C26">
        <w:rPr>
          <w:sz w:val="24"/>
          <w:szCs w:val="24"/>
        </w:rPr>
        <w:t>i</w:t>
      </w:r>
      <w:r w:rsidR="00A2386C">
        <w:rPr>
          <w:sz w:val="24"/>
          <w:szCs w:val="24"/>
        </w:rPr>
        <w:t xml:space="preserve">lege and the advantages they </w:t>
      </w:r>
      <w:r w:rsidR="003E4518">
        <w:rPr>
          <w:sz w:val="24"/>
          <w:szCs w:val="24"/>
        </w:rPr>
        <w:t>have in comparison to their racial minority counterparts</w:t>
      </w:r>
      <w:r w:rsidR="00750D7E">
        <w:rPr>
          <w:sz w:val="24"/>
          <w:szCs w:val="24"/>
        </w:rPr>
        <w:t xml:space="preserve"> is shown to lower their raci</w:t>
      </w:r>
      <w:r w:rsidR="00B234CF">
        <w:rPr>
          <w:sz w:val="24"/>
          <w:szCs w:val="24"/>
        </w:rPr>
        <w:t>sm</w:t>
      </w:r>
      <w:sdt>
        <w:sdtPr>
          <w:rPr>
            <w:sz w:val="24"/>
            <w:szCs w:val="24"/>
          </w:rPr>
          <w:id w:val="1092278061"/>
          <w:citation/>
        </w:sdtPr>
        <w:sdtContent>
          <w:r w:rsidR="00B234CF">
            <w:rPr>
              <w:sz w:val="24"/>
              <w:szCs w:val="24"/>
            </w:rPr>
            <w:fldChar w:fldCharType="begin"/>
          </w:r>
          <w:r w:rsidR="00B234CF">
            <w:rPr>
              <w:sz w:val="24"/>
              <w:szCs w:val="24"/>
            </w:rPr>
            <w:instrText xml:space="preserve"> CITATION Pow05 \l 2057 </w:instrText>
          </w:r>
          <w:r w:rsidR="00B234CF">
            <w:rPr>
              <w:sz w:val="24"/>
              <w:szCs w:val="24"/>
            </w:rPr>
            <w:fldChar w:fldCharType="separate"/>
          </w:r>
          <w:r w:rsidR="0061327F">
            <w:rPr>
              <w:noProof/>
              <w:sz w:val="24"/>
              <w:szCs w:val="24"/>
            </w:rPr>
            <w:t xml:space="preserve"> </w:t>
          </w:r>
          <w:r w:rsidR="0061327F" w:rsidRPr="0061327F">
            <w:rPr>
              <w:noProof/>
              <w:sz w:val="24"/>
              <w:szCs w:val="24"/>
            </w:rPr>
            <w:t>(Powell, Branscombe, &amp; Schmitt, 2005)</w:t>
          </w:r>
          <w:r w:rsidR="00B234CF">
            <w:rPr>
              <w:sz w:val="24"/>
              <w:szCs w:val="24"/>
            </w:rPr>
            <w:fldChar w:fldCharType="end"/>
          </w:r>
        </w:sdtContent>
      </w:sdt>
      <w:r w:rsidR="00B234CF">
        <w:rPr>
          <w:sz w:val="24"/>
          <w:szCs w:val="24"/>
        </w:rPr>
        <w:t>.</w:t>
      </w:r>
    </w:p>
    <w:p w14:paraId="469CF3D3" w14:textId="66AFFC2A" w:rsidR="00B234CF" w:rsidRDefault="00B234CF" w:rsidP="001F4A0B">
      <w:pPr>
        <w:tabs>
          <w:tab w:val="left" w:pos="2830"/>
        </w:tabs>
        <w:spacing w:line="480" w:lineRule="auto"/>
        <w:ind w:left="720"/>
        <w:jc w:val="both"/>
        <w:rPr>
          <w:sz w:val="24"/>
          <w:szCs w:val="24"/>
        </w:rPr>
      </w:pPr>
      <w:r>
        <w:rPr>
          <w:sz w:val="24"/>
          <w:szCs w:val="24"/>
        </w:rPr>
        <w:t xml:space="preserve">             </w:t>
      </w:r>
      <w:r w:rsidR="00E409E7">
        <w:rPr>
          <w:sz w:val="24"/>
          <w:szCs w:val="24"/>
        </w:rPr>
        <w:t xml:space="preserve">One of the key factors that influences the LGB </w:t>
      </w:r>
      <w:r w:rsidR="006649FE">
        <w:rPr>
          <w:sz w:val="24"/>
          <w:szCs w:val="24"/>
        </w:rPr>
        <w:t>communities’</w:t>
      </w:r>
      <w:r w:rsidR="00E409E7">
        <w:rPr>
          <w:sz w:val="24"/>
          <w:szCs w:val="24"/>
        </w:rPr>
        <w:t xml:space="preserve"> </w:t>
      </w:r>
      <w:r w:rsidR="00AA4813">
        <w:rPr>
          <w:sz w:val="24"/>
          <w:szCs w:val="24"/>
        </w:rPr>
        <w:t>attitudes towards transgender inclusion is the differentiating between sexuality and gender identity.</w:t>
      </w:r>
      <w:r w:rsidR="00FA71AE">
        <w:rPr>
          <w:sz w:val="24"/>
          <w:szCs w:val="24"/>
        </w:rPr>
        <w:t xml:space="preserve"> </w:t>
      </w:r>
      <w:r w:rsidR="00225648">
        <w:rPr>
          <w:sz w:val="24"/>
          <w:szCs w:val="24"/>
        </w:rPr>
        <w:t xml:space="preserve"> Due to the difference in in sexuality and gender identity, trans people are often forced to stand up for their own rights</w:t>
      </w:r>
      <w:r w:rsidR="000A5C20">
        <w:rPr>
          <w:sz w:val="24"/>
          <w:szCs w:val="24"/>
        </w:rPr>
        <w:t>, rather than receiving support from their LGB brothers</w:t>
      </w:r>
      <w:r w:rsidR="001B4F7E">
        <w:rPr>
          <w:sz w:val="24"/>
          <w:szCs w:val="24"/>
        </w:rPr>
        <w:t xml:space="preserve"> and sisters. </w:t>
      </w:r>
      <w:r w:rsidR="00877169">
        <w:rPr>
          <w:sz w:val="24"/>
          <w:szCs w:val="24"/>
        </w:rPr>
        <w:t>Leading LGBT organisation S</w:t>
      </w:r>
      <w:r w:rsidR="001B4F7E">
        <w:rPr>
          <w:sz w:val="24"/>
          <w:szCs w:val="24"/>
        </w:rPr>
        <w:t xml:space="preserve">tonewall (2017) released a report </w:t>
      </w:r>
      <w:r w:rsidR="007425F0">
        <w:rPr>
          <w:sz w:val="24"/>
          <w:szCs w:val="24"/>
        </w:rPr>
        <w:t xml:space="preserve">entitled ‘acceptance without exception’, detailing their </w:t>
      </w:r>
      <w:r w:rsidR="00312E51">
        <w:rPr>
          <w:sz w:val="24"/>
          <w:szCs w:val="24"/>
        </w:rPr>
        <w:t>5-year</w:t>
      </w:r>
      <w:r w:rsidR="007425F0">
        <w:rPr>
          <w:sz w:val="24"/>
          <w:szCs w:val="24"/>
        </w:rPr>
        <w:t xml:space="preserve"> plan to </w:t>
      </w:r>
      <w:r w:rsidR="00535AB4">
        <w:rPr>
          <w:sz w:val="24"/>
          <w:szCs w:val="24"/>
        </w:rPr>
        <w:t>encourage the LGB community to be more inclusive of the trans community, recognising the</w:t>
      </w:r>
      <w:r w:rsidR="00456F78">
        <w:rPr>
          <w:sz w:val="24"/>
          <w:szCs w:val="24"/>
        </w:rPr>
        <w:t xml:space="preserve"> dissention between them.</w:t>
      </w:r>
      <w:r w:rsidR="002635D0">
        <w:rPr>
          <w:sz w:val="24"/>
          <w:szCs w:val="24"/>
        </w:rPr>
        <w:t xml:space="preserve"> Though there may be discrepancies between sexuality and gender identity, it is important to note that transgender people can also identify as gay, lesbian or bisexual</w:t>
      </w:r>
      <w:r w:rsidR="002546B9">
        <w:rPr>
          <w:sz w:val="24"/>
          <w:szCs w:val="24"/>
        </w:rPr>
        <w:t>.</w:t>
      </w:r>
      <w:r w:rsidR="00877169">
        <w:rPr>
          <w:sz w:val="24"/>
          <w:szCs w:val="24"/>
        </w:rPr>
        <w:t xml:space="preserve"> The report by Stonewall</w:t>
      </w:r>
      <w:r w:rsidR="000E4592">
        <w:rPr>
          <w:sz w:val="24"/>
          <w:szCs w:val="24"/>
        </w:rPr>
        <w:t xml:space="preserve"> recognised </w:t>
      </w:r>
      <w:r w:rsidR="00B2414B">
        <w:rPr>
          <w:sz w:val="24"/>
          <w:szCs w:val="24"/>
        </w:rPr>
        <w:t xml:space="preserve">that trans identities are often </w:t>
      </w:r>
      <w:r w:rsidR="00835677">
        <w:rPr>
          <w:sz w:val="24"/>
          <w:szCs w:val="24"/>
        </w:rPr>
        <w:t xml:space="preserve">relegated or disowned in contention with other issues raised, instead of being amplified. They also </w:t>
      </w:r>
      <w:r w:rsidR="00026277">
        <w:rPr>
          <w:sz w:val="24"/>
          <w:szCs w:val="24"/>
        </w:rPr>
        <w:t>recognised that there can be hostility from the cisgender LGB community towards trans people</w:t>
      </w:r>
      <w:r w:rsidR="008531E8">
        <w:rPr>
          <w:sz w:val="24"/>
          <w:szCs w:val="24"/>
        </w:rPr>
        <w:t xml:space="preserve"> as well as a lack of acceptance.</w:t>
      </w:r>
      <w:r w:rsidR="00610948">
        <w:rPr>
          <w:sz w:val="24"/>
          <w:szCs w:val="24"/>
        </w:rPr>
        <w:t xml:space="preserve"> They also stressed the importance of allies to support </w:t>
      </w:r>
      <w:r w:rsidR="00AC6C08">
        <w:rPr>
          <w:sz w:val="24"/>
          <w:szCs w:val="24"/>
        </w:rPr>
        <w:t>trans people who may be struggling.</w:t>
      </w:r>
    </w:p>
    <w:p w14:paraId="63ED5FF6" w14:textId="4D691AEB" w:rsidR="00AC6C08" w:rsidRDefault="00AC6C08" w:rsidP="001F4A0B">
      <w:pPr>
        <w:tabs>
          <w:tab w:val="left" w:pos="2830"/>
        </w:tabs>
        <w:spacing w:line="480" w:lineRule="auto"/>
        <w:ind w:left="720"/>
        <w:jc w:val="both"/>
        <w:rPr>
          <w:sz w:val="24"/>
          <w:szCs w:val="24"/>
        </w:rPr>
      </w:pPr>
      <w:r>
        <w:rPr>
          <w:sz w:val="24"/>
          <w:szCs w:val="24"/>
        </w:rPr>
        <w:t xml:space="preserve">             </w:t>
      </w:r>
      <w:r w:rsidR="00C12A2F">
        <w:rPr>
          <w:sz w:val="24"/>
          <w:szCs w:val="24"/>
        </w:rPr>
        <w:t xml:space="preserve">  </w:t>
      </w:r>
      <w:r w:rsidR="00201A87">
        <w:rPr>
          <w:sz w:val="24"/>
          <w:szCs w:val="24"/>
        </w:rPr>
        <w:t xml:space="preserve">Solidarity from the LGB community towards the trans community has often been non-existent. </w:t>
      </w:r>
      <w:r w:rsidR="003257B1">
        <w:rPr>
          <w:sz w:val="24"/>
          <w:szCs w:val="24"/>
        </w:rPr>
        <w:t>During the campaign for the Employment Nondiscrimination Act</w:t>
      </w:r>
      <w:r w:rsidR="004906D1">
        <w:rPr>
          <w:sz w:val="24"/>
          <w:szCs w:val="24"/>
        </w:rPr>
        <w:t xml:space="preserve"> in 2007, two </w:t>
      </w:r>
      <w:r w:rsidR="00657CFB">
        <w:rPr>
          <w:sz w:val="24"/>
          <w:szCs w:val="24"/>
        </w:rPr>
        <w:t xml:space="preserve">Democrat members (who were gay) voted </w:t>
      </w:r>
      <w:r w:rsidR="00B25B7C">
        <w:rPr>
          <w:sz w:val="24"/>
          <w:szCs w:val="24"/>
        </w:rPr>
        <w:t xml:space="preserve">alongside others </w:t>
      </w:r>
      <w:r w:rsidR="00657CFB">
        <w:rPr>
          <w:sz w:val="24"/>
          <w:szCs w:val="24"/>
        </w:rPr>
        <w:t xml:space="preserve">to remove the transgender protections from the legislation, as they believed a bill of full </w:t>
      </w:r>
      <w:r w:rsidR="00657CFB">
        <w:rPr>
          <w:sz w:val="24"/>
          <w:szCs w:val="24"/>
        </w:rPr>
        <w:lastRenderedPageBreak/>
        <w:t>inclusivity would not pass through the government</w:t>
      </w:r>
      <w:r w:rsidR="00E00BE1">
        <w:rPr>
          <w:sz w:val="24"/>
          <w:szCs w:val="24"/>
        </w:rPr>
        <w:t xml:space="preserve"> </w:t>
      </w:r>
      <w:sdt>
        <w:sdtPr>
          <w:rPr>
            <w:sz w:val="24"/>
            <w:szCs w:val="24"/>
          </w:rPr>
          <w:id w:val="18830728"/>
          <w:citation/>
        </w:sdtPr>
        <w:sdtContent>
          <w:r w:rsidR="00E00BE1">
            <w:rPr>
              <w:sz w:val="24"/>
              <w:szCs w:val="24"/>
            </w:rPr>
            <w:fldChar w:fldCharType="begin"/>
          </w:r>
          <w:r w:rsidR="00E00BE1">
            <w:rPr>
              <w:sz w:val="24"/>
              <w:szCs w:val="24"/>
            </w:rPr>
            <w:instrText xml:space="preserve"> CITATION Car07 \l 2057 </w:instrText>
          </w:r>
          <w:r w:rsidR="00E00BE1">
            <w:rPr>
              <w:sz w:val="24"/>
              <w:szCs w:val="24"/>
            </w:rPr>
            <w:fldChar w:fldCharType="separate"/>
          </w:r>
          <w:r w:rsidR="0061327F" w:rsidRPr="0061327F">
            <w:rPr>
              <w:noProof/>
              <w:sz w:val="24"/>
              <w:szCs w:val="24"/>
            </w:rPr>
            <w:t>(Lochhead, 2007)</w:t>
          </w:r>
          <w:r w:rsidR="00E00BE1">
            <w:rPr>
              <w:sz w:val="24"/>
              <w:szCs w:val="24"/>
            </w:rPr>
            <w:fldChar w:fldCharType="end"/>
          </w:r>
        </w:sdtContent>
      </w:sdt>
      <w:r w:rsidR="00E00BE1">
        <w:rPr>
          <w:sz w:val="24"/>
          <w:szCs w:val="24"/>
        </w:rPr>
        <w:t>.</w:t>
      </w:r>
      <w:r w:rsidR="005D5C51">
        <w:rPr>
          <w:sz w:val="24"/>
          <w:szCs w:val="24"/>
        </w:rPr>
        <w:t xml:space="preserve"> Rather than fight for the inclusion</w:t>
      </w:r>
      <w:r w:rsidR="00F06160">
        <w:rPr>
          <w:sz w:val="24"/>
          <w:szCs w:val="24"/>
        </w:rPr>
        <w:t>, they decided trans rights were less important than LGB rights.  Th</w:t>
      </w:r>
      <w:r w:rsidR="005D7F8D">
        <w:rPr>
          <w:sz w:val="24"/>
          <w:szCs w:val="24"/>
        </w:rPr>
        <w:t>is strengthens the idea of the power dynamic within the LGBT community.</w:t>
      </w:r>
    </w:p>
    <w:p w14:paraId="29D6C880" w14:textId="0E333318" w:rsidR="00534393" w:rsidRDefault="00534393" w:rsidP="001F4A0B">
      <w:pPr>
        <w:tabs>
          <w:tab w:val="left" w:pos="2830"/>
        </w:tabs>
        <w:spacing w:line="480" w:lineRule="auto"/>
        <w:ind w:left="720"/>
        <w:jc w:val="both"/>
        <w:rPr>
          <w:sz w:val="24"/>
          <w:szCs w:val="24"/>
        </w:rPr>
      </w:pPr>
      <w:r>
        <w:rPr>
          <w:sz w:val="24"/>
          <w:szCs w:val="24"/>
        </w:rPr>
        <w:t xml:space="preserve">            However, research has suggested that there is a high correlation between prejudice scales of transphobia and homophobia </w:t>
      </w:r>
      <w:sdt>
        <w:sdtPr>
          <w:rPr>
            <w:sz w:val="24"/>
            <w:szCs w:val="24"/>
          </w:rPr>
          <w:id w:val="1854608964"/>
          <w:citation/>
        </w:sdtPr>
        <w:sdtContent>
          <w:r>
            <w:rPr>
              <w:sz w:val="24"/>
              <w:szCs w:val="24"/>
            </w:rPr>
            <w:fldChar w:fldCharType="begin"/>
          </w:r>
          <w:r>
            <w:rPr>
              <w:sz w:val="24"/>
              <w:szCs w:val="24"/>
            </w:rPr>
            <w:instrText xml:space="preserve"> CITATION Nag08 \l 2057 </w:instrText>
          </w:r>
          <w:r>
            <w:rPr>
              <w:sz w:val="24"/>
              <w:szCs w:val="24"/>
            </w:rPr>
            <w:fldChar w:fldCharType="separate"/>
          </w:r>
          <w:r w:rsidR="0061327F" w:rsidRPr="0061327F">
            <w:rPr>
              <w:noProof/>
              <w:sz w:val="24"/>
              <w:szCs w:val="24"/>
            </w:rPr>
            <w:t>(Nagoshi, Adams, &amp; Terrell, 2008)</w:t>
          </w:r>
          <w:r>
            <w:rPr>
              <w:sz w:val="24"/>
              <w:szCs w:val="24"/>
            </w:rPr>
            <w:fldChar w:fldCharType="end"/>
          </w:r>
        </w:sdtContent>
      </w:sdt>
      <w:r>
        <w:rPr>
          <w:sz w:val="24"/>
          <w:szCs w:val="24"/>
        </w:rPr>
        <w:t xml:space="preserve">. This means that people who are transphobic are more likely to be homophobic too. It can be suggested from this that transgender people and gay people do in fact face similar discrimination from out-group communities. This should enforce the ideology that the LGBT community should be encompassing of all as to the outside they are all viewed as one. </w:t>
      </w:r>
    </w:p>
    <w:p w14:paraId="12502D2B" w14:textId="696B55C4" w:rsidR="00261A99" w:rsidRDefault="00434843" w:rsidP="00261A99">
      <w:pPr>
        <w:tabs>
          <w:tab w:val="left" w:pos="2830"/>
        </w:tabs>
        <w:spacing w:line="480" w:lineRule="auto"/>
        <w:ind w:left="720"/>
        <w:jc w:val="both"/>
        <w:rPr>
          <w:sz w:val="24"/>
          <w:szCs w:val="24"/>
        </w:rPr>
      </w:pPr>
      <w:r>
        <w:rPr>
          <w:sz w:val="24"/>
          <w:szCs w:val="24"/>
        </w:rPr>
        <w:t xml:space="preserve">         To conclude, it can be suggested from the aforementioned research that societal power dynamics as well as confusion between gender identity and sexuality c</w:t>
      </w:r>
      <w:r w:rsidR="00A07DCB">
        <w:rPr>
          <w:sz w:val="24"/>
          <w:szCs w:val="24"/>
        </w:rPr>
        <w:t>an influence attitudes towards transgender people from the LGB community.</w:t>
      </w:r>
      <w:r w:rsidR="00C35102">
        <w:rPr>
          <w:sz w:val="24"/>
          <w:szCs w:val="24"/>
        </w:rPr>
        <w:t xml:space="preserve"> </w:t>
      </w:r>
      <w:r w:rsidR="00312E51">
        <w:rPr>
          <w:sz w:val="24"/>
          <w:szCs w:val="24"/>
        </w:rPr>
        <w:t>However,</w:t>
      </w:r>
      <w:r w:rsidR="00EF2D20">
        <w:rPr>
          <w:sz w:val="24"/>
          <w:szCs w:val="24"/>
        </w:rPr>
        <w:t xml:space="preserve"> it should be noted that not all of the LGB community is discriminatory. The aforementioned research all represents the opinions and responses from people who </w:t>
      </w:r>
      <w:r w:rsidR="001723A8">
        <w:rPr>
          <w:sz w:val="24"/>
          <w:szCs w:val="24"/>
        </w:rPr>
        <w:t xml:space="preserve">do not represent the majority when it comes to attitudes towards transgenderism. </w:t>
      </w:r>
      <w:r w:rsidR="00A26A21">
        <w:rPr>
          <w:sz w:val="24"/>
          <w:szCs w:val="24"/>
        </w:rPr>
        <w:t xml:space="preserve">The majority of the LGBT community is encouraging and supportive towards each other as they are able to </w:t>
      </w:r>
      <w:r w:rsidR="00DC3151">
        <w:rPr>
          <w:sz w:val="24"/>
          <w:szCs w:val="24"/>
        </w:rPr>
        <w:t>empathise</w:t>
      </w:r>
      <w:r w:rsidR="00A26A21">
        <w:rPr>
          <w:sz w:val="24"/>
          <w:szCs w:val="24"/>
        </w:rPr>
        <w:t xml:space="preserve"> on behalf of being discriminated against for reasons out of </w:t>
      </w:r>
      <w:r w:rsidR="00350C3D">
        <w:rPr>
          <w:sz w:val="24"/>
          <w:szCs w:val="24"/>
        </w:rPr>
        <w:t>their</w:t>
      </w:r>
      <w:r w:rsidR="00A26A21">
        <w:rPr>
          <w:sz w:val="24"/>
          <w:szCs w:val="24"/>
        </w:rPr>
        <w:t xml:space="preserve"> control</w:t>
      </w:r>
      <w:r w:rsidR="004560A4">
        <w:rPr>
          <w:sz w:val="24"/>
          <w:szCs w:val="24"/>
        </w:rPr>
        <w:t xml:space="preserve"> as well as facing similar discrimination from out-group members.</w:t>
      </w:r>
      <w:r w:rsidR="00261A99">
        <w:rPr>
          <w:sz w:val="24"/>
          <w:szCs w:val="24"/>
        </w:rPr>
        <w:t xml:space="preserve"> It is also important to recognise that one of the big gay rights movements was started with a trans person, so to erase them and exhibit transphobia is morally wrong.</w:t>
      </w:r>
    </w:p>
    <w:p w14:paraId="454B4C87" w14:textId="74C39FF2" w:rsidR="004560A4" w:rsidRDefault="004560A4" w:rsidP="001F4A0B">
      <w:pPr>
        <w:tabs>
          <w:tab w:val="left" w:pos="2830"/>
        </w:tabs>
        <w:spacing w:line="480" w:lineRule="auto"/>
        <w:ind w:left="720"/>
        <w:jc w:val="both"/>
        <w:rPr>
          <w:sz w:val="24"/>
          <w:szCs w:val="24"/>
        </w:rPr>
      </w:pPr>
    </w:p>
    <w:p w14:paraId="0FDBFD01" w14:textId="0585CD08" w:rsidR="004560A4" w:rsidRDefault="004560A4" w:rsidP="001F4A0B">
      <w:pPr>
        <w:tabs>
          <w:tab w:val="left" w:pos="2830"/>
        </w:tabs>
        <w:spacing w:line="480" w:lineRule="auto"/>
        <w:ind w:left="720"/>
        <w:jc w:val="both"/>
        <w:rPr>
          <w:sz w:val="24"/>
          <w:szCs w:val="24"/>
        </w:rPr>
      </w:pPr>
    </w:p>
    <w:p w14:paraId="79177230" w14:textId="138483D1" w:rsidR="004560A4" w:rsidRDefault="004560A4" w:rsidP="001F4A0B">
      <w:pPr>
        <w:tabs>
          <w:tab w:val="left" w:pos="2830"/>
        </w:tabs>
        <w:spacing w:line="480" w:lineRule="auto"/>
        <w:ind w:left="720"/>
        <w:jc w:val="both"/>
        <w:rPr>
          <w:sz w:val="24"/>
          <w:szCs w:val="24"/>
        </w:rPr>
      </w:pPr>
    </w:p>
    <w:p w14:paraId="5DC19D73" w14:textId="67C22B47" w:rsidR="004560A4" w:rsidRDefault="004560A4" w:rsidP="001F4A0B">
      <w:pPr>
        <w:tabs>
          <w:tab w:val="left" w:pos="2830"/>
        </w:tabs>
        <w:spacing w:line="480" w:lineRule="auto"/>
        <w:ind w:left="720"/>
        <w:jc w:val="both"/>
        <w:rPr>
          <w:sz w:val="24"/>
          <w:szCs w:val="24"/>
        </w:rPr>
      </w:pPr>
    </w:p>
    <w:p w14:paraId="1F032F37" w14:textId="77777777" w:rsidR="004560A4" w:rsidRDefault="004560A4" w:rsidP="001F4A0B">
      <w:pPr>
        <w:tabs>
          <w:tab w:val="left" w:pos="2830"/>
        </w:tabs>
        <w:spacing w:line="480" w:lineRule="auto"/>
        <w:ind w:left="720"/>
        <w:jc w:val="both"/>
        <w:rPr>
          <w:sz w:val="24"/>
          <w:szCs w:val="24"/>
        </w:rPr>
      </w:pPr>
    </w:p>
    <w:p w14:paraId="0621448F" w14:textId="5D7E5CF4" w:rsidR="00E80B97" w:rsidRPr="00244414" w:rsidRDefault="00C066F5" w:rsidP="001F4A0B">
      <w:pPr>
        <w:tabs>
          <w:tab w:val="left" w:pos="2830"/>
        </w:tabs>
        <w:spacing w:line="480" w:lineRule="auto"/>
        <w:ind w:left="720"/>
        <w:jc w:val="both"/>
        <w:rPr>
          <w:sz w:val="24"/>
          <w:szCs w:val="24"/>
        </w:rPr>
      </w:pPr>
      <w:r>
        <w:rPr>
          <w:sz w:val="24"/>
          <w:szCs w:val="24"/>
        </w:rPr>
        <w:t xml:space="preserve">            </w:t>
      </w:r>
    </w:p>
    <w:sdt>
      <w:sdtPr>
        <w:id w:val="1605219732"/>
        <w:docPartObj>
          <w:docPartGallery w:val="Bibliographies"/>
          <w:docPartUnique/>
        </w:docPartObj>
      </w:sdtPr>
      <w:sdtEndPr>
        <w:rPr>
          <w:rFonts w:asciiTheme="minorHAnsi" w:eastAsiaTheme="minorHAnsi" w:hAnsiTheme="minorHAnsi" w:cstheme="minorBidi"/>
          <w:color w:val="auto"/>
          <w:sz w:val="22"/>
          <w:szCs w:val="22"/>
          <w:lang w:val="en-GB"/>
        </w:rPr>
      </w:sdtEndPr>
      <w:sdtContent>
        <w:p w14:paraId="5077DE3B" w14:textId="7A5F29E2" w:rsidR="00DC3151" w:rsidRDefault="00DC3151">
          <w:pPr>
            <w:pStyle w:val="Heading1"/>
          </w:pPr>
          <w:r>
            <w:t>References</w:t>
          </w:r>
        </w:p>
        <w:sdt>
          <w:sdtPr>
            <w:id w:val="-573587230"/>
            <w:bibliography/>
          </w:sdtPr>
          <w:sdtContent>
            <w:p w14:paraId="4CFBD3DA" w14:textId="77777777" w:rsidR="0061327F" w:rsidRDefault="00DC3151" w:rsidP="0061327F">
              <w:pPr>
                <w:pStyle w:val="Bibliography"/>
                <w:ind w:left="720" w:hanging="720"/>
                <w:rPr>
                  <w:noProof/>
                  <w:sz w:val="24"/>
                  <w:szCs w:val="24"/>
                  <w:lang w:val="en-US"/>
                </w:rPr>
              </w:pPr>
              <w:r>
                <w:fldChar w:fldCharType="begin"/>
              </w:r>
              <w:r>
                <w:instrText xml:space="preserve"> BIBLIOGRAPHY </w:instrText>
              </w:r>
              <w:r>
                <w:fldChar w:fldCharType="separate"/>
              </w:r>
              <w:r w:rsidR="0061327F">
                <w:rPr>
                  <w:noProof/>
                  <w:lang w:val="en-US"/>
                </w:rPr>
                <w:t xml:space="preserve">D’Emilio, J. (1983). Sexual politics, sexual communities: The making of a homosexual minority in the United States, 1940-1970. </w:t>
              </w:r>
              <w:r w:rsidR="0061327F">
                <w:rPr>
                  <w:i/>
                  <w:iCs/>
                  <w:noProof/>
                  <w:lang w:val="en-US"/>
                </w:rPr>
                <w:t>The American Historical Review</w:t>
              </w:r>
              <w:r w:rsidR="0061327F">
                <w:rPr>
                  <w:noProof/>
                  <w:lang w:val="en-US"/>
                </w:rPr>
                <w:t>, 1341-1342.</w:t>
              </w:r>
            </w:p>
            <w:p w14:paraId="73FB2A4F" w14:textId="77777777" w:rsidR="0061327F" w:rsidRDefault="0061327F" w:rsidP="0061327F">
              <w:pPr>
                <w:pStyle w:val="Bibliography"/>
                <w:ind w:left="720" w:hanging="720"/>
                <w:rPr>
                  <w:noProof/>
                  <w:lang w:val="en-US"/>
                </w:rPr>
              </w:pPr>
              <w:r>
                <w:rPr>
                  <w:noProof/>
                  <w:lang w:val="en-US"/>
                </w:rPr>
                <w:t xml:space="preserve">Emmerich, R. (Director). (2015). </w:t>
              </w:r>
              <w:r>
                <w:rPr>
                  <w:i/>
                  <w:iCs/>
                  <w:noProof/>
                  <w:lang w:val="en-US"/>
                </w:rPr>
                <w:t>Stonewall</w:t>
              </w:r>
              <w:r>
                <w:rPr>
                  <w:noProof/>
                  <w:lang w:val="en-US"/>
                </w:rPr>
                <w:t xml:space="preserve"> [Motion Picture].</w:t>
              </w:r>
            </w:p>
            <w:p w14:paraId="059309EB" w14:textId="77777777" w:rsidR="0061327F" w:rsidRDefault="0061327F" w:rsidP="0061327F">
              <w:pPr>
                <w:pStyle w:val="Bibliography"/>
                <w:ind w:left="720" w:hanging="720"/>
                <w:rPr>
                  <w:noProof/>
                  <w:lang w:val="en-US"/>
                </w:rPr>
              </w:pPr>
              <w:r>
                <w:rPr>
                  <w:i/>
                  <w:iCs/>
                  <w:noProof/>
                  <w:lang w:val="en-US"/>
                </w:rPr>
                <w:t>Gender Recognition Act 2004</w:t>
              </w:r>
              <w:r>
                <w:rPr>
                  <w:noProof/>
                  <w:lang w:val="en-US"/>
                </w:rPr>
                <w:t>. (2004). Retrieved from http://www.legislation.gov.uk/ukpga/2004/7/contents</w:t>
              </w:r>
            </w:p>
            <w:p w14:paraId="74F04187" w14:textId="77777777" w:rsidR="0061327F" w:rsidRDefault="0061327F" w:rsidP="0061327F">
              <w:pPr>
                <w:pStyle w:val="Bibliography"/>
                <w:ind w:left="720" w:hanging="720"/>
                <w:rPr>
                  <w:noProof/>
                  <w:lang w:val="en-US"/>
                </w:rPr>
              </w:pPr>
              <w:r>
                <w:rPr>
                  <w:noProof/>
                  <w:lang w:val="en-US"/>
                </w:rPr>
                <w:t xml:space="preserve">Glass, J. (2018, April 25). </w:t>
              </w:r>
              <w:r>
                <w:rPr>
                  <w:i/>
                  <w:iCs/>
                  <w:noProof/>
                  <w:lang w:val="en-US"/>
                </w:rPr>
                <w:t>Exclusive: Anti-trans meeting sparks mass criticism and counter-protests from university groups</w:t>
              </w:r>
              <w:r>
                <w:rPr>
                  <w:noProof/>
                  <w:lang w:val="en-US"/>
                </w:rPr>
                <w:t>. Retrieved from pinknews.co.uk: https://www.pinknews.co.uk/2018/04/25/university-of-oxford-protest-transgender-feminism-womans-place/</w:t>
              </w:r>
            </w:p>
            <w:p w14:paraId="400ECAFC" w14:textId="77777777" w:rsidR="0061327F" w:rsidRDefault="0061327F" w:rsidP="0061327F">
              <w:pPr>
                <w:pStyle w:val="Bibliography"/>
                <w:ind w:left="720" w:hanging="720"/>
                <w:rPr>
                  <w:noProof/>
                  <w:lang w:val="en-US"/>
                </w:rPr>
              </w:pPr>
              <w:r>
                <w:rPr>
                  <w:noProof/>
                  <w:lang w:val="en-US"/>
                </w:rPr>
                <w:t xml:space="preserve">Kasino, M. (Director). (2012). </w:t>
              </w:r>
              <w:r>
                <w:rPr>
                  <w:i/>
                  <w:iCs/>
                  <w:noProof/>
                  <w:lang w:val="en-US"/>
                </w:rPr>
                <w:t>Pay it no mind – The life and times of Marsha P. Johnson</w:t>
              </w:r>
              <w:r>
                <w:rPr>
                  <w:noProof/>
                  <w:lang w:val="en-US"/>
                </w:rPr>
                <w:t xml:space="preserve"> [Motion Picture].</w:t>
              </w:r>
            </w:p>
            <w:p w14:paraId="128DF19A" w14:textId="77777777" w:rsidR="0061327F" w:rsidRDefault="0061327F" w:rsidP="0061327F">
              <w:pPr>
                <w:pStyle w:val="Bibliography"/>
                <w:ind w:left="720" w:hanging="720"/>
                <w:rPr>
                  <w:noProof/>
                  <w:lang w:val="en-US"/>
                </w:rPr>
              </w:pPr>
              <w:r>
                <w:rPr>
                  <w:noProof/>
                  <w:lang w:val="en-US"/>
                </w:rPr>
                <w:t xml:space="preserve">LGB Alliance. (2020, May 11). </w:t>
              </w:r>
              <w:r>
                <w:rPr>
                  <w:i/>
                  <w:iCs/>
                  <w:noProof/>
                  <w:lang w:val="en-US"/>
                </w:rPr>
                <w:t>LGB Alliance - About Us</w:t>
              </w:r>
              <w:r>
                <w:rPr>
                  <w:noProof/>
                  <w:lang w:val="en-US"/>
                </w:rPr>
                <w:t>. Retrieved from LGBAlliance.org.uk: https://lgballiance.org.uk/about/</w:t>
              </w:r>
            </w:p>
            <w:p w14:paraId="6A7A626E" w14:textId="77777777" w:rsidR="0061327F" w:rsidRDefault="0061327F" w:rsidP="0061327F">
              <w:pPr>
                <w:pStyle w:val="Bibliography"/>
                <w:ind w:left="720" w:hanging="720"/>
                <w:rPr>
                  <w:noProof/>
                  <w:lang w:val="en-US"/>
                </w:rPr>
              </w:pPr>
              <w:r>
                <w:rPr>
                  <w:noProof/>
                  <w:lang w:val="en-US"/>
                </w:rPr>
                <w:t xml:space="preserve">Lochhead, C. (2007, September 28). </w:t>
              </w:r>
              <w:r>
                <w:rPr>
                  <w:i/>
                  <w:iCs/>
                  <w:noProof/>
                  <w:lang w:val="en-US"/>
                </w:rPr>
                <w:t>House cuts transgender people from hate crimes bill</w:t>
              </w:r>
              <w:r>
                <w:rPr>
                  <w:noProof/>
                  <w:lang w:val="en-US"/>
                </w:rPr>
                <w:t>. Retrieved from sfgate.com: https://www.sfgate.com/politics/article/House-cuts-transgender-people-from-hate-crimes-2538277.php</w:t>
              </w:r>
            </w:p>
            <w:p w14:paraId="741F0CB8" w14:textId="77777777" w:rsidR="0061327F" w:rsidRDefault="0061327F" w:rsidP="0061327F">
              <w:pPr>
                <w:pStyle w:val="Bibliography"/>
                <w:ind w:left="720" w:hanging="720"/>
                <w:rPr>
                  <w:noProof/>
                  <w:lang w:val="en-US"/>
                </w:rPr>
              </w:pPr>
              <w:r>
                <w:rPr>
                  <w:noProof/>
                  <w:lang w:val="en-US"/>
                </w:rPr>
                <w:t xml:space="preserve">Matzner, A. (2004). </w:t>
              </w:r>
              <w:r>
                <w:rPr>
                  <w:i/>
                  <w:iCs/>
                  <w:noProof/>
                  <w:lang w:val="en-US"/>
                </w:rPr>
                <w:t>Stonewall Riots.</w:t>
              </w:r>
              <w:r>
                <w:rPr>
                  <w:noProof/>
                  <w:lang w:val="en-US"/>
                </w:rPr>
                <w:t xml:space="preserve"> Retrieved from glbtq.com: http://glbtqarchive.com/ssh/stonewall_riots_S.pdf</w:t>
              </w:r>
            </w:p>
            <w:p w14:paraId="6637EB39" w14:textId="77777777" w:rsidR="0061327F" w:rsidRDefault="0061327F" w:rsidP="0061327F">
              <w:pPr>
                <w:pStyle w:val="Bibliography"/>
                <w:ind w:left="720" w:hanging="720"/>
                <w:rPr>
                  <w:noProof/>
                  <w:lang w:val="en-US"/>
                </w:rPr>
              </w:pPr>
              <w:r>
                <w:rPr>
                  <w:noProof/>
                  <w:lang w:val="en-US"/>
                </w:rPr>
                <w:t xml:space="preserve">McIntosh, P. (1988). White Privilege: Unpacking the Invisible Knapsack. </w:t>
              </w:r>
              <w:r>
                <w:rPr>
                  <w:i/>
                  <w:iCs/>
                  <w:noProof/>
                  <w:lang w:val="en-US"/>
                </w:rPr>
                <w:t>Peace and Freedom</w:t>
              </w:r>
              <w:r>
                <w:rPr>
                  <w:noProof/>
                  <w:lang w:val="en-US"/>
                </w:rPr>
                <w:t>, 10-12.</w:t>
              </w:r>
            </w:p>
            <w:p w14:paraId="0A47D7A1" w14:textId="77777777" w:rsidR="0061327F" w:rsidRDefault="0061327F" w:rsidP="0061327F">
              <w:pPr>
                <w:pStyle w:val="Bibliography"/>
                <w:ind w:left="720" w:hanging="720"/>
                <w:rPr>
                  <w:noProof/>
                  <w:lang w:val="en-US"/>
                </w:rPr>
              </w:pPr>
              <w:r>
                <w:rPr>
                  <w:noProof/>
                  <w:lang w:val="en-US"/>
                </w:rPr>
                <w:t xml:space="preserve">Miller, A., &amp; Harris, T. M. (2005). Communicating to Develop White Racial Identity in an Interracial Communication Class. </w:t>
              </w:r>
              <w:r>
                <w:rPr>
                  <w:i/>
                  <w:iCs/>
                  <w:noProof/>
                  <w:lang w:val="en-US"/>
                </w:rPr>
                <w:t>Communication Education</w:t>
              </w:r>
              <w:r>
                <w:rPr>
                  <w:noProof/>
                  <w:lang w:val="en-US"/>
                </w:rPr>
                <w:t>, 223-242.</w:t>
              </w:r>
            </w:p>
            <w:p w14:paraId="012800E0" w14:textId="77777777" w:rsidR="0061327F" w:rsidRDefault="0061327F" w:rsidP="0061327F">
              <w:pPr>
                <w:pStyle w:val="Bibliography"/>
                <w:ind w:left="720" w:hanging="720"/>
                <w:rPr>
                  <w:noProof/>
                  <w:lang w:val="en-US"/>
                </w:rPr>
              </w:pPr>
              <w:r>
                <w:rPr>
                  <w:noProof/>
                  <w:lang w:val="en-US"/>
                </w:rPr>
                <w:t xml:space="preserve">Nagoshi, J., Adams, K., &amp; Terrell, H. e. (2008). Gender Differences in Correlates of Homophobia and Transphobia. </w:t>
              </w:r>
              <w:r>
                <w:rPr>
                  <w:i/>
                  <w:iCs/>
                  <w:noProof/>
                  <w:lang w:val="en-US"/>
                </w:rPr>
                <w:t>Sex Roles</w:t>
              </w:r>
              <w:r>
                <w:rPr>
                  <w:noProof/>
                  <w:lang w:val="en-US"/>
                </w:rPr>
                <w:t>, 521.</w:t>
              </w:r>
            </w:p>
            <w:p w14:paraId="76B64C7E" w14:textId="77777777" w:rsidR="0061327F" w:rsidRDefault="0061327F" w:rsidP="0061327F">
              <w:pPr>
                <w:pStyle w:val="Bibliography"/>
                <w:ind w:left="720" w:hanging="720"/>
                <w:rPr>
                  <w:noProof/>
                  <w:lang w:val="en-US"/>
                </w:rPr>
              </w:pPr>
              <w:r>
                <w:rPr>
                  <w:noProof/>
                  <w:lang w:val="en-US"/>
                </w:rPr>
                <w:t xml:space="preserve">Parsons, V. (2020, April 03). </w:t>
              </w:r>
              <w:r>
                <w:rPr>
                  <w:i/>
                  <w:iCs/>
                  <w:noProof/>
                  <w:lang w:val="en-US"/>
                </w:rPr>
                <w:t>Neo-Nazis and homophobes are among the supporters of the ‘anti-trans’ group LGB Alliance</w:t>
              </w:r>
              <w:r>
                <w:rPr>
                  <w:noProof/>
                  <w:lang w:val="en-US"/>
                </w:rPr>
                <w:t>. Retrieved from pinknews.co.uk: https://www.pinknews.co.uk/2020/04/03/lgb-alliance-neo-nazi-homophobia-spinster-death-head-charity-commission/</w:t>
              </w:r>
            </w:p>
            <w:p w14:paraId="4AA163AD" w14:textId="77777777" w:rsidR="0061327F" w:rsidRDefault="0061327F" w:rsidP="0061327F">
              <w:pPr>
                <w:pStyle w:val="Bibliography"/>
                <w:ind w:left="720" w:hanging="720"/>
                <w:rPr>
                  <w:noProof/>
                  <w:lang w:val="en-US"/>
                </w:rPr>
              </w:pPr>
              <w:r>
                <w:rPr>
                  <w:noProof/>
                  <w:lang w:val="en-US"/>
                </w:rPr>
                <w:lastRenderedPageBreak/>
                <w:t xml:space="preserve">Powell, A. A., Branscombe, N. R., &amp; Schmitt, M. T. (2005). Inequality as ingroup privilege or outgroup disadvantage: The impact of group focus on collective guilt and interracial attitudes. </w:t>
              </w:r>
              <w:r>
                <w:rPr>
                  <w:i/>
                  <w:iCs/>
                  <w:noProof/>
                  <w:lang w:val="en-US"/>
                </w:rPr>
                <w:t>Personality and Social Psychology Bulletin</w:t>
              </w:r>
              <w:r>
                <w:rPr>
                  <w:noProof/>
                  <w:lang w:val="en-US"/>
                </w:rPr>
                <w:t>, 508-521.</w:t>
              </w:r>
            </w:p>
            <w:p w14:paraId="2C79CA6D" w14:textId="77777777" w:rsidR="0061327F" w:rsidRDefault="0061327F" w:rsidP="0061327F">
              <w:pPr>
                <w:pStyle w:val="Bibliography"/>
                <w:ind w:left="720" w:hanging="720"/>
                <w:rPr>
                  <w:noProof/>
                  <w:lang w:val="en-US"/>
                </w:rPr>
              </w:pPr>
              <w:r>
                <w:rPr>
                  <w:noProof/>
                  <w:lang w:val="en-US"/>
                </w:rPr>
                <w:t xml:space="preserve">Riggs, D. (2006). </w:t>
              </w:r>
              <w:r>
                <w:rPr>
                  <w:i/>
                  <w:iCs/>
                  <w:noProof/>
                  <w:lang w:val="en-US"/>
                </w:rPr>
                <w:t>Priscilla, (white) Queen of the desert.</w:t>
              </w:r>
              <w:r>
                <w:rPr>
                  <w:noProof/>
                  <w:lang w:val="en-US"/>
                </w:rPr>
                <w:t xml:space="preserve"> New York: Peter Lang.</w:t>
              </w:r>
            </w:p>
            <w:p w14:paraId="5757849F" w14:textId="77777777" w:rsidR="0061327F" w:rsidRDefault="0061327F" w:rsidP="0061327F">
              <w:pPr>
                <w:pStyle w:val="Bibliography"/>
                <w:ind w:left="720" w:hanging="720"/>
                <w:rPr>
                  <w:noProof/>
                  <w:lang w:val="en-US"/>
                </w:rPr>
              </w:pPr>
              <w:r>
                <w:rPr>
                  <w:noProof/>
                  <w:lang w:val="en-US"/>
                </w:rPr>
                <w:t xml:space="preserve">Segal, M. (2015, September 23). </w:t>
              </w:r>
              <w:r>
                <w:rPr>
                  <w:i/>
                  <w:iCs/>
                  <w:noProof/>
                  <w:lang w:val="en-US"/>
                </w:rPr>
                <w:t>I was at the Stonewall riots. The movie ‘Stonewall’ gets everything wrong</w:t>
              </w:r>
              <w:r>
                <w:rPr>
                  <w:noProof/>
                  <w:lang w:val="en-US"/>
                </w:rPr>
                <w:t>. Retrieved from pbs.org: https://www.pbs.org/newshour/arts/stonewall-movie</w:t>
              </w:r>
            </w:p>
            <w:p w14:paraId="5387BD79" w14:textId="77777777" w:rsidR="0061327F" w:rsidRDefault="0061327F" w:rsidP="0061327F">
              <w:pPr>
                <w:pStyle w:val="Bibliography"/>
                <w:ind w:left="720" w:hanging="720"/>
                <w:rPr>
                  <w:noProof/>
                  <w:lang w:val="en-US"/>
                </w:rPr>
              </w:pPr>
              <w:r>
                <w:rPr>
                  <w:noProof/>
                  <w:lang w:val="en-US"/>
                </w:rPr>
                <w:t xml:space="preserve">Stageman, S. (2017). </w:t>
              </w:r>
              <w:r>
                <w:rPr>
                  <w:i/>
                  <w:iCs/>
                  <w:noProof/>
                  <w:lang w:val="en-US"/>
                </w:rPr>
                <w:t>Whitewashing of the Stonewall Riots</w:t>
              </w:r>
              <w:r>
                <w:rPr>
                  <w:noProof/>
                  <w:lang w:val="en-US"/>
                </w:rPr>
                <w:t>. Retrieved from https://digitalcommons.wou.edu/cgi/viewcontent.cgi?article=1137&amp;context=honors_theses</w:t>
              </w:r>
            </w:p>
            <w:p w14:paraId="197CB283" w14:textId="77777777" w:rsidR="0061327F" w:rsidRDefault="0061327F" w:rsidP="0061327F">
              <w:pPr>
                <w:pStyle w:val="Bibliography"/>
                <w:ind w:left="720" w:hanging="720"/>
                <w:rPr>
                  <w:noProof/>
                  <w:lang w:val="en-US"/>
                </w:rPr>
              </w:pPr>
              <w:r>
                <w:rPr>
                  <w:noProof/>
                  <w:lang w:val="en-US"/>
                </w:rPr>
                <w:t xml:space="preserve">Stewart, T. L., Latu, I. M., Branscombe, N. R., Phillips, N. L., &amp; Denney, H. H. (2012). White Privilege Awareness and Efficacy to Reduce Racial Inequality Improve White Americans' Attitudes Toward African Americans. </w:t>
              </w:r>
              <w:r>
                <w:rPr>
                  <w:i/>
                  <w:iCs/>
                  <w:noProof/>
                  <w:lang w:val="en-US"/>
                </w:rPr>
                <w:t>Journal Of Social Issues</w:t>
              </w:r>
              <w:r>
                <w:rPr>
                  <w:noProof/>
                  <w:lang w:val="en-US"/>
                </w:rPr>
                <w:t>, 68.</w:t>
              </w:r>
            </w:p>
            <w:p w14:paraId="5FD9001D" w14:textId="77777777" w:rsidR="0061327F" w:rsidRDefault="0061327F" w:rsidP="0061327F">
              <w:pPr>
                <w:pStyle w:val="Bibliography"/>
                <w:ind w:left="720" w:hanging="720"/>
                <w:rPr>
                  <w:noProof/>
                  <w:lang w:val="en-US"/>
                </w:rPr>
              </w:pPr>
              <w:r>
                <w:rPr>
                  <w:noProof/>
                  <w:lang w:val="en-US"/>
                </w:rPr>
                <w:t xml:space="preserve">Stone, A. (2009). More than adding a T: American Lesbian and Gay Activists Attitudes towards Transgender Inclusion. </w:t>
              </w:r>
              <w:r>
                <w:rPr>
                  <w:i/>
                  <w:iCs/>
                  <w:noProof/>
                  <w:lang w:val="en-US"/>
                </w:rPr>
                <w:t>Social Movements and Change</w:t>
              </w:r>
              <w:r>
                <w:rPr>
                  <w:noProof/>
                  <w:lang w:val="en-US"/>
                </w:rPr>
                <w:t>, 334-354.</w:t>
              </w:r>
            </w:p>
            <w:p w14:paraId="22E63F0A" w14:textId="77777777" w:rsidR="0061327F" w:rsidRDefault="0061327F" w:rsidP="0061327F">
              <w:pPr>
                <w:pStyle w:val="Bibliography"/>
                <w:ind w:left="720" w:hanging="720"/>
                <w:rPr>
                  <w:noProof/>
                  <w:lang w:val="en-US"/>
                </w:rPr>
              </w:pPr>
              <w:r>
                <w:rPr>
                  <w:noProof/>
                  <w:lang w:val="en-US"/>
                </w:rPr>
                <w:t xml:space="preserve">Stonewall. (2017). </w:t>
              </w:r>
              <w:r>
                <w:rPr>
                  <w:i/>
                  <w:iCs/>
                  <w:noProof/>
                  <w:lang w:val="en-US"/>
                </w:rPr>
                <w:t>A vision for Change: Acceptance without exception for trans people.</w:t>
              </w:r>
              <w:r>
                <w:rPr>
                  <w:noProof/>
                  <w:lang w:val="en-US"/>
                </w:rPr>
                <w:t xml:space="preserve"> London: Stonewall.</w:t>
              </w:r>
            </w:p>
            <w:p w14:paraId="760D28B0" w14:textId="77777777" w:rsidR="0061327F" w:rsidRDefault="0061327F" w:rsidP="0061327F">
              <w:pPr>
                <w:pStyle w:val="Bibliography"/>
                <w:ind w:left="720" w:hanging="720"/>
                <w:rPr>
                  <w:noProof/>
                  <w:lang w:val="en-US"/>
                </w:rPr>
              </w:pPr>
              <w:r>
                <w:rPr>
                  <w:noProof/>
                  <w:lang w:val="en-US"/>
                </w:rPr>
                <w:t xml:space="preserve">Warriner, K., Nagoshi, C., &amp; Nagoshi, J. (2013). Correlates of Homophobia, Transphobia, and Internalized Homophobia in Gay or Lesbian and Heterosexual Samples. </w:t>
              </w:r>
              <w:r>
                <w:rPr>
                  <w:i/>
                  <w:iCs/>
                  <w:noProof/>
                  <w:lang w:val="en-US"/>
                </w:rPr>
                <w:t>Journal of Homosexuality</w:t>
              </w:r>
              <w:r>
                <w:rPr>
                  <w:noProof/>
                  <w:lang w:val="en-US"/>
                </w:rPr>
                <w:t>, 1317-1334.</w:t>
              </w:r>
            </w:p>
            <w:p w14:paraId="71DEE1C5" w14:textId="77777777" w:rsidR="0061327F" w:rsidRDefault="0061327F" w:rsidP="0061327F">
              <w:pPr>
                <w:pStyle w:val="Bibliography"/>
                <w:ind w:left="720" w:hanging="720"/>
                <w:rPr>
                  <w:noProof/>
                  <w:lang w:val="en-US"/>
                </w:rPr>
              </w:pPr>
              <w:r>
                <w:rPr>
                  <w:noProof/>
                  <w:lang w:val="en-US"/>
                </w:rPr>
                <w:t xml:space="preserve">Weiss, J. T. (2003). GL vs. BT. </w:t>
              </w:r>
              <w:r>
                <w:rPr>
                  <w:i/>
                  <w:iCs/>
                  <w:noProof/>
                  <w:lang w:val="en-US"/>
                </w:rPr>
                <w:t>Journal of Bisexuality</w:t>
              </w:r>
              <w:r>
                <w:rPr>
                  <w:noProof/>
                  <w:lang w:val="en-US"/>
                </w:rPr>
                <w:t>, 25-55.</w:t>
              </w:r>
            </w:p>
            <w:p w14:paraId="21955EB1" w14:textId="413070AB" w:rsidR="00DC3151" w:rsidRDefault="00DC3151" w:rsidP="0061327F">
              <w:r>
                <w:rPr>
                  <w:b/>
                  <w:bCs/>
                  <w:noProof/>
                </w:rPr>
                <w:fldChar w:fldCharType="end"/>
              </w:r>
            </w:p>
          </w:sdtContent>
        </w:sdt>
      </w:sdtContent>
    </w:sdt>
    <w:p w14:paraId="7538C452" w14:textId="72E1D174" w:rsidR="00434843" w:rsidRPr="00244414" w:rsidRDefault="00434843" w:rsidP="001F4A0B">
      <w:pPr>
        <w:tabs>
          <w:tab w:val="left" w:pos="2830"/>
        </w:tabs>
        <w:spacing w:line="480" w:lineRule="auto"/>
        <w:ind w:left="720"/>
        <w:jc w:val="both"/>
        <w:rPr>
          <w:sz w:val="24"/>
          <w:szCs w:val="24"/>
        </w:rPr>
      </w:pPr>
    </w:p>
    <w:p w14:paraId="21D929A7" w14:textId="77777777" w:rsidR="00454F7A" w:rsidRPr="00B36815" w:rsidRDefault="00454F7A" w:rsidP="00B36815">
      <w:pPr>
        <w:tabs>
          <w:tab w:val="left" w:pos="2830"/>
        </w:tabs>
        <w:jc w:val="center"/>
        <w:rPr>
          <w:b/>
          <w:bCs/>
          <w:sz w:val="24"/>
          <w:szCs w:val="24"/>
        </w:rPr>
      </w:pPr>
    </w:p>
    <w:sectPr w:rsidR="00454F7A" w:rsidRPr="00B3681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9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58A6"/>
    <w:rsid w:val="0001533B"/>
    <w:rsid w:val="00023E52"/>
    <w:rsid w:val="00025893"/>
    <w:rsid w:val="00026277"/>
    <w:rsid w:val="000478DD"/>
    <w:rsid w:val="00050F70"/>
    <w:rsid w:val="000537A6"/>
    <w:rsid w:val="00064BD0"/>
    <w:rsid w:val="00064D72"/>
    <w:rsid w:val="000928C3"/>
    <w:rsid w:val="000A5042"/>
    <w:rsid w:val="000A5C20"/>
    <w:rsid w:val="000B4C42"/>
    <w:rsid w:val="000C2771"/>
    <w:rsid w:val="000E2CE1"/>
    <w:rsid w:val="000E4592"/>
    <w:rsid w:val="001078A2"/>
    <w:rsid w:val="001159C7"/>
    <w:rsid w:val="001479AD"/>
    <w:rsid w:val="00152D63"/>
    <w:rsid w:val="001723A8"/>
    <w:rsid w:val="001724B9"/>
    <w:rsid w:val="001A4006"/>
    <w:rsid w:val="001B4F7E"/>
    <w:rsid w:val="001C0F98"/>
    <w:rsid w:val="001C5B9D"/>
    <w:rsid w:val="001F4A0B"/>
    <w:rsid w:val="00201A87"/>
    <w:rsid w:val="00211AAA"/>
    <w:rsid w:val="00212AC7"/>
    <w:rsid w:val="00225648"/>
    <w:rsid w:val="00244414"/>
    <w:rsid w:val="00252B94"/>
    <w:rsid w:val="002546B9"/>
    <w:rsid w:val="00261A99"/>
    <w:rsid w:val="002635D0"/>
    <w:rsid w:val="002701EE"/>
    <w:rsid w:val="002A4B42"/>
    <w:rsid w:val="002D2C51"/>
    <w:rsid w:val="002F6461"/>
    <w:rsid w:val="00305329"/>
    <w:rsid w:val="00312E51"/>
    <w:rsid w:val="00317D65"/>
    <w:rsid w:val="003257B1"/>
    <w:rsid w:val="00345FA4"/>
    <w:rsid w:val="0034677A"/>
    <w:rsid w:val="00350C3D"/>
    <w:rsid w:val="00373682"/>
    <w:rsid w:val="00374F73"/>
    <w:rsid w:val="00382665"/>
    <w:rsid w:val="00385A07"/>
    <w:rsid w:val="00394F79"/>
    <w:rsid w:val="0039669A"/>
    <w:rsid w:val="003A035D"/>
    <w:rsid w:val="003A684C"/>
    <w:rsid w:val="003B0818"/>
    <w:rsid w:val="003B5207"/>
    <w:rsid w:val="003B592B"/>
    <w:rsid w:val="003D058D"/>
    <w:rsid w:val="003D61B1"/>
    <w:rsid w:val="003D789C"/>
    <w:rsid w:val="003E4518"/>
    <w:rsid w:val="00410791"/>
    <w:rsid w:val="004128B9"/>
    <w:rsid w:val="00434843"/>
    <w:rsid w:val="00454F7A"/>
    <w:rsid w:val="004560A4"/>
    <w:rsid w:val="004568E0"/>
    <w:rsid w:val="00456F78"/>
    <w:rsid w:val="00461873"/>
    <w:rsid w:val="0047088C"/>
    <w:rsid w:val="0048513C"/>
    <w:rsid w:val="004906D1"/>
    <w:rsid w:val="00492387"/>
    <w:rsid w:val="004C79DA"/>
    <w:rsid w:val="004D0DDD"/>
    <w:rsid w:val="004E6CBC"/>
    <w:rsid w:val="004F3394"/>
    <w:rsid w:val="004F6EA3"/>
    <w:rsid w:val="00510AE3"/>
    <w:rsid w:val="00510B6E"/>
    <w:rsid w:val="0053212B"/>
    <w:rsid w:val="00534393"/>
    <w:rsid w:val="005353D1"/>
    <w:rsid w:val="00535AB4"/>
    <w:rsid w:val="0054423B"/>
    <w:rsid w:val="00565C05"/>
    <w:rsid w:val="005A7AA2"/>
    <w:rsid w:val="005C39E4"/>
    <w:rsid w:val="005C4FEA"/>
    <w:rsid w:val="005D5C51"/>
    <w:rsid w:val="005D7F8D"/>
    <w:rsid w:val="005E331D"/>
    <w:rsid w:val="005E575F"/>
    <w:rsid w:val="006070FA"/>
    <w:rsid w:val="00610948"/>
    <w:rsid w:val="0061327F"/>
    <w:rsid w:val="006332BB"/>
    <w:rsid w:val="00634FD4"/>
    <w:rsid w:val="00635E0B"/>
    <w:rsid w:val="0063632C"/>
    <w:rsid w:val="00640E0B"/>
    <w:rsid w:val="0065038B"/>
    <w:rsid w:val="00651197"/>
    <w:rsid w:val="00655F85"/>
    <w:rsid w:val="00657CFB"/>
    <w:rsid w:val="00664539"/>
    <w:rsid w:val="006649FE"/>
    <w:rsid w:val="006668BE"/>
    <w:rsid w:val="006A1C26"/>
    <w:rsid w:val="006C541B"/>
    <w:rsid w:val="006D62DF"/>
    <w:rsid w:val="006F291E"/>
    <w:rsid w:val="00700F5D"/>
    <w:rsid w:val="00702522"/>
    <w:rsid w:val="00705915"/>
    <w:rsid w:val="00710643"/>
    <w:rsid w:val="0072189D"/>
    <w:rsid w:val="007425F0"/>
    <w:rsid w:val="0074403A"/>
    <w:rsid w:val="00750D7E"/>
    <w:rsid w:val="0075682D"/>
    <w:rsid w:val="00784581"/>
    <w:rsid w:val="0078729F"/>
    <w:rsid w:val="007B74A6"/>
    <w:rsid w:val="007D344E"/>
    <w:rsid w:val="007D5495"/>
    <w:rsid w:val="007E7C2C"/>
    <w:rsid w:val="008220F1"/>
    <w:rsid w:val="0082430F"/>
    <w:rsid w:val="008272ED"/>
    <w:rsid w:val="00832C14"/>
    <w:rsid w:val="00835677"/>
    <w:rsid w:val="00836A68"/>
    <w:rsid w:val="00843852"/>
    <w:rsid w:val="00845C64"/>
    <w:rsid w:val="008465E4"/>
    <w:rsid w:val="008531E8"/>
    <w:rsid w:val="00862BF4"/>
    <w:rsid w:val="00877169"/>
    <w:rsid w:val="008848B3"/>
    <w:rsid w:val="00892E89"/>
    <w:rsid w:val="00895663"/>
    <w:rsid w:val="008B4319"/>
    <w:rsid w:val="008D56A2"/>
    <w:rsid w:val="008D6DFA"/>
    <w:rsid w:val="009160F0"/>
    <w:rsid w:val="0093168B"/>
    <w:rsid w:val="00941B91"/>
    <w:rsid w:val="009547EB"/>
    <w:rsid w:val="00955CFD"/>
    <w:rsid w:val="00981698"/>
    <w:rsid w:val="009835B2"/>
    <w:rsid w:val="009835CD"/>
    <w:rsid w:val="00991BFA"/>
    <w:rsid w:val="009A55A1"/>
    <w:rsid w:val="009C248D"/>
    <w:rsid w:val="009C28CD"/>
    <w:rsid w:val="009C5EAA"/>
    <w:rsid w:val="009D2FD6"/>
    <w:rsid w:val="009E19DE"/>
    <w:rsid w:val="009E4BCF"/>
    <w:rsid w:val="009F73AC"/>
    <w:rsid w:val="00A03875"/>
    <w:rsid w:val="00A07DCB"/>
    <w:rsid w:val="00A22B9D"/>
    <w:rsid w:val="00A2386C"/>
    <w:rsid w:val="00A26A21"/>
    <w:rsid w:val="00A349D2"/>
    <w:rsid w:val="00A34E01"/>
    <w:rsid w:val="00A92B97"/>
    <w:rsid w:val="00AA4813"/>
    <w:rsid w:val="00AA55FB"/>
    <w:rsid w:val="00AC6C08"/>
    <w:rsid w:val="00AE4A5F"/>
    <w:rsid w:val="00AE5B66"/>
    <w:rsid w:val="00AE7109"/>
    <w:rsid w:val="00B1636B"/>
    <w:rsid w:val="00B234CF"/>
    <w:rsid w:val="00B23CC0"/>
    <w:rsid w:val="00B2414B"/>
    <w:rsid w:val="00B25B7C"/>
    <w:rsid w:val="00B26A2D"/>
    <w:rsid w:val="00B3025C"/>
    <w:rsid w:val="00B36815"/>
    <w:rsid w:val="00B370A5"/>
    <w:rsid w:val="00B578B4"/>
    <w:rsid w:val="00BB0EA4"/>
    <w:rsid w:val="00BD4958"/>
    <w:rsid w:val="00BF3254"/>
    <w:rsid w:val="00C066F5"/>
    <w:rsid w:val="00C12A2F"/>
    <w:rsid w:val="00C25DE1"/>
    <w:rsid w:val="00C323B7"/>
    <w:rsid w:val="00C35102"/>
    <w:rsid w:val="00C967B9"/>
    <w:rsid w:val="00CA6C53"/>
    <w:rsid w:val="00CB1794"/>
    <w:rsid w:val="00CD5C68"/>
    <w:rsid w:val="00CF4CEB"/>
    <w:rsid w:val="00CF65C5"/>
    <w:rsid w:val="00D1617C"/>
    <w:rsid w:val="00D25B9A"/>
    <w:rsid w:val="00D519C2"/>
    <w:rsid w:val="00D5286F"/>
    <w:rsid w:val="00D55140"/>
    <w:rsid w:val="00D568D3"/>
    <w:rsid w:val="00D816B4"/>
    <w:rsid w:val="00D923A1"/>
    <w:rsid w:val="00DB3183"/>
    <w:rsid w:val="00DB55EB"/>
    <w:rsid w:val="00DC3151"/>
    <w:rsid w:val="00DC548B"/>
    <w:rsid w:val="00DF4C95"/>
    <w:rsid w:val="00DF6CE8"/>
    <w:rsid w:val="00E00BE1"/>
    <w:rsid w:val="00E035A7"/>
    <w:rsid w:val="00E34CE0"/>
    <w:rsid w:val="00E358A6"/>
    <w:rsid w:val="00E35968"/>
    <w:rsid w:val="00E409E7"/>
    <w:rsid w:val="00E72417"/>
    <w:rsid w:val="00E80B97"/>
    <w:rsid w:val="00E87CC1"/>
    <w:rsid w:val="00E93900"/>
    <w:rsid w:val="00EA7C5F"/>
    <w:rsid w:val="00EC032C"/>
    <w:rsid w:val="00EC3FE5"/>
    <w:rsid w:val="00EC72DB"/>
    <w:rsid w:val="00EF2D20"/>
    <w:rsid w:val="00EF55C9"/>
    <w:rsid w:val="00EF6EC1"/>
    <w:rsid w:val="00F0280A"/>
    <w:rsid w:val="00F06160"/>
    <w:rsid w:val="00F212C5"/>
    <w:rsid w:val="00F345B2"/>
    <w:rsid w:val="00F35552"/>
    <w:rsid w:val="00F76276"/>
    <w:rsid w:val="00FA6CFF"/>
    <w:rsid w:val="00FA71AE"/>
    <w:rsid w:val="00FB202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D32EB9"/>
  <w15:chartTrackingRefBased/>
  <w15:docId w15:val="{FD1E8DC6-3C9A-48A0-A29C-5C96F6EB0B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C315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3151"/>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DC31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27758">
      <w:bodyDiv w:val="1"/>
      <w:marLeft w:val="0"/>
      <w:marRight w:val="0"/>
      <w:marTop w:val="0"/>
      <w:marBottom w:val="0"/>
      <w:divBdr>
        <w:top w:val="none" w:sz="0" w:space="0" w:color="auto"/>
        <w:left w:val="none" w:sz="0" w:space="0" w:color="auto"/>
        <w:bottom w:val="none" w:sz="0" w:space="0" w:color="auto"/>
        <w:right w:val="none" w:sz="0" w:space="0" w:color="auto"/>
      </w:divBdr>
    </w:div>
    <w:div w:id="45877893">
      <w:bodyDiv w:val="1"/>
      <w:marLeft w:val="0"/>
      <w:marRight w:val="0"/>
      <w:marTop w:val="0"/>
      <w:marBottom w:val="0"/>
      <w:divBdr>
        <w:top w:val="none" w:sz="0" w:space="0" w:color="auto"/>
        <w:left w:val="none" w:sz="0" w:space="0" w:color="auto"/>
        <w:bottom w:val="none" w:sz="0" w:space="0" w:color="auto"/>
        <w:right w:val="none" w:sz="0" w:space="0" w:color="auto"/>
      </w:divBdr>
    </w:div>
    <w:div w:id="48502422">
      <w:bodyDiv w:val="1"/>
      <w:marLeft w:val="0"/>
      <w:marRight w:val="0"/>
      <w:marTop w:val="0"/>
      <w:marBottom w:val="0"/>
      <w:divBdr>
        <w:top w:val="none" w:sz="0" w:space="0" w:color="auto"/>
        <w:left w:val="none" w:sz="0" w:space="0" w:color="auto"/>
        <w:bottom w:val="none" w:sz="0" w:space="0" w:color="auto"/>
        <w:right w:val="none" w:sz="0" w:space="0" w:color="auto"/>
      </w:divBdr>
    </w:div>
    <w:div w:id="117376746">
      <w:bodyDiv w:val="1"/>
      <w:marLeft w:val="0"/>
      <w:marRight w:val="0"/>
      <w:marTop w:val="0"/>
      <w:marBottom w:val="0"/>
      <w:divBdr>
        <w:top w:val="none" w:sz="0" w:space="0" w:color="auto"/>
        <w:left w:val="none" w:sz="0" w:space="0" w:color="auto"/>
        <w:bottom w:val="none" w:sz="0" w:space="0" w:color="auto"/>
        <w:right w:val="none" w:sz="0" w:space="0" w:color="auto"/>
      </w:divBdr>
    </w:div>
    <w:div w:id="153692000">
      <w:bodyDiv w:val="1"/>
      <w:marLeft w:val="0"/>
      <w:marRight w:val="0"/>
      <w:marTop w:val="0"/>
      <w:marBottom w:val="0"/>
      <w:divBdr>
        <w:top w:val="none" w:sz="0" w:space="0" w:color="auto"/>
        <w:left w:val="none" w:sz="0" w:space="0" w:color="auto"/>
        <w:bottom w:val="none" w:sz="0" w:space="0" w:color="auto"/>
        <w:right w:val="none" w:sz="0" w:space="0" w:color="auto"/>
      </w:divBdr>
    </w:div>
    <w:div w:id="180315033">
      <w:bodyDiv w:val="1"/>
      <w:marLeft w:val="0"/>
      <w:marRight w:val="0"/>
      <w:marTop w:val="0"/>
      <w:marBottom w:val="0"/>
      <w:divBdr>
        <w:top w:val="none" w:sz="0" w:space="0" w:color="auto"/>
        <w:left w:val="none" w:sz="0" w:space="0" w:color="auto"/>
        <w:bottom w:val="none" w:sz="0" w:space="0" w:color="auto"/>
        <w:right w:val="none" w:sz="0" w:space="0" w:color="auto"/>
      </w:divBdr>
    </w:div>
    <w:div w:id="264466173">
      <w:bodyDiv w:val="1"/>
      <w:marLeft w:val="0"/>
      <w:marRight w:val="0"/>
      <w:marTop w:val="0"/>
      <w:marBottom w:val="0"/>
      <w:divBdr>
        <w:top w:val="none" w:sz="0" w:space="0" w:color="auto"/>
        <w:left w:val="none" w:sz="0" w:space="0" w:color="auto"/>
        <w:bottom w:val="none" w:sz="0" w:space="0" w:color="auto"/>
        <w:right w:val="none" w:sz="0" w:space="0" w:color="auto"/>
      </w:divBdr>
    </w:div>
    <w:div w:id="367990383">
      <w:bodyDiv w:val="1"/>
      <w:marLeft w:val="0"/>
      <w:marRight w:val="0"/>
      <w:marTop w:val="0"/>
      <w:marBottom w:val="0"/>
      <w:divBdr>
        <w:top w:val="none" w:sz="0" w:space="0" w:color="auto"/>
        <w:left w:val="none" w:sz="0" w:space="0" w:color="auto"/>
        <w:bottom w:val="none" w:sz="0" w:space="0" w:color="auto"/>
        <w:right w:val="none" w:sz="0" w:space="0" w:color="auto"/>
      </w:divBdr>
    </w:div>
    <w:div w:id="445737625">
      <w:bodyDiv w:val="1"/>
      <w:marLeft w:val="0"/>
      <w:marRight w:val="0"/>
      <w:marTop w:val="0"/>
      <w:marBottom w:val="0"/>
      <w:divBdr>
        <w:top w:val="none" w:sz="0" w:space="0" w:color="auto"/>
        <w:left w:val="none" w:sz="0" w:space="0" w:color="auto"/>
        <w:bottom w:val="none" w:sz="0" w:space="0" w:color="auto"/>
        <w:right w:val="none" w:sz="0" w:space="0" w:color="auto"/>
      </w:divBdr>
    </w:div>
    <w:div w:id="625044852">
      <w:bodyDiv w:val="1"/>
      <w:marLeft w:val="0"/>
      <w:marRight w:val="0"/>
      <w:marTop w:val="0"/>
      <w:marBottom w:val="0"/>
      <w:divBdr>
        <w:top w:val="none" w:sz="0" w:space="0" w:color="auto"/>
        <w:left w:val="none" w:sz="0" w:space="0" w:color="auto"/>
        <w:bottom w:val="none" w:sz="0" w:space="0" w:color="auto"/>
        <w:right w:val="none" w:sz="0" w:space="0" w:color="auto"/>
      </w:divBdr>
    </w:div>
    <w:div w:id="632757572">
      <w:bodyDiv w:val="1"/>
      <w:marLeft w:val="0"/>
      <w:marRight w:val="0"/>
      <w:marTop w:val="0"/>
      <w:marBottom w:val="0"/>
      <w:divBdr>
        <w:top w:val="none" w:sz="0" w:space="0" w:color="auto"/>
        <w:left w:val="none" w:sz="0" w:space="0" w:color="auto"/>
        <w:bottom w:val="none" w:sz="0" w:space="0" w:color="auto"/>
        <w:right w:val="none" w:sz="0" w:space="0" w:color="auto"/>
      </w:divBdr>
    </w:div>
    <w:div w:id="636380682">
      <w:bodyDiv w:val="1"/>
      <w:marLeft w:val="0"/>
      <w:marRight w:val="0"/>
      <w:marTop w:val="0"/>
      <w:marBottom w:val="0"/>
      <w:divBdr>
        <w:top w:val="none" w:sz="0" w:space="0" w:color="auto"/>
        <w:left w:val="none" w:sz="0" w:space="0" w:color="auto"/>
        <w:bottom w:val="none" w:sz="0" w:space="0" w:color="auto"/>
        <w:right w:val="none" w:sz="0" w:space="0" w:color="auto"/>
      </w:divBdr>
    </w:div>
    <w:div w:id="739525658">
      <w:bodyDiv w:val="1"/>
      <w:marLeft w:val="0"/>
      <w:marRight w:val="0"/>
      <w:marTop w:val="0"/>
      <w:marBottom w:val="0"/>
      <w:divBdr>
        <w:top w:val="none" w:sz="0" w:space="0" w:color="auto"/>
        <w:left w:val="none" w:sz="0" w:space="0" w:color="auto"/>
        <w:bottom w:val="none" w:sz="0" w:space="0" w:color="auto"/>
        <w:right w:val="none" w:sz="0" w:space="0" w:color="auto"/>
      </w:divBdr>
    </w:div>
    <w:div w:id="818155629">
      <w:bodyDiv w:val="1"/>
      <w:marLeft w:val="0"/>
      <w:marRight w:val="0"/>
      <w:marTop w:val="0"/>
      <w:marBottom w:val="0"/>
      <w:divBdr>
        <w:top w:val="none" w:sz="0" w:space="0" w:color="auto"/>
        <w:left w:val="none" w:sz="0" w:space="0" w:color="auto"/>
        <w:bottom w:val="none" w:sz="0" w:space="0" w:color="auto"/>
        <w:right w:val="none" w:sz="0" w:space="0" w:color="auto"/>
      </w:divBdr>
    </w:div>
    <w:div w:id="912590942">
      <w:bodyDiv w:val="1"/>
      <w:marLeft w:val="0"/>
      <w:marRight w:val="0"/>
      <w:marTop w:val="0"/>
      <w:marBottom w:val="0"/>
      <w:divBdr>
        <w:top w:val="none" w:sz="0" w:space="0" w:color="auto"/>
        <w:left w:val="none" w:sz="0" w:space="0" w:color="auto"/>
        <w:bottom w:val="none" w:sz="0" w:space="0" w:color="auto"/>
        <w:right w:val="none" w:sz="0" w:space="0" w:color="auto"/>
      </w:divBdr>
    </w:div>
    <w:div w:id="966618903">
      <w:bodyDiv w:val="1"/>
      <w:marLeft w:val="0"/>
      <w:marRight w:val="0"/>
      <w:marTop w:val="0"/>
      <w:marBottom w:val="0"/>
      <w:divBdr>
        <w:top w:val="none" w:sz="0" w:space="0" w:color="auto"/>
        <w:left w:val="none" w:sz="0" w:space="0" w:color="auto"/>
        <w:bottom w:val="none" w:sz="0" w:space="0" w:color="auto"/>
        <w:right w:val="none" w:sz="0" w:space="0" w:color="auto"/>
      </w:divBdr>
    </w:div>
    <w:div w:id="1016035214">
      <w:bodyDiv w:val="1"/>
      <w:marLeft w:val="0"/>
      <w:marRight w:val="0"/>
      <w:marTop w:val="0"/>
      <w:marBottom w:val="0"/>
      <w:divBdr>
        <w:top w:val="none" w:sz="0" w:space="0" w:color="auto"/>
        <w:left w:val="none" w:sz="0" w:space="0" w:color="auto"/>
        <w:bottom w:val="none" w:sz="0" w:space="0" w:color="auto"/>
        <w:right w:val="none" w:sz="0" w:space="0" w:color="auto"/>
      </w:divBdr>
    </w:div>
    <w:div w:id="1250625233">
      <w:bodyDiv w:val="1"/>
      <w:marLeft w:val="0"/>
      <w:marRight w:val="0"/>
      <w:marTop w:val="0"/>
      <w:marBottom w:val="0"/>
      <w:divBdr>
        <w:top w:val="none" w:sz="0" w:space="0" w:color="auto"/>
        <w:left w:val="none" w:sz="0" w:space="0" w:color="auto"/>
        <w:bottom w:val="none" w:sz="0" w:space="0" w:color="auto"/>
        <w:right w:val="none" w:sz="0" w:space="0" w:color="auto"/>
      </w:divBdr>
    </w:div>
    <w:div w:id="1258440104">
      <w:bodyDiv w:val="1"/>
      <w:marLeft w:val="0"/>
      <w:marRight w:val="0"/>
      <w:marTop w:val="0"/>
      <w:marBottom w:val="0"/>
      <w:divBdr>
        <w:top w:val="none" w:sz="0" w:space="0" w:color="auto"/>
        <w:left w:val="none" w:sz="0" w:space="0" w:color="auto"/>
        <w:bottom w:val="none" w:sz="0" w:space="0" w:color="auto"/>
        <w:right w:val="none" w:sz="0" w:space="0" w:color="auto"/>
      </w:divBdr>
    </w:div>
    <w:div w:id="1341393035">
      <w:bodyDiv w:val="1"/>
      <w:marLeft w:val="0"/>
      <w:marRight w:val="0"/>
      <w:marTop w:val="0"/>
      <w:marBottom w:val="0"/>
      <w:divBdr>
        <w:top w:val="none" w:sz="0" w:space="0" w:color="auto"/>
        <w:left w:val="none" w:sz="0" w:space="0" w:color="auto"/>
        <w:bottom w:val="none" w:sz="0" w:space="0" w:color="auto"/>
        <w:right w:val="none" w:sz="0" w:space="0" w:color="auto"/>
      </w:divBdr>
    </w:div>
    <w:div w:id="1397360626">
      <w:bodyDiv w:val="1"/>
      <w:marLeft w:val="0"/>
      <w:marRight w:val="0"/>
      <w:marTop w:val="0"/>
      <w:marBottom w:val="0"/>
      <w:divBdr>
        <w:top w:val="none" w:sz="0" w:space="0" w:color="auto"/>
        <w:left w:val="none" w:sz="0" w:space="0" w:color="auto"/>
        <w:bottom w:val="none" w:sz="0" w:space="0" w:color="auto"/>
        <w:right w:val="none" w:sz="0" w:space="0" w:color="auto"/>
      </w:divBdr>
    </w:div>
    <w:div w:id="1453475451">
      <w:bodyDiv w:val="1"/>
      <w:marLeft w:val="0"/>
      <w:marRight w:val="0"/>
      <w:marTop w:val="0"/>
      <w:marBottom w:val="0"/>
      <w:divBdr>
        <w:top w:val="none" w:sz="0" w:space="0" w:color="auto"/>
        <w:left w:val="none" w:sz="0" w:space="0" w:color="auto"/>
        <w:bottom w:val="none" w:sz="0" w:space="0" w:color="auto"/>
        <w:right w:val="none" w:sz="0" w:space="0" w:color="auto"/>
      </w:divBdr>
    </w:div>
    <w:div w:id="1457721159">
      <w:bodyDiv w:val="1"/>
      <w:marLeft w:val="0"/>
      <w:marRight w:val="0"/>
      <w:marTop w:val="0"/>
      <w:marBottom w:val="0"/>
      <w:divBdr>
        <w:top w:val="none" w:sz="0" w:space="0" w:color="auto"/>
        <w:left w:val="none" w:sz="0" w:space="0" w:color="auto"/>
        <w:bottom w:val="none" w:sz="0" w:space="0" w:color="auto"/>
        <w:right w:val="none" w:sz="0" w:space="0" w:color="auto"/>
      </w:divBdr>
    </w:div>
    <w:div w:id="1479956094">
      <w:bodyDiv w:val="1"/>
      <w:marLeft w:val="0"/>
      <w:marRight w:val="0"/>
      <w:marTop w:val="0"/>
      <w:marBottom w:val="0"/>
      <w:divBdr>
        <w:top w:val="none" w:sz="0" w:space="0" w:color="auto"/>
        <w:left w:val="none" w:sz="0" w:space="0" w:color="auto"/>
        <w:bottom w:val="none" w:sz="0" w:space="0" w:color="auto"/>
        <w:right w:val="none" w:sz="0" w:space="0" w:color="auto"/>
      </w:divBdr>
    </w:div>
    <w:div w:id="1497378026">
      <w:bodyDiv w:val="1"/>
      <w:marLeft w:val="0"/>
      <w:marRight w:val="0"/>
      <w:marTop w:val="0"/>
      <w:marBottom w:val="0"/>
      <w:divBdr>
        <w:top w:val="none" w:sz="0" w:space="0" w:color="auto"/>
        <w:left w:val="none" w:sz="0" w:space="0" w:color="auto"/>
        <w:bottom w:val="none" w:sz="0" w:space="0" w:color="auto"/>
        <w:right w:val="none" w:sz="0" w:space="0" w:color="auto"/>
      </w:divBdr>
    </w:div>
    <w:div w:id="1662346786">
      <w:bodyDiv w:val="1"/>
      <w:marLeft w:val="0"/>
      <w:marRight w:val="0"/>
      <w:marTop w:val="0"/>
      <w:marBottom w:val="0"/>
      <w:divBdr>
        <w:top w:val="none" w:sz="0" w:space="0" w:color="auto"/>
        <w:left w:val="none" w:sz="0" w:space="0" w:color="auto"/>
        <w:bottom w:val="none" w:sz="0" w:space="0" w:color="auto"/>
        <w:right w:val="none" w:sz="0" w:space="0" w:color="auto"/>
      </w:divBdr>
    </w:div>
    <w:div w:id="1702591701">
      <w:bodyDiv w:val="1"/>
      <w:marLeft w:val="0"/>
      <w:marRight w:val="0"/>
      <w:marTop w:val="0"/>
      <w:marBottom w:val="0"/>
      <w:divBdr>
        <w:top w:val="none" w:sz="0" w:space="0" w:color="auto"/>
        <w:left w:val="none" w:sz="0" w:space="0" w:color="auto"/>
        <w:bottom w:val="none" w:sz="0" w:space="0" w:color="auto"/>
        <w:right w:val="none" w:sz="0" w:space="0" w:color="auto"/>
      </w:divBdr>
    </w:div>
    <w:div w:id="1735549122">
      <w:bodyDiv w:val="1"/>
      <w:marLeft w:val="0"/>
      <w:marRight w:val="0"/>
      <w:marTop w:val="0"/>
      <w:marBottom w:val="0"/>
      <w:divBdr>
        <w:top w:val="none" w:sz="0" w:space="0" w:color="auto"/>
        <w:left w:val="none" w:sz="0" w:space="0" w:color="auto"/>
        <w:bottom w:val="none" w:sz="0" w:space="0" w:color="auto"/>
        <w:right w:val="none" w:sz="0" w:space="0" w:color="auto"/>
      </w:divBdr>
    </w:div>
    <w:div w:id="1877280279">
      <w:bodyDiv w:val="1"/>
      <w:marLeft w:val="0"/>
      <w:marRight w:val="0"/>
      <w:marTop w:val="0"/>
      <w:marBottom w:val="0"/>
      <w:divBdr>
        <w:top w:val="none" w:sz="0" w:space="0" w:color="auto"/>
        <w:left w:val="none" w:sz="0" w:space="0" w:color="auto"/>
        <w:bottom w:val="none" w:sz="0" w:space="0" w:color="auto"/>
        <w:right w:val="none" w:sz="0" w:space="0" w:color="auto"/>
      </w:divBdr>
    </w:div>
    <w:div w:id="1896315679">
      <w:bodyDiv w:val="1"/>
      <w:marLeft w:val="0"/>
      <w:marRight w:val="0"/>
      <w:marTop w:val="0"/>
      <w:marBottom w:val="0"/>
      <w:divBdr>
        <w:top w:val="none" w:sz="0" w:space="0" w:color="auto"/>
        <w:left w:val="none" w:sz="0" w:space="0" w:color="auto"/>
        <w:bottom w:val="none" w:sz="0" w:space="0" w:color="auto"/>
        <w:right w:val="none" w:sz="0" w:space="0" w:color="auto"/>
      </w:divBdr>
    </w:div>
    <w:div w:id="2003268734">
      <w:bodyDiv w:val="1"/>
      <w:marLeft w:val="0"/>
      <w:marRight w:val="0"/>
      <w:marTop w:val="0"/>
      <w:marBottom w:val="0"/>
      <w:divBdr>
        <w:top w:val="none" w:sz="0" w:space="0" w:color="auto"/>
        <w:left w:val="none" w:sz="0" w:space="0" w:color="auto"/>
        <w:bottom w:val="none" w:sz="0" w:space="0" w:color="auto"/>
        <w:right w:val="none" w:sz="0" w:space="0" w:color="auto"/>
      </w:divBdr>
    </w:div>
    <w:div w:id="2050566608">
      <w:bodyDiv w:val="1"/>
      <w:marLeft w:val="0"/>
      <w:marRight w:val="0"/>
      <w:marTop w:val="0"/>
      <w:marBottom w:val="0"/>
      <w:divBdr>
        <w:top w:val="none" w:sz="0" w:space="0" w:color="auto"/>
        <w:left w:val="none" w:sz="0" w:space="0" w:color="auto"/>
        <w:bottom w:val="none" w:sz="0" w:space="0" w:color="auto"/>
        <w:right w:val="none" w:sz="0" w:space="0" w:color="auto"/>
      </w:divBdr>
    </w:div>
    <w:div w:id="2052920826">
      <w:bodyDiv w:val="1"/>
      <w:marLeft w:val="0"/>
      <w:marRight w:val="0"/>
      <w:marTop w:val="0"/>
      <w:marBottom w:val="0"/>
      <w:divBdr>
        <w:top w:val="none" w:sz="0" w:space="0" w:color="auto"/>
        <w:left w:val="none" w:sz="0" w:space="0" w:color="auto"/>
        <w:bottom w:val="none" w:sz="0" w:space="0" w:color="auto"/>
        <w:right w:val="none" w:sz="0" w:space="0" w:color="auto"/>
      </w:divBdr>
    </w:div>
    <w:div w:id="2099130176">
      <w:bodyDiv w:val="1"/>
      <w:marLeft w:val="0"/>
      <w:marRight w:val="0"/>
      <w:marTop w:val="0"/>
      <w:marBottom w:val="0"/>
      <w:divBdr>
        <w:top w:val="none" w:sz="0" w:space="0" w:color="auto"/>
        <w:left w:val="none" w:sz="0" w:space="0" w:color="auto"/>
        <w:bottom w:val="none" w:sz="0" w:space="0" w:color="auto"/>
        <w:right w:val="none" w:sz="0" w:space="0" w:color="auto"/>
      </w:divBdr>
    </w:div>
    <w:div w:id="2126266925">
      <w:bodyDiv w:val="1"/>
      <w:marLeft w:val="0"/>
      <w:marRight w:val="0"/>
      <w:marTop w:val="0"/>
      <w:marBottom w:val="0"/>
      <w:divBdr>
        <w:top w:val="none" w:sz="0" w:space="0" w:color="auto"/>
        <w:left w:val="none" w:sz="0" w:space="0" w:color="auto"/>
        <w:bottom w:val="none" w:sz="0" w:space="0" w:color="auto"/>
        <w:right w:val="none" w:sz="0" w:space="0" w:color="auto"/>
      </w:divBdr>
    </w:div>
    <w:div w:id="2132434542">
      <w:bodyDiv w:val="1"/>
      <w:marLeft w:val="0"/>
      <w:marRight w:val="0"/>
      <w:marTop w:val="0"/>
      <w:marBottom w:val="0"/>
      <w:divBdr>
        <w:top w:val="none" w:sz="0" w:space="0" w:color="auto"/>
        <w:left w:val="none" w:sz="0" w:space="0" w:color="auto"/>
        <w:bottom w:val="none" w:sz="0" w:space="0" w:color="auto"/>
        <w:right w:val="none" w:sz="0" w:space="0" w:color="auto"/>
      </w:divBdr>
    </w:div>
    <w:div w:id="21376781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2B428575DA40243AF564D85770AF54A" ma:contentTypeVersion="11" ma:contentTypeDescription="Create a new document." ma:contentTypeScope="" ma:versionID="de26cdce6bcb31aa5c3534cbcb12b79b">
  <xsd:schema xmlns:xsd="http://www.w3.org/2001/XMLSchema" xmlns:xs="http://www.w3.org/2001/XMLSchema" xmlns:p="http://schemas.microsoft.com/office/2006/metadata/properties" xmlns:ns3="759019c2-801f-4a8d-8b31-c78641550411" xmlns:ns4="f8a19ec0-dc81-4987-a929-8e93d70c8233" targetNamespace="http://schemas.microsoft.com/office/2006/metadata/properties" ma:root="true" ma:fieldsID="dd3684a601877889d7bbd7e52db1d009" ns3:_="" ns4:_="">
    <xsd:import namespace="759019c2-801f-4a8d-8b31-c78641550411"/>
    <xsd:import namespace="f8a19ec0-dc81-4987-a929-8e93d70c8233"/>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GenerationTime" minOccurs="0"/>
                <xsd:element ref="ns3:MediaServiceEventHashCode" minOccurs="0"/>
                <xsd:element ref="ns3:MediaServiceOCR"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9019c2-801f-4a8d-8b31-c7864155041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8a19ec0-dc81-4987-a929-8e93d70c8233"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b:Tag>Amy09</b:Tag>
    <b:SourceType>JournalArticle</b:SourceType>
    <b:Guid>{ABF226DF-1C51-4E47-B750-8EB9BDAC75B1}</b:Guid>
    <b:Author>
      <b:Author>
        <b:NameList>
          <b:Person>
            <b:Last>Stone</b:Last>
            <b:First>Amy</b:First>
          </b:Person>
        </b:NameList>
      </b:Author>
    </b:Author>
    <b:Title>More than adding a T: American Lesbian and Gay Activists Attitudes towards Transgender Inclusion</b:Title>
    <b:JournalName>Social Movements and Change</b:JournalName>
    <b:Year>2009</b:Year>
    <b:Pages>334-354</b:Pages>
    <b:RefOrder>12</b:RefOrder>
  </b:Source>
  <b:Source>
    <b:Tag>LGB20</b:Tag>
    <b:SourceType>InternetSite</b:SourceType>
    <b:Guid>{21D98282-A357-4E74-BE0C-BC0F2FF95DB3}</b:Guid>
    <b:Title>LGB Alliance - About Us</b:Title>
    <b:Year>2020</b:Year>
    <b:Author>
      <b:Author>
        <b:Corporate>LGB Alliance</b:Corporate>
      </b:Author>
    </b:Author>
    <b:InternetSiteTitle>LGBAlliance.org.uk</b:InternetSiteTitle>
    <b:Month>May</b:Month>
    <b:Day>11</b:Day>
    <b:URL>https://lgballiance.org.uk/about/</b:URL>
    <b:RefOrder>1</b:RefOrder>
  </b:Source>
  <b:Source>
    <b:Tag>Jes18</b:Tag>
    <b:SourceType>InternetSite</b:SourceType>
    <b:Guid>{01E27AC0-2208-4438-A22C-301C2C1EBE9F}</b:Guid>
    <b:Author>
      <b:Author>
        <b:NameList>
          <b:Person>
            <b:Last>Glass</b:Last>
            <b:First>Jess</b:First>
          </b:Person>
        </b:NameList>
      </b:Author>
    </b:Author>
    <b:Title>Exclusive: Anti-trans meeting sparks mass criticism and counter-protests from university groups</b:Title>
    <b:InternetSiteTitle>pinknews.co.uk</b:InternetSiteTitle>
    <b:Year>2018</b:Year>
    <b:Month>April</b:Month>
    <b:Day>25</b:Day>
    <b:URL>https://www.pinknews.co.uk/2018/04/25/university-of-oxford-protest-transgender-feminism-womans-place/</b:URL>
    <b:RefOrder>2</b:RefOrder>
  </b:Source>
  <b:Source>
    <b:Tag>Gen04</b:Tag>
    <b:SourceType>InternetSite</b:SourceType>
    <b:Guid>{F4EAF527-1C8B-4DEE-984C-B858F7E8AD6E}</b:Guid>
    <b:Title>Gender Recognition Act 2004</b:Title>
    <b:Year>2004</b:Year>
    <b:URL>http://www.legislation.gov.uk/ukpga/2004/7/contents</b:URL>
    <b:RefOrder>13</b:RefOrder>
  </b:Source>
  <b:Source>
    <b:Tag>Vic20</b:Tag>
    <b:SourceType>InternetSite</b:SourceType>
    <b:Guid>{93364847-49FF-499B-9440-ACCDB80DC044}</b:Guid>
    <b:Author>
      <b:Author>
        <b:NameList>
          <b:Person>
            <b:Last>Parsons</b:Last>
            <b:First>Vic</b:First>
          </b:Person>
        </b:NameList>
      </b:Author>
    </b:Author>
    <b:Title>Neo-Nazis and homophobes are among the supporters of the ‘anti-trans’ group LGB Alliance</b:Title>
    <b:InternetSiteTitle>pinknews.co.uk</b:InternetSiteTitle>
    <b:Year>2020</b:Year>
    <b:Month>April</b:Month>
    <b:Day>03</b:Day>
    <b:URL>https://www.pinknews.co.uk/2020/04/03/lgb-alliance-neo-nazi-homophobia-spinster-death-head-charity-commission/</b:URL>
    <b:RefOrder>3</b:RefOrder>
  </b:Source>
  <b:Source>
    <b:Tag>And04</b:Tag>
    <b:SourceType>DocumentFromInternetSite</b:SourceType>
    <b:Guid>{7152528C-87E6-43E1-8AD3-D7D0CEEE28BC}</b:Guid>
    <b:Title>Stonewall Riots</b:Title>
    <b:InternetSiteTitle>glbtq.com</b:InternetSiteTitle>
    <b:Year>2004</b:Year>
    <b:URL>http://glbtqarchive.com/ssh/stonewall_riots_S.pdf</b:URL>
    <b:Author>
      <b:Author>
        <b:NameList>
          <b:Person>
            <b:Last>Matzner</b:Last>
            <b:First>Andrew</b:First>
          </b:Person>
        </b:NameList>
      </b:Author>
    </b:Author>
    <b:RefOrder>4</b:RefOrder>
  </b:Source>
  <b:Source>
    <b:Tag>DEm83</b:Tag>
    <b:SourceType>JournalArticle</b:SourceType>
    <b:Guid>{C7B369CF-E7E6-4A48-85BD-B0950531743D}</b:Guid>
    <b:Title>Sexual politics, sexual communities: The making of a homosexual minority in the United States, 1940-1970</b:Title>
    <b:Year>1983</b:Year>
    <b:Author>
      <b:Author>
        <b:NameList>
          <b:Person>
            <b:Last>D’Emilio</b:Last>
            <b:First>J</b:First>
          </b:Person>
        </b:NameList>
      </b:Author>
    </b:Author>
    <b:JournalName>The American Historical Review</b:JournalName>
    <b:Pages>1341-1342</b:Pages>
    <b:RefOrder>5</b:RefOrder>
  </b:Source>
  <b:Source>
    <b:Tag>Kas12</b:Tag>
    <b:SourceType>Film</b:SourceType>
    <b:Guid>{232B3B15-F1E3-4E0C-BB84-BBE5AE1DA23B}</b:Guid>
    <b:Title>Pay it no mind – The life and times of Marsha P. Johnson</b:Title>
    <b:Year>2012</b:Year>
    <b:Author>
      <b:Director>
        <b:NameList>
          <b:Person>
            <b:Last>Kasino</b:Last>
            <b:First>M</b:First>
          </b:Person>
        </b:NameList>
      </b:Director>
    </b:Author>
    <b:RefOrder>6</b:RefOrder>
  </b:Source>
  <b:Source>
    <b:Tag>Rol15</b:Tag>
    <b:SourceType>Film</b:SourceType>
    <b:Guid>{16B9A6ED-27D5-41E4-B6CA-A29D0118FDFF}</b:Guid>
    <b:Title>Stonewall</b:Title>
    <b:Author>
      <b:Director>
        <b:NameList>
          <b:Person>
            <b:Last>Emmerich</b:Last>
            <b:First>Rolland</b:First>
          </b:Person>
        </b:NameList>
      </b:Director>
    </b:Author>
    <b:Year>2015</b:Year>
    <b:RefOrder>14</b:RefOrder>
  </b:Source>
  <b:Source>
    <b:Tag>Mar15</b:Tag>
    <b:SourceType>InternetSite</b:SourceType>
    <b:Guid>{E21F0A47-E01A-4994-8453-9F5610E22865}</b:Guid>
    <b:Title>I was at the Stonewall riots. The movie ‘Stonewall’ gets everything wrong</b:Title>
    <b:Year>2015</b:Year>
    <b:Author>
      <b:Author>
        <b:NameList>
          <b:Person>
            <b:Last>Segal</b:Last>
            <b:First>Mark</b:First>
          </b:Person>
        </b:NameList>
      </b:Author>
    </b:Author>
    <b:InternetSiteTitle>pbs.org</b:InternetSiteTitle>
    <b:Month>September</b:Month>
    <b:Day>23</b:Day>
    <b:URL>https://www.pbs.org/newshour/arts/stonewall-movie</b:URL>
    <b:RefOrder>7</b:RefOrder>
  </b:Source>
  <b:Source>
    <b:Tag>Sam17</b:Tag>
    <b:SourceType>InternetSite</b:SourceType>
    <b:Guid>{775385FF-A2CA-4A87-970B-065F8D70D0D0}</b:Guid>
    <b:Title>Whitewashing of the Stonewall Riots</b:Title>
    <b:Year>2017</b:Year>
    <b:URL>https://digitalcommons.wou.edu/cgi/viewcontent.cgi?article=1137&amp;context=honors_theses</b:URL>
    <b:Author>
      <b:Author>
        <b:NameList>
          <b:Person>
            <b:Last>Stageman</b:Last>
            <b:First>Sam</b:First>
          </b:Person>
        </b:NameList>
      </b:Author>
    </b:Author>
    <b:RefOrder>15</b:RefOrder>
  </b:Source>
  <b:Source>
    <b:Tag>Jil03</b:Tag>
    <b:SourceType>JournalArticle</b:SourceType>
    <b:Guid>{CA3FAA86-A9D8-451C-B2F0-5865755F630E}</b:Guid>
    <b:Title>GL vs. BT</b:Title>
    <b:Year>2003</b:Year>
    <b:Author>
      <b:Author>
        <b:NameList>
          <b:Person>
            <b:Last>Weiss</b:Last>
            <b:First>Jillian</b:First>
            <b:Middle>Todd</b:Middle>
          </b:Person>
        </b:NameList>
      </b:Author>
    </b:Author>
    <b:JournalName>Journal of Bisexuality</b:JournalName>
    <b:Pages>25-55</b:Pages>
    <b:RefOrder>16</b:RefOrder>
  </b:Source>
  <b:Source>
    <b:Tag>Dam06</b:Tag>
    <b:SourceType>Book</b:SourceType>
    <b:Guid>{145E52BB-3BE2-49EE-8427-CDB1D1BD53B2}</b:Guid>
    <b:Title>Priscilla, (white) Queen of the desert</b:Title>
    <b:Year>2006</b:Year>
    <b:Author>
      <b:Author>
        <b:NameList>
          <b:Person>
            <b:Last>Riggs</b:Last>
            <b:First>Damien</b:First>
          </b:Person>
        </b:NameList>
      </b:Author>
    </b:Author>
    <b:City>New York</b:City>
    <b:Publisher>Peter Lang</b:Publisher>
    <b:RefOrder>17</b:RefOrder>
  </b:Source>
  <b:Source>
    <b:Tag>Peg88</b:Tag>
    <b:SourceType>JournalArticle</b:SourceType>
    <b:Guid>{EC9C1766-4956-4986-8A1D-CD7CD844CF1E}</b:Guid>
    <b:Title>White Privilege: Unpacking the Invisible Knapsack</b:Title>
    <b:Year>1988</b:Year>
    <b:Author>
      <b:Author>
        <b:NameList>
          <b:Person>
            <b:Last>McIntosh</b:Last>
            <b:First>Peggy</b:First>
          </b:Person>
        </b:NameList>
      </b:Author>
    </b:Author>
    <b:JournalName>Peace and Freedom</b:JournalName>
    <b:Pages>10-12</b:Pages>
    <b:RefOrder>18</b:RefOrder>
  </b:Source>
  <b:Source>
    <b:Tag>Mil05</b:Tag>
    <b:SourceType>JournalArticle</b:SourceType>
    <b:Guid>{FCF12B3C-A544-4A5B-9A02-8B92BD7E7887}</b:Guid>
    <b:Author>
      <b:Author>
        <b:NameList>
          <b:Person>
            <b:Last>Miller</b:Last>
            <b:First>A</b:First>
          </b:Person>
          <b:Person>
            <b:Last>Harris</b:Last>
            <b:First>T.</b:First>
            <b:Middle>M.</b:Middle>
          </b:Person>
        </b:NameList>
      </b:Author>
    </b:Author>
    <b:Title>Communicating to Develop White Racial Identity in an Interracial Communication Class</b:Title>
    <b:JournalName>Communication Education</b:JournalName>
    <b:Year>2005</b:Year>
    <b:Pages>223-242</b:Pages>
    <b:RefOrder>19</b:RefOrder>
  </b:Source>
  <b:Source>
    <b:Tag>Ste12</b:Tag>
    <b:SourceType>JournalArticle</b:SourceType>
    <b:Guid>{A7D2347B-DF7C-4401-8156-0EDCAE6846AB}</b:Guid>
    <b:Author>
      <b:Author>
        <b:NameList>
          <b:Person>
            <b:Last>Stewart</b:Last>
            <b:First>T.</b:First>
            <b:Middle>L</b:Middle>
          </b:Person>
          <b:Person>
            <b:Last>Latu</b:Last>
            <b:First>I.</b:First>
            <b:Middle>M</b:Middle>
          </b:Person>
          <b:Person>
            <b:Last>Branscombe</b:Last>
            <b:First>N.</b:First>
            <b:Middle>R</b:Middle>
          </b:Person>
          <b:Person>
            <b:Last>Phillips</b:Last>
            <b:First>N.</b:First>
            <b:Middle>L</b:Middle>
          </b:Person>
          <b:Person>
            <b:Last>Denney</b:Last>
            <b:First>H.</b:First>
            <b:Middle>H.</b:Middle>
          </b:Person>
        </b:NameList>
      </b:Author>
    </b:Author>
    <b:Title>White Privilege Awareness and Efficacy to Reduce Racial Inequality Improve White Americans' Attitudes Toward African Americans</b:Title>
    <b:JournalName>Journal Of Social Issues</b:JournalName>
    <b:Year>2012</b:Year>
    <b:Pages>68</b:Pages>
    <b:RefOrder>8</b:RefOrder>
  </b:Source>
  <b:Source>
    <b:Tag>Pow05</b:Tag>
    <b:SourceType>JournalArticle</b:SourceType>
    <b:Guid>{8418D31B-F02E-4864-91F8-8F448D5537E0}</b:Guid>
    <b:Author>
      <b:Author>
        <b:NameList>
          <b:Person>
            <b:Last>Powell</b:Last>
            <b:First>A.</b:First>
            <b:Middle>A</b:Middle>
          </b:Person>
          <b:Person>
            <b:Last>Branscombe</b:Last>
            <b:First>N.</b:First>
            <b:Middle>R</b:Middle>
          </b:Person>
          <b:Person>
            <b:Last>Schmitt</b:Last>
            <b:First>M.</b:First>
            <b:Middle>T.</b:Middle>
          </b:Person>
        </b:NameList>
      </b:Author>
    </b:Author>
    <b:Title>Inequality as ingroup privilege or outgroup disadvantage: The impact of group focus on collective guilt and interracial attitudes</b:Title>
    <b:JournalName>Personality and Social Psychology Bulletin</b:JournalName>
    <b:Year>2005</b:Year>
    <b:Pages>508-521</b:Pages>
    <b:RefOrder>9</b:RefOrder>
  </b:Source>
  <b:Source>
    <b:Tag>Sto17</b:Tag>
    <b:SourceType>Report</b:SourceType>
    <b:Guid>{0114D6C6-B1AC-439A-9A6F-DD6D2EB7BB47}</b:Guid>
    <b:Author>
      <b:Author>
        <b:Corporate>Stonewall</b:Corporate>
      </b:Author>
    </b:Author>
    <b:Title>A vision for Change: Acceptance without exception for trans people</b:Title>
    <b:Year>2017</b:Year>
    <b:Pages>https://www.stonewall.org.uk/system/files/a_vision_for_change.pdf</b:Pages>
    <b:Publisher>Stonewall</b:Publisher>
    <b:City>London</b:City>
    <b:RefOrder>20</b:RefOrder>
  </b:Source>
  <b:Source>
    <b:Tag>Car07</b:Tag>
    <b:SourceType>InternetSite</b:SourceType>
    <b:Guid>{A2A05329-CEF7-4BB5-93EE-E8AE14F2E2A2}</b:Guid>
    <b:Title>House cuts transgender people from hate crimes bill</b:Title>
    <b:Year>2007</b:Year>
    <b:Author>
      <b:Author>
        <b:NameList>
          <b:Person>
            <b:Last>Lochhead</b:Last>
            <b:First>Carolyn</b:First>
          </b:Person>
        </b:NameList>
      </b:Author>
    </b:Author>
    <b:InternetSiteTitle>sfgate.com</b:InternetSiteTitle>
    <b:Month>September</b:Month>
    <b:Day>28</b:Day>
    <b:URL>https://www.sfgate.com/politics/article/House-cuts-transgender-people-from-hate-crimes-2538277.php</b:URL>
    <b:RefOrder>10</b:RefOrder>
  </b:Source>
  <b:Source>
    <b:Tag>Nag08</b:Tag>
    <b:SourceType>JournalArticle</b:SourceType>
    <b:Guid>{73A9D0C6-7B7D-4822-A2DD-22937A68D8B1}</b:Guid>
    <b:Title>Gender Differences in Correlates of Homophobia and Transphobia</b:Title>
    <b:Year>2008</b:Year>
    <b:Author>
      <b:Author>
        <b:NameList>
          <b:Person>
            <b:Last>Nagoshi</b:Last>
            <b:First>J.L</b:First>
          </b:Person>
          <b:Person>
            <b:Last>Adams</b:Last>
            <b:First>K.A</b:First>
          </b:Person>
          <b:Person>
            <b:Last>Terrell</b:Last>
            <b:First>H.K.</b:First>
            <b:Middle>et al.</b:Middle>
          </b:Person>
        </b:NameList>
      </b:Author>
    </b:Author>
    <b:JournalName>Sex Roles</b:JournalName>
    <b:Pages>521</b:Pages>
    <b:RefOrder>11</b:RefOrder>
  </b:Source>
  <b:Source>
    <b:Tag>War13</b:Tag>
    <b:SourceType>JournalArticle</b:SourceType>
    <b:Guid>{6CEF0C81-9512-4EE6-A409-CD139FED72AB}</b:Guid>
    <b:Author>
      <b:Author>
        <b:NameList>
          <b:Person>
            <b:Last>Warriner</b:Last>
            <b:First>K</b:First>
          </b:Person>
          <b:Person>
            <b:Last>Nagoshi</b:Last>
            <b:First>C</b:First>
          </b:Person>
          <b:Person>
            <b:Last>Nagoshi</b:Last>
            <b:First>J</b:First>
          </b:Person>
        </b:NameList>
      </b:Author>
    </b:Author>
    <b:Title>Correlates of Homophobia, Transphobia, and Internalized Homophobia in Gay or Lesbian and Heterosexual Samples</b:Title>
    <b:JournalName>Journal of Homosexuality</b:JournalName>
    <b:Year>2013</b:Year>
    <b:Pages>1317-1334</b:Pages>
    <b:RefOrder>21</b:RefOrder>
  </b:Source>
</b:Sources>
</file>

<file path=customXml/itemProps1.xml><?xml version="1.0" encoding="utf-8"?>
<ds:datastoreItem xmlns:ds="http://schemas.openxmlformats.org/officeDocument/2006/customXml" ds:itemID="{70B5C03A-3DD7-4E07-BE72-1F528AC7BC3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9019c2-801f-4a8d-8b31-c78641550411"/>
    <ds:schemaRef ds:uri="f8a19ec0-dc81-4987-a929-8e93d70c823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628C411-922E-4312-B9AD-A41A88560E22}">
  <ds:schemaRefs>
    <ds:schemaRef ds:uri="http://schemas.microsoft.com/sharepoint/v3/contenttype/forms"/>
  </ds:schemaRefs>
</ds:datastoreItem>
</file>

<file path=customXml/itemProps3.xml><?xml version="1.0" encoding="utf-8"?>
<ds:datastoreItem xmlns:ds="http://schemas.openxmlformats.org/officeDocument/2006/customXml" ds:itemID="{CA30ACAC-740C-4315-BFF5-95F18CE79BE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FC30008-3767-484D-8E45-14A3167A49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2206</Words>
  <Characters>12580</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Bobby Farmer</dc:creator>
  <cp:keywords/>
  <dc:description/>
  <cp:lastModifiedBy>Bobby Farmer</cp:lastModifiedBy>
  <cp:revision>2</cp:revision>
  <dcterms:created xsi:type="dcterms:W3CDTF">2020-05-12T22:07:00Z</dcterms:created>
  <dcterms:modified xsi:type="dcterms:W3CDTF">2020-05-12T22:07:00Z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0x010100D2B428575DA40243AF564D85770AF54A</vt:lpwstr>
  </property>
</Properties>
</file>