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4598" w:rsidRPr="00624598" w:rsidRDefault="00624598"/>
    <w:p w:rsidR="00624598" w:rsidRDefault="00624598">
      <w:pPr>
        <w:rPr>
          <w:sz w:val="24"/>
          <w:szCs w:val="24"/>
          <w:shd w:val="clear" w:color="auto" w:fill="FFFFFF"/>
        </w:rPr>
      </w:pPr>
      <w:r w:rsidRPr="00624598">
        <w:rPr>
          <w:sz w:val="24"/>
          <w:szCs w:val="24"/>
        </w:rPr>
        <w:t xml:space="preserve">In my recent studies I have been looking into the risks which are associated with sub contracts and how they can be overcome or avoided. I have discovered that the definition of a </w:t>
      </w:r>
      <w:r>
        <w:rPr>
          <w:sz w:val="24"/>
          <w:szCs w:val="24"/>
          <w:shd w:val="clear" w:color="auto" w:fill="FFFFFF"/>
        </w:rPr>
        <w:t xml:space="preserve">‘Risk', </w:t>
      </w:r>
      <w:r w:rsidRPr="00624598">
        <w:rPr>
          <w:sz w:val="24"/>
          <w:szCs w:val="24"/>
          <w:shd w:val="clear" w:color="auto" w:fill="FFFFFF"/>
        </w:rPr>
        <w:t>can be defined as ‘an event or set of circumstances that, should it occur, will have an effect on the achievement of the project's objectives'.</w:t>
      </w:r>
      <w:r>
        <w:rPr>
          <w:sz w:val="24"/>
          <w:szCs w:val="24"/>
          <w:shd w:val="clear" w:color="auto" w:fill="FFFFFF"/>
        </w:rPr>
        <w:t xml:space="preserve"> </w:t>
      </w:r>
      <w:r w:rsidRPr="00624598">
        <w:rPr>
          <w:sz w:val="24"/>
          <w:szCs w:val="24"/>
          <w:shd w:val="clear" w:color="auto" w:fill="FFFFFF"/>
        </w:rPr>
        <w:t>Risk exists as a consequence of uncertainty, and, in any project, the exposure to risk produced by uncertainty must be managed</w:t>
      </w:r>
      <w:r w:rsidR="001B325B">
        <w:rPr>
          <w:sz w:val="24"/>
          <w:szCs w:val="24"/>
          <w:shd w:val="clear" w:color="auto" w:fill="FFFFFF"/>
        </w:rPr>
        <w:t xml:space="preserve">. </w:t>
      </w:r>
      <w:sdt>
        <w:sdtPr>
          <w:rPr>
            <w:sz w:val="24"/>
            <w:szCs w:val="24"/>
            <w:shd w:val="clear" w:color="auto" w:fill="FFFFFF"/>
          </w:rPr>
          <w:id w:val="-185054790"/>
          <w:citation/>
        </w:sdtPr>
        <w:sdtEndPr/>
        <w:sdtContent>
          <w:r w:rsidR="00E82C83">
            <w:rPr>
              <w:sz w:val="24"/>
              <w:szCs w:val="24"/>
              <w:shd w:val="clear" w:color="auto" w:fill="FFFFFF"/>
            </w:rPr>
            <w:fldChar w:fldCharType="begin"/>
          </w:r>
          <w:r w:rsidR="00E82C83">
            <w:rPr>
              <w:sz w:val="24"/>
              <w:szCs w:val="24"/>
              <w:shd w:val="clear" w:color="auto" w:fill="FFFFFF"/>
            </w:rPr>
            <w:instrText xml:space="preserve"> CITATION All16 \l 2057 </w:instrText>
          </w:r>
          <w:r w:rsidR="00E82C83">
            <w:rPr>
              <w:sz w:val="24"/>
              <w:szCs w:val="24"/>
              <w:shd w:val="clear" w:color="auto" w:fill="FFFFFF"/>
            </w:rPr>
            <w:fldChar w:fldCharType="separate"/>
          </w:r>
          <w:r w:rsidR="00E82C83" w:rsidRPr="00E82C83">
            <w:rPr>
              <w:noProof/>
              <w:sz w:val="24"/>
              <w:szCs w:val="24"/>
              <w:shd w:val="clear" w:color="auto" w:fill="FFFFFF"/>
            </w:rPr>
            <w:t>(Allocation of risk in construction contracts, 2016)</w:t>
          </w:r>
          <w:r w:rsidR="00E82C83">
            <w:rPr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:rsidR="00AC4A2C" w:rsidRPr="00AC4A2C" w:rsidRDefault="00AC4A2C">
      <w:pPr>
        <w:rPr>
          <w:sz w:val="24"/>
          <w:szCs w:val="24"/>
          <w:u w:val="single"/>
          <w:shd w:val="clear" w:color="auto" w:fill="FFFFFF"/>
        </w:rPr>
      </w:pPr>
      <w:r w:rsidRPr="00AC4A2C">
        <w:rPr>
          <w:sz w:val="24"/>
          <w:szCs w:val="24"/>
          <w:u w:val="single"/>
          <w:shd w:val="clear" w:color="auto" w:fill="FFFFFF"/>
        </w:rPr>
        <w:t xml:space="preserve">Particular risk </w:t>
      </w:r>
    </w:p>
    <w:p w:rsidR="00C73720" w:rsidRPr="00850AFE" w:rsidRDefault="001B325B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The first category of risk</w:t>
      </w:r>
      <w:r w:rsidR="00850AFE" w:rsidRPr="00850AFE">
        <w:rPr>
          <w:rFonts w:asciiTheme="minorHAnsi" w:hAnsiTheme="minorHAnsi" w:cs="Arial"/>
          <w:color w:val="000000"/>
          <w:szCs w:val="20"/>
        </w:rPr>
        <w:t> is often known as</w:t>
      </w:r>
      <w:r w:rsidR="00AC4A2C">
        <w:rPr>
          <w:rFonts w:asciiTheme="minorHAnsi" w:hAnsiTheme="minorHAnsi" w:cs="Arial"/>
          <w:color w:val="000000"/>
          <w:szCs w:val="20"/>
        </w:rPr>
        <w:t xml:space="preserve"> </w:t>
      </w:r>
      <w:r w:rsidRPr="00850AFE">
        <w:rPr>
          <w:rFonts w:asciiTheme="minorHAnsi" w:hAnsiTheme="minorHAnsi" w:cs="Arial"/>
          <w:color w:val="000000"/>
          <w:szCs w:val="20"/>
        </w:rPr>
        <w:t>pure and particular risk. It includes damage to persons and </w:t>
      </w:r>
      <w:r w:rsidR="00C73720" w:rsidRPr="00850AFE">
        <w:rPr>
          <w:rFonts w:asciiTheme="minorHAnsi" w:hAnsiTheme="minorHAnsi" w:cs="Arial"/>
          <w:color w:val="000000"/>
          <w:szCs w:val="20"/>
        </w:rPr>
        <w:t>property. Examples would include;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F</w:t>
      </w:r>
      <w:r w:rsidR="001B325B" w:rsidRPr="00850AFE">
        <w:rPr>
          <w:rFonts w:asciiTheme="minorHAnsi" w:hAnsiTheme="minorHAnsi" w:cs="Arial"/>
          <w:color w:val="000000"/>
          <w:szCs w:val="20"/>
        </w:rPr>
        <w:t>ire</w:t>
      </w:r>
      <w:r w:rsidRPr="00850AFE">
        <w:rPr>
          <w:rFonts w:asciiTheme="minorHAnsi" w:hAnsiTheme="minorHAnsi" w:cs="Arial"/>
          <w:color w:val="000000"/>
          <w:szCs w:val="20"/>
        </w:rPr>
        <w:t xml:space="preserve"> 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 xml:space="preserve">Storm 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W</w:t>
      </w:r>
      <w:r w:rsidR="001B325B" w:rsidRPr="00850AFE">
        <w:rPr>
          <w:rFonts w:asciiTheme="minorHAnsi" w:hAnsiTheme="minorHAnsi" w:cs="Arial"/>
          <w:color w:val="000000"/>
          <w:szCs w:val="20"/>
        </w:rPr>
        <w:t>ater</w:t>
      </w:r>
      <w:r w:rsidRPr="00850AFE">
        <w:rPr>
          <w:rFonts w:asciiTheme="minorHAnsi" w:hAnsiTheme="minorHAnsi" w:cs="Arial"/>
          <w:color w:val="000000"/>
          <w:szCs w:val="20"/>
        </w:rPr>
        <w:t xml:space="preserve"> </w:t>
      </w:r>
      <w:r w:rsidR="008B37A4">
        <w:rPr>
          <w:rFonts w:asciiTheme="minorHAnsi" w:hAnsiTheme="minorHAnsi" w:cs="Arial"/>
          <w:color w:val="000000"/>
          <w:szCs w:val="20"/>
        </w:rPr>
        <w:t>(flood)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Collapse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S</w:t>
      </w:r>
      <w:r w:rsidR="001B325B" w:rsidRPr="00850AFE">
        <w:rPr>
          <w:rFonts w:asciiTheme="minorHAnsi" w:hAnsiTheme="minorHAnsi" w:cs="Arial"/>
          <w:color w:val="000000"/>
          <w:szCs w:val="20"/>
        </w:rPr>
        <w:t>ubsidence</w:t>
      </w:r>
    </w:p>
    <w:p w:rsidR="00C73720" w:rsidRPr="00850AFE" w:rsidRDefault="00C73720" w:rsidP="00C73720">
      <w:pPr>
        <w:pStyle w:val="NormalWeb"/>
        <w:numPr>
          <w:ilvl w:val="0"/>
          <w:numId w:val="1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V</w:t>
      </w:r>
      <w:r w:rsidR="001B325B" w:rsidRPr="00850AFE">
        <w:rPr>
          <w:rFonts w:asciiTheme="minorHAnsi" w:hAnsiTheme="minorHAnsi" w:cs="Arial"/>
          <w:color w:val="000000"/>
          <w:szCs w:val="20"/>
        </w:rPr>
        <w:t>ibration</w:t>
      </w:r>
    </w:p>
    <w:p w:rsidR="001B325B" w:rsidRDefault="001B325B" w:rsidP="00C73720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 xml:space="preserve">Contract conditions often make it a contractual obligation to take out insurance cover </w:t>
      </w:r>
      <w:bookmarkStart w:id="0" w:name="_GoBack"/>
      <w:bookmarkEnd w:id="0"/>
      <w:r w:rsidRPr="00850AFE">
        <w:rPr>
          <w:rFonts w:asciiTheme="minorHAnsi" w:hAnsiTheme="minorHAnsi" w:cs="Arial"/>
          <w:color w:val="000000"/>
          <w:szCs w:val="20"/>
        </w:rPr>
        <w:t>against these risks.</w:t>
      </w:r>
      <w:r w:rsidR="00E82C83">
        <w:rPr>
          <w:rFonts w:asciiTheme="minorHAnsi" w:hAnsiTheme="minorHAnsi" w:cs="Arial"/>
          <w:color w:val="000000"/>
          <w:szCs w:val="20"/>
        </w:rPr>
        <w:t xml:space="preserve"> </w:t>
      </w:r>
      <w:sdt>
        <w:sdtPr>
          <w:rPr>
            <w:color w:val="212121"/>
            <w:szCs w:val="28"/>
          </w:rPr>
          <w:id w:val="-1835139502"/>
          <w:citation/>
        </w:sdtPr>
        <w:sdtEndPr/>
        <w:sdtContent>
          <w:r w:rsidR="00E82C83">
            <w:rPr>
              <w:color w:val="212121"/>
              <w:szCs w:val="28"/>
            </w:rPr>
            <w:fldChar w:fldCharType="begin"/>
          </w:r>
          <w:r w:rsidR="00E82C83">
            <w:rPr>
              <w:color w:val="212121"/>
              <w:szCs w:val="28"/>
            </w:rPr>
            <w:instrText xml:space="preserve"> CITATION Joh19 \l 2057 </w:instrText>
          </w:r>
          <w:r w:rsidR="00E82C83">
            <w:rPr>
              <w:color w:val="212121"/>
              <w:szCs w:val="28"/>
            </w:rPr>
            <w:fldChar w:fldCharType="separate"/>
          </w:r>
          <w:r w:rsidR="00E82C83" w:rsidRPr="009F1EDE">
            <w:rPr>
              <w:noProof/>
              <w:color w:val="212121"/>
              <w:szCs w:val="28"/>
            </w:rPr>
            <w:t>(John, 2019)</w:t>
          </w:r>
          <w:r w:rsidR="00E82C83">
            <w:rPr>
              <w:color w:val="212121"/>
              <w:szCs w:val="28"/>
            </w:rPr>
            <w:fldChar w:fldCharType="end"/>
          </w:r>
        </w:sdtContent>
      </w:sdt>
    </w:p>
    <w:p w:rsidR="00AC4A2C" w:rsidRPr="00AC4A2C" w:rsidRDefault="00AC4A2C" w:rsidP="00C73720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  <w:u w:val="single"/>
        </w:rPr>
      </w:pPr>
      <w:r w:rsidRPr="00AC4A2C">
        <w:rPr>
          <w:rFonts w:asciiTheme="minorHAnsi" w:hAnsiTheme="minorHAnsi" w:cs="Arial"/>
          <w:color w:val="000000"/>
          <w:szCs w:val="20"/>
          <w:u w:val="single"/>
        </w:rPr>
        <w:t xml:space="preserve">Fundamental risk </w:t>
      </w:r>
    </w:p>
    <w:p w:rsidR="00AC4A2C" w:rsidRDefault="00AC4A2C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 xml:space="preserve">The second category is </w:t>
      </w:r>
      <w:r w:rsidR="001B325B" w:rsidRPr="00850AFE">
        <w:rPr>
          <w:rFonts w:asciiTheme="minorHAnsi" w:hAnsiTheme="minorHAnsi" w:cs="Arial"/>
          <w:color w:val="000000"/>
          <w:szCs w:val="20"/>
        </w:rPr>
        <w:t>fundamental risk. This in</w:t>
      </w:r>
      <w:r>
        <w:rPr>
          <w:rFonts w:asciiTheme="minorHAnsi" w:hAnsiTheme="minorHAnsi" w:cs="Arial"/>
          <w:color w:val="000000"/>
          <w:szCs w:val="20"/>
        </w:rPr>
        <w:t xml:space="preserve">cludes external factors such as </w:t>
      </w:r>
    </w:p>
    <w:p w:rsidR="00AC4A2C" w:rsidRDefault="001B325B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damage</w:t>
      </w:r>
      <w:r w:rsidR="00AC4A2C">
        <w:rPr>
          <w:rFonts w:asciiTheme="minorHAnsi" w:hAnsiTheme="minorHAnsi" w:cs="Arial"/>
          <w:color w:val="000000"/>
          <w:szCs w:val="20"/>
        </w:rPr>
        <w:t> due to war</w:t>
      </w:r>
    </w:p>
    <w:p w:rsidR="00AC4A2C" w:rsidRDefault="001B325B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>nuclear pollution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supersonic bangs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 xml:space="preserve">The </w:t>
      </w:r>
      <w:r w:rsidR="001B325B" w:rsidRPr="00AC4A2C">
        <w:rPr>
          <w:rFonts w:asciiTheme="minorHAnsi" w:hAnsiTheme="minorHAnsi" w:cs="Arial"/>
          <w:color w:val="000000"/>
          <w:szCs w:val="20"/>
        </w:rPr>
        <w:t>government policy</w:t>
      </w:r>
      <w:r>
        <w:rPr>
          <w:rFonts w:asciiTheme="minorHAnsi" w:hAnsiTheme="minorHAnsi" w:cs="Arial"/>
          <w:color w:val="000000"/>
          <w:szCs w:val="20"/>
        </w:rPr>
        <w:t> on taxes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L</w:t>
      </w:r>
      <w:r w:rsidR="001B325B" w:rsidRPr="00AC4A2C">
        <w:rPr>
          <w:rFonts w:asciiTheme="minorHAnsi" w:hAnsiTheme="minorHAnsi" w:cs="Arial"/>
          <w:color w:val="000000"/>
          <w:szCs w:val="20"/>
        </w:rPr>
        <w:t>abour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S</w:t>
      </w:r>
      <w:r w:rsidR="001B325B" w:rsidRPr="00AC4A2C">
        <w:rPr>
          <w:rFonts w:asciiTheme="minorHAnsi" w:hAnsiTheme="minorHAnsi" w:cs="Arial"/>
          <w:color w:val="000000"/>
          <w:szCs w:val="20"/>
        </w:rPr>
        <w:t>afety</w:t>
      </w:r>
      <w:r>
        <w:rPr>
          <w:rFonts w:asciiTheme="minorHAnsi" w:hAnsiTheme="minorHAnsi" w:cs="Arial"/>
          <w:color w:val="000000"/>
          <w:szCs w:val="20"/>
        </w:rPr>
        <w:t> 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M</w:t>
      </w:r>
      <w:r w:rsidR="001B325B" w:rsidRPr="00AC4A2C">
        <w:rPr>
          <w:rFonts w:asciiTheme="minorHAnsi" w:hAnsiTheme="minorHAnsi" w:cs="Arial"/>
          <w:color w:val="000000"/>
          <w:szCs w:val="20"/>
        </w:rPr>
        <w:t>alicious </w:t>
      </w:r>
      <w:r>
        <w:rPr>
          <w:rFonts w:asciiTheme="minorHAnsi" w:hAnsiTheme="minorHAnsi" w:cs="Arial"/>
          <w:color w:val="000000"/>
          <w:szCs w:val="20"/>
        </w:rPr>
        <w:t>damage</w:t>
      </w:r>
    </w:p>
    <w:p w:rsidR="00AC4A2C" w:rsidRDefault="00AC4A2C" w:rsidP="00AC4A2C">
      <w:pPr>
        <w:pStyle w:val="NormalWeb"/>
        <w:numPr>
          <w:ilvl w:val="0"/>
          <w:numId w:val="2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I</w:t>
      </w:r>
      <w:r w:rsidR="001B325B" w:rsidRPr="00AC4A2C">
        <w:rPr>
          <w:rFonts w:asciiTheme="minorHAnsi" w:hAnsiTheme="minorHAnsi" w:cs="Arial"/>
          <w:color w:val="000000"/>
          <w:szCs w:val="20"/>
        </w:rPr>
        <w:t xml:space="preserve">ndustrial disputes </w:t>
      </w:r>
    </w:p>
    <w:p w:rsidR="001B325B" w:rsidRPr="00AC4A2C" w:rsidRDefault="001B325B" w:rsidP="00AC4A2C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>Such incidents are all the subject of statutory liability and no insurance cover is normally available or needed.</w:t>
      </w:r>
      <w:sdt>
        <w:sdtPr>
          <w:rPr>
            <w:rFonts w:asciiTheme="minorHAnsi" w:hAnsiTheme="minorHAnsi" w:cs="Arial"/>
            <w:color w:val="000000"/>
            <w:szCs w:val="20"/>
          </w:rPr>
          <w:id w:val="-950934278"/>
          <w:citation/>
        </w:sdtPr>
        <w:sdtEndPr/>
        <w:sdtContent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begin"/>
          </w:r>
          <w:r w:rsidR="00E82C83">
            <w:rPr>
              <w:rFonts w:asciiTheme="minorHAnsi" w:hAnsiTheme="minorHAnsi" w:cs="Arial"/>
              <w:color w:val="000000"/>
              <w:szCs w:val="20"/>
            </w:rPr>
            <w:instrText xml:space="preserve"> CITATION Man16 \l 2057 </w:instrText>
          </w:r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separate"/>
          </w:r>
          <w:r w:rsidR="00E82C83">
            <w:rPr>
              <w:rFonts w:asciiTheme="minorHAnsi" w:hAnsiTheme="minorHAnsi" w:cs="Arial"/>
              <w:noProof/>
              <w:color w:val="000000"/>
              <w:szCs w:val="20"/>
            </w:rPr>
            <w:t xml:space="preserve"> </w:t>
          </w:r>
          <w:r w:rsidR="00E82C83" w:rsidRPr="00E82C83">
            <w:rPr>
              <w:rFonts w:asciiTheme="minorHAnsi" w:hAnsiTheme="minorHAnsi" w:cs="Arial"/>
              <w:noProof/>
              <w:color w:val="000000"/>
              <w:szCs w:val="20"/>
            </w:rPr>
            <w:t>(Managing the risk of sub-contractors in construction, 2016)</w:t>
          </w:r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end"/>
          </w:r>
        </w:sdtContent>
      </w:sdt>
    </w:p>
    <w:p w:rsidR="00AC4A2C" w:rsidRDefault="00AC4A2C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p w:rsidR="00AC4A2C" w:rsidRDefault="00AC4A2C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p w:rsidR="00AC4A2C" w:rsidRDefault="00AC4A2C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p w:rsidR="00AC4A2C" w:rsidRPr="00AC4A2C" w:rsidRDefault="00AC4A2C" w:rsidP="001B325B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  <w:u w:val="single"/>
        </w:rPr>
      </w:pPr>
      <w:r w:rsidRPr="00AC4A2C">
        <w:rPr>
          <w:rFonts w:asciiTheme="minorHAnsi" w:hAnsiTheme="minorHAnsi" w:cs="Arial"/>
          <w:color w:val="000000"/>
          <w:szCs w:val="20"/>
          <w:u w:val="single"/>
        </w:rPr>
        <w:lastRenderedPageBreak/>
        <w:t>Speculative risk</w:t>
      </w:r>
    </w:p>
    <w:p w:rsidR="00AC4A2C" w:rsidRDefault="001B325B" w:rsidP="00AC4A2C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 xml:space="preserve">The third </w:t>
      </w:r>
      <w:r w:rsidR="00AC4A2C">
        <w:rPr>
          <w:rFonts w:asciiTheme="minorHAnsi" w:hAnsiTheme="minorHAnsi" w:cs="Arial"/>
          <w:color w:val="000000"/>
          <w:szCs w:val="20"/>
        </w:rPr>
        <w:t xml:space="preserve">category, often referred to as </w:t>
      </w:r>
      <w:r w:rsidRPr="00850AFE">
        <w:rPr>
          <w:rFonts w:asciiTheme="minorHAnsi" w:hAnsiTheme="minorHAnsi" w:cs="Arial"/>
          <w:color w:val="000000"/>
          <w:szCs w:val="20"/>
        </w:rPr>
        <w:t>speculative risk, is something which can be apportioned in advance as decided by the parties to the contract</w:t>
      </w:r>
      <w:r w:rsidR="00AC4A2C">
        <w:rPr>
          <w:rFonts w:asciiTheme="minorHAnsi" w:hAnsiTheme="minorHAnsi" w:cs="Arial"/>
          <w:color w:val="000000"/>
          <w:szCs w:val="20"/>
        </w:rPr>
        <w:t xml:space="preserve">. This may include losses in money and losses in time. This could be the </w:t>
      </w:r>
      <w:r w:rsidRPr="00AC4A2C">
        <w:rPr>
          <w:rFonts w:asciiTheme="minorHAnsi" w:hAnsiTheme="minorHAnsi" w:cs="Arial"/>
          <w:color w:val="000000"/>
          <w:szCs w:val="20"/>
        </w:rPr>
        <w:t>result from</w:t>
      </w:r>
      <w:r w:rsidR="00AC4A2C">
        <w:rPr>
          <w:rFonts w:asciiTheme="minorHAnsi" w:hAnsiTheme="minorHAnsi" w:cs="Arial"/>
          <w:color w:val="000000"/>
          <w:szCs w:val="20"/>
        </w:rPr>
        <w:t>;</w:t>
      </w:r>
    </w:p>
    <w:p w:rsidR="00AC4A2C" w:rsidRDefault="001B325B" w:rsidP="00AC4A2C">
      <w:pPr>
        <w:pStyle w:val="NormalWeb"/>
        <w:numPr>
          <w:ilvl w:val="0"/>
          <w:numId w:val="4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>unexpected ground conditions</w:t>
      </w:r>
    </w:p>
    <w:p w:rsidR="00AC4A2C" w:rsidRDefault="001B325B" w:rsidP="00AC4A2C">
      <w:pPr>
        <w:pStyle w:val="NormalWeb"/>
        <w:numPr>
          <w:ilvl w:val="0"/>
          <w:numId w:val="4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>exceptionally adverse weather</w:t>
      </w:r>
    </w:p>
    <w:p w:rsidR="00AC4A2C" w:rsidRDefault="001B325B" w:rsidP="00AC4A2C">
      <w:pPr>
        <w:pStyle w:val="NormalWeb"/>
        <w:numPr>
          <w:ilvl w:val="0"/>
          <w:numId w:val="4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>unforeseeable shortages of labour</w:t>
      </w:r>
    </w:p>
    <w:p w:rsidR="00AC4A2C" w:rsidRDefault="00AC4A2C" w:rsidP="00AC4A2C">
      <w:pPr>
        <w:pStyle w:val="NormalWeb"/>
        <w:numPr>
          <w:ilvl w:val="0"/>
          <w:numId w:val="4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>unforeseeable shortages of</w:t>
      </w:r>
      <w:r w:rsidR="001B325B" w:rsidRPr="00AC4A2C">
        <w:rPr>
          <w:rFonts w:asciiTheme="minorHAnsi" w:hAnsiTheme="minorHAnsi" w:cs="Arial"/>
          <w:color w:val="000000"/>
          <w:szCs w:val="20"/>
        </w:rPr>
        <w:t> materials</w:t>
      </w:r>
    </w:p>
    <w:p w:rsidR="001B325B" w:rsidRPr="00AC4A2C" w:rsidRDefault="001B325B" w:rsidP="00AC4A2C">
      <w:pPr>
        <w:pStyle w:val="NormalWeb"/>
        <w:numPr>
          <w:ilvl w:val="0"/>
          <w:numId w:val="4"/>
        </w:numPr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AC4A2C">
        <w:rPr>
          <w:rFonts w:asciiTheme="minorHAnsi" w:hAnsiTheme="minorHAnsi" w:cs="Arial"/>
          <w:color w:val="000000"/>
          <w:szCs w:val="20"/>
        </w:rPr>
        <w:t>similar matters beyond the control of the contractor</w:t>
      </w:r>
    </w:p>
    <w:p w:rsidR="001B325B" w:rsidRDefault="001B325B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 w:rsidRPr="00850AFE">
        <w:rPr>
          <w:rFonts w:asciiTheme="minorHAnsi" w:hAnsiTheme="minorHAnsi" w:cs="Arial"/>
          <w:color w:val="000000"/>
          <w:szCs w:val="20"/>
        </w:rPr>
        <w:t xml:space="preserve">There are also risks of </w:t>
      </w:r>
      <w:r w:rsidR="00850AFE" w:rsidRPr="00850AFE">
        <w:rPr>
          <w:rFonts w:asciiTheme="minorHAnsi" w:hAnsiTheme="minorHAnsi" w:cs="Arial"/>
          <w:color w:val="000000"/>
          <w:szCs w:val="20"/>
        </w:rPr>
        <w:t>losses of time and money due to d</w:t>
      </w:r>
      <w:r w:rsidRPr="00850AFE">
        <w:rPr>
          <w:rFonts w:asciiTheme="minorHAnsi" w:hAnsiTheme="minorHAnsi" w:cs="Arial"/>
          <w:color w:val="000000"/>
          <w:szCs w:val="20"/>
        </w:rPr>
        <w:t>elays and disputes</w:t>
      </w:r>
      <w:r w:rsidR="00850AFE" w:rsidRPr="00850AFE">
        <w:rPr>
          <w:rFonts w:asciiTheme="minorHAnsi" w:hAnsiTheme="minorHAnsi" w:cs="Arial"/>
          <w:color w:val="000000"/>
          <w:szCs w:val="20"/>
        </w:rPr>
        <w:t xml:space="preserve"> poor direction, supervision or communication. This could be due to possessions of site not on time, late supply of information or inefficient execution of work.</w:t>
      </w:r>
      <w:r w:rsidRPr="00850AFE">
        <w:rPr>
          <w:rFonts w:asciiTheme="minorHAnsi" w:hAnsiTheme="minorHAnsi" w:cs="Arial"/>
          <w:color w:val="000000"/>
          <w:szCs w:val="20"/>
        </w:rPr>
        <w:t xml:space="preserve"> </w:t>
      </w:r>
      <w:r w:rsidR="00850AFE" w:rsidRPr="00850AFE">
        <w:rPr>
          <w:rFonts w:asciiTheme="minorHAnsi" w:hAnsiTheme="minorHAnsi" w:cs="Arial"/>
          <w:color w:val="000000"/>
          <w:szCs w:val="20"/>
        </w:rPr>
        <w:t xml:space="preserve">Other areas of risk may include delays in payments from the main contractor and also a delay in payment/ work programme due to unresolved disputes. </w:t>
      </w:r>
      <w:sdt>
        <w:sdtPr>
          <w:rPr>
            <w:rFonts w:asciiTheme="minorHAnsi" w:hAnsiTheme="minorHAnsi" w:cs="Arial"/>
            <w:color w:val="000000"/>
            <w:szCs w:val="20"/>
          </w:rPr>
          <w:id w:val="-100111210"/>
          <w:citation/>
        </w:sdtPr>
        <w:sdtEndPr/>
        <w:sdtContent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begin"/>
          </w:r>
          <w:r w:rsidR="00E82C83">
            <w:rPr>
              <w:rFonts w:asciiTheme="minorHAnsi" w:hAnsiTheme="minorHAnsi" w:cs="Arial"/>
              <w:color w:val="000000"/>
              <w:szCs w:val="20"/>
            </w:rPr>
            <w:instrText xml:space="preserve"> CITATION Ken10 \l 2057 </w:instrText>
          </w:r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separate"/>
          </w:r>
          <w:r w:rsidR="00E82C83" w:rsidRPr="00E82C83">
            <w:rPr>
              <w:rFonts w:asciiTheme="minorHAnsi" w:hAnsiTheme="minorHAnsi" w:cs="Arial"/>
              <w:noProof/>
              <w:color w:val="000000"/>
              <w:szCs w:val="20"/>
            </w:rPr>
            <w:t>(Jones, 10)</w:t>
          </w:r>
          <w:r w:rsidR="00E82C83">
            <w:rPr>
              <w:rFonts w:asciiTheme="minorHAnsi" w:hAnsiTheme="minorHAnsi" w:cs="Arial"/>
              <w:color w:val="000000"/>
              <w:szCs w:val="20"/>
            </w:rPr>
            <w:fldChar w:fldCharType="end"/>
          </w:r>
        </w:sdtContent>
      </w:sdt>
    </w:p>
    <w:p w:rsidR="00850AFE" w:rsidRDefault="00850AFE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  <w:r>
        <w:rPr>
          <w:rFonts w:asciiTheme="minorHAnsi" w:hAnsiTheme="minorHAnsi" w:cs="Arial"/>
          <w:color w:val="000000"/>
          <w:szCs w:val="20"/>
        </w:rPr>
        <w:t xml:space="preserve">Due to the increasing risks involved with construction projects main contractors are now using sub-contractors more often as it puts less risk on them and more onto the sub-contractor. Therefore it is important that before signing onto contract the risks are checked, are fair and agreed upon. </w:t>
      </w:r>
    </w:p>
    <w:p w:rsidR="00E82C83" w:rsidRDefault="00E82C83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p w:rsidR="00E82C83" w:rsidRDefault="00E82C83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90890005"/>
        <w:docPartObj>
          <w:docPartGallery w:val="Bibliographies"/>
          <w:docPartUnique/>
        </w:docPartObj>
      </w:sdtPr>
      <w:sdtEndPr/>
      <w:sdtContent>
        <w:p w:rsidR="00E82C83" w:rsidRDefault="00E82C8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E82C83" w:rsidRDefault="00E82C83" w:rsidP="00E82C83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  <w:lang w:val="en-US"/>
                </w:rPr>
                <w:t>Allocation of risk in construction contracts</w:t>
              </w:r>
              <w:r>
                <w:rPr>
                  <w:noProof/>
                  <w:lang w:val="en-US"/>
                </w:rPr>
                <w:t>. (2016). Retrieved from Global Arbitration review: https://globalarbitrationreview.com/chapter/1145082/allocation-of-risk-in-construction-contracts</w:t>
              </w:r>
            </w:p>
            <w:p w:rsidR="00E82C83" w:rsidRDefault="00E82C83" w:rsidP="00E82C8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John. (2019, 3 19). </w:t>
              </w:r>
              <w:r>
                <w:rPr>
                  <w:i/>
                  <w:iCs/>
                  <w:noProof/>
                  <w:lang w:val="en-US"/>
                </w:rPr>
                <w:t>8 important provisions to look for in a construction contract</w:t>
              </w:r>
              <w:r>
                <w:rPr>
                  <w:noProof/>
                  <w:lang w:val="en-US"/>
                </w:rPr>
                <w:t>. Retrieved from Construction review online : https://constructionreviewonline.com/2019/02/8-important-provisions-in-a-construction-contract/</w:t>
              </w:r>
            </w:p>
            <w:p w:rsidR="00E82C83" w:rsidRDefault="00E82C83" w:rsidP="00E82C8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K. (10, 11 2017). </w:t>
              </w:r>
              <w:r>
                <w:rPr>
                  <w:i/>
                  <w:iCs/>
                  <w:noProof/>
                  <w:lang w:val="en-US"/>
                </w:rPr>
                <w:t xml:space="preserve">Identifying and managing construction project risk </w:t>
              </w:r>
              <w:r>
                <w:rPr>
                  <w:noProof/>
                  <w:lang w:val="en-US"/>
                </w:rPr>
                <w:t>. Retrieved from Constructconnect: https://www.constructconnect.com/blog/identifying-managing-construction-project-risks</w:t>
              </w:r>
            </w:p>
            <w:p w:rsidR="00E82C83" w:rsidRDefault="00E82C83" w:rsidP="00E82C8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Managing the risk of sub-contractors in construction</w:t>
              </w:r>
              <w:r>
                <w:rPr>
                  <w:noProof/>
                  <w:lang w:val="en-US"/>
                </w:rPr>
                <w:t>. (2016, Feb 9th). Retrieved from EGUE 2: https://www.eque2.co.uk/managing-the-risks-of-subcontractors-in-construction/</w:t>
              </w:r>
            </w:p>
            <w:p w:rsidR="00E82C83" w:rsidRDefault="00E82C83" w:rsidP="00E82C8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8B37A4" w:rsidRDefault="008B37A4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p w:rsidR="00AC4A2C" w:rsidRPr="00850AFE" w:rsidRDefault="00AC4A2C" w:rsidP="00850AFE">
      <w:pPr>
        <w:pStyle w:val="NormalWeb"/>
        <w:shd w:val="clear" w:color="auto" w:fill="FFFFFF"/>
        <w:spacing w:line="330" w:lineRule="atLeast"/>
        <w:rPr>
          <w:rFonts w:asciiTheme="minorHAnsi" w:hAnsiTheme="minorHAnsi" w:cs="Arial"/>
          <w:color w:val="000000"/>
          <w:szCs w:val="20"/>
        </w:rPr>
      </w:pPr>
    </w:p>
    <w:sectPr w:rsidR="00AC4A2C" w:rsidRPr="00850AF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F4472" w:rsidRDefault="006F4472" w:rsidP="00624598">
      <w:pPr>
        <w:spacing w:after="0" w:line="240" w:lineRule="auto"/>
      </w:pPr>
      <w:r>
        <w:separator/>
      </w:r>
    </w:p>
  </w:endnote>
  <w:endnote w:type="continuationSeparator" w:id="0">
    <w:p w:rsidR="006F4472" w:rsidRDefault="006F4472" w:rsidP="006245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F4472" w:rsidRDefault="006F4472" w:rsidP="00624598">
      <w:pPr>
        <w:spacing w:after="0" w:line="240" w:lineRule="auto"/>
      </w:pPr>
      <w:r>
        <w:separator/>
      </w:r>
    </w:p>
  </w:footnote>
  <w:footnote w:type="continuationSeparator" w:id="0">
    <w:p w:rsidR="006F4472" w:rsidRDefault="006F4472" w:rsidP="006245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4598" w:rsidRDefault="00624598">
    <w:pPr>
      <w:pStyle w:val="Header"/>
    </w:pPr>
    <w:r>
      <w:t>Oliver Rhys Hearne                                                                                                                          SN - 1911293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3E378C"/>
    <w:multiLevelType w:val="hybridMultilevel"/>
    <w:tmpl w:val="66263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61EFE"/>
    <w:multiLevelType w:val="hybridMultilevel"/>
    <w:tmpl w:val="5434E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1B602C"/>
    <w:multiLevelType w:val="hybridMultilevel"/>
    <w:tmpl w:val="7D50E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6F0EA0"/>
    <w:multiLevelType w:val="hybridMultilevel"/>
    <w:tmpl w:val="9FD8BE1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4598"/>
    <w:rsid w:val="000C365A"/>
    <w:rsid w:val="00162873"/>
    <w:rsid w:val="001B325B"/>
    <w:rsid w:val="0042314D"/>
    <w:rsid w:val="00452FB2"/>
    <w:rsid w:val="005B7BC0"/>
    <w:rsid w:val="00624598"/>
    <w:rsid w:val="006F4472"/>
    <w:rsid w:val="00850AFE"/>
    <w:rsid w:val="008B37A4"/>
    <w:rsid w:val="0090395A"/>
    <w:rsid w:val="00A26CC0"/>
    <w:rsid w:val="00AC4A2C"/>
    <w:rsid w:val="00C73720"/>
    <w:rsid w:val="00E50560"/>
    <w:rsid w:val="00E82C83"/>
    <w:rsid w:val="00EA39B1"/>
    <w:rsid w:val="00F01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61EB93-8934-49DA-8F66-52E87A3E4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2C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45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4598"/>
  </w:style>
  <w:style w:type="paragraph" w:styleId="Footer">
    <w:name w:val="footer"/>
    <w:basedOn w:val="Normal"/>
    <w:link w:val="FooterChar"/>
    <w:uiPriority w:val="99"/>
    <w:unhideWhenUsed/>
    <w:rsid w:val="006245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4598"/>
  </w:style>
  <w:style w:type="character" w:styleId="Hyperlink">
    <w:name w:val="Hyperlink"/>
    <w:basedOn w:val="DefaultParagraphFont"/>
    <w:uiPriority w:val="99"/>
    <w:semiHidden/>
    <w:unhideWhenUsed/>
    <w:rsid w:val="0062459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1B32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82C8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82C83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82C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9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8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Joh19</b:Tag>
    <b:SourceType>InternetSite</b:SourceType>
    <b:Guid>{5C036F21-DE50-4A70-AFAC-0E1A96B556D2}</b:Guid>
    <b:Title>8 important provisions to look for in a construction contract</b:Title>
    <b:InternetSiteTitle>Construction review online </b:InternetSiteTitle>
    <b:Year>2019</b:Year>
    <b:Month>3</b:Month>
    <b:Day>19</b:Day>
    <b:URL>https://constructionreviewonline.com/2019/02/8-important-provisions-in-a-construction-contract/</b:URL>
    <b:Author>
      <b:Author>
        <b:NameList>
          <b:Person>
            <b:Last>John</b:Last>
          </b:Person>
        </b:NameList>
      </b:Author>
    </b:Author>
    <b:RefOrder>2</b:RefOrder>
  </b:Source>
  <b:Source>
    <b:Tag>Ken10</b:Tag>
    <b:SourceType>InternetSite</b:SourceType>
    <b:Guid>{E5579C2F-F7A5-4BCB-97F1-5D9A90A67553}</b:Guid>
    <b:Title>Identifying and managing construction project risk </b:Title>
    <b:Year>10</b:Year>
    <b:Author>
      <b:Author>
        <b:NameList>
          <b:Person>
            <b:Last>Jones</b:Last>
            <b:First>Kendall</b:First>
          </b:Person>
        </b:NameList>
      </b:Author>
    </b:Author>
    <b:InternetSiteTitle>Constructconnect</b:InternetSiteTitle>
    <b:Month>11</b:Month>
    <b:Day>2017</b:Day>
    <b:URL>https://www.constructconnect.com/blog/identifying-managing-construction-project-risks</b:URL>
    <b:RefOrder>4</b:RefOrder>
  </b:Source>
  <b:Source>
    <b:Tag>All16</b:Tag>
    <b:SourceType>InternetSite</b:SourceType>
    <b:Guid>{577DBA79-9125-4DE1-885D-E5599F7A1DF4}</b:Guid>
    <b:Title>Allocation of risk in construction contracts</b:Title>
    <b:InternetSiteTitle>Global Arbitration review</b:InternetSiteTitle>
    <b:Year>2016</b:Year>
    <b:URL>https://globalarbitrationreview.com/chapter/1145082/allocation-of-risk-in-construction-contracts</b:URL>
    <b:RefOrder>1</b:RefOrder>
  </b:Source>
  <b:Source>
    <b:Tag>Man16</b:Tag>
    <b:SourceType>InternetSite</b:SourceType>
    <b:Guid>{DA9EFCE3-5709-4971-AB8E-DB201B5EEDC7}</b:Guid>
    <b:Title>Managing the risk of sub-contractors in construction</b:Title>
    <b:InternetSiteTitle>EGUE 2</b:InternetSiteTitle>
    <b:Year>2016</b:Year>
    <b:Month>Feb</b:Month>
    <b:Day>9th</b:Day>
    <b:URL>https://www.eque2.co.uk/managing-the-risks-of-subcontractors-in-construction/</b:URL>
    <b:RefOrder>3</b:RefOrder>
  </b:Source>
</b:Sources>
</file>

<file path=customXml/itemProps1.xml><?xml version="1.0" encoding="utf-8"?>
<ds:datastoreItem xmlns:ds="http://schemas.openxmlformats.org/officeDocument/2006/customXml" ds:itemID="{19DD3632-DF3F-4A4A-9BC2-9B5830B860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496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Hearne</dc:creator>
  <cp:keywords/>
  <dc:description/>
  <cp:lastModifiedBy>Lara Hopkinson</cp:lastModifiedBy>
  <cp:revision>2</cp:revision>
  <dcterms:created xsi:type="dcterms:W3CDTF">2020-04-24T10:50:00Z</dcterms:created>
  <dcterms:modified xsi:type="dcterms:W3CDTF">2020-04-24T10:50:00Z</dcterms:modified>
</cp:coreProperties>
</file>