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210FBF" w14:textId="2B6A4EA7" w:rsidR="0048790A" w:rsidRDefault="0048790A" w:rsidP="00B846CC">
      <w:pPr>
        <w:pStyle w:val="Heading3"/>
        <w:rPr>
          <w:color w:val="auto"/>
        </w:rPr>
      </w:pPr>
      <w:r w:rsidRPr="00B846CC">
        <w:rPr>
          <w:color w:val="auto"/>
        </w:rPr>
        <w:t xml:space="preserve">In ‘The Pardoner’s Prologue’, how does the </w:t>
      </w:r>
      <w:r w:rsidRPr="006D565F">
        <w:rPr>
          <w:color w:val="auto"/>
        </w:rPr>
        <w:t>Pardoner reveal his avarice and the techniques he uses to satisfy his greed? What, in your view, could his motivation be for doing so?</w:t>
      </w:r>
      <w:r w:rsidRPr="006D565F">
        <w:rPr>
          <w:color w:val="auto"/>
        </w:rPr>
        <w:t xml:space="preserve"> [2000</w:t>
      </w:r>
      <w:r w:rsidRPr="00B846CC">
        <w:rPr>
          <w:color w:val="auto"/>
        </w:rPr>
        <w:t xml:space="preserve"> words]</w:t>
      </w:r>
    </w:p>
    <w:p w14:paraId="285832C3" w14:textId="77777777" w:rsidR="00760CC2" w:rsidRPr="00760CC2" w:rsidRDefault="00760CC2" w:rsidP="00760CC2"/>
    <w:p w14:paraId="2866040E" w14:textId="77777777" w:rsidR="00E61995" w:rsidRDefault="0048790A">
      <w:pPr>
        <w:rPr>
          <w:rFonts w:cstheme="minorHAnsi"/>
        </w:rPr>
      </w:pPr>
      <w:r>
        <w:rPr>
          <w:rFonts w:cstheme="minorHAnsi"/>
        </w:rPr>
        <w:t>Within this essay, I will be undertaking the</w:t>
      </w:r>
      <w:r w:rsidR="00F61E54">
        <w:rPr>
          <w:rFonts w:cstheme="minorHAnsi"/>
        </w:rPr>
        <w:t xml:space="preserve"> somewhat daunting</w:t>
      </w:r>
      <w:r>
        <w:rPr>
          <w:rFonts w:cstheme="minorHAnsi"/>
        </w:rPr>
        <w:t xml:space="preserve"> task of unravelling the reasons</w:t>
      </w:r>
      <w:r w:rsidR="00E55827">
        <w:rPr>
          <w:rFonts w:cstheme="minorHAnsi"/>
        </w:rPr>
        <w:t xml:space="preserve"> and motivations</w:t>
      </w:r>
      <w:r>
        <w:rPr>
          <w:rFonts w:cstheme="minorHAnsi"/>
        </w:rPr>
        <w:t xml:space="preserve"> behind the Pardoner’s actions within his prologue, and what techniques he uses to satisfy his greed</w:t>
      </w:r>
      <w:r w:rsidR="00E55827">
        <w:rPr>
          <w:rFonts w:cstheme="minorHAnsi"/>
        </w:rPr>
        <w:t xml:space="preserve"> for material wealth.</w:t>
      </w:r>
      <w:r w:rsidR="006C0F4B">
        <w:rPr>
          <w:rFonts w:cstheme="minorHAnsi"/>
        </w:rPr>
        <w:t xml:space="preserve"> </w:t>
      </w:r>
      <w:r w:rsidR="00875486">
        <w:rPr>
          <w:rFonts w:cstheme="minorHAnsi"/>
        </w:rPr>
        <w:t xml:space="preserve">It is the opinion of many that </w:t>
      </w:r>
      <w:r w:rsidR="004873DA">
        <w:rPr>
          <w:rFonts w:cstheme="minorHAnsi"/>
        </w:rPr>
        <w:t>‘</w:t>
      </w:r>
      <w:r w:rsidR="00875486">
        <w:rPr>
          <w:rFonts w:cstheme="minorHAnsi"/>
        </w:rPr>
        <w:t>the Pardoner’s Prologue and Tale is one of Chaucer’s most complex late works</w:t>
      </w:r>
      <w:r w:rsidR="004873DA">
        <w:rPr>
          <w:rFonts w:cstheme="minorHAnsi"/>
        </w:rPr>
        <w:t>’</w:t>
      </w:r>
      <w:r w:rsidR="00600D18">
        <w:rPr>
          <w:rStyle w:val="FootnoteReference"/>
          <w:rFonts w:cstheme="minorHAnsi"/>
        </w:rPr>
        <w:footnoteReference w:id="1"/>
      </w:r>
      <w:r w:rsidR="00875486">
        <w:rPr>
          <w:rFonts w:cstheme="minorHAnsi"/>
        </w:rPr>
        <w:t xml:space="preserve">, </w:t>
      </w:r>
      <w:r w:rsidR="00600D18">
        <w:rPr>
          <w:rFonts w:cstheme="minorHAnsi"/>
        </w:rPr>
        <w:t>which in turn suggests an incredibly complex character at the centre of these works</w:t>
      </w:r>
      <w:r w:rsidR="004873DA">
        <w:rPr>
          <w:rFonts w:cstheme="minorHAnsi"/>
        </w:rPr>
        <w:t>. This does make it rather difficult to decipher the motivation behind his actions, and ‘makes huge demands on its audience’</w:t>
      </w:r>
      <w:r w:rsidR="003D3CA8">
        <w:rPr>
          <w:rStyle w:val="FootnoteReference"/>
          <w:rFonts w:cstheme="minorHAnsi"/>
        </w:rPr>
        <w:footnoteReference w:id="2"/>
      </w:r>
      <w:r w:rsidR="007B748A">
        <w:rPr>
          <w:rFonts w:cstheme="minorHAnsi"/>
        </w:rPr>
        <w:t xml:space="preserve"> in terms of truly understanding the character.</w:t>
      </w:r>
    </w:p>
    <w:p w14:paraId="6CB655B0" w14:textId="7D191196" w:rsidR="00DB1E6F" w:rsidRDefault="00701C5A" w:rsidP="00C7053B">
      <w:pPr>
        <w:rPr>
          <w:rFonts w:cstheme="minorHAnsi"/>
        </w:rPr>
      </w:pPr>
      <w:r>
        <w:rPr>
          <w:rFonts w:cstheme="minorHAnsi"/>
        </w:rPr>
        <w:t xml:space="preserve">Pardoners were licensed by the </w:t>
      </w:r>
      <w:r w:rsidR="00843A87">
        <w:rPr>
          <w:rFonts w:cstheme="minorHAnsi"/>
        </w:rPr>
        <w:t>C</w:t>
      </w:r>
      <w:r>
        <w:rPr>
          <w:rFonts w:cstheme="minorHAnsi"/>
        </w:rPr>
        <w:t>hurch to grant absolution to sinners for a fee</w:t>
      </w:r>
      <w:r w:rsidR="002623E4">
        <w:rPr>
          <w:rFonts w:cstheme="minorHAnsi"/>
        </w:rPr>
        <w:t xml:space="preserve">, but often were tempted to keep these donations to the </w:t>
      </w:r>
      <w:r w:rsidR="00843A87">
        <w:rPr>
          <w:rFonts w:cstheme="minorHAnsi"/>
        </w:rPr>
        <w:t>C</w:t>
      </w:r>
      <w:r w:rsidR="002623E4">
        <w:rPr>
          <w:rFonts w:cstheme="minorHAnsi"/>
        </w:rPr>
        <w:t>hurch for themselves</w:t>
      </w:r>
      <w:r w:rsidR="00156329">
        <w:rPr>
          <w:rFonts w:cstheme="minorHAnsi"/>
        </w:rPr>
        <w:t>, and so were led astray by greed, as the Pardoner within the Canterbury Tales is.</w:t>
      </w:r>
      <w:r w:rsidR="000940B8">
        <w:rPr>
          <w:rFonts w:cstheme="minorHAnsi"/>
        </w:rPr>
        <w:t xml:space="preserve"> </w:t>
      </w:r>
      <w:r w:rsidR="00841703" w:rsidRPr="00843A87">
        <w:rPr>
          <w:rFonts w:cstheme="minorHAnsi"/>
        </w:rPr>
        <w:t>However,</w:t>
      </w:r>
      <w:r w:rsidR="00843A87" w:rsidRPr="00843A87">
        <w:rPr>
          <w:rFonts w:cstheme="minorHAnsi"/>
        </w:rPr>
        <w:t xml:space="preserve"> there is no evidence that he was once a good man, only that he has always been this way</w:t>
      </w:r>
      <w:r w:rsidR="00C91919">
        <w:rPr>
          <w:rFonts w:cstheme="minorHAnsi"/>
        </w:rPr>
        <w:t>.</w:t>
      </w:r>
      <w:r w:rsidR="002D3B4E">
        <w:rPr>
          <w:rFonts w:cstheme="minorHAnsi"/>
        </w:rPr>
        <w:t xml:space="preserve"> Chaucer</w:t>
      </w:r>
      <w:r w:rsidR="00C60CD4">
        <w:rPr>
          <w:rFonts w:cstheme="minorHAnsi"/>
        </w:rPr>
        <w:t xml:space="preserve"> suggests this</w:t>
      </w:r>
      <w:r w:rsidR="00006D55">
        <w:rPr>
          <w:rFonts w:cstheme="minorHAnsi"/>
        </w:rPr>
        <w:t xml:space="preserve"> sort of practice</w:t>
      </w:r>
      <w:r w:rsidR="00C60CD4">
        <w:rPr>
          <w:rFonts w:cstheme="minorHAnsi"/>
        </w:rPr>
        <w:t xml:space="preserve"> was common</w:t>
      </w:r>
      <w:r w:rsidR="00A5455A">
        <w:rPr>
          <w:rFonts w:cstheme="minorHAnsi"/>
        </w:rPr>
        <w:t xml:space="preserve">place </w:t>
      </w:r>
      <w:r w:rsidR="00C60CD4">
        <w:rPr>
          <w:rFonts w:cstheme="minorHAnsi"/>
        </w:rPr>
        <w:t>at the time</w:t>
      </w:r>
      <w:r w:rsidR="005B764D">
        <w:rPr>
          <w:rFonts w:cstheme="minorHAnsi"/>
        </w:rPr>
        <w:t xml:space="preserve"> – ‘treatise, sermons, and statues all bear witness to the abuses of pardoners’ methods of collecting money’</w:t>
      </w:r>
      <w:r w:rsidR="005B764D">
        <w:rPr>
          <w:rStyle w:val="FootnoteReference"/>
          <w:rFonts w:cstheme="minorHAnsi"/>
        </w:rPr>
        <w:footnoteReference w:id="3"/>
      </w:r>
      <w:r w:rsidR="00DB1E6F">
        <w:rPr>
          <w:rFonts w:cstheme="minorHAnsi"/>
        </w:rPr>
        <w:t>and could definitely ‘be sure that his audience would have had a pretty low opinion of pardoners’</w:t>
      </w:r>
      <w:r w:rsidR="00D43688">
        <w:rPr>
          <w:rStyle w:val="FootnoteReference"/>
          <w:rFonts w:cstheme="minorHAnsi"/>
        </w:rPr>
        <w:footnoteReference w:id="4"/>
      </w:r>
      <w:r w:rsidR="00FE257C">
        <w:rPr>
          <w:rFonts w:cstheme="minorHAnsi"/>
        </w:rPr>
        <w:t xml:space="preserve">. </w:t>
      </w:r>
      <w:r w:rsidR="00DD7AD1">
        <w:rPr>
          <w:rFonts w:cstheme="minorHAnsi"/>
        </w:rPr>
        <w:t xml:space="preserve">Apparently they were </w:t>
      </w:r>
      <w:r w:rsidR="009609C4">
        <w:rPr>
          <w:rFonts w:cstheme="minorHAnsi"/>
        </w:rPr>
        <w:t>seen as ‘heralds of the Antichrist’</w:t>
      </w:r>
      <w:r w:rsidR="00FD3A8E">
        <w:rPr>
          <w:rStyle w:val="FootnoteReference"/>
          <w:rFonts w:cstheme="minorHAnsi"/>
        </w:rPr>
        <w:footnoteReference w:id="5"/>
      </w:r>
      <w:r w:rsidR="00243E91">
        <w:rPr>
          <w:rFonts w:cstheme="minorHAnsi"/>
        </w:rPr>
        <w:t xml:space="preserve"> even, however I am unsure if this is due to confusion about their role of forgiving sin within a community, or due to the fact they were often known to be dishonest, considered either way as social outcasts and condemned, </w:t>
      </w:r>
      <w:r w:rsidR="00FC5D00">
        <w:rPr>
          <w:rFonts w:cstheme="minorHAnsi"/>
        </w:rPr>
        <w:t xml:space="preserve">viewed on the same level as </w:t>
      </w:r>
      <w:r w:rsidR="00243E91">
        <w:rPr>
          <w:rFonts w:cstheme="minorHAnsi"/>
        </w:rPr>
        <w:t>‘hermits’</w:t>
      </w:r>
      <w:r w:rsidR="00F16475">
        <w:rPr>
          <w:rStyle w:val="FootnoteReference"/>
          <w:rFonts w:cstheme="minorHAnsi"/>
        </w:rPr>
        <w:footnoteReference w:id="6"/>
      </w:r>
      <w:r w:rsidR="00FC5D00">
        <w:rPr>
          <w:rFonts w:cstheme="minorHAnsi"/>
        </w:rPr>
        <w:t>. Perhaps this is why he struggles to feel empathy with his victims whilst robbing them, the status of outcast influencing his state of mind in some way</w:t>
      </w:r>
      <w:r w:rsidR="00D40FDA">
        <w:rPr>
          <w:rFonts w:cstheme="minorHAnsi"/>
        </w:rPr>
        <w:t xml:space="preserve"> and providing him with a motive.</w:t>
      </w:r>
    </w:p>
    <w:p w14:paraId="193D14F6" w14:textId="39062AAC" w:rsidR="00D312EE" w:rsidRDefault="00412D92">
      <w:pPr>
        <w:rPr>
          <w:rFonts w:cstheme="minorHAnsi"/>
        </w:rPr>
      </w:pPr>
      <w:r>
        <w:rPr>
          <w:rFonts w:cstheme="minorHAnsi"/>
        </w:rPr>
        <w:t>At the time</w:t>
      </w:r>
      <w:r w:rsidR="00363C33">
        <w:rPr>
          <w:rFonts w:cstheme="minorHAnsi"/>
        </w:rPr>
        <w:t xml:space="preserve"> in which the Pardoner’s Prologue is set, a </w:t>
      </w:r>
      <w:r w:rsidR="00363C33" w:rsidRPr="00363C33">
        <w:rPr>
          <w:rFonts w:cstheme="minorHAnsi"/>
        </w:rPr>
        <w:t>‘fundamentally religious view of life’</w:t>
      </w:r>
      <w:r w:rsidR="00D36C31">
        <w:rPr>
          <w:rStyle w:val="FootnoteReference"/>
          <w:rFonts w:cstheme="minorHAnsi"/>
        </w:rPr>
        <w:footnoteReference w:id="7"/>
      </w:r>
      <w:r>
        <w:rPr>
          <w:rFonts w:cstheme="minorHAnsi"/>
        </w:rPr>
        <w:t xml:space="preserve"> </w:t>
      </w:r>
      <w:r w:rsidR="00363C33">
        <w:rPr>
          <w:rFonts w:cstheme="minorHAnsi"/>
        </w:rPr>
        <w:t xml:space="preserve">is held by all. Religion </w:t>
      </w:r>
      <w:r w:rsidR="009E5B4E">
        <w:rPr>
          <w:rFonts w:cstheme="minorHAnsi"/>
        </w:rPr>
        <w:t xml:space="preserve">consumed every aspect of life within this period, from the choosing of kings to the social constraints placed on women, </w:t>
      </w:r>
      <w:r w:rsidR="00363C33">
        <w:rPr>
          <w:rFonts w:cstheme="minorHAnsi"/>
        </w:rPr>
        <w:t xml:space="preserve">and </w:t>
      </w:r>
      <w:r w:rsidR="00AB6671">
        <w:rPr>
          <w:rFonts w:cstheme="minorHAnsi"/>
        </w:rPr>
        <w:t xml:space="preserve">it </w:t>
      </w:r>
      <w:r w:rsidR="00363C33">
        <w:rPr>
          <w:rFonts w:cstheme="minorHAnsi"/>
        </w:rPr>
        <w:t>allow</w:t>
      </w:r>
      <w:r w:rsidR="009E5B4E">
        <w:rPr>
          <w:rFonts w:cstheme="minorHAnsi"/>
        </w:rPr>
        <w:t>ed</w:t>
      </w:r>
      <w:r w:rsidR="00363C33">
        <w:rPr>
          <w:rFonts w:cstheme="minorHAnsi"/>
        </w:rPr>
        <w:t xml:space="preserve"> people to </w:t>
      </w:r>
      <w:r w:rsidR="00363C33" w:rsidRPr="00363C33">
        <w:rPr>
          <w:rFonts w:cstheme="minorHAnsi"/>
        </w:rPr>
        <w:t>‘seek to understand the essentials of human character and behaviour</w:t>
      </w:r>
      <w:r w:rsidR="00363C33">
        <w:rPr>
          <w:rFonts w:cstheme="minorHAnsi"/>
        </w:rPr>
        <w:t>’</w:t>
      </w:r>
      <w:r w:rsidR="00D36C31">
        <w:rPr>
          <w:rStyle w:val="FootnoteReference"/>
          <w:rFonts w:cstheme="minorHAnsi"/>
        </w:rPr>
        <w:footnoteReference w:id="8"/>
      </w:r>
      <w:r w:rsidR="00AB6671">
        <w:rPr>
          <w:rFonts w:cstheme="minorHAnsi"/>
        </w:rPr>
        <w:t xml:space="preserve"> through religious ethics taught in sermons</w:t>
      </w:r>
      <w:r w:rsidR="00226F81">
        <w:rPr>
          <w:rFonts w:cstheme="minorHAnsi"/>
        </w:rPr>
        <w:t xml:space="preserve"> and upheld by </w:t>
      </w:r>
      <w:r w:rsidR="005E6588">
        <w:rPr>
          <w:rFonts w:cstheme="minorHAnsi"/>
        </w:rPr>
        <w:t>figures within the</w:t>
      </w:r>
      <w:r w:rsidR="00226F81">
        <w:rPr>
          <w:rFonts w:cstheme="minorHAnsi"/>
        </w:rPr>
        <w:t xml:space="preserve"> Church.</w:t>
      </w:r>
      <w:r w:rsidR="005E6588">
        <w:rPr>
          <w:rFonts w:cstheme="minorHAnsi"/>
        </w:rPr>
        <w:t xml:space="preserve"> </w:t>
      </w:r>
      <w:r w:rsidR="0011705B">
        <w:rPr>
          <w:rFonts w:cstheme="minorHAnsi"/>
        </w:rPr>
        <w:t>Indeed, i</w:t>
      </w:r>
      <w:r>
        <w:rPr>
          <w:rFonts w:cstheme="minorHAnsi"/>
        </w:rPr>
        <w:t xml:space="preserve">t was </w:t>
      </w:r>
      <w:r w:rsidR="00363C33">
        <w:rPr>
          <w:rFonts w:cstheme="minorHAnsi"/>
        </w:rPr>
        <w:t xml:space="preserve">considered </w:t>
      </w:r>
      <w:r w:rsidR="00550309">
        <w:rPr>
          <w:rFonts w:cstheme="minorHAnsi"/>
        </w:rPr>
        <w:t>‘fashionable and popular entertainment was to go and hear a good preacher’</w:t>
      </w:r>
      <w:r w:rsidR="00D36C31">
        <w:rPr>
          <w:rStyle w:val="FootnoteReference"/>
          <w:rFonts w:cstheme="minorHAnsi"/>
        </w:rPr>
        <w:footnoteReference w:id="9"/>
      </w:r>
      <w:r>
        <w:rPr>
          <w:rFonts w:cstheme="minorHAnsi"/>
        </w:rPr>
        <w:t>,</w:t>
      </w:r>
      <w:r w:rsidR="0011705B">
        <w:rPr>
          <w:rFonts w:cstheme="minorHAnsi"/>
        </w:rPr>
        <w:t xml:space="preserve"> and the Pardoner brags </w:t>
      </w:r>
      <w:r w:rsidR="00433D75">
        <w:rPr>
          <w:rFonts w:cstheme="minorHAnsi"/>
        </w:rPr>
        <w:t>that he is a skilled Pardoner, by using tricks ‘b</w:t>
      </w:r>
      <w:r w:rsidR="00433D75" w:rsidRPr="00433D75">
        <w:rPr>
          <w:rFonts w:cstheme="minorHAnsi"/>
        </w:rPr>
        <w:t xml:space="preserve">y this </w:t>
      </w:r>
      <w:proofErr w:type="spellStart"/>
      <w:r w:rsidR="00433D75" w:rsidRPr="00433D75">
        <w:rPr>
          <w:rFonts w:cstheme="minorHAnsi"/>
        </w:rPr>
        <w:t>gaude</w:t>
      </w:r>
      <w:proofErr w:type="spellEnd"/>
      <w:r w:rsidR="00433D75" w:rsidRPr="00433D75">
        <w:rPr>
          <w:rFonts w:cstheme="minorHAnsi"/>
        </w:rPr>
        <w:t xml:space="preserve"> have I </w:t>
      </w:r>
      <w:proofErr w:type="spellStart"/>
      <w:r w:rsidR="00433D75" w:rsidRPr="00433D75">
        <w:rPr>
          <w:rFonts w:cstheme="minorHAnsi"/>
        </w:rPr>
        <w:t>wonne</w:t>
      </w:r>
      <w:proofErr w:type="spellEnd"/>
      <w:r w:rsidR="00433D75" w:rsidRPr="00433D75">
        <w:rPr>
          <w:rFonts w:cstheme="minorHAnsi"/>
        </w:rPr>
        <w:t xml:space="preserve">, </w:t>
      </w:r>
      <w:proofErr w:type="spellStart"/>
      <w:r w:rsidR="00433D75" w:rsidRPr="00433D75">
        <w:rPr>
          <w:rFonts w:cstheme="minorHAnsi"/>
        </w:rPr>
        <w:t>yeer</w:t>
      </w:r>
      <w:proofErr w:type="spellEnd"/>
      <w:r w:rsidR="00433D75" w:rsidRPr="00433D75">
        <w:rPr>
          <w:rFonts w:cstheme="minorHAnsi"/>
        </w:rPr>
        <w:t xml:space="preserve"> by </w:t>
      </w:r>
      <w:proofErr w:type="spellStart"/>
      <w:r w:rsidR="00433D75" w:rsidRPr="00433D75">
        <w:rPr>
          <w:rFonts w:cstheme="minorHAnsi"/>
        </w:rPr>
        <w:t>yeer</w:t>
      </w:r>
      <w:proofErr w:type="spellEnd"/>
      <w:r w:rsidR="00433D75" w:rsidRPr="00433D75">
        <w:rPr>
          <w:rFonts w:cstheme="minorHAnsi"/>
        </w:rPr>
        <w:t>,</w:t>
      </w:r>
      <w:r w:rsidR="00433D75">
        <w:rPr>
          <w:rFonts w:cstheme="minorHAnsi"/>
        </w:rPr>
        <w:t xml:space="preserve"> </w:t>
      </w:r>
      <w:proofErr w:type="gramStart"/>
      <w:r w:rsidR="00433D75">
        <w:rPr>
          <w:rFonts w:cstheme="minorHAnsi"/>
        </w:rPr>
        <w:t>a</w:t>
      </w:r>
      <w:r w:rsidR="00433D75" w:rsidRPr="00433D75">
        <w:rPr>
          <w:rFonts w:cstheme="minorHAnsi"/>
        </w:rPr>
        <w:t>n</w:t>
      </w:r>
      <w:proofErr w:type="gramEnd"/>
      <w:r w:rsidR="00433D75" w:rsidRPr="00433D75">
        <w:rPr>
          <w:rFonts w:cstheme="minorHAnsi"/>
        </w:rPr>
        <w:t xml:space="preserve"> hundred mark </w:t>
      </w:r>
      <w:proofErr w:type="spellStart"/>
      <w:r w:rsidR="00433D75" w:rsidRPr="00433D75">
        <w:rPr>
          <w:rFonts w:cstheme="minorHAnsi"/>
        </w:rPr>
        <w:t>sith</w:t>
      </w:r>
      <w:proofErr w:type="spellEnd"/>
      <w:r w:rsidR="00433D75" w:rsidRPr="00433D75">
        <w:rPr>
          <w:rFonts w:cstheme="minorHAnsi"/>
        </w:rPr>
        <w:t xml:space="preserve"> I was pardoner</w:t>
      </w:r>
      <w:r w:rsidR="00433D75">
        <w:rPr>
          <w:rFonts w:cstheme="minorHAnsi"/>
        </w:rPr>
        <w:t>’</w:t>
      </w:r>
      <w:r w:rsidR="00433D75">
        <w:rPr>
          <w:rStyle w:val="FootnoteReference"/>
          <w:rFonts w:cstheme="minorHAnsi"/>
        </w:rPr>
        <w:footnoteReference w:id="10"/>
      </w:r>
      <w:r w:rsidR="00433D75">
        <w:rPr>
          <w:rFonts w:cstheme="minorHAnsi"/>
        </w:rPr>
        <w:t>.</w:t>
      </w:r>
      <w:r w:rsidR="00A27F0F">
        <w:rPr>
          <w:rFonts w:cstheme="minorHAnsi"/>
        </w:rPr>
        <w:t xml:space="preserve"> </w:t>
      </w:r>
      <w:r w:rsidR="00DB6FDB">
        <w:t xml:space="preserve">The Pardoner </w:t>
      </w:r>
      <w:r w:rsidR="00762870" w:rsidRPr="00E55827">
        <w:t xml:space="preserve">has a papal bull – an edict issued by a pope – which </w:t>
      </w:r>
      <w:r w:rsidR="00DB6FDB">
        <w:t>allows him to aid people in repenting. However, i</w:t>
      </w:r>
      <w:r w:rsidR="006911FE" w:rsidRPr="004873DA">
        <w:rPr>
          <w:rFonts w:cstheme="minorHAnsi"/>
        </w:rPr>
        <w:t xml:space="preserve">t is clear that the pardoner believes he is above </w:t>
      </w:r>
      <w:r w:rsidR="009D5FAF" w:rsidRPr="004873DA">
        <w:rPr>
          <w:rFonts w:cstheme="minorHAnsi"/>
        </w:rPr>
        <w:t>everyone else</w:t>
      </w:r>
      <w:r w:rsidR="00DB6FDB">
        <w:rPr>
          <w:rFonts w:cstheme="minorHAnsi"/>
        </w:rPr>
        <w:t>, through his</w:t>
      </w:r>
      <w:r w:rsidR="009D5FAF" w:rsidRPr="004873DA">
        <w:rPr>
          <w:rFonts w:cstheme="minorHAnsi"/>
        </w:rPr>
        <w:t xml:space="preserve"> overly arrogant</w:t>
      </w:r>
      <w:r w:rsidR="00DB6FDB">
        <w:rPr>
          <w:rFonts w:cstheme="minorHAnsi"/>
        </w:rPr>
        <w:t xml:space="preserve"> persona</w:t>
      </w:r>
      <w:r w:rsidR="009D5FAF" w:rsidRPr="004873DA">
        <w:rPr>
          <w:rFonts w:cstheme="minorHAnsi"/>
        </w:rPr>
        <w:t>, and seems to almost believe that he is a godlike</w:t>
      </w:r>
      <w:r w:rsidR="009D5FAF" w:rsidRPr="009D5FAF">
        <w:rPr>
          <w:rFonts w:cstheme="minorHAnsi"/>
        </w:rPr>
        <w:t xml:space="preserve"> figure from the power that the papal bull gives him.</w:t>
      </w:r>
      <w:r w:rsidR="00E67EFD">
        <w:rPr>
          <w:rFonts w:cstheme="minorHAnsi"/>
        </w:rPr>
        <w:t xml:space="preserve"> Put simply, </w:t>
      </w:r>
      <w:r w:rsidR="00212D77">
        <w:rPr>
          <w:rFonts w:cstheme="minorHAnsi"/>
        </w:rPr>
        <w:lastRenderedPageBreak/>
        <w:t>‘he figures the major sin of pride’</w:t>
      </w:r>
      <w:r w:rsidR="00212D77">
        <w:rPr>
          <w:rStyle w:val="FootnoteReference"/>
          <w:rFonts w:cstheme="minorHAnsi"/>
        </w:rPr>
        <w:footnoteReference w:id="11"/>
      </w:r>
      <w:r w:rsidR="00021DD6">
        <w:rPr>
          <w:rFonts w:cstheme="minorHAnsi"/>
        </w:rPr>
        <w:t>.</w:t>
      </w:r>
      <w:r w:rsidR="00FD2CB2">
        <w:rPr>
          <w:rFonts w:cstheme="minorHAnsi"/>
        </w:rPr>
        <w:t xml:space="preserve"> The</w:t>
      </w:r>
      <w:r w:rsidR="00FD2CB2">
        <w:t xml:space="preserve"> Pardoner </w:t>
      </w:r>
      <w:r w:rsidR="00327345">
        <w:rPr>
          <w:rFonts w:cstheme="minorHAnsi"/>
        </w:rPr>
        <w:t>‘represents the perversion of the mercy of God … exploiting a ghastly parody of a real and holy quality’</w:t>
      </w:r>
      <w:r w:rsidR="00077450">
        <w:rPr>
          <w:rStyle w:val="FootnoteReference"/>
          <w:rFonts w:cstheme="minorHAnsi"/>
        </w:rPr>
        <w:footnoteReference w:id="12"/>
      </w:r>
      <w:r w:rsidR="00FD2CB2">
        <w:rPr>
          <w:rFonts w:cstheme="minorHAnsi"/>
        </w:rPr>
        <w:t>.</w:t>
      </w:r>
      <w:r w:rsidR="004F3C40">
        <w:rPr>
          <w:rFonts w:cstheme="minorHAnsi"/>
        </w:rPr>
        <w:t xml:space="preserve"> However, his papal bulls</w:t>
      </w:r>
      <w:r w:rsidR="00D312EE">
        <w:rPr>
          <w:rFonts w:cstheme="minorHAnsi"/>
        </w:rPr>
        <w:t xml:space="preserve"> do not grant him this power and</w:t>
      </w:r>
      <w:r w:rsidR="004F3C40">
        <w:rPr>
          <w:rFonts w:cstheme="minorHAnsi"/>
        </w:rPr>
        <w:t xml:space="preserve"> he </w:t>
      </w:r>
      <w:r w:rsidR="00D312EE">
        <w:rPr>
          <w:rFonts w:cstheme="minorHAnsi"/>
        </w:rPr>
        <w:t>comes</w:t>
      </w:r>
      <w:r w:rsidR="004F3C40">
        <w:rPr>
          <w:rFonts w:cstheme="minorHAnsi"/>
        </w:rPr>
        <w:t xml:space="preserve"> </w:t>
      </w:r>
      <w:r w:rsidR="00D312EE">
        <w:rPr>
          <w:rFonts w:cstheme="minorHAnsi"/>
        </w:rPr>
        <w:t xml:space="preserve">across as </w:t>
      </w:r>
      <w:r w:rsidR="004F3C40">
        <w:rPr>
          <w:rFonts w:cstheme="minorHAnsi"/>
        </w:rPr>
        <w:t>deluded.</w:t>
      </w:r>
      <w:r w:rsidR="00F775F4">
        <w:rPr>
          <w:rFonts w:cstheme="minorHAnsi"/>
        </w:rPr>
        <w:t xml:space="preserve"> </w:t>
      </w:r>
      <w:r w:rsidR="00D312EE">
        <w:rPr>
          <w:rFonts w:cstheme="minorHAnsi"/>
        </w:rPr>
        <w:t xml:space="preserve">He seems to think that ‘his indulgences can absolve </w:t>
      </w:r>
      <w:r w:rsidR="00D312EE" w:rsidRPr="00D312EE">
        <w:rPr>
          <w:rFonts w:cstheme="minorHAnsi"/>
          <w:i/>
          <w:iCs/>
        </w:rPr>
        <w:t xml:space="preserve">a </w:t>
      </w:r>
      <w:proofErr w:type="spellStart"/>
      <w:r w:rsidR="00D312EE" w:rsidRPr="00D312EE">
        <w:rPr>
          <w:rFonts w:cstheme="minorHAnsi"/>
          <w:i/>
          <w:iCs/>
        </w:rPr>
        <w:t>poena</w:t>
      </w:r>
      <w:proofErr w:type="spellEnd"/>
      <w:r w:rsidR="00D312EE" w:rsidRPr="00D312EE">
        <w:rPr>
          <w:rFonts w:cstheme="minorHAnsi"/>
          <w:i/>
          <w:iCs/>
        </w:rPr>
        <w:t xml:space="preserve"> et a culpa</w:t>
      </w:r>
      <w:r w:rsidR="00D312EE">
        <w:rPr>
          <w:rFonts w:cstheme="minorHAnsi"/>
        </w:rPr>
        <w:t>, from punishment and guilt – a practice all too common among English pardoners of the time’</w:t>
      </w:r>
      <w:r w:rsidR="002627FD">
        <w:rPr>
          <w:rStyle w:val="FootnoteReference"/>
          <w:rFonts w:cstheme="minorHAnsi"/>
        </w:rPr>
        <w:footnoteReference w:id="13"/>
      </w:r>
      <w:r w:rsidR="00F775F4">
        <w:rPr>
          <w:rFonts w:cstheme="minorHAnsi"/>
        </w:rPr>
        <w:t>.</w:t>
      </w:r>
      <w:r w:rsidR="00EF1F74">
        <w:rPr>
          <w:rFonts w:cstheme="minorHAnsi"/>
        </w:rPr>
        <w:t xml:space="preserve"> He cannot promise access to ‘heaven without hindrance’</w:t>
      </w:r>
      <w:r w:rsidR="001F74AB">
        <w:rPr>
          <w:rStyle w:val="FootnoteReference"/>
          <w:rFonts w:cstheme="minorHAnsi"/>
        </w:rPr>
        <w:footnoteReference w:id="14"/>
      </w:r>
      <w:r w:rsidR="00EF1F74">
        <w:rPr>
          <w:rFonts w:cstheme="minorHAnsi"/>
        </w:rPr>
        <w:t xml:space="preserve"> to his congregation as he simply does not rank high enough within the church to do so. However</w:t>
      </w:r>
      <w:r w:rsidR="00BF291B">
        <w:rPr>
          <w:rFonts w:cstheme="minorHAnsi"/>
        </w:rPr>
        <w:t>,</w:t>
      </w:r>
      <w:r w:rsidR="00EF1F74">
        <w:rPr>
          <w:rFonts w:cstheme="minorHAnsi"/>
        </w:rPr>
        <w:t xml:space="preserve"> he still is ‘exceeding his authority’</w:t>
      </w:r>
      <w:r w:rsidR="001F74AB">
        <w:rPr>
          <w:rStyle w:val="FootnoteReference"/>
          <w:rFonts w:cstheme="minorHAnsi"/>
        </w:rPr>
        <w:footnoteReference w:id="15"/>
      </w:r>
      <w:r w:rsidR="001F74AB">
        <w:rPr>
          <w:rFonts w:cstheme="minorHAnsi"/>
        </w:rPr>
        <w:t>, and I believe that he is aware of his limitations as a Pardoner, but decides he is above them due to his love of power and wealth.</w:t>
      </w:r>
    </w:p>
    <w:p w14:paraId="70ED5797" w14:textId="77777777" w:rsidR="009D5FAF" w:rsidRDefault="00743A39">
      <w:pPr>
        <w:rPr>
          <w:rFonts w:cstheme="minorHAnsi"/>
        </w:rPr>
      </w:pPr>
      <w:r w:rsidRPr="00743A39">
        <w:rPr>
          <w:rFonts w:cstheme="minorHAnsi"/>
        </w:rPr>
        <w:t xml:space="preserve">He </w:t>
      </w:r>
      <w:r w:rsidR="00D249A0">
        <w:rPr>
          <w:rFonts w:cstheme="minorHAnsi"/>
        </w:rPr>
        <w:t xml:space="preserve">seems to </w:t>
      </w:r>
      <w:r w:rsidRPr="00743A39">
        <w:rPr>
          <w:rFonts w:cstheme="minorHAnsi"/>
        </w:rPr>
        <w:t>take joy in doing business in this way,</w:t>
      </w:r>
      <w:r w:rsidR="00D249A0">
        <w:rPr>
          <w:rFonts w:cstheme="minorHAnsi"/>
        </w:rPr>
        <w:t xml:space="preserve"> and</w:t>
      </w:r>
      <w:r w:rsidRPr="00743A39">
        <w:rPr>
          <w:rFonts w:cstheme="minorHAnsi"/>
        </w:rPr>
        <w:t xml:space="preserve"> boast</w:t>
      </w:r>
      <w:r w:rsidR="00D249A0">
        <w:rPr>
          <w:rFonts w:cstheme="minorHAnsi"/>
        </w:rPr>
        <w:t>s</w:t>
      </w:r>
      <w:r w:rsidRPr="00743A39">
        <w:rPr>
          <w:rFonts w:cstheme="minorHAnsi"/>
        </w:rPr>
        <w:t xml:space="preserve"> about how ignorant people are</w:t>
      </w:r>
      <w:r w:rsidR="00D249A0">
        <w:rPr>
          <w:rFonts w:cstheme="minorHAnsi"/>
        </w:rPr>
        <w:t xml:space="preserve"> – this suggests part of his motive is to feel more educated than the masses and therefore have more power than them; everything that fuels his character seems to be the want of more, more wealth, more fine items, more power and control.</w:t>
      </w:r>
    </w:p>
    <w:p w14:paraId="4F945E85" w14:textId="6716B3C3" w:rsidR="00EB5BAD" w:rsidRDefault="00773DFB">
      <w:pPr>
        <w:rPr>
          <w:rFonts w:cstheme="minorHAnsi"/>
        </w:rPr>
      </w:pPr>
      <w:r>
        <w:rPr>
          <w:rFonts w:cstheme="minorHAnsi"/>
        </w:rPr>
        <w:t>H</w:t>
      </w:r>
      <w:r w:rsidR="00EB5BAD" w:rsidRPr="00EB5BAD">
        <w:rPr>
          <w:rFonts w:cstheme="minorHAnsi"/>
        </w:rPr>
        <w:t xml:space="preserve">e repeats twice </w:t>
      </w:r>
      <w:r>
        <w:rPr>
          <w:rFonts w:cstheme="minorHAnsi"/>
        </w:rPr>
        <w:t xml:space="preserve">within the Prologue </w:t>
      </w:r>
      <w:r w:rsidR="00EB5BAD" w:rsidRPr="00EB5BAD">
        <w:rPr>
          <w:rFonts w:cstheme="minorHAnsi"/>
        </w:rPr>
        <w:t>that he preaches for nothing but greed. He says that his theme is “greed is the root of all evil” which he preaches wholeheartedly in his sermons, but also follows this saying quite literally by stealing the pardons that are meant for the church to satisfy his own deranged desires.</w:t>
      </w:r>
      <w:r>
        <w:rPr>
          <w:rFonts w:cstheme="minorHAnsi"/>
        </w:rPr>
        <w:t xml:space="preserve"> During his preaching, he</w:t>
      </w:r>
      <w:r>
        <w:rPr>
          <w:rFonts w:cstheme="minorHAnsi"/>
        </w:rPr>
        <w:t xml:space="preserve"> ‘is conspicuously and self-consciously artful, employing fiction and fable’</w:t>
      </w:r>
      <w:r>
        <w:rPr>
          <w:rStyle w:val="FootnoteReference"/>
          <w:rFonts w:cstheme="minorHAnsi"/>
        </w:rPr>
        <w:footnoteReference w:id="16"/>
      </w:r>
      <w:r>
        <w:rPr>
          <w:rFonts w:cstheme="minorHAnsi"/>
        </w:rPr>
        <w:t xml:space="preserve"> to his advantage</w:t>
      </w:r>
      <w:r w:rsidR="00D7497E">
        <w:rPr>
          <w:rFonts w:cstheme="minorHAnsi"/>
        </w:rPr>
        <w:t xml:space="preserve">. </w:t>
      </w:r>
      <w:r w:rsidR="00D7497E">
        <w:rPr>
          <w:rFonts w:cstheme="minorHAnsi"/>
        </w:rPr>
        <w:t>The Pardoner is a ‘self-confessed immoral man who attempts to tell a moral tale’</w:t>
      </w:r>
      <w:r w:rsidR="00D7497E">
        <w:rPr>
          <w:rStyle w:val="FootnoteReference"/>
          <w:rFonts w:cstheme="minorHAnsi"/>
        </w:rPr>
        <w:footnoteReference w:id="17"/>
      </w:r>
      <w:r w:rsidR="00D7497E">
        <w:rPr>
          <w:rFonts w:cstheme="minorHAnsi"/>
        </w:rPr>
        <w:t>, which makes us wonder if he is truly boasting to his companions or if he actually wishes to</w:t>
      </w:r>
      <w:r w:rsidR="00211F80">
        <w:rPr>
          <w:rFonts w:cstheme="minorHAnsi"/>
        </w:rPr>
        <w:t xml:space="preserve"> aid sinners in finding absolution despite the </w:t>
      </w:r>
      <w:proofErr w:type="gramStart"/>
      <w:r w:rsidR="00211F80">
        <w:rPr>
          <w:rFonts w:cstheme="minorHAnsi"/>
        </w:rPr>
        <w:t>fact</w:t>
      </w:r>
      <w:proofErr w:type="gramEnd"/>
      <w:r w:rsidR="00211F80">
        <w:rPr>
          <w:rFonts w:cstheme="minorHAnsi"/>
        </w:rPr>
        <w:t xml:space="preserve"> he cannot find his own.</w:t>
      </w:r>
    </w:p>
    <w:p w14:paraId="5D95CD78" w14:textId="599850A2" w:rsidR="00E55827" w:rsidRDefault="00027615" w:rsidP="00E55827">
      <w:r w:rsidRPr="00F40B14">
        <w:rPr>
          <w:i/>
          <w:iCs/>
        </w:rPr>
        <w:t>The Pardoner’s Prologue</w:t>
      </w:r>
      <w:r>
        <w:t xml:space="preserve"> ‘is a detailed exposition of his motives and methods’</w:t>
      </w:r>
      <w:r>
        <w:rPr>
          <w:rStyle w:val="FootnoteReference"/>
        </w:rPr>
        <w:footnoteReference w:id="18"/>
      </w:r>
      <w:r w:rsidR="00F40B14">
        <w:t xml:space="preserve">. </w:t>
      </w:r>
      <w:r w:rsidR="00EA32A6">
        <w:t>One of the Pardoner’s main techniques used to satisfy his greed is a clever tactic that preys upon the staunch emphasis on reputation and virtue that existed in the fourteenth century.</w:t>
      </w:r>
      <w:r w:rsidR="00046294" w:rsidRPr="00046294">
        <w:t xml:space="preserve"> </w:t>
      </w:r>
      <w:r w:rsidR="000D64D3">
        <w:t>He addresses the congregation</w:t>
      </w:r>
      <w:r w:rsidR="00F05B4F">
        <w:t>, ‘i</w:t>
      </w:r>
      <w:r w:rsidR="00046294">
        <w:t xml:space="preserve">f any </w:t>
      </w:r>
      <w:proofErr w:type="spellStart"/>
      <w:r w:rsidR="00046294">
        <w:t>wight</w:t>
      </w:r>
      <w:proofErr w:type="spellEnd"/>
      <w:r w:rsidR="00046294">
        <w:t xml:space="preserve"> be in this </w:t>
      </w:r>
      <w:proofErr w:type="spellStart"/>
      <w:r w:rsidR="00046294">
        <w:t>chirche</w:t>
      </w:r>
      <w:proofErr w:type="spellEnd"/>
      <w:r w:rsidR="00046294">
        <w:t xml:space="preserve"> now</w:t>
      </w:r>
      <w:r w:rsidR="00046294">
        <w:t xml:space="preserve"> t</w:t>
      </w:r>
      <w:r w:rsidR="00046294">
        <w:t xml:space="preserve">hat hath </w:t>
      </w:r>
      <w:proofErr w:type="spellStart"/>
      <w:r w:rsidR="00046294">
        <w:t>doon</w:t>
      </w:r>
      <w:proofErr w:type="spellEnd"/>
      <w:r w:rsidR="00046294">
        <w:t xml:space="preserve"> </w:t>
      </w:r>
      <w:proofErr w:type="spellStart"/>
      <w:r w:rsidR="00046294">
        <w:t>synne</w:t>
      </w:r>
      <w:proofErr w:type="spellEnd"/>
      <w:r w:rsidR="00046294">
        <w:t xml:space="preserve"> horrible</w:t>
      </w:r>
      <w:r w:rsidR="00046294">
        <w:t xml:space="preserve"> … </w:t>
      </w:r>
      <w:proofErr w:type="spellStart"/>
      <w:r w:rsidR="00046294">
        <w:t>s</w:t>
      </w:r>
      <w:r w:rsidR="00046294">
        <w:t>wich</w:t>
      </w:r>
      <w:proofErr w:type="spellEnd"/>
      <w:r w:rsidR="00046294">
        <w:t xml:space="preserve"> folk </w:t>
      </w:r>
      <w:proofErr w:type="spellStart"/>
      <w:r w:rsidR="00046294">
        <w:t>shal</w:t>
      </w:r>
      <w:proofErr w:type="spellEnd"/>
      <w:r w:rsidR="00046294">
        <w:t xml:space="preserve"> have no power ne no grac</w:t>
      </w:r>
      <w:r w:rsidR="00046294">
        <w:t>e t</w:t>
      </w:r>
      <w:r w:rsidR="00046294">
        <w:t xml:space="preserve">o </w:t>
      </w:r>
      <w:proofErr w:type="spellStart"/>
      <w:r w:rsidR="00046294">
        <w:t>offren</w:t>
      </w:r>
      <w:proofErr w:type="spellEnd"/>
      <w:r w:rsidR="00046294">
        <w:t xml:space="preserve"> to my </w:t>
      </w:r>
      <w:proofErr w:type="spellStart"/>
      <w:r w:rsidR="00046294">
        <w:t>relikes</w:t>
      </w:r>
      <w:proofErr w:type="spellEnd"/>
      <w:r w:rsidR="00046294">
        <w:t xml:space="preserve"> in this place</w:t>
      </w:r>
      <w:r w:rsidR="00F05B4F">
        <w:t>’</w:t>
      </w:r>
      <w:r w:rsidR="00F05B4F">
        <w:rPr>
          <w:rStyle w:val="FootnoteReference"/>
        </w:rPr>
        <w:footnoteReference w:id="19"/>
      </w:r>
      <w:r w:rsidR="00EB6A71">
        <w:t xml:space="preserve">, by asking that those who have sinned too terribly do not come and make a donation and that they are not welcome to his relics. If someone does not </w:t>
      </w:r>
      <w:r w:rsidR="00E55827" w:rsidRPr="00E55827">
        <w:t xml:space="preserve">come forth and a make a monetary offering, not </w:t>
      </w:r>
      <w:r w:rsidR="00EB6A71">
        <w:t xml:space="preserve">only is the state </w:t>
      </w:r>
      <w:r w:rsidR="00E55827" w:rsidRPr="00E55827">
        <w:t>of their soul</w:t>
      </w:r>
      <w:r w:rsidR="00EB6A71">
        <w:t xml:space="preserve"> at stake,</w:t>
      </w:r>
      <w:r w:rsidR="00E55827" w:rsidRPr="00E55827">
        <w:t xml:space="preserve"> but </w:t>
      </w:r>
      <w:r w:rsidR="00EB6A71">
        <w:t xml:space="preserve">also </w:t>
      </w:r>
      <w:r w:rsidR="00E55827" w:rsidRPr="00E55827">
        <w:t>their reputation in the local town</w:t>
      </w:r>
      <w:r w:rsidR="00EB6A71">
        <w:t>, as people will assume they have committed a terrible sin.</w:t>
      </w:r>
      <w:r w:rsidR="00E55827" w:rsidRPr="00E55827">
        <w:t xml:space="preserve"> The technique is to say that those who have committed such a heinous sin must stay seated as he doesn’t wish to associate with them, therefore no one wants to be found out of committing a sin such as </w:t>
      </w:r>
      <w:proofErr w:type="spellStart"/>
      <w:r w:rsidR="00E55827" w:rsidRPr="00E55827">
        <w:t>cuckholding</w:t>
      </w:r>
      <w:proofErr w:type="spellEnd"/>
      <w:r w:rsidR="00E55827" w:rsidRPr="00E55827">
        <w:t xml:space="preserve"> their husband, or want to be accused of such by being meagre with their donations, so everyone will get up</w:t>
      </w:r>
      <w:r w:rsidR="001A2B33">
        <w:t xml:space="preserve"> to avoid being accused of a ‘guilty conscience’</w:t>
      </w:r>
      <w:r w:rsidR="007953A2">
        <w:rPr>
          <w:rStyle w:val="FootnoteReference"/>
        </w:rPr>
        <w:footnoteReference w:id="20"/>
      </w:r>
      <w:r w:rsidR="00E7577F">
        <w:t>.</w:t>
      </w:r>
    </w:p>
    <w:p w14:paraId="6CFBBC94" w14:textId="7C90B9CD" w:rsidR="00085803" w:rsidRPr="00E55827" w:rsidRDefault="00336FEC" w:rsidP="00E55827">
      <w:r>
        <w:t xml:space="preserve">Another technique used by the Pardoner is to stir up a religious frenzy in his audience by chanting a few words in </w:t>
      </w:r>
      <w:r w:rsidR="00D91CE0">
        <w:t>Latin</w:t>
      </w:r>
      <w:r>
        <w:t xml:space="preserve"> and using spices during his preaching. </w:t>
      </w:r>
      <w:r w:rsidR="0067684E">
        <w:t>He uses this frenzy to sell his</w:t>
      </w:r>
      <w:r>
        <w:t xml:space="preserve"> supposed religious relics</w:t>
      </w:r>
      <w:r w:rsidR="0067684E">
        <w:t xml:space="preserve">, </w:t>
      </w:r>
      <w:r>
        <w:t>that are really old rag and bones,</w:t>
      </w:r>
      <w:r w:rsidR="008D20A2">
        <w:t xml:space="preserve"> through the devotion of his congregation. </w:t>
      </w:r>
      <w:r w:rsidR="00D91CE0">
        <w:t>T</w:t>
      </w:r>
      <w:r w:rsidR="008D20A2">
        <w:t xml:space="preserve">his </w:t>
      </w:r>
      <w:r>
        <w:lastRenderedPageBreak/>
        <w:t>‘devotion could become merely perfunctory, degenerating into a mere superstition or belief in some sort of magic – utterly contrary to all that Christianity stands for</w:t>
      </w:r>
      <w:r w:rsidR="000A5368">
        <w:t>’</w:t>
      </w:r>
      <w:r w:rsidR="000A5368">
        <w:rPr>
          <w:rStyle w:val="FootnoteReference"/>
        </w:rPr>
        <w:footnoteReference w:id="21"/>
      </w:r>
      <w:r w:rsidR="00D91CE0">
        <w:t>, further supporting the idea that the Pardoner is purely motivated by wealth</w:t>
      </w:r>
      <w:r w:rsidR="002B356B">
        <w:t xml:space="preserve"> and likely an atheist or is simply indifferent to religion, it has no bearing at all on his work.</w:t>
      </w:r>
    </w:p>
    <w:p w14:paraId="09CDC194" w14:textId="77777777" w:rsidR="00E55827" w:rsidRPr="000A1F37" w:rsidRDefault="00E55827">
      <w:r w:rsidRPr="00E55827">
        <w:t xml:space="preserve">He ends his prologue </w:t>
      </w:r>
      <w:r w:rsidR="005E4C53" w:rsidRPr="00236CC4">
        <w:t>by</w:t>
      </w:r>
      <w:r w:rsidRPr="00E55827">
        <w:t xml:space="preserve"> telling the pilgrims that he hopes his moral tale will be to their liking, despite the fact he describes himself as a very vicious man. The tale he goes on to tell is one he often preaches for profit. However, it is strange that he tells the pilgrims of his money grabbing techniques beforehand, as we have seen he is not a religious man, and the only reason he is on this pilgrimage is likely to swindle the pilgrims in the same fashion. Perhaps it is part of some big scheme of his, which would allow him to take more money from them? Either way from what we have seen of his character, he is incredibly cunning and sociopathic, and seems to enjoy the “chase” which fulfils part of his greed before he has even received any money.</w:t>
      </w:r>
      <w:r w:rsidR="00E07BDB">
        <w:t xml:space="preserve"> </w:t>
      </w:r>
      <w:r w:rsidR="000937F2">
        <w:t>The Pardoner’s Prologue ‘takes confessional form’</w:t>
      </w:r>
      <w:r w:rsidR="00695B51">
        <w:rPr>
          <w:rStyle w:val="FootnoteReference"/>
        </w:rPr>
        <w:footnoteReference w:id="22"/>
      </w:r>
      <w:r w:rsidR="000937F2">
        <w:t xml:space="preserve"> but not in the usual sense – he is boasting to the other pilgrims on the journey.</w:t>
      </w:r>
    </w:p>
    <w:p w14:paraId="3587FB18" w14:textId="26BDA638" w:rsidR="00A8603E" w:rsidRDefault="00A8603E">
      <w:pPr>
        <w:rPr>
          <w:rFonts w:cstheme="minorHAnsi"/>
        </w:rPr>
      </w:pPr>
      <w:r w:rsidRPr="00D70C21">
        <w:rPr>
          <w:rFonts w:cstheme="minorHAnsi"/>
        </w:rPr>
        <w:t>The Pardoner’s Prologue, and indeed the Tale, are centred around the greed and corruption of man, and the abuse of power and jurisdiction in relation to the church.  In many ways, moral dilemmas presented within texts are often reflected by the author’s own experiences, therefore o</w:t>
      </w:r>
      <w:r w:rsidRPr="00D70C21">
        <w:rPr>
          <w:rFonts w:cstheme="minorHAnsi"/>
        </w:rPr>
        <w:t>ne could even consider the author, Chaucer, as a source of inspiration for the development of the Pardoner’s character</w:t>
      </w:r>
      <w:r w:rsidRPr="00D70C21">
        <w:rPr>
          <w:rFonts w:cstheme="minorHAnsi"/>
        </w:rPr>
        <w:t>. This is</w:t>
      </w:r>
      <w:r w:rsidRPr="00D70C21">
        <w:rPr>
          <w:rFonts w:cstheme="minorHAnsi"/>
        </w:rPr>
        <w:t xml:space="preserve"> due to his somewhat </w:t>
      </w:r>
      <w:r w:rsidRPr="00D70C21">
        <w:rPr>
          <w:rFonts w:cstheme="minorHAnsi"/>
        </w:rPr>
        <w:t>dubious past, especially his relationship with Nicholas Brembre and his possible role in major tax fraud that occurred during the time he was in charge of export tax and customs. However</w:t>
      </w:r>
      <w:r w:rsidR="00DF5F5B" w:rsidRPr="00D70C21">
        <w:rPr>
          <w:rFonts w:cstheme="minorHAnsi"/>
        </w:rPr>
        <w:t xml:space="preserve">, in all other aspects he seems to be model citizen, working tirelessly for his king </w:t>
      </w:r>
      <w:r w:rsidR="002F4A5B">
        <w:rPr>
          <w:rFonts w:cstheme="minorHAnsi"/>
        </w:rPr>
        <w:t>(the king would have considered him a ‘useful and trusted courtier’</w:t>
      </w:r>
      <w:r w:rsidR="004C2C59">
        <w:rPr>
          <w:rStyle w:val="FootnoteReference"/>
          <w:rFonts w:cstheme="minorHAnsi"/>
        </w:rPr>
        <w:footnoteReference w:id="23"/>
      </w:r>
      <w:r w:rsidR="002F4A5B">
        <w:rPr>
          <w:rFonts w:cstheme="minorHAnsi"/>
        </w:rPr>
        <w:t xml:space="preserve"> and was considered valuable enough that when he was taken as a prisoner of war, </w:t>
      </w:r>
      <w:r w:rsidR="00C915B1">
        <w:rPr>
          <w:rFonts w:cstheme="minorHAnsi"/>
        </w:rPr>
        <w:t>the king himself contributed ‘the large sum of £16 towards his ransom’</w:t>
      </w:r>
      <w:r w:rsidR="00022528">
        <w:rPr>
          <w:rStyle w:val="FootnoteReference"/>
          <w:rFonts w:cstheme="minorHAnsi"/>
        </w:rPr>
        <w:footnoteReference w:id="24"/>
      </w:r>
      <w:r w:rsidR="004C2C59">
        <w:rPr>
          <w:rFonts w:cstheme="minorHAnsi"/>
        </w:rPr>
        <w:t xml:space="preserve">) </w:t>
      </w:r>
      <w:r w:rsidR="00DF5F5B" w:rsidRPr="00D70C21">
        <w:rPr>
          <w:rFonts w:cstheme="minorHAnsi"/>
        </w:rPr>
        <w:t>and furthering the cultural revolution at the time through his works.</w:t>
      </w:r>
      <w:r w:rsidR="00DD71AC" w:rsidRPr="00D70C21">
        <w:rPr>
          <w:rFonts w:cstheme="minorHAnsi"/>
        </w:rPr>
        <w:t xml:space="preserve"> </w:t>
      </w:r>
      <w:r w:rsidRPr="00D70C21">
        <w:rPr>
          <w:rFonts w:cstheme="minorHAnsi"/>
        </w:rPr>
        <w:t>This comes back to the question – can</w:t>
      </w:r>
      <w:r w:rsidR="008B2FAF" w:rsidRPr="00D70C21">
        <w:rPr>
          <w:rFonts w:cstheme="minorHAnsi"/>
        </w:rPr>
        <w:t xml:space="preserve"> (or should)</w:t>
      </w:r>
      <w:r w:rsidRPr="00D70C21">
        <w:rPr>
          <w:rFonts w:cstheme="minorHAnsi"/>
        </w:rPr>
        <w:t xml:space="preserve"> an immoral man </w:t>
      </w:r>
      <w:proofErr w:type="gramStart"/>
      <w:r w:rsidRPr="00D70C21">
        <w:rPr>
          <w:rFonts w:cstheme="minorHAnsi"/>
        </w:rPr>
        <w:t>tell</w:t>
      </w:r>
      <w:proofErr w:type="gramEnd"/>
      <w:r w:rsidRPr="00D70C21">
        <w:rPr>
          <w:rFonts w:cstheme="minorHAnsi"/>
        </w:rPr>
        <w:t xml:space="preserve"> a moral tale?</w:t>
      </w:r>
      <w:r w:rsidR="00134E9E">
        <w:rPr>
          <w:rStyle w:val="FootnoteReference"/>
          <w:rFonts w:cstheme="minorHAnsi"/>
        </w:rPr>
        <w:footnoteReference w:id="25"/>
      </w:r>
      <w:r>
        <w:rPr>
          <w:rFonts w:cstheme="minorHAnsi"/>
        </w:rPr>
        <w:t xml:space="preserve"> </w:t>
      </w:r>
      <w:r w:rsidR="003D253E">
        <w:rPr>
          <w:rFonts w:cstheme="minorHAnsi"/>
        </w:rPr>
        <w:t>It is unclear whether the Pardoner can be viewed as anything other than the monster the audience perceives him as.</w:t>
      </w:r>
    </w:p>
    <w:p w14:paraId="44AD03B0" w14:textId="41995881" w:rsidR="0092455E" w:rsidRDefault="00DE4F5D">
      <w:pPr>
        <w:rPr>
          <w:rFonts w:cstheme="minorHAnsi"/>
        </w:rPr>
      </w:pPr>
      <w:r>
        <w:rPr>
          <w:rFonts w:cstheme="minorHAnsi"/>
        </w:rPr>
        <w:t>Chaucer also uses descriptions of characters’ appearances to convey certain aspects of their personality to the audience by playing on well known stereotypes of the time – for example the Wife of Bath is highly sexed due to her gapped teeth</w:t>
      </w:r>
      <w:r w:rsidR="00D63436">
        <w:rPr>
          <w:rFonts w:cstheme="minorHAnsi"/>
        </w:rPr>
        <w:t>. The Pardoner’s</w:t>
      </w:r>
      <w:r w:rsidR="0092455E">
        <w:rPr>
          <w:rFonts w:cstheme="minorHAnsi"/>
        </w:rPr>
        <w:t xml:space="preserve"> protruding eyes ‘suggest he is a glutton, a libertine, and full of shameless effrontery’</w:t>
      </w:r>
      <w:r w:rsidR="00CF5710">
        <w:rPr>
          <w:rStyle w:val="FootnoteReference"/>
          <w:rFonts w:cstheme="minorHAnsi"/>
        </w:rPr>
        <w:footnoteReference w:id="26"/>
      </w:r>
      <w:r w:rsidR="0092455E">
        <w:rPr>
          <w:rFonts w:cstheme="minorHAnsi"/>
        </w:rPr>
        <w:t xml:space="preserve"> while his lack of a beard implies ‘sexual vanity’</w:t>
      </w:r>
      <w:r w:rsidR="00CF5710">
        <w:rPr>
          <w:rStyle w:val="FootnoteReference"/>
          <w:rFonts w:cstheme="minorHAnsi"/>
        </w:rPr>
        <w:footnoteReference w:id="27"/>
      </w:r>
      <w:r w:rsidR="0062578B">
        <w:rPr>
          <w:rFonts w:cstheme="minorHAnsi"/>
        </w:rPr>
        <w:t>; t</w:t>
      </w:r>
      <w:r w:rsidR="0092455E">
        <w:rPr>
          <w:rFonts w:cstheme="minorHAnsi"/>
        </w:rPr>
        <w:t>his further reflects the Pardoner as a physical manifestation of the tavern sins</w:t>
      </w:r>
      <w:r w:rsidR="00CF5710">
        <w:rPr>
          <w:rFonts w:cstheme="minorHAnsi"/>
        </w:rPr>
        <w:t xml:space="preserve"> which he ironically preaches against.</w:t>
      </w:r>
      <w:r w:rsidR="0026406B">
        <w:rPr>
          <w:rFonts w:cstheme="minorHAnsi"/>
        </w:rPr>
        <w:t xml:space="preserve"> He reveals his avarice not only through his actions within the prologue but also his want for more is displayed through his appearance.</w:t>
      </w:r>
    </w:p>
    <w:p w14:paraId="3CB8A7A1" w14:textId="1EC57B1D" w:rsidR="00D96460" w:rsidRDefault="00EA4AFB">
      <w:pPr>
        <w:rPr>
          <w:rFonts w:cstheme="minorHAnsi"/>
        </w:rPr>
      </w:pPr>
      <w:r>
        <w:rPr>
          <w:rFonts w:cstheme="minorHAnsi"/>
        </w:rPr>
        <w:t>As for his motivations for committing these sins in the name of fulfilling his avarice</w:t>
      </w:r>
      <w:r w:rsidR="00685D18">
        <w:rPr>
          <w:rFonts w:cstheme="minorHAnsi"/>
        </w:rPr>
        <w:t xml:space="preserve">, it is difficult to truly say, as he is an incredibly complex character. Apart from the obvious of maintaining </w:t>
      </w:r>
      <w:r w:rsidR="00BC7E99">
        <w:rPr>
          <w:rFonts w:cstheme="minorHAnsi"/>
        </w:rPr>
        <w:t>his current indulgent lifestyle</w:t>
      </w:r>
      <w:r w:rsidR="000337D7">
        <w:rPr>
          <w:rFonts w:cstheme="minorHAnsi"/>
        </w:rPr>
        <w:t>, he is motivated to fulfil his material desire, which seems to control him almost to the point of obsession.</w:t>
      </w:r>
      <w:r w:rsidR="00D86513">
        <w:rPr>
          <w:rFonts w:cstheme="minorHAnsi"/>
        </w:rPr>
        <w:t xml:space="preserve"> He seems to thrive off the power he holds over people through his preaching</w:t>
      </w:r>
      <w:r w:rsidR="00910C85">
        <w:rPr>
          <w:rFonts w:cstheme="minorHAnsi"/>
        </w:rPr>
        <w:t>, and even his storytelling to the pilgrims seems this need for power in some way therefore</w:t>
      </w:r>
      <w:r w:rsidR="0054465D">
        <w:rPr>
          <w:rFonts w:cstheme="minorHAnsi"/>
        </w:rPr>
        <w:t xml:space="preserve"> fulfilling his avarice.</w:t>
      </w:r>
      <w:r w:rsidR="00605A40">
        <w:rPr>
          <w:rFonts w:cstheme="minorHAnsi"/>
        </w:rPr>
        <w:t xml:space="preserve"> </w:t>
      </w:r>
      <w:r w:rsidR="00C87CCB">
        <w:rPr>
          <w:rFonts w:cstheme="minorHAnsi"/>
        </w:rPr>
        <w:t xml:space="preserve">He is shown to be a disturbing individual of almost psychopathic nature, displayed by his </w:t>
      </w:r>
      <w:r w:rsidR="00D96460">
        <w:rPr>
          <w:rFonts w:cstheme="minorHAnsi"/>
        </w:rPr>
        <w:lastRenderedPageBreak/>
        <w:t>lack of care for other people, and in the ease with which he robs them, without any remorse.</w:t>
      </w:r>
      <w:r w:rsidR="0051302D">
        <w:rPr>
          <w:rFonts w:cstheme="minorHAnsi"/>
        </w:rPr>
        <w:t xml:space="preserve"> </w:t>
      </w:r>
      <w:r w:rsidR="0051302D" w:rsidRPr="0051302D">
        <w:rPr>
          <w:rFonts w:cstheme="minorHAnsi"/>
        </w:rPr>
        <w:t xml:space="preserve">He is incredibly self-aware, yet </w:t>
      </w:r>
      <w:r w:rsidR="0051302D">
        <w:rPr>
          <w:rFonts w:cstheme="minorHAnsi"/>
        </w:rPr>
        <w:t xml:space="preserve">seems to </w:t>
      </w:r>
      <w:r w:rsidR="0051302D" w:rsidRPr="0051302D">
        <w:rPr>
          <w:rFonts w:cstheme="minorHAnsi"/>
        </w:rPr>
        <w:t>ha</w:t>
      </w:r>
      <w:r w:rsidR="0051302D">
        <w:rPr>
          <w:rFonts w:cstheme="minorHAnsi"/>
        </w:rPr>
        <w:t>ve</w:t>
      </w:r>
      <w:r w:rsidR="0051302D" w:rsidRPr="0051302D">
        <w:rPr>
          <w:rFonts w:cstheme="minorHAnsi"/>
        </w:rPr>
        <w:t xml:space="preserve"> no grasp of ethics</w:t>
      </w:r>
      <w:r w:rsidR="0051302D">
        <w:rPr>
          <w:rFonts w:cstheme="minorHAnsi"/>
        </w:rPr>
        <w:t>,</w:t>
      </w:r>
      <w:r w:rsidR="0051302D" w:rsidRPr="0051302D">
        <w:rPr>
          <w:rFonts w:cstheme="minorHAnsi"/>
        </w:rPr>
        <w:t xml:space="preserve"> </w:t>
      </w:r>
      <w:r w:rsidR="0051302D">
        <w:rPr>
          <w:rFonts w:cstheme="minorHAnsi"/>
        </w:rPr>
        <w:t>nor displays any</w:t>
      </w:r>
      <w:r w:rsidR="0051302D" w:rsidRPr="0051302D">
        <w:rPr>
          <w:rFonts w:cstheme="minorHAnsi"/>
        </w:rPr>
        <w:t xml:space="preserve"> hatred of himself for </w:t>
      </w:r>
      <w:r w:rsidR="0051302D">
        <w:rPr>
          <w:rFonts w:cstheme="minorHAnsi"/>
        </w:rPr>
        <w:t>deceiving people</w:t>
      </w:r>
      <w:r w:rsidR="0051302D" w:rsidRPr="0051302D">
        <w:rPr>
          <w:rFonts w:cstheme="minorHAnsi"/>
        </w:rPr>
        <w:t>,</w:t>
      </w:r>
      <w:r w:rsidR="0051302D">
        <w:rPr>
          <w:rFonts w:cstheme="minorHAnsi"/>
        </w:rPr>
        <w:t xml:space="preserve"> and</w:t>
      </w:r>
      <w:r w:rsidR="0051302D" w:rsidRPr="0051302D">
        <w:rPr>
          <w:rFonts w:cstheme="minorHAnsi"/>
        </w:rPr>
        <w:t xml:space="preserve"> doesn’t feel a shred of regret or sorrow</w:t>
      </w:r>
      <w:r w:rsidR="0051302D">
        <w:rPr>
          <w:rFonts w:cstheme="minorHAnsi"/>
        </w:rPr>
        <w:t xml:space="preserve"> for his victims he has left starving. We do begin to question how such a person exists</w:t>
      </w:r>
      <w:r w:rsidR="004A21EA">
        <w:rPr>
          <w:rFonts w:cstheme="minorHAnsi"/>
        </w:rPr>
        <w:t>; it is unclear</w:t>
      </w:r>
      <w:r w:rsidR="0051302D">
        <w:rPr>
          <w:rFonts w:cstheme="minorHAnsi"/>
        </w:rPr>
        <w:t xml:space="preserve"> what event in his life </w:t>
      </w:r>
      <w:r w:rsidR="004A21EA">
        <w:rPr>
          <w:rFonts w:cstheme="minorHAnsi"/>
        </w:rPr>
        <w:t>would have</w:t>
      </w:r>
      <w:r w:rsidR="0051302D">
        <w:rPr>
          <w:rFonts w:cstheme="minorHAnsi"/>
        </w:rPr>
        <w:t xml:space="preserve"> formed his psyche in this way</w:t>
      </w:r>
      <w:r w:rsidR="004A21EA">
        <w:rPr>
          <w:rFonts w:cstheme="minorHAnsi"/>
        </w:rPr>
        <w:t xml:space="preserve">, as we have no knowledge of his character outside of the pilgrimage. </w:t>
      </w:r>
    </w:p>
    <w:p w14:paraId="1910CB93" w14:textId="77777777" w:rsidR="006D565F" w:rsidRDefault="006D565F">
      <w:pPr>
        <w:rPr>
          <w:rFonts w:cstheme="minorHAnsi"/>
        </w:rPr>
      </w:pPr>
    </w:p>
    <w:p w14:paraId="2C027BD2" w14:textId="7BE49D6A" w:rsidR="00336466" w:rsidRDefault="00336466" w:rsidP="00336466">
      <w:pPr>
        <w:pStyle w:val="Heading3"/>
        <w:rPr>
          <w:color w:val="auto"/>
        </w:rPr>
      </w:pPr>
      <w:r w:rsidRPr="00336466">
        <w:rPr>
          <w:color w:val="auto"/>
        </w:rPr>
        <w:t xml:space="preserve">Bibliography </w:t>
      </w:r>
    </w:p>
    <w:p w14:paraId="0C77F71A" w14:textId="77777777" w:rsidR="00FB1C59" w:rsidRPr="00FB1C59" w:rsidRDefault="00FB1C59" w:rsidP="00FB1C59"/>
    <w:p w14:paraId="6352DB16" w14:textId="28D9F829" w:rsidR="00760CC2" w:rsidRDefault="00760CC2" w:rsidP="00760CC2">
      <w:proofErr w:type="spellStart"/>
      <w:r>
        <w:t>Blamires</w:t>
      </w:r>
      <w:proofErr w:type="spellEnd"/>
      <w:r>
        <w:t xml:space="preserve">, Alcuin, </w:t>
      </w:r>
      <w:r w:rsidRPr="00760CC2">
        <w:rPr>
          <w:i/>
          <w:iCs/>
        </w:rPr>
        <w:t>Chaucer, Ethics and Gender</w:t>
      </w:r>
      <w:r>
        <w:t xml:space="preserve"> (Oxford University Press, 2006).</w:t>
      </w:r>
    </w:p>
    <w:p w14:paraId="6019F299" w14:textId="22EBB357" w:rsidR="009119CA" w:rsidRDefault="009119CA" w:rsidP="009119CA">
      <w:bookmarkStart w:id="2" w:name="_Hlk22322744"/>
      <w:r w:rsidRPr="0079358E">
        <w:t>Cooper,</w:t>
      </w:r>
      <w:r>
        <w:t xml:space="preserve"> Helen,</w:t>
      </w:r>
      <w:r w:rsidRPr="0079358E">
        <w:t xml:space="preserve"> </w:t>
      </w:r>
      <w:r w:rsidRPr="00760CC2">
        <w:rPr>
          <w:i/>
          <w:iCs/>
        </w:rPr>
        <w:t>The Canterbury Tales: Oxford Guides to Chaucer</w:t>
      </w:r>
      <w:r>
        <w:t>,</w:t>
      </w:r>
      <w:r w:rsidRPr="0079358E">
        <w:t xml:space="preserve"> 2nd </w:t>
      </w:r>
      <w:proofErr w:type="spellStart"/>
      <w:r w:rsidRPr="0079358E">
        <w:t>edn</w:t>
      </w:r>
      <w:proofErr w:type="spellEnd"/>
      <w:r w:rsidRPr="0079358E">
        <w:t xml:space="preserve"> (Oxford: Oxford University Press, 1996). </w:t>
      </w:r>
    </w:p>
    <w:bookmarkEnd w:id="2"/>
    <w:p w14:paraId="474BCE6C" w14:textId="66B51746" w:rsidR="0095448C" w:rsidRPr="009119CA" w:rsidRDefault="0095448C" w:rsidP="009119CA">
      <w:proofErr w:type="spellStart"/>
      <w:r>
        <w:t>Minnis</w:t>
      </w:r>
      <w:proofErr w:type="spellEnd"/>
      <w:r>
        <w:t xml:space="preserve">, A.J, </w:t>
      </w:r>
      <w:r w:rsidRPr="0095448C">
        <w:t>‘Chaucer’s Pardoner and the “Office of Preacher”’</w:t>
      </w:r>
      <w:r>
        <w:t xml:space="preserve"> in </w:t>
      </w:r>
      <w:r w:rsidRPr="00ED758E">
        <w:rPr>
          <w:i/>
          <w:iCs/>
        </w:rPr>
        <w:t>Intellectuals and Writers in Fourteenth-Century Europe</w:t>
      </w:r>
      <w:r>
        <w:t xml:space="preserve">, ed. by Piero </w:t>
      </w:r>
      <w:proofErr w:type="spellStart"/>
      <w:r>
        <w:t>Boitani</w:t>
      </w:r>
      <w:proofErr w:type="spellEnd"/>
      <w:r>
        <w:t xml:space="preserve"> and Anna </w:t>
      </w:r>
      <w:proofErr w:type="spellStart"/>
      <w:r>
        <w:t>Torti</w:t>
      </w:r>
      <w:proofErr w:type="spellEnd"/>
      <w:r>
        <w:t xml:space="preserve"> </w:t>
      </w:r>
      <w:r w:rsidRPr="00760CC2">
        <w:t>(Tübingen and Cambridge: Brewer, 1986)</w:t>
      </w:r>
      <w:r>
        <w:t>.</w:t>
      </w:r>
    </w:p>
    <w:p w14:paraId="78DD598F" w14:textId="590EB8AE" w:rsidR="00FB1C59" w:rsidRDefault="00747241" w:rsidP="00747241">
      <w:r>
        <w:t xml:space="preserve">Mosley, </w:t>
      </w:r>
      <w:r>
        <w:t xml:space="preserve">C.W.R.D, </w:t>
      </w:r>
      <w:r w:rsidRPr="00760CC2">
        <w:rPr>
          <w:i/>
          <w:iCs/>
        </w:rPr>
        <w:t>Geoffrey Chaucer</w:t>
      </w:r>
      <w:r w:rsidRPr="00760CC2">
        <w:rPr>
          <w:i/>
          <w:iCs/>
        </w:rPr>
        <w:t>:</w:t>
      </w:r>
      <w:r w:rsidRPr="00760CC2">
        <w:rPr>
          <w:i/>
          <w:iCs/>
        </w:rPr>
        <w:t xml:space="preserve"> The Pardoner's Tale</w:t>
      </w:r>
      <w:r>
        <w:t xml:space="preserve"> (Penguin Books, 1987).</w:t>
      </w:r>
    </w:p>
    <w:p w14:paraId="68D546EC" w14:textId="162BFA44" w:rsidR="00EA331C" w:rsidRDefault="00FB1C59" w:rsidP="00EA331C">
      <w:bookmarkStart w:id="3" w:name="_Hlk22323364"/>
      <w:r>
        <w:t xml:space="preserve">Spearing, A.C, </w:t>
      </w:r>
      <w:r w:rsidR="00EA331C">
        <w:t>‘</w:t>
      </w:r>
      <w:r w:rsidRPr="00EA331C">
        <w:t>The Canterbury Tales IV: Exemplum and Fable</w:t>
      </w:r>
      <w:r w:rsidR="00EA331C">
        <w:t>’</w:t>
      </w:r>
      <w:r w:rsidR="00EA331C">
        <w:rPr>
          <w:i/>
          <w:iCs/>
        </w:rPr>
        <w:t xml:space="preserve"> </w:t>
      </w:r>
      <w:r w:rsidR="00EA331C">
        <w:t xml:space="preserve">in </w:t>
      </w:r>
      <w:r w:rsidR="00EA331C" w:rsidRPr="00EA331C">
        <w:rPr>
          <w:i/>
          <w:iCs/>
        </w:rPr>
        <w:t>The Cambridge Chaucer Companion</w:t>
      </w:r>
      <w:r w:rsidR="00EA331C" w:rsidRPr="00FB1C59">
        <w:t>, ed</w:t>
      </w:r>
      <w:r w:rsidR="00EA331C">
        <w:t xml:space="preserve">. </w:t>
      </w:r>
      <w:r w:rsidR="00EA331C" w:rsidRPr="00FB1C59">
        <w:t xml:space="preserve">by Piero </w:t>
      </w:r>
      <w:proofErr w:type="spellStart"/>
      <w:r w:rsidR="00EA331C" w:rsidRPr="00FB1C59">
        <w:t>Boitani</w:t>
      </w:r>
      <w:proofErr w:type="spellEnd"/>
      <w:r w:rsidR="00EA331C" w:rsidRPr="00FB1C59">
        <w:t xml:space="preserve"> and Jill Mann</w:t>
      </w:r>
      <w:r w:rsidR="00EA331C">
        <w:t xml:space="preserve"> (Cambridge University Press, 1988).</w:t>
      </w:r>
    </w:p>
    <w:bookmarkEnd w:id="3"/>
    <w:p w14:paraId="14FCBE1A" w14:textId="7ED80EC5" w:rsidR="00DF4C72" w:rsidRPr="00DF4C72" w:rsidRDefault="00DF4C72" w:rsidP="00747241">
      <w:r>
        <w:t xml:space="preserve">‘The Pardoner’s Prologue’ in </w:t>
      </w:r>
      <w:r w:rsidRPr="00DF4C72">
        <w:rPr>
          <w:i/>
          <w:iCs/>
        </w:rPr>
        <w:t>The Riverside Chaucer</w:t>
      </w:r>
      <w:r>
        <w:t xml:space="preserve">, </w:t>
      </w:r>
      <w:r w:rsidR="009A258E">
        <w:t xml:space="preserve">ed. by Larry D. Benson and F. N. Robinson, </w:t>
      </w:r>
      <w:r w:rsidRPr="009A258E">
        <w:t xml:space="preserve">3rd </w:t>
      </w:r>
      <w:proofErr w:type="spellStart"/>
      <w:r w:rsidRPr="009A258E">
        <w:t>e</w:t>
      </w:r>
      <w:r>
        <w:t>dn</w:t>
      </w:r>
      <w:proofErr w:type="spellEnd"/>
      <w:r w:rsidR="009A258E">
        <w:t xml:space="preserve"> (Oxford University Press, 2008).</w:t>
      </w:r>
    </w:p>
    <w:sectPr w:rsidR="00DF4C72" w:rsidRPr="00DF4C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495A7D" w14:textId="77777777" w:rsidR="00554CDB" w:rsidRDefault="00554CDB" w:rsidP="00A32B83">
      <w:pPr>
        <w:spacing w:after="0" w:line="240" w:lineRule="auto"/>
      </w:pPr>
      <w:r>
        <w:separator/>
      </w:r>
    </w:p>
  </w:endnote>
  <w:endnote w:type="continuationSeparator" w:id="0">
    <w:p w14:paraId="7EE27D7D" w14:textId="77777777" w:rsidR="00554CDB" w:rsidRDefault="00554CDB" w:rsidP="00A32B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B863C4" w14:textId="77777777" w:rsidR="00554CDB" w:rsidRDefault="00554CDB" w:rsidP="00A32B83">
      <w:pPr>
        <w:spacing w:after="0" w:line="240" w:lineRule="auto"/>
      </w:pPr>
      <w:r>
        <w:separator/>
      </w:r>
    </w:p>
  </w:footnote>
  <w:footnote w:type="continuationSeparator" w:id="0">
    <w:p w14:paraId="4633AD9E" w14:textId="77777777" w:rsidR="00554CDB" w:rsidRDefault="00554CDB" w:rsidP="00A32B83">
      <w:pPr>
        <w:spacing w:after="0" w:line="240" w:lineRule="auto"/>
      </w:pPr>
      <w:r>
        <w:continuationSeparator/>
      </w:r>
    </w:p>
  </w:footnote>
  <w:footnote w:id="1">
    <w:p w14:paraId="5F2EB07C" w14:textId="1EB78B74" w:rsidR="00FE19B4" w:rsidRDefault="00600D18">
      <w:pPr>
        <w:pStyle w:val="FootnoteText"/>
      </w:pPr>
      <w:r>
        <w:rPr>
          <w:rStyle w:val="FootnoteReference"/>
        </w:rPr>
        <w:footnoteRef/>
      </w:r>
      <w:r>
        <w:t xml:space="preserve"> </w:t>
      </w:r>
      <w:r w:rsidR="001A4371">
        <w:t xml:space="preserve">C.W.R.D. Moseley, </w:t>
      </w:r>
      <w:r w:rsidR="001A4371" w:rsidRPr="00964FFB">
        <w:rPr>
          <w:i/>
          <w:iCs/>
        </w:rPr>
        <w:t>Geoffrey Chaucer</w:t>
      </w:r>
      <w:r w:rsidR="00964FFB">
        <w:rPr>
          <w:i/>
          <w:iCs/>
        </w:rPr>
        <w:t>: T</w:t>
      </w:r>
      <w:r w:rsidR="001A4371" w:rsidRPr="00964FFB">
        <w:rPr>
          <w:i/>
          <w:iCs/>
        </w:rPr>
        <w:t xml:space="preserve">he </w:t>
      </w:r>
      <w:r w:rsidR="001A4371" w:rsidRPr="00964FFB">
        <w:rPr>
          <w:i/>
          <w:iCs/>
        </w:rPr>
        <w:t>P</w:t>
      </w:r>
      <w:r w:rsidR="001A4371" w:rsidRPr="00964FFB">
        <w:rPr>
          <w:i/>
          <w:iCs/>
        </w:rPr>
        <w:t>ardoner</w:t>
      </w:r>
      <w:r w:rsidR="00DA3541">
        <w:rPr>
          <w:i/>
          <w:iCs/>
        </w:rPr>
        <w:t>’</w:t>
      </w:r>
      <w:r w:rsidR="001A4371" w:rsidRPr="00964FFB">
        <w:rPr>
          <w:i/>
          <w:iCs/>
        </w:rPr>
        <w:t xml:space="preserve">s </w:t>
      </w:r>
      <w:r w:rsidR="001A4371" w:rsidRPr="00964FFB">
        <w:rPr>
          <w:i/>
          <w:iCs/>
        </w:rPr>
        <w:t>T</w:t>
      </w:r>
      <w:r w:rsidR="001A4371" w:rsidRPr="00964FFB">
        <w:rPr>
          <w:i/>
          <w:iCs/>
        </w:rPr>
        <w:t>ale</w:t>
      </w:r>
      <w:r w:rsidR="00964FFB">
        <w:t xml:space="preserve">, </w:t>
      </w:r>
      <w:r w:rsidR="00964FFB">
        <w:t>(Penguin Books, 1987</w:t>
      </w:r>
      <w:r w:rsidR="00964FFB">
        <w:t>)</w:t>
      </w:r>
      <w:r>
        <w:t>, p.11.</w:t>
      </w:r>
    </w:p>
  </w:footnote>
  <w:footnote w:id="2">
    <w:p w14:paraId="7DD30E8F" w14:textId="51B14D09" w:rsidR="00FF6394" w:rsidRDefault="003D3CA8">
      <w:pPr>
        <w:pStyle w:val="FootnoteText"/>
      </w:pPr>
      <w:r>
        <w:rPr>
          <w:rStyle w:val="FootnoteReference"/>
        </w:rPr>
        <w:footnoteRef/>
      </w:r>
      <w:r>
        <w:t xml:space="preserve"> </w:t>
      </w:r>
      <w:r w:rsidR="00DA3541">
        <w:t xml:space="preserve">C.W.R.D. Moseley, </w:t>
      </w:r>
      <w:r w:rsidR="00DA3541">
        <w:rPr>
          <w:i/>
          <w:iCs/>
        </w:rPr>
        <w:t>The Pardoner’s Tale</w:t>
      </w:r>
      <w:r w:rsidR="00DA3541">
        <w:t>, p.11.</w:t>
      </w:r>
    </w:p>
  </w:footnote>
  <w:footnote w:id="3">
    <w:p w14:paraId="686D1C18" w14:textId="7FE8F42B" w:rsidR="005B764D" w:rsidRDefault="005B764D">
      <w:pPr>
        <w:pStyle w:val="FootnoteText"/>
      </w:pPr>
      <w:r>
        <w:rPr>
          <w:rStyle w:val="FootnoteReference"/>
        </w:rPr>
        <w:footnoteRef/>
      </w:r>
      <w:r>
        <w:t xml:space="preserve"> </w:t>
      </w:r>
      <w:r w:rsidR="00FF6394">
        <w:t>Helen Cooper</w:t>
      </w:r>
      <w:r w:rsidR="00FF6394" w:rsidRPr="00FF6394">
        <w:t xml:space="preserve">, </w:t>
      </w:r>
      <w:r w:rsidR="00FF6394" w:rsidRPr="00FF6394">
        <w:rPr>
          <w:i/>
          <w:iCs/>
        </w:rPr>
        <w:t>The Canterbury Tales: Oxford Guides to Chaucer</w:t>
      </w:r>
      <w:r w:rsidR="00FF6394" w:rsidRPr="00FF6394">
        <w:t xml:space="preserve">, 2nd </w:t>
      </w:r>
      <w:proofErr w:type="spellStart"/>
      <w:r w:rsidR="00FF6394" w:rsidRPr="00FF6394">
        <w:t>edn</w:t>
      </w:r>
      <w:proofErr w:type="spellEnd"/>
      <w:r w:rsidR="00FF6394" w:rsidRPr="00FF6394">
        <w:t xml:space="preserve"> (Oxford: Oxford University Press, 1996)</w:t>
      </w:r>
      <w:r w:rsidR="00FF6394">
        <w:t>, p.260.</w:t>
      </w:r>
    </w:p>
  </w:footnote>
  <w:footnote w:id="4">
    <w:p w14:paraId="3CDBA873" w14:textId="4F90BC29" w:rsidR="00D43688" w:rsidRDefault="00D43688">
      <w:pPr>
        <w:pStyle w:val="FootnoteText"/>
      </w:pPr>
      <w:r>
        <w:rPr>
          <w:rStyle w:val="FootnoteReference"/>
        </w:rPr>
        <w:footnoteRef/>
      </w:r>
      <w:r>
        <w:t xml:space="preserve"> </w:t>
      </w:r>
      <w:r w:rsidR="00DA3541">
        <w:t xml:space="preserve">C.W.R.D. Moseley, </w:t>
      </w:r>
      <w:r w:rsidR="00DA3541">
        <w:rPr>
          <w:i/>
          <w:iCs/>
        </w:rPr>
        <w:t>The Pardoner’s Tale</w:t>
      </w:r>
      <w:r w:rsidR="00DA3541">
        <w:t xml:space="preserve">, </w:t>
      </w:r>
      <w:r w:rsidRPr="00D43688">
        <w:t>p.</w:t>
      </w:r>
      <w:r>
        <w:t>33</w:t>
      </w:r>
      <w:r w:rsidRPr="00D43688">
        <w:t>.</w:t>
      </w:r>
    </w:p>
  </w:footnote>
  <w:footnote w:id="5">
    <w:p w14:paraId="51DA148D" w14:textId="57363775" w:rsidR="00FD3A8E" w:rsidRDefault="00FD3A8E">
      <w:pPr>
        <w:pStyle w:val="FootnoteText"/>
      </w:pPr>
      <w:r>
        <w:rPr>
          <w:rStyle w:val="FootnoteReference"/>
        </w:rPr>
        <w:footnoteRef/>
      </w:r>
      <w:r>
        <w:t xml:space="preserve"> </w:t>
      </w:r>
      <w:r w:rsidR="00DA3541">
        <w:t xml:space="preserve">C.W.R.D. Moseley, </w:t>
      </w:r>
      <w:r w:rsidR="00DA3541">
        <w:rPr>
          <w:i/>
          <w:iCs/>
        </w:rPr>
        <w:t>The Pardoner’s Tale</w:t>
      </w:r>
      <w:r w:rsidR="00DA3541">
        <w:t xml:space="preserve">, </w:t>
      </w:r>
      <w:r w:rsidRPr="00FD3A8E">
        <w:t>p.</w:t>
      </w:r>
      <w:r>
        <w:t>33</w:t>
      </w:r>
      <w:r w:rsidRPr="00FD3A8E">
        <w:t>.</w:t>
      </w:r>
    </w:p>
  </w:footnote>
  <w:footnote w:id="6">
    <w:p w14:paraId="365337B8" w14:textId="7FB1526C" w:rsidR="00F16475" w:rsidRDefault="00F16475">
      <w:pPr>
        <w:pStyle w:val="FootnoteText"/>
      </w:pPr>
      <w:r>
        <w:rPr>
          <w:rStyle w:val="FootnoteReference"/>
        </w:rPr>
        <w:footnoteRef/>
      </w:r>
      <w:r w:rsidR="00626165">
        <w:t xml:space="preserve"> </w:t>
      </w:r>
      <w:r w:rsidR="00DA3541">
        <w:t xml:space="preserve">C.W.R.D. Moseley, </w:t>
      </w:r>
      <w:r w:rsidR="00DA3541">
        <w:rPr>
          <w:i/>
          <w:iCs/>
        </w:rPr>
        <w:t>The Pardoner’s Tale</w:t>
      </w:r>
      <w:r w:rsidRPr="00F16475">
        <w:t>, p.</w:t>
      </w:r>
      <w:r>
        <w:t>33.</w:t>
      </w:r>
      <w:bookmarkStart w:id="0" w:name="_GoBack"/>
      <w:bookmarkEnd w:id="0"/>
    </w:p>
  </w:footnote>
  <w:footnote w:id="7">
    <w:p w14:paraId="318D6729" w14:textId="50B3E44E" w:rsidR="00D36C31" w:rsidRDefault="00D36C31">
      <w:pPr>
        <w:pStyle w:val="FootnoteText"/>
      </w:pPr>
      <w:r>
        <w:rPr>
          <w:rStyle w:val="FootnoteReference"/>
        </w:rPr>
        <w:footnoteRef/>
      </w:r>
      <w:r w:rsidR="00626165">
        <w:t xml:space="preserve"> </w:t>
      </w:r>
      <w:r w:rsidR="00DA3541">
        <w:t xml:space="preserve">C.W.R.D. Moseley, </w:t>
      </w:r>
      <w:r w:rsidR="00DA3541">
        <w:rPr>
          <w:i/>
          <w:iCs/>
        </w:rPr>
        <w:t>The Pardoner’s Tale</w:t>
      </w:r>
      <w:r w:rsidR="00DA3541">
        <w:t xml:space="preserve">, </w:t>
      </w:r>
      <w:r w:rsidRPr="00D36C31">
        <w:t>p.11.</w:t>
      </w:r>
    </w:p>
  </w:footnote>
  <w:footnote w:id="8">
    <w:p w14:paraId="18BB5727" w14:textId="15F88A86" w:rsidR="00D36C31" w:rsidRDefault="00D36C31">
      <w:pPr>
        <w:pStyle w:val="FootnoteText"/>
      </w:pPr>
      <w:r>
        <w:rPr>
          <w:rStyle w:val="FootnoteReference"/>
        </w:rPr>
        <w:footnoteRef/>
      </w:r>
      <w:r>
        <w:t xml:space="preserve"> </w:t>
      </w:r>
      <w:r w:rsidR="00DA3541">
        <w:t xml:space="preserve">C.W.R.D. Moseley, </w:t>
      </w:r>
      <w:r w:rsidR="00DA3541">
        <w:rPr>
          <w:i/>
          <w:iCs/>
        </w:rPr>
        <w:t>The Pardoner’s Tale</w:t>
      </w:r>
      <w:r w:rsidR="00DA3541">
        <w:t>,</w:t>
      </w:r>
      <w:r w:rsidR="00DA3541">
        <w:t xml:space="preserve"> </w:t>
      </w:r>
      <w:r w:rsidRPr="00D36C31">
        <w:t>p.11.</w:t>
      </w:r>
    </w:p>
  </w:footnote>
  <w:footnote w:id="9">
    <w:p w14:paraId="660B430A" w14:textId="06A92BC1" w:rsidR="00D36C31" w:rsidRDefault="00D36C31">
      <w:pPr>
        <w:pStyle w:val="FootnoteText"/>
      </w:pPr>
      <w:r>
        <w:rPr>
          <w:rStyle w:val="FootnoteReference"/>
        </w:rPr>
        <w:footnoteRef/>
      </w:r>
      <w:r w:rsidR="00DA3541">
        <w:t xml:space="preserve"> </w:t>
      </w:r>
      <w:r w:rsidR="00DA3541">
        <w:t xml:space="preserve">C.W.R.D. Moseley, </w:t>
      </w:r>
      <w:r w:rsidR="00DA3541">
        <w:rPr>
          <w:i/>
          <w:iCs/>
        </w:rPr>
        <w:t>The Pardoner’s Tale</w:t>
      </w:r>
      <w:r w:rsidR="00DA3541">
        <w:t>, p.11.</w:t>
      </w:r>
    </w:p>
  </w:footnote>
  <w:footnote w:id="10">
    <w:p w14:paraId="48F83C4F" w14:textId="3A26CA2B" w:rsidR="004C6E5C" w:rsidRPr="004C6E5C" w:rsidRDefault="00433D75" w:rsidP="004C6E5C">
      <w:pPr>
        <w:pStyle w:val="FootnoteText"/>
      </w:pPr>
      <w:r>
        <w:rPr>
          <w:rStyle w:val="FootnoteReference"/>
        </w:rPr>
        <w:footnoteRef/>
      </w:r>
      <w:r>
        <w:t xml:space="preserve"> </w:t>
      </w:r>
      <w:r w:rsidR="004C6E5C" w:rsidRPr="004C6E5C">
        <w:t xml:space="preserve">‘The Pardoner’s Prologue’ in </w:t>
      </w:r>
      <w:r w:rsidR="004C6E5C" w:rsidRPr="004C6E5C">
        <w:rPr>
          <w:i/>
          <w:iCs/>
        </w:rPr>
        <w:t>The Riverside Chaucer</w:t>
      </w:r>
      <w:r w:rsidR="004C6E5C" w:rsidRPr="004C6E5C">
        <w:t xml:space="preserve">, ed. by Larry D. Benson and F. N. Robinson, 3rd </w:t>
      </w:r>
      <w:proofErr w:type="spellStart"/>
      <w:r w:rsidR="004C6E5C" w:rsidRPr="004C6E5C">
        <w:t>edn</w:t>
      </w:r>
      <w:proofErr w:type="spellEnd"/>
      <w:r w:rsidR="004C6E5C" w:rsidRPr="004C6E5C">
        <w:t xml:space="preserve"> (Oxford University Press, 2008)</w:t>
      </w:r>
      <w:r w:rsidR="004C6E5C">
        <w:t>, p.195.</w:t>
      </w:r>
    </w:p>
    <w:p w14:paraId="5917C899" w14:textId="4E688366" w:rsidR="00433D75" w:rsidRDefault="00433D75">
      <w:pPr>
        <w:pStyle w:val="FootnoteText"/>
      </w:pPr>
    </w:p>
  </w:footnote>
  <w:footnote w:id="11">
    <w:p w14:paraId="007779FD" w14:textId="1583CAA9" w:rsidR="00212D77" w:rsidRDefault="00212D77">
      <w:pPr>
        <w:pStyle w:val="FootnoteText"/>
      </w:pPr>
      <w:r>
        <w:rPr>
          <w:rStyle w:val="FootnoteReference"/>
        </w:rPr>
        <w:footnoteRef/>
      </w:r>
      <w:r>
        <w:t xml:space="preserve"> </w:t>
      </w:r>
      <w:r w:rsidR="00646C0B">
        <w:t xml:space="preserve">C.W.R.D. Moseley, </w:t>
      </w:r>
      <w:r w:rsidR="00646C0B">
        <w:rPr>
          <w:i/>
          <w:iCs/>
        </w:rPr>
        <w:t>The Pardoner’s Tale</w:t>
      </w:r>
      <w:r w:rsidR="00646C0B">
        <w:t>, p</w:t>
      </w:r>
      <w:r w:rsidRPr="00212D77">
        <w:t>.</w:t>
      </w:r>
      <w:r>
        <w:t>40.</w:t>
      </w:r>
    </w:p>
  </w:footnote>
  <w:footnote w:id="12">
    <w:p w14:paraId="62C8B942" w14:textId="762C3070" w:rsidR="007E72F5" w:rsidRDefault="00077450">
      <w:pPr>
        <w:pStyle w:val="FootnoteText"/>
      </w:pPr>
      <w:r>
        <w:rPr>
          <w:rStyle w:val="FootnoteReference"/>
        </w:rPr>
        <w:footnoteRef/>
      </w:r>
      <w:r w:rsidR="00626165">
        <w:t xml:space="preserve"> </w:t>
      </w:r>
      <w:r w:rsidR="00646C0B">
        <w:t xml:space="preserve">C.W.R.D. Moseley, </w:t>
      </w:r>
      <w:r w:rsidR="00646C0B">
        <w:rPr>
          <w:i/>
          <w:iCs/>
        </w:rPr>
        <w:t>The Pardoner’s Tale</w:t>
      </w:r>
      <w:r w:rsidR="00646C0B">
        <w:t xml:space="preserve">, </w:t>
      </w:r>
      <w:r w:rsidRPr="00077450">
        <w:t>p.</w:t>
      </w:r>
      <w:r>
        <w:t>39.</w:t>
      </w:r>
    </w:p>
  </w:footnote>
  <w:footnote w:id="13">
    <w:p w14:paraId="1CA56554" w14:textId="79C42E2B" w:rsidR="002627FD" w:rsidRDefault="002627FD">
      <w:pPr>
        <w:pStyle w:val="FootnoteText"/>
      </w:pPr>
      <w:r>
        <w:rPr>
          <w:rStyle w:val="FootnoteReference"/>
        </w:rPr>
        <w:footnoteRef/>
      </w:r>
      <w:r>
        <w:t xml:space="preserve"> </w:t>
      </w:r>
      <w:r w:rsidR="007E72F5" w:rsidRPr="007E72F5">
        <w:t xml:space="preserve">A. J. </w:t>
      </w:r>
      <w:proofErr w:type="spellStart"/>
      <w:r w:rsidR="007E72F5" w:rsidRPr="007E72F5">
        <w:t>Minnis</w:t>
      </w:r>
      <w:proofErr w:type="spellEnd"/>
      <w:r w:rsidR="007E72F5" w:rsidRPr="007E72F5">
        <w:t>,</w:t>
      </w:r>
      <w:r w:rsidR="007E72F5" w:rsidRPr="00C0074D">
        <w:t xml:space="preserve"> ‘Chaucer’s Pardoner and the “Office of Preacher”’ in </w:t>
      </w:r>
      <w:r w:rsidR="007E72F5" w:rsidRPr="00C0074D">
        <w:rPr>
          <w:i/>
          <w:iCs/>
        </w:rPr>
        <w:t>Intellectuals and Writers in Fourteenth-Century Europe</w:t>
      </w:r>
      <w:r w:rsidR="007E72F5" w:rsidRPr="00C0074D">
        <w:t xml:space="preserve">, ed. by Piero </w:t>
      </w:r>
      <w:proofErr w:type="spellStart"/>
      <w:r w:rsidR="007E72F5" w:rsidRPr="00C0074D">
        <w:t>Boitani</w:t>
      </w:r>
      <w:proofErr w:type="spellEnd"/>
      <w:r w:rsidR="007E72F5" w:rsidRPr="00C0074D">
        <w:t xml:space="preserve"> and Anna </w:t>
      </w:r>
      <w:proofErr w:type="spellStart"/>
      <w:r w:rsidR="007E72F5" w:rsidRPr="00C0074D">
        <w:t>Torti</w:t>
      </w:r>
      <w:proofErr w:type="spellEnd"/>
      <w:r w:rsidR="007E72F5" w:rsidRPr="00C0074D">
        <w:t xml:space="preserve"> (Tübingen and Cambridge: Brewer, 1986)</w:t>
      </w:r>
      <w:r w:rsidR="007E72F5" w:rsidRPr="007E72F5">
        <w:t>, p.101.</w:t>
      </w:r>
    </w:p>
  </w:footnote>
  <w:footnote w:id="14">
    <w:p w14:paraId="4F560859" w14:textId="781271B8" w:rsidR="001F74AB" w:rsidRDefault="001F74AB" w:rsidP="001F74AB">
      <w:pPr>
        <w:pStyle w:val="FootnoteText"/>
      </w:pPr>
      <w:r>
        <w:rPr>
          <w:rStyle w:val="FootnoteReference"/>
        </w:rPr>
        <w:footnoteRef/>
      </w:r>
      <w:r>
        <w:t xml:space="preserve"> </w:t>
      </w:r>
      <w:r w:rsidR="007E72F5" w:rsidRPr="007E72F5">
        <w:t xml:space="preserve">A. J. </w:t>
      </w:r>
      <w:proofErr w:type="spellStart"/>
      <w:r w:rsidR="007E72F5" w:rsidRPr="007E72F5">
        <w:t>Minnis</w:t>
      </w:r>
      <w:proofErr w:type="spellEnd"/>
      <w:r w:rsidR="007E72F5" w:rsidRPr="007E72F5">
        <w:t>,</w:t>
      </w:r>
      <w:r w:rsidR="007E72F5" w:rsidRPr="00C0074D">
        <w:t xml:space="preserve"> </w:t>
      </w:r>
      <w:r w:rsidR="007E72F5" w:rsidRPr="00C0074D">
        <w:rPr>
          <w:i/>
          <w:iCs/>
        </w:rPr>
        <w:t>Intellectuals and Writers in Fourteenth-Century Europe</w:t>
      </w:r>
      <w:r w:rsidR="007E72F5">
        <w:rPr>
          <w:i/>
          <w:iCs/>
        </w:rPr>
        <w:t>,</w:t>
      </w:r>
      <w:r w:rsidR="007E72F5">
        <w:t xml:space="preserve"> </w:t>
      </w:r>
      <w:r>
        <w:t>p.101.</w:t>
      </w:r>
    </w:p>
  </w:footnote>
  <w:footnote w:id="15">
    <w:p w14:paraId="028CDA91" w14:textId="1BEE4A94" w:rsidR="001F74AB" w:rsidRDefault="001F74AB" w:rsidP="001F74AB">
      <w:pPr>
        <w:pStyle w:val="FootnoteText"/>
      </w:pPr>
      <w:r>
        <w:rPr>
          <w:rStyle w:val="FootnoteReference"/>
        </w:rPr>
        <w:footnoteRef/>
      </w:r>
      <w:r>
        <w:t xml:space="preserve"> </w:t>
      </w:r>
      <w:r w:rsidR="007E72F5" w:rsidRPr="007E72F5">
        <w:t xml:space="preserve">A. J. </w:t>
      </w:r>
      <w:proofErr w:type="spellStart"/>
      <w:r w:rsidR="007E72F5" w:rsidRPr="007E72F5">
        <w:t>Minnis</w:t>
      </w:r>
      <w:proofErr w:type="spellEnd"/>
      <w:r w:rsidR="007E72F5" w:rsidRPr="007E72F5">
        <w:t>,</w:t>
      </w:r>
      <w:r w:rsidR="007E72F5" w:rsidRPr="00C0074D">
        <w:t xml:space="preserve"> </w:t>
      </w:r>
      <w:r w:rsidR="007E72F5" w:rsidRPr="00C0074D">
        <w:rPr>
          <w:i/>
          <w:iCs/>
        </w:rPr>
        <w:t>Intellectuals and Writers in Fourteenth-Century Europe</w:t>
      </w:r>
      <w:r w:rsidR="007E72F5">
        <w:rPr>
          <w:i/>
          <w:iCs/>
        </w:rPr>
        <w:t>,</w:t>
      </w:r>
      <w:r w:rsidR="007E72F5">
        <w:t xml:space="preserve"> </w:t>
      </w:r>
      <w:r>
        <w:t>p.10</w:t>
      </w:r>
      <w:r>
        <w:t>0</w:t>
      </w:r>
      <w:r>
        <w:t>.</w:t>
      </w:r>
    </w:p>
  </w:footnote>
  <w:footnote w:id="16">
    <w:p w14:paraId="301A4E47" w14:textId="465BADCC" w:rsidR="00773DFB" w:rsidRDefault="00773DFB" w:rsidP="00773DFB">
      <w:pPr>
        <w:pStyle w:val="FootnoteText"/>
      </w:pPr>
      <w:r>
        <w:rPr>
          <w:rStyle w:val="FootnoteReference"/>
        </w:rPr>
        <w:footnoteRef/>
      </w:r>
      <w:r>
        <w:t xml:space="preserve"> </w:t>
      </w:r>
      <w:r w:rsidR="00626165">
        <w:t xml:space="preserve">C.W.R.D. Moseley, </w:t>
      </w:r>
      <w:r w:rsidR="00626165">
        <w:rPr>
          <w:i/>
          <w:iCs/>
        </w:rPr>
        <w:t>The Pardoner’s Tale</w:t>
      </w:r>
      <w:r w:rsidR="00626165">
        <w:t xml:space="preserve">, </w:t>
      </w:r>
      <w:r w:rsidRPr="00A8247F">
        <w:t>p.</w:t>
      </w:r>
      <w:r>
        <w:t>32.</w:t>
      </w:r>
    </w:p>
  </w:footnote>
  <w:footnote w:id="17">
    <w:p w14:paraId="40E0360D" w14:textId="25209A98" w:rsidR="00D7497E" w:rsidRDefault="00D7497E" w:rsidP="00D7497E">
      <w:pPr>
        <w:pStyle w:val="FootnoteText"/>
      </w:pPr>
      <w:r>
        <w:rPr>
          <w:rStyle w:val="FootnoteReference"/>
        </w:rPr>
        <w:footnoteRef/>
      </w:r>
      <w:r>
        <w:t xml:space="preserve"> </w:t>
      </w:r>
      <w:r w:rsidR="007E72F5" w:rsidRPr="007E72F5">
        <w:t xml:space="preserve">A. J. </w:t>
      </w:r>
      <w:proofErr w:type="spellStart"/>
      <w:r w:rsidR="007E72F5" w:rsidRPr="007E72F5">
        <w:t>Minnis</w:t>
      </w:r>
      <w:proofErr w:type="spellEnd"/>
      <w:r w:rsidR="007E72F5" w:rsidRPr="007E72F5">
        <w:t>,</w:t>
      </w:r>
      <w:r w:rsidR="007E72F5" w:rsidRPr="00C0074D">
        <w:t xml:space="preserve"> </w:t>
      </w:r>
      <w:r w:rsidR="007E72F5" w:rsidRPr="00C0074D">
        <w:rPr>
          <w:i/>
          <w:iCs/>
        </w:rPr>
        <w:t>Intellectuals and Writers in Fourteenth-Century Europe</w:t>
      </w:r>
      <w:r w:rsidR="007E72F5">
        <w:rPr>
          <w:i/>
          <w:iCs/>
        </w:rPr>
        <w:t>,</w:t>
      </w:r>
      <w:r w:rsidR="007E72F5">
        <w:t xml:space="preserve"> </w:t>
      </w:r>
      <w:r>
        <w:t>p.88.</w:t>
      </w:r>
    </w:p>
  </w:footnote>
  <w:footnote w:id="18">
    <w:p w14:paraId="29008A30" w14:textId="6CA65408" w:rsidR="00027615" w:rsidRDefault="00027615">
      <w:pPr>
        <w:pStyle w:val="FootnoteText"/>
      </w:pPr>
      <w:r>
        <w:rPr>
          <w:rStyle w:val="FootnoteReference"/>
        </w:rPr>
        <w:footnoteRef/>
      </w:r>
      <w:r>
        <w:t xml:space="preserve"> </w:t>
      </w:r>
      <w:r w:rsidR="00137309" w:rsidRPr="00137309">
        <w:t>Spearing, A.C, ‘The Canterbury Tales IV: Exemplum and Fable’</w:t>
      </w:r>
      <w:r w:rsidR="00137309" w:rsidRPr="00137309">
        <w:rPr>
          <w:i/>
          <w:iCs/>
        </w:rPr>
        <w:t xml:space="preserve"> </w:t>
      </w:r>
      <w:r w:rsidR="00137309" w:rsidRPr="00137309">
        <w:t xml:space="preserve">in </w:t>
      </w:r>
      <w:r w:rsidR="00137309" w:rsidRPr="00137309">
        <w:rPr>
          <w:i/>
          <w:iCs/>
        </w:rPr>
        <w:t>The Cambridge Chaucer Companion</w:t>
      </w:r>
      <w:r w:rsidR="00137309" w:rsidRPr="00137309">
        <w:t xml:space="preserve">, ed. by Piero </w:t>
      </w:r>
      <w:proofErr w:type="spellStart"/>
      <w:r w:rsidR="00137309" w:rsidRPr="00137309">
        <w:t>Boitani</w:t>
      </w:r>
      <w:proofErr w:type="spellEnd"/>
      <w:r w:rsidR="00137309" w:rsidRPr="00137309">
        <w:t xml:space="preserve"> and Jill Mann (Cambridge University Press, 1988)</w:t>
      </w:r>
      <w:r w:rsidR="00137309">
        <w:t xml:space="preserve">, </w:t>
      </w:r>
      <w:r>
        <w:t>p.168.</w:t>
      </w:r>
    </w:p>
  </w:footnote>
  <w:footnote w:id="19">
    <w:p w14:paraId="2543BBA7" w14:textId="0488CBFD" w:rsidR="00F05B4F" w:rsidRDefault="00F05B4F">
      <w:pPr>
        <w:pStyle w:val="FootnoteText"/>
      </w:pPr>
      <w:r>
        <w:rPr>
          <w:rStyle w:val="FootnoteReference"/>
        </w:rPr>
        <w:footnoteRef/>
      </w:r>
      <w:r>
        <w:t xml:space="preserve"> </w:t>
      </w:r>
      <w:r w:rsidR="009A258E" w:rsidRPr="009A258E">
        <w:t xml:space="preserve">‘The Pardoner’s Prologue’ in </w:t>
      </w:r>
      <w:r w:rsidR="009A258E" w:rsidRPr="009A258E">
        <w:rPr>
          <w:i/>
          <w:iCs/>
        </w:rPr>
        <w:t>The Riverside Chaucer</w:t>
      </w:r>
      <w:r w:rsidR="009A258E">
        <w:t>, p.195.</w:t>
      </w:r>
    </w:p>
  </w:footnote>
  <w:footnote w:id="20">
    <w:p w14:paraId="3282CF35" w14:textId="0B426254" w:rsidR="007953A2" w:rsidRDefault="007953A2">
      <w:pPr>
        <w:pStyle w:val="FootnoteText"/>
      </w:pPr>
      <w:r>
        <w:rPr>
          <w:rStyle w:val="FootnoteReference"/>
        </w:rPr>
        <w:footnoteRef/>
      </w:r>
      <w:r>
        <w:t xml:space="preserve"> </w:t>
      </w:r>
      <w:r w:rsidR="00626165">
        <w:t xml:space="preserve">C.W.R.D. Moseley, </w:t>
      </w:r>
      <w:r w:rsidR="00626165">
        <w:rPr>
          <w:i/>
          <w:iCs/>
        </w:rPr>
        <w:t>The Pardoner’s Tale</w:t>
      </w:r>
      <w:r w:rsidR="00626165">
        <w:t xml:space="preserve">, </w:t>
      </w:r>
      <w:r w:rsidRPr="007953A2">
        <w:t>p.1</w:t>
      </w:r>
      <w:r>
        <w:t>43.</w:t>
      </w:r>
    </w:p>
  </w:footnote>
  <w:footnote w:id="21">
    <w:p w14:paraId="4E0001B4" w14:textId="22A6BEC4" w:rsidR="000A5368" w:rsidRDefault="000A5368">
      <w:pPr>
        <w:pStyle w:val="FootnoteText"/>
      </w:pPr>
      <w:r>
        <w:rPr>
          <w:rStyle w:val="FootnoteReference"/>
        </w:rPr>
        <w:footnoteRef/>
      </w:r>
      <w:r>
        <w:t xml:space="preserve"> </w:t>
      </w:r>
      <w:r w:rsidR="00AE0DAD">
        <w:t xml:space="preserve">C.W.R.D. Moseley, </w:t>
      </w:r>
      <w:r w:rsidR="00AE0DAD">
        <w:rPr>
          <w:i/>
          <w:iCs/>
        </w:rPr>
        <w:t>The Pardoner’s Tale</w:t>
      </w:r>
      <w:r w:rsidR="00AE0DAD">
        <w:t xml:space="preserve">, </w:t>
      </w:r>
      <w:r w:rsidRPr="000A5368">
        <w:t>p.</w:t>
      </w:r>
      <w:r>
        <w:t>140.</w:t>
      </w:r>
    </w:p>
  </w:footnote>
  <w:footnote w:id="22">
    <w:p w14:paraId="34A0CC62" w14:textId="76897AC1" w:rsidR="00695B51" w:rsidRDefault="00695B51">
      <w:pPr>
        <w:pStyle w:val="FootnoteText"/>
      </w:pPr>
      <w:r>
        <w:rPr>
          <w:rStyle w:val="FootnoteReference"/>
        </w:rPr>
        <w:footnoteRef/>
      </w:r>
      <w:r>
        <w:t xml:space="preserve"> </w:t>
      </w:r>
      <w:r w:rsidR="00FF6394">
        <w:t>Helen Cooper</w:t>
      </w:r>
      <w:r w:rsidR="00FF6394" w:rsidRPr="00FF6394">
        <w:t xml:space="preserve">, </w:t>
      </w:r>
      <w:r w:rsidR="00FF6394" w:rsidRPr="00FF6394">
        <w:rPr>
          <w:i/>
          <w:iCs/>
        </w:rPr>
        <w:t>The Canterbury Tales: Oxford Guides to Chaucer</w:t>
      </w:r>
      <w:r w:rsidR="00FF6394" w:rsidRPr="00FF6394">
        <w:t xml:space="preserve">, </w:t>
      </w:r>
      <w:r w:rsidR="00FF6394">
        <w:t>p.260.</w:t>
      </w:r>
    </w:p>
  </w:footnote>
  <w:footnote w:id="23">
    <w:p w14:paraId="17CD9855" w14:textId="014DD30E" w:rsidR="004C2C59" w:rsidRDefault="004C2C59">
      <w:pPr>
        <w:pStyle w:val="FootnoteText"/>
      </w:pPr>
      <w:r>
        <w:rPr>
          <w:rStyle w:val="FootnoteReference"/>
        </w:rPr>
        <w:footnoteRef/>
      </w:r>
      <w:r>
        <w:t xml:space="preserve"> </w:t>
      </w:r>
      <w:r w:rsidR="00AE0DAD">
        <w:t xml:space="preserve">C.W.R.D. Moseley, </w:t>
      </w:r>
      <w:r w:rsidR="00AE0DAD">
        <w:rPr>
          <w:i/>
          <w:iCs/>
        </w:rPr>
        <w:t>The Pardoner’s Tale</w:t>
      </w:r>
      <w:r w:rsidR="00AE0DAD">
        <w:t xml:space="preserve">, </w:t>
      </w:r>
      <w:r w:rsidRPr="004C2C59">
        <w:t>p.1</w:t>
      </w:r>
      <w:r>
        <w:t>3.</w:t>
      </w:r>
    </w:p>
  </w:footnote>
  <w:footnote w:id="24">
    <w:p w14:paraId="583B2DEE" w14:textId="3BFE8845" w:rsidR="00C0074D" w:rsidRDefault="00022528">
      <w:pPr>
        <w:pStyle w:val="FootnoteText"/>
      </w:pPr>
      <w:r>
        <w:rPr>
          <w:rStyle w:val="FootnoteReference"/>
        </w:rPr>
        <w:footnoteRef/>
      </w:r>
      <w:bookmarkStart w:id="1" w:name="_Hlk22266358"/>
      <w:r w:rsidR="00AE0DAD">
        <w:t xml:space="preserve"> </w:t>
      </w:r>
      <w:r w:rsidR="00AE0DAD">
        <w:t xml:space="preserve">C.W.R.D. Moseley, </w:t>
      </w:r>
      <w:r w:rsidR="00AE0DAD">
        <w:rPr>
          <w:i/>
          <w:iCs/>
        </w:rPr>
        <w:t>The Pardoner’s Tale</w:t>
      </w:r>
      <w:r w:rsidR="00AE0DAD">
        <w:t xml:space="preserve">, </w:t>
      </w:r>
      <w:r w:rsidRPr="00022528">
        <w:t>p.1</w:t>
      </w:r>
      <w:r>
        <w:t>3.</w:t>
      </w:r>
      <w:bookmarkEnd w:id="1"/>
    </w:p>
  </w:footnote>
  <w:footnote w:id="25">
    <w:p w14:paraId="695B4960" w14:textId="547809C4" w:rsidR="00134E9E" w:rsidRDefault="00134E9E">
      <w:pPr>
        <w:pStyle w:val="FootnoteText"/>
      </w:pPr>
      <w:r>
        <w:rPr>
          <w:rStyle w:val="FootnoteReference"/>
        </w:rPr>
        <w:footnoteRef/>
      </w:r>
      <w:r>
        <w:t xml:space="preserve"> </w:t>
      </w:r>
      <w:r w:rsidR="007E72F5" w:rsidRPr="007E72F5">
        <w:t xml:space="preserve">A. J. </w:t>
      </w:r>
      <w:proofErr w:type="spellStart"/>
      <w:r w:rsidR="007E72F5" w:rsidRPr="007E72F5">
        <w:t>Minnis</w:t>
      </w:r>
      <w:proofErr w:type="spellEnd"/>
      <w:r w:rsidR="007E72F5" w:rsidRPr="007E72F5">
        <w:t>,</w:t>
      </w:r>
      <w:r w:rsidR="007E72F5" w:rsidRPr="00C0074D">
        <w:t xml:space="preserve"> </w:t>
      </w:r>
      <w:r w:rsidR="007E72F5" w:rsidRPr="00C0074D">
        <w:rPr>
          <w:i/>
          <w:iCs/>
        </w:rPr>
        <w:t>Intellectuals and Writers in Fourteenth-Century Europe</w:t>
      </w:r>
      <w:r w:rsidR="007E72F5">
        <w:rPr>
          <w:i/>
          <w:iCs/>
        </w:rPr>
        <w:t>,</w:t>
      </w:r>
      <w:r w:rsidR="007E72F5">
        <w:t xml:space="preserve"> </w:t>
      </w:r>
      <w:r>
        <w:t>p.118.</w:t>
      </w:r>
    </w:p>
  </w:footnote>
  <w:footnote w:id="26">
    <w:p w14:paraId="069B31D2" w14:textId="7853D039" w:rsidR="00CF5710" w:rsidRDefault="00CF5710">
      <w:pPr>
        <w:pStyle w:val="FootnoteText"/>
      </w:pPr>
      <w:r>
        <w:rPr>
          <w:rStyle w:val="FootnoteReference"/>
        </w:rPr>
        <w:footnoteRef/>
      </w:r>
      <w:r w:rsidR="00AE0DAD">
        <w:t xml:space="preserve"> </w:t>
      </w:r>
      <w:r w:rsidR="00AE0DAD">
        <w:t xml:space="preserve">C.W.R.D. Moseley, </w:t>
      </w:r>
      <w:r w:rsidR="00AE0DAD">
        <w:rPr>
          <w:i/>
          <w:iCs/>
        </w:rPr>
        <w:t>The Pardoner’s Tale</w:t>
      </w:r>
      <w:r w:rsidR="00AE0DAD">
        <w:t>, p</w:t>
      </w:r>
      <w:r w:rsidRPr="00CF5710">
        <w:t>.</w:t>
      </w:r>
      <w:r>
        <w:t>40.</w:t>
      </w:r>
    </w:p>
  </w:footnote>
  <w:footnote w:id="27">
    <w:p w14:paraId="43C53424" w14:textId="37F42048" w:rsidR="00CF5710" w:rsidRDefault="00CF5710">
      <w:pPr>
        <w:pStyle w:val="FootnoteText"/>
      </w:pPr>
      <w:r>
        <w:rPr>
          <w:rStyle w:val="FootnoteReference"/>
        </w:rPr>
        <w:footnoteRef/>
      </w:r>
      <w:r>
        <w:t xml:space="preserve"> </w:t>
      </w:r>
      <w:r w:rsidR="00AE0DAD">
        <w:t xml:space="preserve">C.W.R.D. Moseley, </w:t>
      </w:r>
      <w:r w:rsidR="00AE0DAD">
        <w:rPr>
          <w:i/>
          <w:iCs/>
        </w:rPr>
        <w:t>The Pardoner’s Tale</w:t>
      </w:r>
      <w:r w:rsidR="00AE0DAD">
        <w:t xml:space="preserve">, </w:t>
      </w:r>
      <w:r w:rsidRPr="00CF5710">
        <w:t>p.</w:t>
      </w:r>
      <w:r>
        <w:t>40.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3135BF"/>
    <w:multiLevelType w:val="hybridMultilevel"/>
    <w:tmpl w:val="1D06D1CE"/>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70E833C6"/>
    <w:multiLevelType w:val="hybridMultilevel"/>
    <w:tmpl w:val="BA361C26"/>
    <w:lvl w:ilvl="0" w:tplc="23FCCC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90A"/>
    <w:rsid w:val="00006D55"/>
    <w:rsid w:val="00021DD6"/>
    <w:rsid w:val="00022528"/>
    <w:rsid w:val="000267D2"/>
    <w:rsid w:val="00027615"/>
    <w:rsid w:val="000337D7"/>
    <w:rsid w:val="00046294"/>
    <w:rsid w:val="00047BED"/>
    <w:rsid w:val="00077450"/>
    <w:rsid w:val="00085803"/>
    <w:rsid w:val="000937F2"/>
    <w:rsid w:val="000940B8"/>
    <w:rsid w:val="0009510F"/>
    <w:rsid w:val="000A1F37"/>
    <w:rsid w:val="000A5368"/>
    <w:rsid w:val="000D64D3"/>
    <w:rsid w:val="000E006A"/>
    <w:rsid w:val="000E42EB"/>
    <w:rsid w:val="000E71D2"/>
    <w:rsid w:val="0011705B"/>
    <w:rsid w:val="00125F63"/>
    <w:rsid w:val="00134E9E"/>
    <w:rsid w:val="00137309"/>
    <w:rsid w:val="00156329"/>
    <w:rsid w:val="001759CD"/>
    <w:rsid w:val="001A0EF6"/>
    <w:rsid w:val="001A2B33"/>
    <w:rsid w:val="001A4371"/>
    <w:rsid w:val="001D58D1"/>
    <w:rsid w:val="001E59E4"/>
    <w:rsid w:val="001E784B"/>
    <w:rsid w:val="001F528E"/>
    <w:rsid w:val="001F6965"/>
    <w:rsid w:val="001F74AB"/>
    <w:rsid w:val="00211F80"/>
    <w:rsid w:val="00212D77"/>
    <w:rsid w:val="002247A2"/>
    <w:rsid w:val="00226F81"/>
    <w:rsid w:val="002328A7"/>
    <w:rsid w:val="00236CC4"/>
    <w:rsid w:val="00243E91"/>
    <w:rsid w:val="002623E4"/>
    <w:rsid w:val="002627FD"/>
    <w:rsid w:val="0026406B"/>
    <w:rsid w:val="002B356B"/>
    <w:rsid w:val="002C49CF"/>
    <w:rsid w:val="002D3B4E"/>
    <w:rsid w:val="002F4A5B"/>
    <w:rsid w:val="00327345"/>
    <w:rsid w:val="00336466"/>
    <w:rsid w:val="00336FEC"/>
    <w:rsid w:val="00362F34"/>
    <w:rsid w:val="00363C33"/>
    <w:rsid w:val="003958C6"/>
    <w:rsid w:val="003B2552"/>
    <w:rsid w:val="003D253E"/>
    <w:rsid w:val="003D3CA8"/>
    <w:rsid w:val="003F4491"/>
    <w:rsid w:val="00412D92"/>
    <w:rsid w:val="00422D3E"/>
    <w:rsid w:val="00424081"/>
    <w:rsid w:val="00427DA0"/>
    <w:rsid w:val="00433D75"/>
    <w:rsid w:val="00473151"/>
    <w:rsid w:val="00483D1F"/>
    <w:rsid w:val="004873DA"/>
    <w:rsid w:val="0048790A"/>
    <w:rsid w:val="004A21EA"/>
    <w:rsid w:val="004A4F52"/>
    <w:rsid w:val="004A771C"/>
    <w:rsid w:val="004C2C59"/>
    <w:rsid w:val="004C6E5C"/>
    <w:rsid w:val="004E01D4"/>
    <w:rsid w:val="004E238C"/>
    <w:rsid w:val="004E2A96"/>
    <w:rsid w:val="004E3F60"/>
    <w:rsid w:val="004F3C40"/>
    <w:rsid w:val="0051302D"/>
    <w:rsid w:val="005276CA"/>
    <w:rsid w:val="0054465D"/>
    <w:rsid w:val="005458B6"/>
    <w:rsid w:val="005477D4"/>
    <w:rsid w:val="00550309"/>
    <w:rsid w:val="00554CDB"/>
    <w:rsid w:val="005725DB"/>
    <w:rsid w:val="00594193"/>
    <w:rsid w:val="005B6FE0"/>
    <w:rsid w:val="005B764D"/>
    <w:rsid w:val="005E4C53"/>
    <w:rsid w:val="005E6588"/>
    <w:rsid w:val="005F0772"/>
    <w:rsid w:val="00600D18"/>
    <w:rsid w:val="00605A40"/>
    <w:rsid w:val="00605C5E"/>
    <w:rsid w:val="0062578B"/>
    <w:rsid w:val="00626165"/>
    <w:rsid w:val="00646C0B"/>
    <w:rsid w:val="00676612"/>
    <w:rsid w:val="0067684E"/>
    <w:rsid w:val="00685D18"/>
    <w:rsid w:val="006911FE"/>
    <w:rsid w:val="00695B51"/>
    <w:rsid w:val="006A41BA"/>
    <w:rsid w:val="006C0F4B"/>
    <w:rsid w:val="006D565F"/>
    <w:rsid w:val="00701C5A"/>
    <w:rsid w:val="00721A05"/>
    <w:rsid w:val="00743A39"/>
    <w:rsid w:val="00747241"/>
    <w:rsid w:val="00760CC2"/>
    <w:rsid w:val="0076107E"/>
    <w:rsid w:val="00762870"/>
    <w:rsid w:val="00765A56"/>
    <w:rsid w:val="00767DAD"/>
    <w:rsid w:val="007725D8"/>
    <w:rsid w:val="00772A24"/>
    <w:rsid w:val="00773DFB"/>
    <w:rsid w:val="007801D2"/>
    <w:rsid w:val="00781714"/>
    <w:rsid w:val="0079358E"/>
    <w:rsid w:val="007953A2"/>
    <w:rsid w:val="007B4112"/>
    <w:rsid w:val="007B748A"/>
    <w:rsid w:val="007D0886"/>
    <w:rsid w:val="007E0CC7"/>
    <w:rsid w:val="007E72F5"/>
    <w:rsid w:val="007F3F52"/>
    <w:rsid w:val="00807BCE"/>
    <w:rsid w:val="00835D08"/>
    <w:rsid w:val="00840B8A"/>
    <w:rsid w:val="00841703"/>
    <w:rsid w:val="008429F0"/>
    <w:rsid w:val="00843A87"/>
    <w:rsid w:val="00856DE5"/>
    <w:rsid w:val="0087282E"/>
    <w:rsid w:val="00872878"/>
    <w:rsid w:val="00872BBA"/>
    <w:rsid w:val="00875486"/>
    <w:rsid w:val="0088503F"/>
    <w:rsid w:val="00887BF2"/>
    <w:rsid w:val="008A0F25"/>
    <w:rsid w:val="008A42D3"/>
    <w:rsid w:val="008B00B9"/>
    <w:rsid w:val="008B2FAF"/>
    <w:rsid w:val="008B7557"/>
    <w:rsid w:val="008C00B5"/>
    <w:rsid w:val="008D20A2"/>
    <w:rsid w:val="00910C85"/>
    <w:rsid w:val="009119CA"/>
    <w:rsid w:val="00914F81"/>
    <w:rsid w:val="009201B5"/>
    <w:rsid w:val="009213E6"/>
    <w:rsid w:val="0092455E"/>
    <w:rsid w:val="00932F95"/>
    <w:rsid w:val="009375A8"/>
    <w:rsid w:val="00940BFA"/>
    <w:rsid w:val="00945C85"/>
    <w:rsid w:val="0095448C"/>
    <w:rsid w:val="00954C9E"/>
    <w:rsid w:val="009609C4"/>
    <w:rsid w:val="009610A7"/>
    <w:rsid w:val="00964FFB"/>
    <w:rsid w:val="00965618"/>
    <w:rsid w:val="009800DC"/>
    <w:rsid w:val="009A258E"/>
    <w:rsid w:val="009B379A"/>
    <w:rsid w:val="009C0C19"/>
    <w:rsid w:val="009C3082"/>
    <w:rsid w:val="009D5FAF"/>
    <w:rsid w:val="009E5B4E"/>
    <w:rsid w:val="00A03CA7"/>
    <w:rsid w:val="00A11E01"/>
    <w:rsid w:val="00A13F66"/>
    <w:rsid w:val="00A14313"/>
    <w:rsid w:val="00A27F0F"/>
    <w:rsid w:val="00A32B83"/>
    <w:rsid w:val="00A5455A"/>
    <w:rsid w:val="00A8247F"/>
    <w:rsid w:val="00A840AD"/>
    <w:rsid w:val="00A8603E"/>
    <w:rsid w:val="00A96383"/>
    <w:rsid w:val="00AB6671"/>
    <w:rsid w:val="00AD5E16"/>
    <w:rsid w:val="00AE0DAD"/>
    <w:rsid w:val="00AE1423"/>
    <w:rsid w:val="00AE187E"/>
    <w:rsid w:val="00AF1145"/>
    <w:rsid w:val="00B34F97"/>
    <w:rsid w:val="00B35C45"/>
    <w:rsid w:val="00B37E07"/>
    <w:rsid w:val="00B41831"/>
    <w:rsid w:val="00B53FB6"/>
    <w:rsid w:val="00B65FEF"/>
    <w:rsid w:val="00B766FE"/>
    <w:rsid w:val="00B83435"/>
    <w:rsid w:val="00B846CC"/>
    <w:rsid w:val="00B874F6"/>
    <w:rsid w:val="00B912B0"/>
    <w:rsid w:val="00B9417D"/>
    <w:rsid w:val="00BA2852"/>
    <w:rsid w:val="00BA5F21"/>
    <w:rsid w:val="00BC3445"/>
    <w:rsid w:val="00BC7E99"/>
    <w:rsid w:val="00BF291B"/>
    <w:rsid w:val="00C0074D"/>
    <w:rsid w:val="00C37CB2"/>
    <w:rsid w:val="00C468A5"/>
    <w:rsid w:val="00C60CD4"/>
    <w:rsid w:val="00C625C3"/>
    <w:rsid w:val="00C7053B"/>
    <w:rsid w:val="00C774CB"/>
    <w:rsid w:val="00C80CB7"/>
    <w:rsid w:val="00C87CCB"/>
    <w:rsid w:val="00C915B1"/>
    <w:rsid w:val="00C91919"/>
    <w:rsid w:val="00C95C81"/>
    <w:rsid w:val="00CB2E44"/>
    <w:rsid w:val="00CB7E30"/>
    <w:rsid w:val="00CF5710"/>
    <w:rsid w:val="00D03959"/>
    <w:rsid w:val="00D039AA"/>
    <w:rsid w:val="00D15347"/>
    <w:rsid w:val="00D249A0"/>
    <w:rsid w:val="00D25674"/>
    <w:rsid w:val="00D312EE"/>
    <w:rsid w:val="00D36C31"/>
    <w:rsid w:val="00D40FDA"/>
    <w:rsid w:val="00D43688"/>
    <w:rsid w:val="00D51235"/>
    <w:rsid w:val="00D52898"/>
    <w:rsid w:val="00D63436"/>
    <w:rsid w:val="00D70C21"/>
    <w:rsid w:val="00D7497E"/>
    <w:rsid w:val="00D822A4"/>
    <w:rsid w:val="00D84D77"/>
    <w:rsid w:val="00D86513"/>
    <w:rsid w:val="00D91CE0"/>
    <w:rsid w:val="00D96460"/>
    <w:rsid w:val="00D9752A"/>
    <w:rsid w:val="00DA3541"/>
    <w:rsid w:val="00DB1E6F"/>
    <w:rsid w:val="00DB6766"/>
    <w:rsid w:val="00DB6FDB"/>
    <w:rsid w:val="00DC35CC"/>
    <w:rsid w:val="00DD2327"/>
    <w:rsid w:val="00DD71AC"/>
    <w:rsid w:val="00DD7AD1"/>
    <w:rsid w:val="00DE4F5D"/>
    <w:rsid w:val="00DE60F2"/>
    <w:rsid w:val="00DF4C72"/>
    <w:rsid w:val="00DF5A71"/>
    <w:rsid w:val="00DF5F5B"/>
    <w:rsid w:val="00E07BDB"/>
    <w:rsid w:val="00E55827"/>
    <w:rsid w:val="00E61995"/>
    <w:rsid w:val="00E65562"/>
    <w:rsid w:val="00E67EFD"/>
    <w:rsid w:val="00E7577F"/>
    <w:rsid w:val="00EA32A6"/>
    <w:rsid w:val="00EA331C"/>
    <w:rsid w:val="00EA4AFB"/>
    <w:rsid w:val="00EB5BAD"/>
    <w:rsid w:val="00EB6A71"/>
    <w:rsid w:val="00ED0313"/>
    <w:rsid w:val="00ED758E"/>
    <w:rsid w:val="00EE637C"/>
    <w:rsid w:val="00EF1F74"/>
    <w:rsid w:val="00EF4C58"/>
    <w:rsid w:val="00F05B4F"/>
    <w:rsid w:val="00F10CA7"/>
    <w:rsid w:val="00F16475"/>
    <w:rsid w:val="00F25492"/>
    <w:rsid w:val="00F30189"/>
    <w:rsid w:val="00F40B14"/>
    <w:rsid w:val="00F61E54"/>
    <w:rsid w:val="00F775F4"/>
    <w:rsid w:val="00F8133F"/>
    <w:rsid w:val="00F836B8"/>
    <w:rsid w:val="00F90E5F"/>
    <w:rsid w:val="00FB1C59"/>
    <w:rsid w:val="00FC5D00"/>
    <w:rsid w:val="00FD215D"/>
    <w:rsid w:val="00FD2CB2"/>
    <w:rsid w:val="00FD3A8E"/>
    <w:rsid w:val="00FE19B4"/>
    <w:rsid w:val="00FE257C"/>
    <w:rsid w:val="00FE3B55"/>
    <w:rsid w:val="00FF2A88"/>
    <w:rsid w:val="00FF6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F1E3A"/>
  <w15:chartTrackingRefBased/>
  <w15:docId w15:val="{98F5D510-8109-4778-BE60-988973C6F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846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46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790A"/>
    <w:pPr>
      <w:spacing w:after="0" w:line="240" w:lineRule="auto"/>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semiHidden/>
    <w:unhideWhenUsed/>
    <w:rsid w:val="00A32B8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2B83"/>
    <w:rPr>
      <w:sz w:val="20"/>
      <w:szCs w:val="20"/>
    </w:rPr>
  </w:style>
  <w:style w:type="character" w:styleId="FootnoteReference">
    <w:name w:val="footnote reference"/>
    <w:basedOn w:val="DefaultParagraphFont"/>
    <w:uiPriority w:val="99"/>
    <w:semiHidden/>
    <w:unhideWhenUsed/>
    <w:rsid w:val="00A32B83"/>
    <w:rPr>
      <w:vertAlign w:val="superscript"/>
    </w:rPr>
  </w:style>
  <w:style w:type="character" w:customStyle="1" w:styleId="Heading2Char">
    <w:name w:val="Heading 2 Char"/>
    <w:basedOn w:val="DefaultParagraphFont"/>
    <w:link w:val="Heading2"/>
    <w:uiPriority w:val="9"/>
    <w:rsid w:val="00B846C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846CC"/>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483D1F"/>
    <w:rPr>
      <w:sz w:val="16"/>
      <w:szCs w:val="16"/>
    </w:rPr>
  </w:style>
  <w:style w:type="paragraph" w:styleId="CommentText">
    <w:name w:val="annotation text"/>
    <w:basedOn w:val="Normal"/>
    <w:link w:val="CommentTextChar"/>
    <w:uiPriority w:val="99"/>
    <w:semiHidden/>
    <w:unhideWhenUsed/>
    <w:rsid w:val="00483D1F"/>
    <w:pPr>
      <w:spacing w:line="240" w:lineRule="auto"/>
    </w:pPr>
    <w:rPr>
      <w:sz w:val="20"/>
      <w:szCs w:val="20"/>
    </w:rPr>
  </w:style>
  <w:style w:type="character" w:customStyle="1" w:styleId="CommentTextChar">
    <w:name w:val="Comment Text Char"/>
    <w:basedOn w:val="DefaultParagraphFont"/>
    <w:link w:val="CommentText"/>
    <w:uiPriority w:val="99"/>
    <w:semiHidden/>
    <w:rsid w:val="00483D1F"/>
    <w:rPr>
      <w:sz w:val="20"/>
      <w:szCs w:val="20"/>
    </w:rPr>
  </w:style>
  <w:style w:type="paragraph" w:styleId="CommentSubject">
    <w:name w:val="annotation subject"/>
    <w:basedOn w:val="CommentText"/>
    <w:next w:val="CommentText"/>
    <w:link w:val="CommentSubjectChar"/>
    <w:uiPriority w:val="99"/>
    <w:semiHidden/>
    <w:unhideWhenUsed/>
    <w:rsid w:val="00483D1F"/>
    <w:rPr>
      <w:b/>
      <w:bCs/>
    </w:rPr>
  </w:style>
  <w:style w:type="character" w:customStyle="1" w:styleId="CommentSubjectChar">
    <w:name w:val="Comment Subject Char"/>
    <w:basedOn w:val="CommentTextChar"/>
    <w:link w:val="CommentSubject"/>
    <w:uiPriority w:val="99"/>
    <w:semiHidden/>
    <w:rsid w:val="00483D1F"/>
    <w:rPr>
      <w:b/>
      <w:bCs/>
      <w:sz w:val="20"/>
      <w:szCs w:val="20"/>
    </w:rPr>
  </w:style>
  <w:style w:type="paragraph" w:styleId="BalloonText">
    <w:name w:val="Balloon Text"/>
    <w:basedOn w:val="Normal"/>
    <w:link w:val="BalloonTextChar"/>
    <w:uiPriority w:val="99"/>
    <w:semiHidden/>
    <w:unhideWhenUsed/>
    <w:rsid w:val="00483D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3D1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474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E38FC6-1D9D-4F73-AC23-5732DEA290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1973</Words>
  <Characters>9135</Characters>
  <Application>Microsoft Office Word</Application>
  <DocSecurity>0</DocSecurity>
  <Lines>134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Klopper</dc:creator>
  <cp:keywords/>
  <dc:description/>
  <cp:lastModifiedBy>Saskia Klopper</cp:lastModifiedBy>
  <cp:revision>2</cp:revision>
  <dcterms:created xsi:type="dcterms:W3CDTF">2019-10-18T20:01:00Z</dcterms:created>
  <dcterms:modified xsi:type="dcterms:W3CDTF">2019-10-18T20:01:00Z</dcterms:modified>
</cp:coreProperties>
</file>