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A63D6" w14:textId="787A16D9" w:rsidR="008F1001" w:rsidRPr="001438C9" w:rsidRDefault="004A6086" w:rsidP="008F1001">
      <w:pPr>
        <w:jc w:val="center"/>
        <w:rPr>
          <w:rFonts w:ascii="Arial" w:hAnsi="Arial" w:cs="Arial"/>
          <w:b/>
          <w:bCs/>
          <w:sz w:val="22"/>
          <w:szCs w:val="22"/>
        </w:rPr>
      </w:pPr>
      <w:r w:rsidRPr="001438C9">
        <w:rPr>
          <w:rFonts w:ascii="Arial" w:hAnsi="Arial" w:cs="Arial"/>
          <w:b/>
          <w:bCs/>
          <w:sz w:val="22"/>
          <w:szCs w:val="22"/>
        </w:rPr>
        <w:t>Assignment Title:</w:t>
      </w:r>
      <w:r w:rsidR="008F1001" w:rsidRPr="001438C9">
        <w:rPr>
          <w:rFonts w:ascii="Arial" w:hAnsi="Arial" w:cs="Arial"/>
          <w:b/>
          <w:bCs/>
          <w:sz w:val="22"/>
          <w:szCs w:val="22"/>
          <w:lang w:val="en-GB"/>
        </w:rPr>
        <w:t xml:space="preserve"> </w:t>
      </w:r>
      <w:r w:rsidR="008F1001" w:rsidRPr="001438C9">
        <w:rPr>
          <w:rFonts w:ascii="Arial" w:hAnsi="Arial" w:cs="Arial"/>
          <w:b/>
          <w:bCs/>
          <w:sz w:val="22"/>
          <w:szCs w:val="22"/>
        </w:rPr>
        <w:t>Principles of Health and Social Care Practice</w:t>
      </w:r>
      <w:r w:rsidR="008F1001" w:rsidRPr="001438C9">
        <w:rPr>
          <w:rFonts w:ascii="Arial" w:hAnsi="Arial" w:cs="Arial"/>
          <w:b/>
          <w:bCs/>
          <w:sz w:val="22"/>
          <w:szCs w:val="22"/>
          <w:lang w:val="en-GB"/>
        </w:rPr>
        <w:t xml:space="preserve"> </w:t>
      </w:r>
      <w:r w:rsidR="008F1001" w:rsidRPr="001438C9">
        <w:rPr>
          <w:rFonts w:ascii="Arial" w:hAnsi="Arial" w:cs="Arial"/>
          <w:b/>
          <w:bCs/>
          <w:i/>
          <w:iCs/>
          <w:sz w:val="22"/>
          <w:szCs w:val="22"/>
        </w:rPr>
        <w:t>(Report)</w:t>
      </w:r>
    </w:p>
    <w:p w14:paraId="0F34AF42" w14:textId="77777777" w:rsidR="008F1001" w:rsidRPr="001438C9" w:rsidRDefault="008F1001" w:rsidP="008F1001">
      <w:pPr>
        <w:jc w:val="center"/>
        <w:rPr>
          <w:rFonts w:ascii="Arial" w:hAnsi="Arial" w:cs="Arial"/>
          <w:b/>
          <w:bCs/>
          <w:sz w:val="22"/>
          <w:szCs w:val="22"/>
        </w:rPr>
      </w:pPr>
      <w:r w:rsidRPr="001438C9">
        <w:rPr>
          <w:rFonts w:ascii="Arial" w:hAnsi="Arial" w:cs="Arial"/>
          <w:b/>
          <w:bCs/>
          <w:sz w:val="22"/>
          <w:szCs w:val="22"/>
        </w:rPr>
        <w:t xml:space="preserve">Student Name: </w:t>
      </w:r>
      <w:r w:rsidRPr="001438C9">
        <w:rPr>
          <w:rFonts w:ascii="Arial" w:hAnsi="Arial" w:cs="Arial"/>
          <w:sz w:val="22"/>
          <w:szCs w:val="22"/>
        </w:rPr>
        <w:t>Musab Umayr Shah</w:t>
      </w:r>
    </w:p>
    <w:p w14:paraId="73343863" w14:textId="77777777" w:rsidR="008F1001" w:rsidRPr="001438C9" w:rsidRDefault="008F1001" w:rsidP="008F1001">
      <w:pPr>
        <w:jc w:val="center"/>
        <w:rPr>
          <w:rFonts w:ascii="Arial" w:hAnsi="Arial" w:cs="Arial"/>
          <w:b/>
          <w:bCs/>
          <w:sz w:val="22"/>
          <w:szCs w:val="22"/>
        </w:rPr>
      </w:pPr>
      <w:r w:rsidRPr="001438C9">
        <w:rPr>
          <w:rFonts w:ascii="Arial" w:hAnsi="Arial" w:cs="Arial"/>
          <w:b/>
          <w:bCs/>
          <w:sz w:val="22"/>
          <w:szCs w:val="22"/>
        </w:rPr>
        <w:t>Student Number:</w:t>
      </w:r>
      <w:r w:rsidRPr="001438C9">
        <w:rPr>
          <w:rFonts w:ascii="Arial" w:hAnsi="Arial" w:cs="Arial"/>
          <w:sz w:val="22"/>
          <w:szCs w:val="22"/>
        </w:rPr>
        <w:t xml:space="preserve"> 2411894</w:t>
      </w:r>
    </w:p>
    <w:p w14:paraId="356434C3" w14:textId="77777777" w:rsidR="008F1001" w:rsidRPr="001438C9" w:rsidRDefault="008F1001" w:rsidP="008F1001">
      <w:pPr>
        <w:jc w:val="center"/>
        <w:rPr>
          <w:rFonts w:ascii="Arial" w:hAnsi="Arial" w:cs="Arial"/>
          <w:sz w:val="22"/>
          <w:szCs w:val="22"/>
        </w:rPr>
      </w:pPr>
      <w:r w:rsidRPr="001438C9">
        <w:rPr>
          <w:rFonts w:ascii="Arial" w:hAnsi="Arial" w:cs="Arial"/>
          <w:b/>
          <w:bCs/>
          <w:sz w:val="22"/>
          <w:szCs w:val="22"/>
        </w:rPr>
        <w:t xml:space="preserve">Module Title: </w:t>
      </w:r>
      <w:r w:rsidRPr="001438C9">
        <w:rPr>
          <w:rFonts w:ascii="Arial" w:hAnsi="Arial" w:cs="Arial"/>
          <w:sz w:val="22"/>
          <w:szCs w:val="22"/>
        </w:rPr>
        <w:t>Principles of Health and Social Care Practice</w:t>
      </w:r>
    </w:p>
    <w:p w14:paraId="6048EDFC" w14:textId="77777777" w:rsidR="008F1001" w:rsidRPr="001438C9" w:rsidRDefault="008F1001" w:rsidP="008F1001">
      <w:pPr>
        <w:jc w:val="center"/>
        <w:rPr>
          <w:rFonts w:ascii="Arial" w:hAnsi="Arial" w:cs="Arial"/>
          <w:b/>
          <w:bCs/>
          <w:sz w:val="22"/>
          <w:szCs w:val="22"/>
        </w:rPr>
      </w:pPr>
      <w:r w:rsidRPr="001438C9">
        <w:rPr>
          <w:rFonts w:ascii="Arial" w:hAnsi="Arial" w:cs="Arial"/>
          <w:b/>
          <w:bCs/>
          <w:sz w:val="22"/>
          <w:szCs w:val="22"/>
        </w:rPr>
        <w:t xml:space="preserve">Lecturer: </w:t>
      </w:r>
      <w:r w:rsidRPr="001438C9">
        <w:rPr>
          <w:rFonts w:ascii="Arial" w:hAnsi="Arial" w:cs="Arial"/>
          <w:sz w:val="22"/>
          <w:szCs w:val="22"/>
        </w:rPr>
        <w:t>Junaid Shaikh</w:t>
      </w:r>
    </w:p>
    <w:p w14:paraId="68DED1E2" w14:textId="77777777" w:rsidR="008F1001" w:rsidRPr="001438C9" w:rsidRDefault="008F1001" w:rsidP="008F1001">
      <w:pPr>
        <w:jc w:val="center"/>
        <w:rPr>
          <w:rFonts w:ascii="Arial" w:hAnsi="Arial" w:cs="Arial"/>
          <w:b/>
          <w:bCs/>
          <w:sz w:val="22"/>
          <w:szCs w:val="22"/>
        </w:rPr>
      </w:pPr>
      <w:r w:rsidRPr="001438C9">
        <w:rPr>
          <w:rFonts w:ascii="Arial" w:hAnsi="Arial" w:cs="Arial"/>
          <w:b/>
          <w:bCs/>
          <w:sz w:val="22"/>
          <w:szCs w:val="22"/>
        </w:rPr>
        <w:t xml:space="preserve">Module Code: </w:t>
      </w:r>
      <w:r w:rsidRPr="001438C9">
        <w:rPr>
          <w:rFonts w:ascii="Arial" w:hAnsi="Arial" w:cs="Arial"/>
          <w:sz w:val="22"/>
          <w:szCs w:val="22"/>
        </w:rPr>
        <w:t>BMHP5016</w:t>
      </w:r>
    </w:p>
    <w:p w14:paraId="4726B62D" w14:textId="406B2A93" w:rsidR="008F1001" w:rsidRPr="001438C9" w:rsidRDefault="008F1001" w:rsidP="008F1001">
      <w:pPr>
        <w:jc w:val="center"/>
        <w:rPr>
          <w:rFonts w:ascii="Arial" w:hAnsi="Arial" w:cs="Arial"/>
          <w:b/>
          <w:bCs/>
          <w:sz w:val="22"/>
          <w:szCs w:val="22"/>
        </w:rPr>
      </w:pPr>
      <w:r w:rsidRPr="001438C9">
        <w:rPr>
          <w:rFonts w:ascii="Arial" w:hAnsi="Arial" w:cs="Arial"/>
          <w:b/>
          <w:bCs/>
          <w:sz w:val="22"/>
          <w:szCs w:val="22"/>
        </w:rPr>
        <w:t xml:space="preserve">Assignment Title: </w:t>
      </w:r>
      <w:r w:rsidRPr="001438C9">
        <w:rPr>
          <w:rFonts w:ascii="Arial" w:hAnsi="Arial" w:cs="Arial"/>
          <w:sz w:val="22"/>
          <w:szCs w:val="22"/>
        </w:rPr>
        <w:t xml:space="preserve">Component </w:t>
      </w:r>
      <w:r w:rsidRPr="001438C9">
        <w:rPr>
          <w:rFonts w:ascii="Arial" w:hAnsi="Arial" w:cs="Arial"/>
          <w:sz w:val="22"/>
          <w:szCs w:val="22"/>
          <w:lang w:val="en-GB"/>
        </w:rPr>
        <w:t>2</w:t>
      </w:r>
      <w:r w:rsidRPr="001438C9">
        <w:rPr>
          <w:rFonts w:ascii="Arial" w:hAnsi="Arial" w:cs="Arial"/>
          <w:sz w:val="22"/>
          <w:szCs w:val="22"/>
        </w:rPr>
        <w:t xml:space="preserve"> – Report</w:t>
      </w:r>
    </w:p>
    <w:p w14:paraId="3327A57B" w14:textId="25C1AAF6" w:rsidR="008F1001" w:rsidRPr="001438C9" w:rsidRDefault="008F1001" w:rsidP="008F1001">
      <w:pPr>
        <w:jc w:val="center"/>
        <w:rPr>
          <w:rFonts w:ascii="Arial" w:hAnsi="Arial" w:cs="Arial"/>
          <w:b/>
          <w:bCs/>
          <w:sz w:val="22"/>
          <w:szCs w:val="22"/>
          <w:lang w:val="en-GB"/>
        </w:rPr>
      </w:pPr>
      <w:r w:rsidRPr="001438C9">
        <w:rPr>
          <w:rFonts w:ascii="Arial" w:hAnsi="Arial" w:cs="Arial"/>
          <w:b/>
          <w:bCs/>
          <w:sz w:val="22"/>
          <w:szCs w:val="22"/>
        </w:rPr>
        <w:t xml:space="preserve">Word Count: </w:t>
      </w:r>
      <w:r w:rsidR="00EB0628">
        <w:rPr>
          <w:rFonts w:ascii="Arial" w:hAnsi="Arial" w:cs="Arial"/>
          <w:b/>
          <w:bCs/>
          <w:sz w:val="22"/>
          <w:szCs w:val="22"/>
        </w:rPr>
        <w:t>2132</w:t>
      </w:r>
    </w:p>
    <w:p w14:paraId="65847F8C" w14:textId="5DD17658" w:rsidR="004A6086" w:rsidRPr="001438C9" w:rsidRDefault="004A6086" w:rsidP="004A6086">
      <w:pPr>
        <w:jc w:val="center"/>
        <w:rPr>
          <w:rFonts w:ascii="Arial" w:hAnsi="Arial" w:cs="Arial"/>
          <w:b/>
          <w:bCs/>
          <w:sz w:val="22"/>
          <w:szCs w:val="22"/>
        </w:rPr>
      </w:pPr>
    </w:p>
    <w:p w14:paraId="47B604E1" w14:textId="77777777" w:rsidR="004A6086" w:rsidRPr="001438C9" w:rsidRDefault="004A6086">
      <w:pPr>
        <w:spacing w:line="278" w:lineRule="auto"/>
        <w:jc w:val="left"/>
        <w:rPr>
          <w:rFonts w:ascii="Arial" w:hAnsi="Arial" w:cs="Arial"/>
          <w:b/>
          <w:bCs/>
          <w:sz w:val="22"/>
          <w:szCs w:val="22"/>
        </w:rPr>
      </w:pPr>
      <w:r w:rsidRPr="001438C9">
        <w:rPr>
          <w:rFonts w:ascii="Arial" w:hAnsi="Arial" w:cs="Arial"/>
          <w:b/>
          <w:bCs/>
          <w:sz w:val="22"/>
          <w:szCs w:val="22"/>
        </w:rPr>
        <w:br w:type="page"/>
      </w:r>
    </w:p>
    <w:p w14:paraId="4612E469" w14:textId="7A0DEA7C" w:rsidR="004A6086" w:rsidRPr="001438C9" w:rsidRDefault="00A617CB" w:rsidP="00A617CB">
      <w:pPr>
        <w:pStyle w:val="Heading1"/>
        <w:rPr>
          <w:rFonts w:ascii="Arial" w:hAnsi="Arial" w:cs="Arial"/>
          <w:sz w:val="28"/>
          <w:szCs w:val="28"/>
        </w:rPr>
      </w:pPr>
      <w:bookmarkStart w:id="0" w:name="_Toc209456605"/>
      <w:r w:rsidRPr="001438C9">
        <w:rPr>
          <w:rFonts w:ascii="Arial" w:hAnsi="Arial" w:cs="Arial"/>
          <w:sz w:val="28"/>
          <w:szCs w:val="28"/>
        </w:rPr>
        <w:lastRenderedPageBreak/>
        <w:t>Abstract</w:t>
      </w:r>
      <w:bookmarkEnd w:id="0"/>
    </w:p>
    <w:p w14:paraId="0BAE537A" w14:textId="02F275F8" w:rsidR="00E8501B" w:rsidRPr="001438C9" w:rsidRDefault="00824CBA" w:rsidP="004A6086">
      <w:pPr>
        <w:jc w:val="left"/>
        <w:rPr>
          <w:rFonts w:ascii="Arial" w:hAnsi="Arial" w:cs="Arial"/>
          <w:sz w:val="22"/>
          <w:szCs w:val="22"/>
        </w:rPr>
      </w:pPr>
      <w:r w:rsidRPr="001438C9">
        <w:rPr>
          <w:rFonts w:ascii="Arial" w:hAnsi="Arial" w:cs="Arial"/>
          <w:sz w:val="22"/>
          <w:szCs w:val="22"/>
        </w:rPr>
        <w:t xml:space="preserve">This report </w:t>
      </w:r>
      <w:r w:rsidR="00374C40">
        <w:rPr>
          <w:rFonts w:ascii="Arial" w:hAnsi="Arial" w:cs="Arial"/>
          <w:sz w:val="22"/>
          <w:szCs w:val="22"/>
        </w:rPr>
        <w:t>critically assesses</w:t>
      </w:r>
      <w:r w:rsidRPr="001438C9">
        <w:rPr>
          <w:rFonts w:ascii="Arial" w:hAnsi="Arial" w:cs="Arial"/>
          <w:sz w:val="22"/>
          <w:szCs w:val="22"/>
        </w:rPr>
        <w:t xml:space="preserve"> the Person-Centred Care (PCC) and the Partnership Working (PW) concepts </w:t>
      </w:r>
      <w:r w:rsidR="00374C40">
        <w:rPr>
          <w:rFonts w:ascii="Arial" w:hAnsi="Arial" w:cs="Arial"/>
          <w:sz w:val="22"/>
          <w:szCs w:val="22"/>
        </w:rPr>
        <w:t>in the broader</w:t>
      </w:r>
      <w:r w:rsidRPr="001438C9">
        <w:rPr>
          <w:rFonts w:ascii="Arial" w:hAnsi="Arial" w:cs="Arial"/>
          <w:sz w:val="22"/>
          <w:szCs w:val="22"/>
        </w:rPr>
        <w:t xml:space="preserve"> </w:t>
      </w:r>
      <w:r w:rsidR="00374C40">
        <w:rPr>
          <w:rFonts w:ascii="Arial" w:hAnsi="Arial" w:cs="Arial"/>
          <w:sz w:val="22"/>
          <w:szCs w:val="22"/>
        </w:rPr>
        <w:t>health and social care context</w:t>
      </w:r>
      <w:r w:rsidRPr="001438C9">
        <w:rPr>
          <w:rFonts w:ascii="Arial" w:hAnsi="Arial" w:cs="Arial"/>
          <w:sz w:val="22"/>
          <w:szCs w:val="22"/>
        </w:rPr>
        <w:t xml:space="preserve">, </w:t>
      </w:r>
      <w:r w:rsidR="00374C40">
        <w:rPr>
          <w:rFonts w:ascii="Arial" w:hAnsi="Arial" w:cs="Arial"/>
          <w:sz w:val="22"/>
          <w:szCs w:val="22"/>
        </w:rPr>
        <w:t xml:space="preserve">with </w:t>
      </w:r>
      <w:r w:rsidRPr="001438C9">
        <w:rPr>
          <w:rFonts w:ascii="Arial" w:hAnsi="Arial" w:cs="Arial"/>
          <w:sz w:val="22"/>
          <w:szCs w:val="22"/>
        </w:rPr>
        <w:t xml:space="preserve">mental health services being the chosen practical context in this case. It begins by defining PCC and </w:t>
      </w:r>
      <w:r w:rsidR="00374C40">
        <w:rPr>
          <w:rFonts w:ascii="Arial" w:hAnsi="Arial" w:cs="Arial"/>
          <w:sz w:val="22"/>
          <w:szCs w:val="22"/>
        </w:rPr>
        <w:t>evaluates its benefits, which include better patient satisfaction, empowerment, and health outcomes, as well as its drawbacks, including staff resistance</w:t>
      </w:r>
      <w:r w:rsidRPr="001438C9">
        <w:rPr>
          <w:rFonts w:ascii="Arial" w:hAnsi="Arial" w:cs="Arial"/>
          <w:sz w:val="22"/>
          <w:szCs w:val="22"/>
        </w:rPr>
        <w:t xml:space="preserve">, resource </w:t>
      </w:r>
      <w:r w:rsidR="00374C40">
        <w:rPr>
          <w:rFonts w:ascii="Arial" w:hAnsi="Arial" w:cs="Arial"/>
          <w:sz w:val="22"/>
          <w:szCs w:val="22"/>
        </w:rPr>
        <w:t>limitations</w:t>
      </w:r>
      <w:r w:rsidRPr="001438C9">
        <w:rPr>
          <w:rFonts w:ascii="Arial" w:hAnsi="Arial" w:cs="Arial"/>
          <w:sz w:val="22"/>
          <w:szCs w:val="22"/>
        </w:rPr>
        <w:t xml:space="preserve">, and cultural barriers. The </w:t>
      </w:r>
      <w:r w:rsidR="00374C40">
        <w:rPr>
          <w:rFonts w:ascii="Arial" w:hAnsi="Arial" w:cs="Arial"/>
          <w:sz w:val="22"/>
          <w:szCs w:val="22"/>
        </w:rPr>
        <w:t>theoretical foundations, especially the person-centred approach promoted by Carl Rogers,</w:t>
      </w:r>
      <w:r w:rsidRPr="001438C9">
        <w:rPr>
          <w:rFonts w:ascii="Arial" w:hAnsi="Arial" w:cs="Arial"/>
          <w:sz w:val="22"/>
          <w:szCs w:val="22"/>
        </w:rPr>
        <w:t xml:space="preserve"> are discussed to show that </w:t>
      </w:r>
      <w:r w:rsidR="00374C40">
        <w:rPr>
          <w:rFonts w:ascii="Arial" w:hAnsi="Arial" w:cs="Arial"/>
          <w:sz w:val="22"/>
          <w:szCs w:val="22"/>
        </w:rPr>
        <w:t xml:space="preserve">the </w:t>
      </w:r>
      <w:r w:rsidRPr="001438C9">
        <w:rPr>
          <w:rFonts w:ascii="Arial" w:hAnsi="Arial" w:cs="Arial"/>
          <w:sz w:val="22"/>
          <w:szCs w:val="22"/>
        </w:rPr>
        <w:t xml:space="preserve">theoretical foundations support practical practice. The ethical principles such as autonomy, beneficence, non-maleficence, and justice are examined in connection with PCC and PW, and example cases in the field of mental health care are used to clarify ethical issues associated with them. The report also critiques PW </w:t>
      </w:r>
      <w:r w:rsidR="00374C40">
        <w:rPr>
          <w:rFonts w:ascii="Arial" w:hAnsi="Arial" w:cs="Arial"/>
          <w:sz w:val="22"/>
          <w:szCs w:val="22"/>
        </w:rPr>
        <w:t>and its contribution to providing integrated care, advancing service delivery,</w:t>
      </w:r>
      <w:r w:rsidRPr="001438C9">
        <w:rPr>
          <w:rFonts w:ascii="Arial" w:hAnsi="Arial" w:cs="Arial"/>
          <w:sz w:val="22"/>
          <w:szCs w:val="22"/>
        </w:rPr>
        <w:t xml:space="preserve"> and holistic care, and examines its problems</w:t>
      </w:r>
      <w:r w:rsidR="00374C40">
        <w:rPr>
          <w:rFonts w:ascii="Arial" w:hAnsi="Arial" w:cs="Arial"/>
          <w:sz w:val="22"/>
          <w:szCs w:val="22"/>
        </w:rPr>
        <w:t>, such as</w:t>
      </w:r>
      <w:r w:rsidRPr="001438C9">
        <w:rPr>
          <w:rFonts w:ascii="Arial" w:hAnsi="Arial" w:cs="Arial"/>
          <w:sz w:val="22"/>
          <w:szCs w:val="22"/>
        </w:rPr>
        <w:t xml:space="preserve"> power imbalances, barriers to communication, etc. The UK policies and </w:t>
      </w:r>
      <w:r w:rsidR="00374C40">
        <w:rPr>
          <w:rFonts w:ascii="Arial" w:hAnsi="Arial" w:cs="Arial"/>
          <w:sz w:val="22"/>
          <w:szCs w:val="22"/>
        </w:rPr>
        <w:t>legislation</w:t>
      </w:r>
      <w:r w:rsidRPr="001438C9">
        <w:rPr>
          <w:rFonts w:ascii="Arial" w:hAnsi="Arial" w:cs="Arial"/>
          <w:sz w:val="22"/>
          <w:szCs w:val="22"/>
        </w:rPr>
        <w:t xml:space="preserve"> that </w:t>
      </w:r>
      <w:r w:rsidR="00374C40">
        <w:rPr>
          <w:rFonts w:ascii="Arial" w:hAnsi="Arial" w:cs="Arial"/>
          <w:sz w:val="22"/>
          <w:szCs w:val="22"/>
        </w:rPr>
        <w:t>significantly affect</w:t>
      </w:r>
      <w:r w:rsidRPr="001438C9">
        <w:rPr>
          <w:rFonts w:ascii="Arial" w:hAnsi="Arial" w:cs="Arial"/>
          <w:sz w:val="22"/>
          <w:szCs w:val="22"/>
        </w:rPr>
        <w:t xml:space="preserve"> the practice of PCC and PW are mentioned, especially the Care Act 2014 and the Equality Act 2010. Suggestions are presented to solve the found gaps, including the improvement of training, the adoption of digital health technologies, and the reinforcement of collaborative practices. A restatement of the relevance of PCC and PW to the progression of patient experiences and sustainable outcomes of health and social care within the UK concludes the report.</w:t>
      </w:r>
    </w:p>
    <w:p w14:paraId="49031343" w14:textId="77777777" w:rsidR="00E8501B" w:rsidRPr="001438C9" w:rsidRDefault="00E8501B">
      <w:pPr>
        <w:spacing w:line="278" w:lineRule="auto"/>
        <w:jc w:val="left"/>
        <w:rPr>
          <w:rFonts w:ascii="Arial" w:hAnsi="Arial" w:cs="Arial"/>
          <w:sz w:val="22"/>
          <w:szCs w:val="22"/>
        </w:rPr>
      </w:pPr>
      <w:r w:rsidRPr="001438C9">
        <w:rPr>
          <w:rFonts w:ascii="Arial" w:hAnsi="Arial" w:cs="Arial"/>
          <w:sz w:val="22"/>
          <w:szCs w:val="22"/>
        </w:rPr>
        <w:br w:type="page"/>
      </w:r>
    </w:p>
    <w:sdt>
      <w:sdtPr>
        <w:rPr>
          <w:rFonts w:ascii="Arial" w:eastAsiaTheme="minorHAnsi" w:hAnsi="Arial" w:cs="Arial"/>
          <w:b/>
          <w:bCs/>
          <w:color w:val="auto"/>
          <w:kern w:val="2"/>
          <w:sz w:val="22"/>
          <w:szCs w:val="22"/>
          <w:lang w:val="en-PK"/>
          <w14:ligatures w14:val="standardContextual"/>
        </w:rPr>
        <w:id w:val="-963660690"/>
        <w:docPartObj>
          <w:docPartGallery w:val="Table of Contents"/>
          <w:docPartUnique/>
        </w:docPartObj>
      </w:sdtPr>
      <w:sdtEndPr>
        <w:rPr>
          <w:noProof/>
        </w:rPr>
      </w:sdtEndPr>
      <w:sdtContent>
        <w:p w14:paraId="00D5B074" w14:textId="7E0E2428" w:rsidR="00E8501B" w:rsidRPr="001438C9" w:rsidRDefault="00E8501B">
          <w:pPr>
            <w:pStyle w:val="TOCHeading"/>
            <w:rPr>
              <w:rFonts w:ascii="Arial" w:hAnsi="Arial" w:cs="Arial"/>
              <w:b/>
              <w:bCs/>
              <w:color w:val="auto"/>
              <w:sz w:val="22"/>
              <w:szCs w:val="22"/>
            </w:rPr>
          </w:pPr>
          <w:r w:rsidRPr="001438C9">
            <w:rPr>
              <w:rFonts w:ascii="Arial" w:hAnsi="Arial" w:cs="Arial"/>
              <w:b/>
              <w:bCs/>
              <w:color w:val="auto"/>
              <w:sz w:val="22"/>
              <w:szCs w:val="22"/>
            </w:rPr>
            <w:t>Table of Contents</w:t>
          </w:r>
        </w:p>
        <w:p w14:paraId="72B01508" w14:textId="5F14DEB7" w:rsidR="00824CBA" w:rsidRPr="001438C9" w:rsidRDefault="00E8501B">
          <w:pPr>
            <w:pStyle w:val="TOC1"/>
            <w:tabs>
              <w:tab w:val="right" w:leader="dot" w:pos="9016"/>
            </w:tabs>
            <w:rPr>
              <w:rFonts w:ascii="Arial" w:eastAsiaTheme="minorEastAsia" w:hAnsi="Arial" w:cs="Arial"/>
              <w:noProof/>
              <w:sz w:val="22"/>
              <w:szCs w:val="22"/>
            </w:rPr>
          </w:pPr>
          <w:r w:rsidRPr="001438C9">
            <w:rPr>
              <w:rFonts w:ascii="Arial" w:hAnsi="Arial" w:cs="Arial"/>
              <w:sz w:val="22"/>
              <w:szCs w:val="22"/>
            </w:rPr>
            <w:fldChar w:fldCharType="begin"/>
          </w:r>
          <w:r w:rsidRPr="001438C9">
            <w:rPr>
              <w:rFonts w:ascii="Arial" w:hAnsi="Arial" w:cs="Arial"/>
              <w:sz w:val="22"/>
              <w:szCs w:val="22"/>
            </w:rPr>
            <w:instrText xml:space="preserve"> TOC \o "1-3" \h \z \u </w:instrText>
          </w:r>
          <w:r w:rsidRPr="001438C9">
            <w:rPr>
              <w:rFonts w:ascii="Arial" w:hAnsi="Arial" w:cs="Arial"/>
              <w:sz w:val="22"/>
              <w:szCs w:val="22"/>
            </w:rPr>
            <w:fldChar w:fldCharType="separate"/>
          </w:r>
          <w:hyperlink w:anchor="_Toc209456605" w:history="1">
            <w:r w:rsidR="00824CBA" w:rsidRPr="001438C9">
              <w:rPr>
                <w:rStyle w:val="Hyperlink"/>
                <w:rFonts w:ascii="Arial" w:hAnsi="Arial" w:cs="Arial"/>
                <w:noProof/>
                <w:sz w:val="22"/>
                <w:szCs w:val="22"/>
              </w:rPr>
              <w:t>Abstract</w:t>
            </w:r>
            <w:r w:rsidR="00824CBA" w:rsidRPr="001438C9">
              <w:rPr>
                <w:rFonts w:ascii="Arial" w:hAnsi="Arial" w:cs="Arial"/>
                <w:noProof/>
                <w:webHidden/>
                <w:sz w:val="22"/>
                <w:szCs w:val="22"/>
              </w:rPr>
              <w:tab/>
            </w:r>
            <w:r w:rsidR="00824CBA" w:rsidRPr="001438C9">
              <w:rPr>
                <w:rFonts w:ascii="Arial" w:hAnsi="Arial" w:cs="Arial"/>
                <w:noProof/>
                <w:webHidden/>
                <w:sz w:val="22"/>
                <w:szCs w:val="22"/>
              </w:rPr>
              <w:fldChar w:fldCharType="begin"/>
            </w:r>
            <w:r w:rsidR="00824CBA" w:rsidRPr="001438C9">
              <w:rPr>
                <w:rFonts w:ascii="Arial" w:hAnsi="Arial" w:cs="Arial"/>
                <w:noProof/>
                <w:webHidden/>
                <w:sz w:val="22"/>
                <w:szCs w:val="22"/>
              </w:rPr>
              <w:instrText xml:space="preserve"> PAGEREF _Toc209456605 \h </w:instrText>
            </w:r>
            <w:r w:rsidR="00824CBA" w:rsidRPr="001438C9">
              <w:rPr>
                <w:rFonts w:ascii="Arial" w:hAnsi="Arial" w:cs="Arial"/>
                <w:noProof/>
                <w:webHidden/>
                <w:sz w:val="22"/>
                <w:szCs w:val="22"/>
              </w:rPr>
            </w:r>
            <w:r w:rsidR="00824CBA" w:rsidRPr="001438C9">
              <w:rPr>
                <w:rFonts w:ascii="Arial" w:hAnsi="Arial" w:cs="Arial"/>
                <w:noProof/>
                <w:webHidden/>
                <w:sz w:val="22"/>
                <w:szCs w:val="22"/>
              </w:rPr>
              <w:fldChar w:fldCharType="separate"/>
            </w:r>
            <w:r w:rsidR="001438C9">
              <w:rPr>
                <w:rFonts w:ascii="Arial" w:hAnsi="Arial" w:cs="Arial"/>
                <w:noProof/>
                <w:webHidden/>
                <w:sz w:val="22"/>
                <w:szCs w:val="22"/>
              </w:rPr>
              <w:t>2</w:t>
            </w:r>
            <w:r w:rsidR="00824CBA" w:rsidRPr="001438C9">
              <w:rPr>
                <w:rFonts w:ascii="Arial" w:hAnsi="Arial" w:cs="Arial"/>
                <w:noProof/>
                <w:webHidden/>
                <w:sz w:val="22"/>
                <w:szCs w:val="22"/>
              </w:rPr>
              <w:fldChar w:fldCharType="end"/>
            </w:r>
          </w:hyperlink>
        </w:p>
        <w:p w14:paraId="6823B9A9" w14:textId="27971435" w:rsidR="00824CBA" w:rsidRPr="001438C9" w:rsidRDefault="00824CBA">
          <w:pPr>
            <w:pStyle w:val="TOC1"/>
            <w:tabs>
              <w:tab w:val="right" w:leader="dot" w:pos="9016"/>
            </w:tabs>
            <w:rPr>
              <w:rFonts w:ascii="Arial" w:eastAsiaTheme="minorEastAsia" w:hAnsi="Arial" w:cs="Arial"/>
              <w:noProof/>
              <w:sz w:val="22"/>
              <w:szCs w:val="22"/>
            </w:rPr>
          </w:pPr>
          <w:hyperlink w:anchor="_Toc209456606" w:history="1">
            <w:r w:rsidRPr="001438C9">
              <w:rPr>
                <w:rStyle w:val="Hyperlink"/>
                <w:rFonts w:ascii="Arial" w:hAnsi="Arial" w:cs="Arial"/>
                <w:noProof/>
                <w:sz w:val="22"/>
                <w:szCs w:val="22"/>
              </w:rPr>
              <w:t>Introduction</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_Toc209456606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4</w:t>
            </w:r>
            <w:r w:rsidRPr="001438C9">
              <w:rPr>
                <w:rFonts w:ascii="Arial" w:hAnsi="Arial" w:cs="Arial"/>
                <w:noProof/>
                <w:webHidden/>
                <w:sz w:val="22"/>
                <w:szCs w:val="22"/>
              </w:rPr>
              <w:fldChar w:fldCharType="end"/>
            </w:r>
          </w:hyperlink>
        </w:p>
        <w:p w14:paraId="3D966C93" w14:textId="387EBEF6" w:rsidR="00824CBA" w:rsidRPr="001438C9" w:rsidRDefault="00824CBA">
          <w:pPr>
            <w:pStyle w:val="TOC1"/>
            <w:tabs>
              <w:tab w:val="right" w:leader="dot" w:pos="9016"/>
            </w:tabs>
            <w:rPr>
              <w:rFonts w:ascii="Arial" w:eastAsiaTheme="minorEastAsia" w:hAnsi="Arial" w:cs="Arial"/>
              <w:noProof/>
              <w:sz w:val="22"/>
              <w:szCs w:val="22"/>
            </w:rPr>
          </w:pPr>
          <w:hyperlink w:anchor="_Toc209456607" w:history="1">
            <w:r w:rsidRPr="001438C9">
              <w:rPr>
                <w:rStyle w:val="Hyperlink"/>
                <w:rFonts w:ascii="Arial" w:hAnsi="Arial" w:cs="Arial"/>
                <w:noProof/>
                <w:sz w:val="22"/>
                <w:szCs w:val="22"/>
              </w:rPr>
              <w:t>Definition of Person-Centred Care (PCC)</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_Toc209456607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4</w:t>
            </w:r>
            <w:r w:rsidRPr="001438C9">
              <w:rPr>
                <w:rFonts w:ascii="Arial" w:hAnsi="Arial" w:cs="Arial"/>
                <w:noProof/>
                <w:webHidden/>
                <w:sz w:val="22"/>
                <w:szCs w:val="22"/>
              </w:rPr>
              <w:fldChar w:fldCharType="end"/>
            </w:r>
          </w:hyperlink>
        </w:p>
        <w:p w14:paraId="4ED0179F" w14:textId="61D9F697" w:rsidR="00824CBA" w:rsidRPr="001438C9" w:rsidRDefault="00824CBA">
          <w:pPr>
            <w:pStyle w:val="TOC1"/>
            <w:tabs>
              <w:tab w:val="right" w:leader="dot" w:pos="9016"/>
            </w:tabs>
            <w:rPr>
              <w:rFonts w:ascii="Arial" w:eastAsiaTheme="minorEastAsia" w:hAnsi="Arial" w:cs="Arial"/>
              <w:noProof/>
              <w:sz w:val="22"/>
              <w:szCs w:val="22"/>
            </w:rPr>
          </w:pPr>
          <w:hyperlink w:anchor="_Toc209456608" w:history="1">
            <w:r w:rsidRPr="001438C9">
              <w:rPr>
                <w:rStyle w:val="Hyperlink"/>
                <w:rFonts w:ascii="Arial" w:hAnsi="Arial" w:cs="Arial"/>
                <w:noProof/>
                <w:sz w:val="22"/>
                <w:szCs w:val="22"/>
              </w:rPr>
              <w:t>Relevant Theories Underpinning PCC</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_Toc209456608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5</w:t>
            </w:r>
            <w:r w:rsidRPr="001438C9">
              <w:rPr>
                <w:rFonts w:ascii="Arial" w:hAnsi="Arial" w:cs="Arial"/>
                <w:noProof/>
                <w:webHidden/>
                <w:sz w:val="22"/>
                <w:szCs w:val="22"/>
              </w:rPr>
              <w:fldChar w:fldCharType="end"/>
            </w:r>
          </w:hyperlink>
        </w:p>
        <w:p w14:paraId="20270EE6" w14:textId="06AC6712" w:rsidR="00824CBA" w:rsidRPr="001438C9" w:rsidRDefault="00824CBA">
          <w:pPr>
            <w:pStyle w:val="TOC1"/>
            <w:tabs>
              <w:tab w:val="right" w:leader="dot" w:pos="9016"/>
            </w:tabs>
            <w:rPr>
              <w:rFonts w:ascii="Arial" w:eastAsiaTheme="minorEastAsia" w:hAnsi="Arial" w:cs="Arial"/>
              <w:noProof/>
              <w:sz w:val="22"/>
              <w:szCs w:val="22"/>
            </w:rPr>
          </w:pPr>
          <w:hyperlink w:anchor="_Toc209456609" w:history="1">
            <w:r w:rsidRPr="001438C9">
              <w:rPr>
                <w:rStyle w:val="Hyperlink"/>
                <w:rFonts w:ascii="Arial" w:hAnsi="Arial" w:cs="Arial"/>
                <w:noProof/>
                <w:sz w:val="22"/>
                <w:szCs w:val="22"/>
              </w:rPr>
              <w:t>Ethical PCC and PW Fundamentals</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_Toc209456609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6</w:t>
            </w:r>
            <w:r w:rsidRPr="001438C9">
              <w:rPr>
                <w:rFonts w:ascii="Arial" w:hAnsi="Arial" w:cs="Arial"/>
                <w:noProof/>
                <w:webHidden/>
                <w:sz w:val="22"/>
                <w:szCs w:val="22"/>
              </w:rPr>
              <w:fldChar w:fldCharType="end"/>
            </w:r>
          </w:hyperlink>
        </w:p>
        <w:p w14:paraId="157342C2" w14:textId="08369B9D" w:rsidR="00824CBA" w:rsidRPr="001438C9" w:rsidRDefault="00824CBA">
          <w:pPr>
            <w:pStyle w:val="TOC1"/>
            <w:tabs>
              <w:tab w:val="right" w:leader="dot" w:pos="9016"/>
            </w:tabs>
            <w:rPr>
              <w:rFonts w:ascii="Arial" w:eastAsiaTheme="minorEastAsia" w:hAnsi="Arial" w:cs="Arial"/>
              <w:noProof/>
              <w:sz w:val="22"/>
              <w:szCs w:val="22"/>
            </w:rPr>
          </w:pPr>
          <w:hyperlink w:anchor="_Toc209456610" w:history="1">
            <w:r w:rsidRPr="001438C9">
              <w:rPr>
                <w:rStyle w:val="Hyperlink"/>
                <w:rFonts w:ascii="Arial" w:hAnsi="Arial" w:cs="Arial"/>
                <w:noProof/>
                <w:sz w:val="22"/>
                <w:szCs w:val="22"/>
              </w:rPr>
              <w:t>Evaluation of Partnership Working</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_Toc209456610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7</w:t>
            </w:r>
            <w:r w:rsidRPr="001438C9">
              <w:rPr>
                <w:rFonts w:ascii="Arial" w:hAnsi="Arial" w:cs="Arial"/>
                <w:noProof/>
                <w:webHidden/>
                <w:sz w:val="22"/>
                <w:szCs w:val="22"/>
              </w:rPr>
              <w:fldChar w:fldCharType="end"/>
            </w:r>
          </w:hyperlink>
        </w:p>
        <w:p w14:paraId="01D4BE9C" w14:textId="1C7BABA9" w:rsidR="00824CBA" w:rsidRPr="001438C9" w:rsidRDefault="00824CBA">
          <w:pPr>
            <w:pStyle w:val="TOC1"/>
            <w:tabs>
              <w:tab w:val="right" w:leader="dot" w:pos="9016"/>
            </w:tabs>
            <w:rPr>
              <w:rFonts w:ascii="Arial" w:eastAsiaTheme="minorEastAsia" w:hAnsi="Arial" w:cs="Arial"/>
              <w:noProof/>
              <w:sz w:val="22"/>
              <w:szCs w:val="22"/>
            </w:rPr>
          </w:pPr>
          <w:hyperlink w:anchor="_Toc209456611" w:history="1">
            <w:r w:rsidRPr="001438C9">
              <w:rPr>
                <w:rStyle w:val="Hyperlink"/>
                <w:rFonts w:ascii="Arial" w:hAnsi="Arial" w:cs="Arial"/>
                <w:noProof/>
                <w:sz w:val="22"/>
                <w:szCs w:val="22"/>
              </w:rPr>
              <w:t>Policy and Legislation</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_Toc209456611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8</w:t>
            </w:r>
            <w:r w:rsidRPr="001438C9">
              <w:rPr>
                <w:rFonts w:ascii="Arial" w:hAnsi="Arial" w:cs="Arial"/>
                <w:noProof/>
                <w:webHidden/>
                <w:sz w:val="22"/>
                <w:szCs w:val="22"/>
              </w:rPr>
              <w:fldChar w:fldCharType="end"/>
            </w:r>
          </w:hyperlink>
        </w:p>
        <w:p w14:paraId="59A107A4" w14:textId="4552E3FF" w:rsidR="00824CBA" w:rsidRPr="001438C9" w:rsidRDefault="00824CBA">
          <w:pPr>
            <w:pStyle w:val="TOC1"/>
            <w:tabs>
              <w:tab w:val="right" w:leader="dot" w:pos="9016"/>
            </w:tabs>
            <w:rPr>
              <w:rFonts w:ascii="Arial" w:eastAsiaTheme="minorEastAsia" w:hAnsi="Arial" w:cs="Arial"/>
              <w:noProof/>
              <w:sz w:val="22"/>
              <w:szCs w:val="22"/>
            </w:rPr>
          </w:pPr>
          <w:hyperlink w:anchor="_Toc209456612" w:history="1">
            <w:r w:rsidRPr="001438C9">
              <w:rPr>
                <w:rStyle w:val="Hyperlink"/>
                <w:rFonts w:ascii="Arial" w:hAnsi="Arial" w:cs="Arial"/>
                <w:noProof/>
                <w:sz w:val="22"/>
                <w:szCs w:val="22"/>
              </w:rPr>
              <w:t>Recommendations</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_Toc209456612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9</w:t>
            </w:r>
            <w:r w:rsidRPr="001438C9">
              <w:rPr>
                <w:rFonts w:ascii="Arial" w:hAnsi="Arial" w:cs="Arial"/>
                <w:noProof/>
                <w:webHidden/>
                <w:sz w:val="22"/>
                <w:szCs w:val="22"/>
              </w:rPr>
              <w:fldChar w:fldCharType="end"/>
            </w:r>
          </w:hyperlink>
        </w:p>
        <w:p w14:paraId="11AEF56D" w14:textId="11A73B8C" w:rsidR="00824CBA" w:rsidRPr="001438C9" w:rsidRDefault="00824CBA">
          <w:pPr>
            <w:pStyle w:val="TOC2"/>
            <w:tabs>
              <w:tab w:val="right" w:leader="dot" w:pos="9016"/>
            </w:tabs>
            <w:rPr>
              <w:rFonts w:ascii="Arial" w:eastAsiaTheme="minorEastAsia" w:hAnsi="Arial" w:cs="Arial"/>
              <w:noProof/>
              <w:sz w:val="22"/>
              <w:szCs w:val="22"/>
            </w:rPr>
          </w:pPr>
          <w:hyperlink w:anchor="_Toc209456613" w:history="1">
            <w:r w:rsidRPr="001438C9">
              <w:rPr>
                <w:rStyle w:val="Hyperlink"/>
                <w:rFonts w:ascii="Arial" w:hAnsi="Arial" w:cs="Arial"/>
                <w:noProof/>
                <w:sz w:val="22"/>
                <w:szCs w:val="22"/>
              </w:rPr>
              <w:t>Improved Training and Development.</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_Toc209456613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9</w:t>
            </w:r>
            <w:r w:rsidRPr="001438C9">
              <w:rPr>
                <w:rFonts w:ascii="Arial" w:hAnsi="Arial" w:cs="Arial"/>
                <w:noProof/>
                <w:webHidden/>
                <w:sz w:val="22"/>
                <w:szCs w:val="22"/>
              </w:rPr>
              <w:fldChar w:fldCharType="end"/>
            </w:r>
          </w:hyperlink>
        </w:p>
        <w:p w14:paraId="000A0EB9" w14:textId="7AE46D56" w:rsidR="00824CBA" w:rsidRPr="001438C9" w:rsidRDefault="00824CBA">
          <w:pPr>
            <w:pStyle w:val="TOC2"/>
            <w:tabs>
              <w:tab w:val="right" w:leader="dot" w:pos="9016"/>
            </w:tabs>
            <w:rPr>
              <w:rFonts w:ascii="Arial" w:eastAsiaTheme="minorEastAsia" w:hAnsi="Arial" w:cs="Arial"/>
              <w:noProof/>
              <w:sz w:val="22"/>
              <w:szCs w:val="22"/>
            </w:rPr>
          </w:pPr>
          <w:hyperlink w:anchor="_Toc209456614" w:history="1">
            <w:r w:rsidRPr="001438C9">
              <w:rPr>
                <w:rStyle w:val="Hyperlink"/>
                <w:rFonts w:ascii="Arial" w:hAnsi="Arial" w:cs="Arial"/>
                <w:noProof/>
                <w:sz w:val="22"/>
                <w:szCs w:val="22"/>
              </w:rPr>
              <w:t>Digital Health Technology Integration.</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_Toc209456614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9</w:t>
            </w:r>
            <w:r w:rsidRPr="001438C9">
              <w:rPr>
                <w:rFonts w:ascii="Arial" w:hAnsi="Arial" w:cs="Arial"/>
                <w:noProof/>
                <w:webHidden/>
                <w:sz w:val="22"/>
                <w:szCs w:val="22"/>
              </w:rPr>
              <w:fldChar w:fldCharType="end"/>
            </w:r>
          </w:hyperlink>
        </w:p>
        <w:p w14:paraId="1CE3848F" w14:textId="2D0C0654" w:rsidR="00824CBA" w:rsidRPr="001438C9" w:rsidRDefault="00824CBA">
          <w:pPr>
            <w:pStyle w:val="TOC2"/>
            <w:tabs>
              <w:tab w:val="right" w:leader="dot" w:pos="9016"/>
            </w:tabs>
            <w:rPr>
              <w:rFonts w:ascii="Arial" w:eastAsiaTheme="minorEastAsia" w:hAnsi="Arial" w:cs="Arial"/>
              <w:noProof/>
              <w:sz w:val="22"/>
              <w:szCs w:val="22"/>
            </w:rPr>
          </w:pPr>
          <w:hyperlink w:anchor="_Toc209456615" w:history="1">
            <w:r w:rsidRPr="001438C9">
              <w:rPr>
                <w:rStyle w:val="Hyperlink"/>
                <w:rFonts w:ascii="Arial" w:hAnsi="Arial" w:cs="Arial"/>
                <w:noProof/>
                <w:sz w:val="22"/>
                <w:szCs w:val="22"/>
              </w:rPr>
              <w:t>Improved Service User Involvement.</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_Toc209456615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9</w:t>
            </w:r>
            <w:r w:rsidRPr="001438C9">
              <w:rPr>
                <w:rFonts w:ascii="Arial" w:hAnsi="Arial" w:cs="Arial"/>
                <w:noProof/>
                <w:webHidden/>
                <w:sz w:val="22"/>
                <w:szCs w:val="22"/>
              </w:rPr>
              <w:fldChar w:fldCharType="end"/>
            </w:r>
          </w:hyperlink>
        </w:p>
        <w:p w14:paraId="5F612203" w14:textId="07AC1CEA" w:rsidR="00824CBA" w:rsidRPr="001438C9" w:rsidRDefault="00824CBA">
          <w:pPr>
            <w:pStyle w:val="TOC1"/>
            <w:tabs>
              <w:tab w:val="right" w:leader="dot" w:pos="9016"/>
            </w:tabs>
            <w:rPr>
              <w:rFonts w:ascii="Arial" w:eastAsiaTheme="minorEastAsia" w:hAnsi="Arial" w:cs="Arial"/>
              <w:noProof/>
              <w:sz w:val="22"/>
              <w:szCs w:val="22"/>
            </w:rPr>
          </w:pPr>
          <w:hyperlink w:anchor="_Toc209456616" w:history="1">
            <w:r w:rsidRPr="001438C9">
              <w:rPr>
                <w:rStyle w:val="Hyperlink"/>
                <w:rFonts w:ascii="Arial" w:hAnsi="Arial" w:cs="Arial"/>
                <w:noProof/>
                <w:sz w:val="22"/>
                <w:szCs w:val="22"/>
              </w:rPr>
              <w:t>Conclusion</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_Toc209456616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10</w:t>
            </w:r>
            <w:r w:rsidRPr="001438C9">
              <w:rPr>
                <w:rFonts w:ascii="Arial" w:hAnsi="Arial" w:cs="Arial"/>
                <w:noProof/>
                <w:webHidden/>
                <w:sz w:val="22"/>
                <w:szCs w:val="22"/>
              </w:rPr>
              <w:fldChar w:fldCharType="end"/>
            </w:r>
          </w:hyperlink>
        </w:p>
        <w:p w14:paraId="2C62C02E" w14:textId="03D7CF18" w:rsidR="00824CBA" w:rsidRPr="001438C9" w:rsidRDefault="00824CBA">
          <w:pPr>
            <w:pStyle w:val="TOC1"/>
            <w:tabs>
              <w:tab w:val="right" w:leader="dot" w:pos="9016"/>
            </w:tabs>
            <w:rPr>
              <w:rFonts w:ascii="Arial" w:eastAsiaTheme="minorEastAsia" w:hAnsi="Arial" w:cs="Arial"/>
              <w:noProof/>
              <w:sz w:val="22"/>
              <w:szCs w:val="22"/>
            </w:rPr>
          </w:pPr>
          <w:hyperlink w:anchor="_Toc209456617" w:history="1">
            <w:r w:rsidRPr="001438C9">
              <w:rPr>
                <w:rStyle w:val="Hyperlink"/>
                <w:rFonts w:ascii="Arial" w:hAnsi="Arial" w:cs="Arial"/>
                <w:noProof/>
                <w:sz w:val="22"/>
                <w:szCs w:val="22"/>
              </w:rPr>
              <w:t>References</w:t>
            </w:r>
            <w:r w:rsidRPr="001438C9">
              <w:rPr>
                <w:rFonts w:ascii="Arial" w:hAnsi="Arial" w:cs="Arial"/>
                <w:noProof/>
                <w:webHidden/>
                <w:sz w:val="22"/>
                <w:szCs w:val="22"/>
              </w:rPr>
              <w:tab/>
            </w:r>
            <w:r w:rsidRPr="001438C9">
              <w:rPr>
                <w:rFonts w:ascii="Arial" w:hAnsi="Arial" w:cs="Arial"/>
                <w:noProof/>
                <w:webHidden/>
                <w:sz w:val="22"/>
                <w:szCs w:val="22"/>
              </w:rPr>
              <w:fldChar w:fldCharType="begin"/>
            </w:r>
            <w:r w:rsidRPr="001438C9">
              <w:rPr>
                <w:rFonts w:ascii="Arial" w:hAnsi="Arial" w:cs="Arial"/>
                <w:noProof/>
                <w:webHidden/>
                <w:sz w:val="22"/>
                <w:szCs w:val="22"/>
              </w:rPr>
              <w:instrText xml:space="preserve"> PAGEREF _Toc209456617 \h </w:instrText>
            </w:r>
            <w:r w:rsidRPr="001438C9">
              <w:rPr>
                <w:rFonts w:ascii="Arial" w:hAnsi="Arial" w:cs="Arial"/>
                <w:noProof/>
                <w:webHidden/>
                <w:sz w:val="22"/>
                <w:szCs w:val="22"/>
              </w:rPr>
            </w:r>
            <w:r w:rsidRPr="001438C9">
              <w:rPr>
                <w:rFonts w:ascii="Arial" w:hAnsi="Arial" w:cs="Arial"/>
                <w:noProof/>
                <w:webHidden/>
                <w:sz w:val="22"/>
                <w:szCs w:val="22"/>
              </w:rPr>
              <w:fldChar w:fldCharType="separate"/>
            </w:r>
            <w:r w:rsidR="001438C9">
              <w:rPr>
                <w:rFonts w:ascii="Arial" w:hAnsi="Arial" w:cs="Arial"/>
                <w:noProof/>
                <w:webHidden/>
                <w:sz w:val="22"/>
                <w:szCs w:val="22"/>
              </w:rPr>
              <w:t>11</w:t>
            </w:r>
            <w:r w:rsidRPr="001438C9">
              <w:rPr>
                <w:rFonts w:ascii="Arial" w:hAnsi="Arial" w:cs="Arial"/>
                <w:noProof/>
                <w:webHidden/>
                <w:sz w:val="22"/>
                <w:szCs w:val="22"/>
              </w:rPr>
              <w:fldChar w:fldCharType="end"/>
            </w:r>
          </w:hyperlink>
        </w:p>
        <w:p w14:paraId="20DF1311" w14:textId="63737E8C" w:rsidR="00E8501B" w:rsidRPr="001438C9" w:rsidRDefault="00E8501B">
          <w:pPr>
            <w:rPr>
              <w:rFonts w:ascii="Arial" w:hAnsi="Arial" w:cs="Arial"/>
              <w:sz w:val="22"/>
              <w:szCs w:val="22"/>
            </w:rPr>
          </w:pPr>
          <w:r w:rsidRPr="001438C9">
            <w:rPr>
              <w:rFonts w:ascii="Arial" w:hAnsi="Arial" w:cs="Arial"/>
              <w:b/>
              <w:bCs/>
              <w:noProof/>
              <w:sz w:val="22"/>
              <w:szCs w:val="22"/>
            </w:rPr>
            <w:fldChar w:fldCharType="end"/>
          </w:r>
        </w:p>
      </w:sdtContent>
    </w:sdt>
    <w:p w14:paraId="58B57639" w14:textId="77777777" w:rsidR="00E8501B" w:rsidRPr="001438C9" w:rsidRDefault="00E8501B" w:rsidP="004A6086">
      <w:pPr>
        <w:jc w:val="left"/>
        <w:rPr>
          <w:rFonts w:ascii="Arial" w:hAnsi="Arial" w:cs="Arial"/>
          <w:sz w:val="22"/>
          <w:szCs w:val="22"/>
        </w:rPr>
      </w:pPr>
    </w:p>
    <w:p w14:paraId="209BE0BE" w14:textId="1D16473D" w:rsidR="00A617CB" w:rsidRPr="001438C9" w:rsidRDefault="00A617CB" w:rsidP="004A6086">
      <w:pPr>
        <w:jc w:val="left"/>
        <w:rPr>
          <w:rFonts w:ascii="Arial" w:hAnsi="Arial" w:cs="Arial"/>
          <w:sz w:val="22"/>
          <w:szCs w:val="22"/>
        </w:rPr>
      </w:pPr>
    </w:p>
    <w:p w14:paraId="7AB7C09B" w14:textId="77777777" w:rsidR="00A617CB" w:rsidRPr="001438C9" w:rsidRDefault="00A617CB">
      <w:pPr>
        <w:spacing w:line="278" w:lineRule="auto"/>
        <w:jc w:val="left"/>
        <w:rPr>
          <w:rFonts w:ascii="Arial" w:hAnsi="Arial" w:cs="Arial"/>
          <w:sz w:val="22"/>
          <w:szCs w:val="22"/>
        </w:rPr>
      </w:pPr>
      <w:r w:rsidRPr="001438C9">
        <w:rPr>
          <w:rFonts w:ascii="Arial" w:hAnsi="Arial" w:cs="Arial"/>
          <w:sz w:val="22"/>
          <w:szCs w:val="22"/>
        </w:rPr>
        <w:br w:type="page"/>
      </w:r>
    </w:p>
    <w:p w14:paraId="4A0C246F" w14:textId="7E1E2F04" w:rsidR="00A617CB" w:rsidRPr="001438C9" w:rsidRDefault="00A617CB" w:rsidP="00A617CB">
      <w:pPr>
        <w:pStyle w:val="Heading1"/>
        <w:rPr>
          <w:rFonts w:ascii="Arial" w:hAnsi="Arial" w:cs="Arial"/>
          <w:sz w:val="28"/>
          <w:szCs w:val="28"/>
        </w:rPr>
      </w:pPr>
      <w:bookmarkStart w:id="1" w:name="_Toc209456606"/>
      <w:r w:rsidRPr="001438C9">
        <w:rPr>
          <w:rFonts w:ascii="Arial" w:hAnsi="Arial" w:cs="Arial"/>
          <w:sz w:val="28"/>
          <w:szCs w:val="28"/>
        </w:rPr>
        <w:lastRenderedPageBreak/>
        <w:t>Introduction</w:t>
      </w:r>
      <w:bookmarkEnd w:id="1"/>
    </w:p>
    <w:p w14:paraId="73292788" w14:textId="0D78B025" w:rsidR="00824CBA" w:rsidRPr="001438C9" w:rsidRDefault="00824CBA" w:rsidP="00824CBA">
      <w:pPr>
        <w:rPr>
          <w:rFonts w:ascii="Arial" w:hAnsi="Arial" w:cs="Arial"/>
          <w:sz w:val="22"/>
          <w:szCs w:val="22"/>
        </w:rPr>
      </w:pPr>
      <w:r w:rsidRPr="001438C9">
        <w:rPr>
          <w:rFonts w:ascii="Arial" w:hAnsi="Arial" w:cs="Arial"/>
          <w:sz w:val="22"/>
          <w:szCs w:val="22"/>
        </w:rPr>
        <w:t xml:space="preserve">Person-Centred Care (PCC) and Partnership Working (PW) are becoming a background of the modern paradigmatic construct of </w:t>
      </w:r>
      <w:r w:rsidR="00F054A6">
        <w:rPr>
          <w:rFonts w:ascii="Arial" w:hAnsi="Arial" w:cs="Arial"/>
          <w:sz w:val="22"/>
          <w:szCs w:val="22"/>
        </w:rPr>
        <w:t>contemporary</w:t>
      </w:r>
      <w:r w:rsidRPr="001438C9">
        <w:rPr>
          <w:rFonts w:ascii="Arial" w:hAnsi="Arial" w:cs="Arial"/>
          <w:sz w:val="22"/>
          <w:szCs w:val="22"/>
        </w:rPr>
        <w:t xml:space="preserve"> health and social care practice in the United Kingdom (Karajicic, 2021). PCC preempts the conceptualisation of people as role players in their health and thus acknowledges and esteems their independent choice, lived circumstance, and future hopes</w:t>
      </w:r>
      <w:r w:rsidR="00EB2663">
        <w:rPr>
          <w:rFonts w:ascii="Arial" w:hAnsi="Arial" w:cs="Arial"/>
          <w:sz w:val="22"/>
          <w:szCs w:val="22"/>
        </w:rPr>
        <w:t xml:space="preserve"> (</w:t>
      </w:r>
      <w:r w:rsidR="00EB2663" w:rsidRPr="00EB2663">
        <w:rPr>
          <w:rFonts w:ascii="Arial" w:hAnsi="Arial" w:cs="Arial"/>
          <w:sz w:val="22"/>
          <w:szCs w:val="22"/>
        </w:rPr>
        <w:t xml:space="preserve">Karajicic, </w:t>
      </w:r>
      <w:r w:rsidR="00EB2663">
        <w:rPr>
          <w:rFonts w:ascii="Arial" w:hAnsi="Arial" w:cs="Arial"/>
          <w:sz w:val="22"/>
          <w:szCs w:val="22"/>
        </w:rPr>
        <w:t>2021)</w:t>
      </w:r>
      <w:r w:rsidRPr="001438C9">
        <w:rPr>
          <w:rFonts w:ascii="Arial" w:hAnsi="Arial" w:cs="Arial"/>
          <w:sz w:val="22"/>
          <w:szCs w:val="22"/>
        </w:rPr>
        <w:t xml:space="preserve">. Such a </w:t>
      </w:r>
      <w:r w:rsidR="00F054A6">
        <w:rPr>
          <w:rFonts w:ascii="Arial" w:hAnsi="Arial" w:cs="Arial"/>
          <w:sz w:val="22"/>
          <w:szCs w:val="22"/>
        </w:rPr>
        <w:t>transition shift</w:t>
      </w:r>
      <w:r w:rsidRPr="001438C9">
        <w:rPr>
          <w:rFonts w:ascii="Arial" w:hAnsi="Arial" w:cs="Arial"/>
          <w:sz w:val="22"/>
          <w:szCs w:val="22"/>
        </w:rPr>
        <w:t xml:space="preserve"> is a step </w:t>
      </w:r>
      <w:r w:rsidR="00374C40">
        <w:rPr>
          <w:rFonts w:ascii="Arial" w:hAnsi="Arial" w:cs="Arial"/>
          <w:sz w:val="22"/>
          <w:szCs w:val="22"/>
        </w:rPr>
        <w:t>from</w:t>
      </w:r>
      <w:r w:rsidRPr="001438C9">
        <w:rPr>
          <w:rFonts w:ascii="Arial" w:hAnsi="Arial" w:cs="Arial"/>
          <w:sz w:val="22"/>
          <w:szCs w:val="22"/>
        </w:rPr>
        <w:t xml:space="preserve"> the provider-dominant model to an empowerment-based framework that promotes collaborative associations among patients, families, and professionals. At the same time, PW accentuates the necessity of the integrated work </w:t>
      </w:r>
      <w:r w:rsidR="00374C40">
        <w:rPr>
          <w:rFonts w:ascii="Arial" w:hAnsi="Arial" w:cs="Arial"/>
          <w:sz w:val="22"/>
          <w:szCs w:val="22"/>
        </w:rPr>
        <w:t xml:space="preserve">of health and social care organisations, multidisciplinary teams, and community networks, aiming to provide </w:t>
      </w:r>
      <w:r w:rsidRPr="001438C9">
        <w:rPr>
          <w:rFonts w:ascii="Arial" w:hAnsi="Arial" w:cs="Arial"/>
          <w:sz w:val="22"/>
          <w:szCs w:val="22"/>
        </w:rPr>
        <w:t xml:space="preserve">services </w:t>
      </w:r>
      <w:r w:rsidR="00F054A6">
        <w:rPr>
          <w:rFonts w:ascii="Arial" w:hAnsi="Arial" w:cs="Arial"/>
          <w:sz w:val="22"/>
          <w:szCs w:val="22"/>
        </w:rPr>
        <w:t>comprehensively and effectively</w:t>
      </w:r>
      <w:r w:rsidRPr="001438C9">
        <w:rPr>
          <w:rFonts w:ascii="Arial" w:hAnsi="Arial" w:cs="Arial"/>
          <w:sz w:val="22"/>
          <w:szCs w:val="22"/>
        </w:rPr>
        <w:t>.</w:t>
      </w:r>
    </w:p>
    <w:p w14:paraId="748972ED" w14:textId="25530978" w:rsidR="00824CBA" w:rsidRDefault="00824CBA" w:rsidP="00824CBA">
      <w:pPr>
        <w:rPr>
          <w:rFonts w:ascii="Arial" w:hAnsi="Arial" w:cs="Arial"/>
          <w:sz w:val="22"/>
          <w:szCs w:val="22"/>
          <w:lang w:val="en-GB"/>
        </w:rPr>
      </w:pPr>
      <w:r w:rsidRPr="001438C9">
        <w:rPr>
          <w:rFonts w:ascii="Arial" w:hAnsi="Arial" w:cs="Arial"/>
          <w:sz w:val="22"/>
          <w:szCs w:val="22"/>
        </w:rPr>
        <w:t xml:space="preserve">The purpose of the current report is to provide a critical review of the conceptualisation, implementation and effects of PCC and PW in ethical, theoretical and policy </w:t>
      </w:r>
      <w:r w:rsidR="00374C40">
        <w:rPr>
          <w:rFonts w:ascii="Arial" w:hAnsi="Arial" w:cs="Arial"/>
          <w:sz w:val="22"/>
          <w:szCs w:val="22"/>
        </w:rPr>
        <w:t>contexts</w:t>
      </w:r>
      <w:r w:rsidRPr="001438C9">
        <w:rPr>
          <w:rFonts w:ascii="Arial" w:hAnsi="Arial" w:cs="Arial"/>
          <w:sz w:val="22"/>
          <w:szCs w:val="22"/>
        </w:rPr>
        <w:t xml:space="preserve">. The area of the empirical focus of this analysis is the sphere of mental health services, where the doctrines of PCC and PW have the specific saliency; the sensitivity of the needs of patients, the extensive </w:t>
      </w:r>
      <w:r w:rsidR="00374C40">
        <w:rPr>
          <w:rFonts w:ascii="Arial" w:hAnsi="Arial" w:cs="Arial"/>
          <w:sz w:val="22"/>
          <w:szCs w:val="22"/>
        </w:rPr>
        <w:t>stigmatisation</w:t>
      </w:r>
      <w:r w:rsidRPr="001438C9">
        <w:rPr>
          <w:rFonts w:ascii="Arial" w:hAnsi="Arial" w:cs="Arial"/>
          <w:sz w:val="22"/>
          <w:szCs w:val="22"/>
        </w:rPr>
        <w:t xml:space="preserve"> of mental illness, and the interdependence of multi-agency collaboration are the major themes. The report will highlight PCC, review its theoretical basis, examine the ethical foundations on which PCC is practiced, and examine the role of PW. The relevant policies and legislative frameworks will be reviewed systematically</w:t>
      </w:r>
      <w:r w:rsidR="00374C40">
        <w:rPr>
          <w:rFonts w:ascii="Arial" w:hAnsi="Arial" w:cs="Arial"/>
          <w:sz w:val="22"/>
          <w:szCs w:val="22"/>
        </w:rPr>
        <w:t>, and recommendations will be made on improving them</w:t>
      </w:r>
      <w:r w:rsidRPr="001438C9">
        <w:rPr>
          <w:rFonts w:ascii="Arial" w:hAnsi="Arial" w:cs="Arial"/>
          <w:sz w:val="22"/>
          <w:szCs w:val="22"/>
        </w:rPr>
        <w:t xml:space="preserve">. The report therefore aims </w:t>
      </w:r>
      <w:r w:rsidR="00374C40">
        <w:rPr>
          <w:rFonts w:ascii="Arial" w:hAnsi="Arial" w:cs="Arial"/>
          <w:sz w:val="22"/>
          <w:szCs w:val="22"/>
        </w:rPr>
        <w:t>to provide a holistic and critique-filled outlook on adopting</w:t>
      </w:r>
      <w:r w:rsidRPr="001438C9">
        <w:rPr>
          <w:rFonts w:ascii="Arial" w:hAnsi="Arial" w:cs="Arial"/>
          <w:sz w:val="22"/>
          <w:szCs w:val="22"/>
        </w:rPr>
        <w:t xml:space="preserve"> PCC and PW in professional health and social care practice.</w:t>
      </w:r>
    </w:p>
    <w:p w14:paraId="7753C26F" w14:textId="77777777" w:rsidR="001438C9" w:rsidRPr="001438C9" w:rsidRDefault="001438C9" w:rsidP="00824CBA">
      <w:pPr>
        <w:rPr>
          <w:rFonts w:ascii="Arial" w:hAnsi="Arial" w:cs="Arial"/>
          <w:sz w:val="22"/>
          <w:szCs w:val="22"/>
          <w:lang w:val="en-GB"/>
        </w:rPr>
      </w:pPr>
    </w:p>
    <w:p w14:paraId="11542D40" w14:textId="328D5F30" w:rsidR="00A617CB" w:rsidRPr="001438C9" w:rsidRDefault="00A617CB" w:rsidP="00A617CB">
      <w:pPr>
        <w:pStyle w:val="Heading1"/>
        <w:rPr>
          <w:rFonts w:ascii="Arial" w:hAnsi="Arial" w:cs="Arial"/>
          <w:sz w:val="28"/>
          <w:szCs w:val="28"/>
        </w:rPr>
      </w:pPr>
      <w:bookmarkStart w:id="2" w:name="_Toc209456607"/>
      <w:r w:rsidRPr="001438C9">
        <w:rPr>
          <w:rFonts w:ascii="Arial" w:hAnsi="Arial" w:cs="Arial"/>
          <w:sz w:val="28"/>
          <w:szCs w:val="28"/>
        </w:rPr>
        <w:t>Definition of Person-Centred Care (PCC)</w:t>
      </w:r>
      <w:bookmarkEnd w:id="2"/>
    </w:p>
    <w:p w14:paraId="087CC73A" w14:textId="0B04189F" w:rsidR="00824CBA" w:rsidRPr="001438C9" w:rsidRDefault="00824CBA" w:rsidP="00A617CB">
      <w:pPr>
        <w:jc w:val="left"/>
        <w:rPr>
          <w:rFonts w:ascii="Arial" w:hAnsi="Arial" w:cs="Arial"/>
          <w:sz w:val="22"/>
          <w:szCs w:val="22"/>
        </w:rPr>
      </w:pPr>
      <w:r w:rsidRPr="001438C9">
        <w:rPr>
          <w:rFonts w:ascii="Arial" w:hAnsi="Arial" w:cs="Arial"/>
          <w:sz w:val="22"/>
          <w:szCs w:val="22"/>
        </w:rPr>
        <w:t xml:space="preserve">The concept of </w:t>
      </w:r>
      <w:r w:rsidR="001E53CB">
        <w:rPr>
          <w:rFonts w:ascii="Arial" w:hAnsi="Arial" w:cs="Arial"/>
          <w:sz w:val="22"/>
          <w:szCs w:val="22"/>
        </w:rPr>
        <w:t>person-centred</w:t>
      </w:r>
      <w:r w:rsidRPr="001438C9">
        <w:rPr>
          <w:rFonts w:ascii="Arial" w:hAnsi="Arial" w:cs="Arial"/>
          <w:sz w:val="22"/>
          <w:szCs w:val="22"/>
        </w:rPr>
        <w:t xml:space="preserve"> care (PCC) is developed as a model according to which health and social care services are planned and provided in relation to the needs, values, and preferences of individuals, instead of being built around the priorities of the professionals or the institutions (Kopec, 2021). The Health Foundation (2021) states that PCC helps patients </w:t>
      </w:r>
      <w:r w:rsidR="001E53CB">
        <w:rPr>
          <w:rFonts w:ascii="Arial" w:hAnsi="Arial" w:cs="Arial"/>
          <w:sz w:val="22"/>
          <w:szCs w:val="22"/>
        </w:rPr>
        <w:t>receive care that is dignified, compassionate, and respectful, while at the same time enabling them to participate actively</w:t>
      </w:r>
      <w:r w:rsidRPr="001438C9">
        <w:rPr>
          <w:rFonts w:ascii="Arial" w:hAnsi="Arial" w:cs="Arial"/>
          <w:sz w:val="22"/>
          <w:szCs w:val="22"/>
        </w:rPr>
        <w:t xml:space="preserve"> in the process of making decisions related to their care. In the context of mental health services, this paradigm involves seeing service users not just as persons with symptoms raised but as unique people who have a history of life, objectives, and social settings.</w:t>
      </w:r>
    </w:p>
    <w:p w14:paraId="3166BDE0" w14:textId="2C4CFB36" w:rsidR="00A617CB" w:rsidRPr="001438C9" w:rsidRDefault="00A617CB" w:rsidP="00A617CB">
      <w:pPr>
        <w:jc w:val="left"/>
        <w:rPr>
          <w:rFonts w:ascii="Arial" w:hAnsi="Arial" w:cs="Arial"/>
          <w:sz w:val="22"/>
          <w:szCs w:val="22"/>
        </w:rPr>
      </w:pPr>
      <w:r w:rsidRPr="001438C9">
        <w:rPr>
          <w:rFonts w:ascii="Arial" w:hAnsi="Arial" w:cs="Arial"/>
          <w:sz w:val="22"/>
          <w:szCs w:val="22"/>
        </w:rPr>
        <w:lastRenderedPageBreak/>
        <w:t xml:space="preserve">The advantages of PCC are </w:t>
      </w:r>
      <w:r w:rsidR="001E53CB">
        <w:rPr>
          <w:rFonts w:ascii="Arial" w:hAnsi="Arial" w:cs="Arial"/>
          <w:sz w:val="22"/>
          <w:szCs w:val="22"/>
        </w:rPr>
        <w:t xml:space="preserve">well-written. </w:t>
      </w:r>
      <w:r w:rsidR="00374C40">
        <w:rPr>
          <w:rFonts w:ascii="Arial" w:hAnsi="Arial" w:cs="Arial"/>
          <w:sz w:val="22"/>
          <w:szCs w:val="22"/>
        </w:rPr>
        <w:t>Empirical evidence shows</w:t>
      </w:r>
      <w:r w:rsidR="001E53CB">
        <w:rPr>
          <w:rFonts w:ascii="Arial" w:hAnsi="Arial" w:cs="Arial"/>
          <w:sz w:val="22"/>
          <w:szCs w:val="22"/>
        </w:rPr>
        <w:t xml:space="preserve"> that PCC positively affects treatment adherence, patient satisfaction, and overall health outcomes (Santana et al., 2018). In the mental health field, PCC supports recovery-based practice through autonomy, reduced stigma, and building trust between service users and </w:t>
      </w:r>
      <w:r w:rsidRPr="001438C9">
        <w:rPr>
          <w:rFonts w:ascii="Arial" w:hAnsi="Arial" w:cs="Arial"/>
          <w:sz w:val="22"/>
          <w:szCs w:val="22"/>
        </w:rPr>
        <w:t>professionals. However, there are still restrictions</w:t>
      </w:r>
      <w:r w:rsidR="001E53CB">
        <w:rPr>
          <w:rFonts w:ascii="Arial" w:hAnsi="Arial" w:cs="Arial"/>
          <w:sz w:val="22"/>
          <w:szCs w:val="22"/>
        </w:rPr>
        <w:t xml:space="preserve"> (</w:t>
      </w:r>
      <w:r w:rsidR="001E53CB" w:rsidRPr="001E53CB">
        <w:rPr>
          <w:rFonts w:ascii="Arial" w:hAnsi="Arial" w:cs="Arial"/>
          <w:sz w:val="22"/>
          <w:szCs w:val="22"/>
        </w:rPr>
        <w:t>Chatwiriyaphong</w:t>
      </w:r>
      <w:r w:rsidR="001E53CB">
        <w:rPr>
          <w:rFonts w:ascii="Arial" w:hAnsi="Arial" w:cs="Arial"/>
          <w:sz w:val="22"/>
          <w:szCs w:val="22"/>
        </w:rPr>
        <w:t xml:space="preserve"> et al., 2024)</w:t>
      </w:r>
      <w:r w:rsidRPr="001438C9">
        <w:rPr>
          <w:rFonts w:ascii="Arial" w:hAnsi="Arial" w:cs="Arial"/>
          <w:sz w:val="22"/>
          <w:szCs w:val="22"/>
        </w:rPr>
        <w:t xml:space="preserve">. </w:t>
      </w:r>
    </w:p>
    <w:p w14:paraId="035B06ED" w14:textId="6C5D66EC" w:rsidR="00A617CB" w:rsidRPr="001438C9" w:rsidRDefault="00A617CB" w:rsidP="00A617CB">
      <w:pPr>
        <w:jc w:val="left"/>
        <w:rPr>
          <w:rFonts w:ascii="Arial" w:hAnsi="Arial" w:cs="Arial"/>
          <w:sz w:val="22"/>
          <w:szCs w:val="22"/>
        </w:rPr>
      </w:pPr>
      <w:r w:rsidRPr="001438C9">
        <w:rPr>
          <w:rFonts w:ascii="Arial" w:hAnsi="Arial" w:cs="Arial"/>
          <w:sz w:val="22"/>
          <w:szCs w:val="22"/>
        </w:rPr>
        <w:t>The framework below (see Figure 1) outlines the important elements of PCC. It prefigures values like respect, dignity</w:t>
      </w:r>
      <w:r w:rsidR="001E53CB">
        <w:rPr>
          <w:rFonts w:ascii="Arial" w:hAnsi="Arial" w:cs="Arial"/>
          <w:sz w:val="22"/>
          <w:szCs w:val="22"/>
        </w:rPr>
        <w:t>, and compassion, behaviours like active listening and shared decision-making,</w:t>
      </w:r>
      <w:r w:rsidRPr="001438C9">
        <w:rPr>
          <w:rFonts w:ascii="Arial" w:hAnsi="Arial" w:cs="Arial"/>
          <w:sz w:val="22"/>
          <w:szCs w:val="22"/>
        </w:rPr>
        <w:t xml:space="preserve"> and outcomes like improved trust and </w:t>
      </w:r>
      <w:r w:rsidR="00374C40">
        <w:rPr>
          <w:rFonts w:ascii="Arial" w:hAnsi="Arial" w:cs="Arial"/>
          <w:sz w:val="22"/>
          <w:szCs w:val="22"/>
        </w:rPr>
        <w:t>well-being</w:t>
      </w:r>
      <w:r w:rsidRPr="001438C9">
        <w:rPr>
          <w:rFonts w:ascii="Arial" w:hAnsi="Arial" w:cs="Arial"/>
          <w:sz w:val="22"/>
          <w:szCs w:val="22"/>
        </w:rPr>
        <w:t xml:space="preserve">. Most importantly, the framework identifies three levels of </w:t>
      </w:r>
      <w:r w:rsidR="001E53CB">
        <w:rPr>
          <w:rFonts w:ascii="Arial" w:hAnsi="Arial" w:cs="Arial"/>
          <w:sz w:val="22"/>
          <w:szCs w:val="22"/>
        </w:rPr>
        <w:t>person-centred</w:t>
      </w:r>
      <w:r w:rsidRPr="001438C9">
        <w:rPr>
          <w:rFonts w:ascii="Arial" w:hAnsi="Arial" w:cs="Arial"/>
          <w:sz w:val="22"/>
          <w:szCs w:val="22"/>
        </w:rPr>
        <w:t xml:space="preserve"> conversations</w:t>
      </w:r>
      <w:r w:rsidR="001E53CB">
        <w:rPr>
          <w:rFonts w:ascii="Arial" w:hAnsi="Arial" w:cs="Arial"/>
          <w:sz w:val="22"/>
          <w:szCs w:val="22"/>
        </w:rPr>
        <w:t>: engagement</w:t>
      </w:r>
      <w:r w:rsidRPr="001438C9">
        <w:rPr>
          <w:rFonts w:ascii="Arial" w:hAnsi="Arial" w:cs="Arial"/>
          <w:sz w:val="22"/>
          <w:szCs w:val="22"/>
        </w:rPr>
        <w:t>, enabling, and managing complexity, all of which are the progressive stages of relationship development and collaborative practice. This visual model highlights that PCC is not a single intervention, but a holistic process that requires the consistency of behaviours, organisational commitment, and reflective learning.</w:t>
      </w:r>
    </w:p>
    <w:p w14:paraId="77B0A635" w14:textId="6992DDBE" w:rsidR="00A617CB" w:rsidRDefault="00A617CB" w:rsidP="00A617CB">
      <w:pPr>
        <w:jc w:val="left"/>
      </w:pPr>
      <w:r>
        <w:t xml:space="preserve">                                  </w:t>
      </w:r>
      <w:r w:rsidRPr="00A617CB">
        <w:rPr>
          <w:noProof/>
        </w:rPr>
        <w:drawing>
          <wp:inline distT="0" distB="0" distL="0" distR="0" wp14:anchorId="474E8C58" wp14:editId="73D496F6">
            <wp:extent cx="3562350" cy="3043678"/>
            <wp:effectExtent l="0" t="0" r="0" b="4445"/>
            <wp:docPr id="88911224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12240" name="Picture 1" descr="A diagram of a diagram&#10;&#10;AI-generated content may be incorrect."/>
                    <pic:cNvPicPr/>
                  </pic:nvPicPr>
                  <pic:blipFill>
                    <a:blip r:embed="rId11"/>
                    <a:stretch>
                      <a:fillRect/>
                    </a:stretch>
                  </pic:blipFill>
                  <pic:spPr>
                    <a:xfrm>
                      <a:off x="0" y="0"/>
                      <a:ext cx="3571128" cy="3051178"/>
                    </a:xfrm>
                    <a:prstGeom prst="rect">
                      <a:avLst/>
                    </a:prstGeom>
                  </pic:spPr>
                </pic:pic>
              </a:graphicData>
            </a:graphic>
          </wp:inline>
        </w:drawing>
      </w:r>
    </w:p>
    <w:p w14:paraId="40219FF9" w14:textId="434ACE96" w:rsidR="001438C9" w:rsidRPr="001438C9" w:rsidRDefault="00A617CB" w:rsidP="001E53CB">
      <w:pPr>
        <w:pStyle w:val="Caption"/>
        <w:jc w:val="center"/>
        <w:rPr>
          <w:lang w:val="en-GB"/>
        </w:rPr>
      </w:pPr>
      <w:r>
        <w:t xml:space="preserve">Figure </w:t>
      </w:r>
      <w:fldSimple w:instr=" SEQ Figure \* ARABIC ">
        <w:r>
          <w:rPr>
            <w:noProof/>
          </w:rPr>
          <w:t>1</w:t>
        </w:r>
      </w:fldSimple>
      <w:r>
        <w:t>:</w:t>
      </w:r>
      <w:r w:rsidRPr="00A617CB">
        <w:t xml:space="preserve"> Framework for Person-Centred Approaches</w:t>
      </w:r>
    </w:p>
    <w:p w14:paraId="62A1312E" w14:textId="4D090F95" w:rsidR="00A617CB" w:rsidRPr="001438C9" w:rsidRDefault="00A617CB" w:rsidP="00A617CB">
      <w:pPr>
        <w:pStyle w:val="Heading1"/>
        <w:rPr>
          <w:rFonts w:ascii="Arial" w:hAnsi="Arial" w:cs="Arial"/>
          <w:sz w:val="28"/>
          <w:szCs w:val="28"/>
        </w:rPr>
      </w:pPr>
      <w:bookmarkStart w:id="3" w:name="_Toc209456608"/>
      <w:r w:rsidRPr="001438C9">
        <w:rPr>
          <w:rFonts w:ascii="Arial" w:hAnsi="Arial" w:cs="Arial"/>
          <w:sz w:val="28"/>
          <w:szCs w:val="28"/>
        </w:rPr>
        <w:t>Relevant Theories Underpinning PCC</w:t>
      </w:r>
      <w:bookmarkEnd w:id="3"/>
    </w:p>
    <w:p w14:paraId="6A3B2DB4" w14:textId="28524FDB" w:rsidR="00A617CB" w:rsidRPr="001438C9" w:rsidRDefault="00A617CB" w:rsidP="00A617CB">
      <w:pPr>
        <w:rPr>
          <w:rFonts w:ascii="Arial" w:hAnsi="Arial" w:cs="Arial"/>
          <w:sz w:val="22"/>
          <w:szCs w:val="22"/>
        </w:rPr>
      </w:pPr>
      <w:r w:rsidRPr="001438C9">
        <w:rPr>
          <w:rFonts w:ascii="Arial" w:hAnsi="Arial" w:cs="Arial"/>
          <w:sz w:val="22"/>
          <w:szCs w:val="22"/>
        </w:rPr>
        <w:t>Person-Centred Care (PCC) has a long history of development significantly shaped by theoretical frameworks in psychology and nursing that predetermine the preeminence of the individual as the core of the care process</w:t>
      </w:r>
      <w:r w:rsidR="00130198" w:rsidRPr="001438C9">
        <w:rPr>
          <w:rFonts w:ascii="Arial" w:hAnsi="Arial" w:cs="Arial"/>
          <w:sz w:val="22"/>
          <w:szCs w:val="22"/>
        </w:rPr>
        <w:t xml:space="preserve"> (McCormack </w:t>
      </w:r>
      <w:r w:rsidR="001E53CB">
        <w:rPr>
          <w:rFonts w:ascii="Arial" w:hAnsi="Arial" w:cs="Arial"/>
          <w:sz w:val="22"/>
          <w:szCs w:val="22"/>
        </w:rPr>
        <w:t>&amp;</w:t>
      </w:r>
      <w:r w:rsidR="00130198" w:rsidRPr="001438C9">
        <w:rPr>
          <w:rFonts w:ascii="Arial" w:hAnsi="Arial" w:cs="Arial"/>
          <w:sz w:val="22"/>
          <w:szCs w:val="22"/>
        </w:rPr>
        <w:t xml:space="preserve"> McCance, 2011)</w:t>
      </w:r>
      <w:r w:rsidRPr="001438C9">
        <w:rPr>
          <w:rFonts w:ascii="Arial" w:hAnsi="Arial" w:cs="Arial"/>
          <w:sz w:val="22"/>
          <w:szCs w:val="22"/>
        </w:rPr>
        <w:t>. Among them, the Person-Centred Theory, developed by Carl Rogers</w:t>
      </w:r>
      <w:r w:rsidR="001E53CB">
        <w:rPr>
          <w:rFonts w:ascii="Arial" w:hAnsi="Arial" w:cs="Arial"/>
          <w:sz w:val="22"/>
          <w:szCs w:val="22"/>
        </w:rPr>
        <w:t xml:space="preserve"> and</w:t>
      </w:r>
      <w:r w:rsidRPr="001438C9">
        <w:rPr>
          <w:rFonts w:ascii="Arial" w:hAnsi="Arial" w:cs="Arial"/>
          <w:sz w:val="22"/>
          <w:szCs w:val="22"/>
        </w:rPr>
        <w:t xml:space="preserve"> </w:t>
      </w:r>
      <w:r w:rsidR="001E53CB">
        <w:rPr>
          <w:rFonts w:ascii="Arial" w:hAnsi="Arial" w:cs="Arial"/>
          <w:sz w:val="22"/>
          <w:szCs w:val="22"/>
        </w:rPr>
        <w:t>initially</w:t>
      </w:r>
      <w:r w:rsidRPr="001438C9">
        <w:rPr>
          <w:rFonts w:ascii="Arial" w:hAnsi="Arial" w:cs="Arial"/>
          <w:sz w:val="22"/>
          <w:szCs w:val="22"/>
        </w:rPr>
        <w:t xml:space="preserve"> conceived in counselling and psychotherapy, is still leading. Rogers assumed that people </w:t>
      </w:r>
      <w:r w:rsidR="001E53CB">
        <w:rPr>
          <w:rFonts w:ascii="Arial" w:hAnsi="Arial" w:cs="Arial"/>
          <w:sz w:val="22"/>
          <w:szCs w:val="22"/>
        </w:rPr>
        <w:t>naturally tend</w:t>
      </w:r>
      <w:r w:rsidRPr="001438C9">
        <w:rPr>
          <w:rFonts w:ascii="Arial" w:hAnsi="Arial" w:cs="Arial"/>
          <w:sz w:val="22"/>
          <w:szCs w:val="22"/>
        </w:rPr>
        <w:t xml:space="preserve"> to grow and self-actualise, which can be realised in </w:t>
      </w:r>
      <w:r w:rsidR="001E53CB">
        <w:rPr>
          <w:rFonts w:ascii="Arial" w:hAnsi="Arial" w:cs="Arial"/>
          <w:sz w:val="22"/>
          <w:szCs w:val="22"/>
        </w:rPr>
        <w:t>an</w:t>
      </w:r>
      <w:r w:rsidRPr="001438C9">
        <w:rPr>
          <w:rFonts w:ascii="Arial" w:hAnsi="Arial" w:cs="Arial"/>
          <w:sz w:val="22"/>
          <w:szCs w:val="22"/>
        </w:rPr>
        <w:t xml:space="preserve"> environment that is empathetic, congruent, and </w:t>
      </w:r>
      <w:r w:rsidRPr="001438C9">
        <w:rPr>
          <w:rFonts w:ascii="Arial" w:hAnsi="Arial" w:cs="Arial"/>
          <w:sz w:val="22"/>
          <w:szCs w:val="22"/>
        </w:rPr>
        <w:lastRenderedPageBreak/>
        <w:t xml:space="preserve">unconditionally positive (Rogers, 1951). In health and social care, these principles can be applied </w:t>
      </w:r>
      <w:r w:rsidR="001E53CB">
        <w:rPr>
          <w:rFonts w:ascii="Arial" w:hAnsi="Arial" w:cs="Arial"/>
          <w:sz w:val="22"/>
          <w:szCs w:val="22"/>
        </w:rPr>
        <w:t>through</w:t>
      </w:r>
      <w:r w:rsidRPr="001438C9">
        <w:rPr>
          <w:rFonts w:ascii="Arial" w:hAnsi="Arial" w:cs="Arial"/>
          <w:sz w:val="22"/>
          <w:szCs w:val="22"/>
        </w:rPr>
        <w:t xml:space="preserve"> therapeutic relationships in which patients are listened to without </w:t>
      </w:r>
      <w:r w:rsidR="00374C40">
        <w:rPr>
          <w:rFonts w:ascii="Arial" w:hAnsi="Arial" w:cs="Arial"/>
          <w:sz w:val="22"/>
          <w:szCs w:val="22"/>
        </w:rPr>
        <w:t>judgment</w:t>
      </w:r>
      <w:r w:rsidRPr="001438C9">
        <w:rPr>
          <w:rFonts w:ascii="Arial" w:hAnsi="Arial" w:cs="Arial"/>
          <w:sz w:val="22"/>
          <w:szCs w:val="22"/>
        </w:rPr>
        <w:t xml:space="preserve">, their affective state is </w:t>
      </w:r>
      <w:r w:rsidR="001E53CB">
        <w:rPr>
          <w:rFonts w:ascii="Arial" w:hAnsi="Arial" w:cs="Arial"/>
          <w:sz w:val="22"/>
          <w:szCs w:val="22"/>
        </w:rPr>
        <w:t>acknowledged</w:t>
      </w:r>
      <w:r w:rsidRPr="001438C9">
        <w:rPr>
          <w:rFonts w:ascii="Arial" w:hAnsi="Arial" w:cs="Arial"/>
          <w:sz w:val="22"/>
          <w:szCs w:val="22"/>
        </w:rPr>
        <w:t xml:space="preserve">, and their personal values are easily incorporated into the </w:t>
      </w:r>
      <w:r w:rsidR="00374C40">
        <w:rPr>
          <w:rFonts w:ascii="Arial" w:hAnsi="Arial" w:cs="Arial"/>
          <w:sz w:val="22"/>
          <w:szCs w:val="22"/>
        </w:rPr>
        <w:t>care plan</w:t>
      </w:r>
      <w:r w:rsidRPr="001438C9">
        <w:rPr>
          <w:rFonts w:ascii="Arial" w:hAnsi="Arial" w:cs="Arial"/>
          <w:sz w:val="22"/>
          <w:szCs w:val="22"/>
        </w:rPr>
        <w:t>.</w:t>
      </w:r>
    </w:p>
    <w:p w14:paraId="690E157C" w14:textId="7FC9ABB2" w:rsidR="00A617CB" w:rsidRPr="001438C9" w:rsidRDefault="00374C40" w:rsidP="00A617CB">
      <w:pPr>
        <w:rPr>
          <w:rFonts w:ascii="Arial" w:hAnsi="Arial" w:cs="Arial"/>
          <w:sz w:val="22"/>
          <w:szCs w:val="22"/>
        </w:rPr>
      </w:pPr>
      <w:r>
        <w:rPr>
          <w:rFonts w:ascii="Arial" w:hAnsi="Arial" w:cs="Arial"/>
          <w:sz w:val="22"/>
          <w:szCs w:val="22"/>
        </w:rPr>
        <w:t>Rogers’ theory forms the foundation of recovery-oriented practice in mental health services</w:t>
      </w:r>
      <w:r w:rsidR="00A617CB" w:rsidRPr="001438C9">
        <w:rPr>
          <w:rFonts w:ascii="Arial" w:hAnsi="Arial" w:cs="Arial"/>
          <w:sz w:val="22"/>
          <w:szCs w:val="22"/>
        </w:rPr>
        <w:t xml:space="preserve">. As an example, a patient struggling with depression can find more value in a care model that considers their emotional environment, allows them to express themselves, and enables them to establish goals in their recovery process instead of being passive. </w:t>
      </w:r>
    </w:p>
    <w:p w14:paraId="37E62AE4" w14:textId="7824B2DA" w:rsidR="00A617CB" w:rsidRPr="001438C9" w:rsidRDefault="00A617CB" w:rsidP="00A617CB">
      <w:pPr>
        <w:rPr>
          <w:rFonts w:ascii="Arial" w:hAnsi="Arial" w:cs="Arial"/>
          <w:sz w:val="22"/>
          <w:szCs w:val="22"/>
        </w:rPr>
      </w:pPr>
      <w:r w:rsidRPr="001438C9">
        <w:rPr>
          <w:rFonts w:ascii="Arial" w:hAnsi="Arial" w:cs="Arial"/>
          <w:sz w:val="22"/>
          <w:szCs w:val="22"/>
        </w:rPr>
        <w:t xml:space="preserve">Another relevant model is the Self-Care Deficit Nursing Theory by Orem, which </w:t>
      </w:r>
      <w:r w:rsidR="00374C40">
        <w:rPr>
          <w:rFonts w:ascii="Arial" w:hAnsi="Arial" w:cs="Arial"/>
          <w:sz w:val="22"/>
          <w:szCs w:val="22"/>
        </w:rPr>
        <w:t>theorises</w:t>
      </w:r>
      <w:r w:rsidRPr="001438C9">
        <w:rPr>
          <w:rFonts w:ascii="Arial" w:hAnsi="Arial" w:cs="Arial"/>
          <w:sz w:val="22"/>
          <w:szCs w:val="22"/>
        </w:rPr>
        <w:t xml:space="preserve"> care as a shared process where nurses can help patients </w:t>
      </w:r>
      <w:r w:rsidR="00374C40">
        <w:rPr>
          <w:rFonts w:ascii="Arial" w:hAnsi="Arial" w:cs="Arial"/>
          <w:sz w:val="22"/>
          <w:szCs w:val="22"/>
        </w:rPr>
        <w:t>achieve self-care deficits that they cannot fulfil independently (Orem, 1991). This model is particularly relevant in mental health settings, where service users might lack confidence or the ability to cope with mundane activities due to</w:t>
      </w:r>
      <w:r w:rsidRPr="001438C9">
        <w:rPr>
          <w:rFonts w:ascii="Arial" w:hAnsi="Arial" w:cs="Arial"/>
          <w:sz w:val="22"/>
          <w:szCs w:val="22"/>
        </w:rPr>
        <w:t xml:space="preserve"> psychopathology. In this case, practitioners enable patients to gradually reclaim their autonomy through tailored support and involvement in joint decision-making.</w:t>
      </w:r>
    </w:p>
    <w:p w14:paraId="0C92C553" w14:textId="0D1096FC" w:rsidR="00824CBA" w:rsidRDefault="00A617CB" w:rsidP="00824CBA">
      <w:pPr>
        <w:rPr>
          <w:rFonts w:ascii="Arial" w:hAnsi="Arial" w:cs="Arial"/>
          <w:sz w:val="22"/>
          <w:szCs w:val="22"/>
          <w:lang w:val="en-GB"/>
        </w:rPr>
      </w:pPr>
      <w:r w:rsidRPr="001438C9">
        <w:rPr>
          <w:rFonts w:ascii="Arial" w:hAnsi="Arial" w:cs="Arial"/>
          <w:sz w:val="22"/>
          <w:szCs w:val="22"/>
        </w:rPr>
        <w:t>The two theories explain different</w:t>
      </w:r>
      <w:r w:rsidR="00374C40">
        <w:rPr>
          <w:rFonts w:ascii="Arial" w:hAnsi="Arial" w:cs="Arial"/>
          <w:sz w:val="22"/>
          <w:szCs w:val="22"/>
        </w:rPr>
        <w:t xml:space="preserve"> but complementary aspects of PCC. Rogers anticipates the relational and communicative basis, but Orem provides a systematic approach to identifying proper intervention strategies. They proved their production in mental health practice that person-centred care (PCC) is far more than an ethos of ethics;</w:t>
      </w:r>
      <w:r w:rsidR="00824CBA" w:rsidRPr="001438C9">
        <w:rPr>
          <w:rFonts w:ascii="Arial" w:hAnsi="Arial" w:cs="Arial"/>
          <w:sz w:val="22"/>
          <w:szCs w:val="22"/>
        </w:rPr>
        <w:t xml:space="preserve"> it is a theoretically grounded approach that supports patient autonomy, dignity, and active participation.  </w:t>
      </w:r>
    </w:p>
    <w:p w14:paraId="3C3F4F51" w14:textId="77777777" w:rsidR="001438C9" w:rsidRPr="001438C9" w:rsidRDefault="001438C9" w:rsidP="00824CBA">
      <w:pPr>
        <w:rPr>
          <w:rFonts w:ascii="Arial" w:hAnsi="Arial" w:cs="Arial"/>
          <w:sz w:val="22"/>
          <w:szCs w:val="22"/>
          <w:lang w:val="en-GB"/>
        </w:rPr>
      </w:pPr>
    </w:p>
    <w:p w14:paraId="4C4F30CD" w14:textId="766D07F9" w:rsidR="00824CBA" w:rsidRPr="001438C9" w:rsidRDefault="00824CBA" w:rsidP="00824CBA">
      <w:pPr>
        <w:pStyle w:val="Heading1"/>
        <w:rPr>
          <w:rFonts w:ascii="Arial" w:hAnsi="Arial" w:cs="Arial"/>
          <w:sz w:val="28"/>
          <w:szCs w:val="28"/>
        </w:rPr>
      </w:pPr>
      <w:bookmarkStart w:id="4" w:name="_Toc209456609"/>
      <w:r w:rsidRPr="001438C9">
        <w:rPr>
          <w:rFonts w:ascii="Arial" w:hAnsi="Arial" w:cs="Arial"/>
          <w:sz w:val="28"/>
          <w:szCs w:val="28"/>
        </w:rPr>
        <w:t>Ethical PCC and PW Fundamentals</w:t>
      </w:r>
      <w:bookmarkEnd w:id="4"/>
    </w:p>
    <w:p w14:paraId="72473C61" w14:textId="683A9189" w:rsidR="00824CBA" w:rsidRPr="001438C9" w:rsidRDefault="00374C40" w:rsidP="00824CBA">
      <w:pPr>
        <w:rPr>
          <w:rFonts w:ascii="Arial" w:hAnsi="Arial" w:cs="Arial"/>
          <w:sz w:val="22"/>
          <w:szCs w:val="22"/>
        </w:rPr>
      </w:pPr>
      <w:r>
        <w:rPr>
          <w:rFonts w:ascii="Arial" w:hAnsi="Arial" w:cs="Arial"/>
          <w:sz w:val="22"/>
          <w:szCs w:val="22"/>
        </w:rPr>
        <w:t>Effective person-centred care (PCC) and partnership working (PW) are grounded in ethics in health and social care systems</w:t>
      </w:r>
      <w:r w:rsidR="00824CBA" w:rsidRPr="001438C9">
        <w:rPr>
          <w:rFonts w:ascii="Arial" w:hAnsi="Arial" w:cs="Arial"/>
          <w:sz w:val="22"/>
          <w:szCs w:val="22"/>
        </w:rPr>
        <w:t xml:space="preserve">. Four main principles are at the foundation of medical ethics, i.e., autonomy, beneficence, non-maleficence and justice, which constitute a set of moral principles according to which the clinical practice is guided (Fazail, 2024).  </w:t>
      </w:r>
    </w:p>
    <w:p w14:paraId="1B227641" w14:textId="2E9BF25C" w:rsidR="00824CBA" w:rsidRPr="001438C9" w:rsidRDefault="00824CBA" w:rsidP="00824CBA">
      <w:pPr>
        <w:rPr>
          <w:rFonts w:ascii="Arial" w:hAnsi="Arial" w:cs="Arial"/>
          <w:sz w:val="22"/>
          <w:szCs w:val="22"/>
        </w:rPr>
      </w:pPr>
      <w:r w:rsidRPr="001438C9">
        <w:rPr>
          <w:rFonts w:ascii="Arial" w:hAnsi="Arial" w:cs="Arial"/>
          <w:sz w:val="22"/>
          <w:szCs w:val="22"/>
        </w:rPr>
        <w:t xml:space="preserve">The will </w:t>
      </w:r>
      <w:r w:rsidR="00A22B27">
        <w:rPr>
          <w:rFonts w:ascii="Arial" w:hAnsi="Arial" w:cs="Arial"/>
          <w:sz w:val="22"/>
          <w:szCs w:val="22"/>
        </w:rPr>
        <w:t xml:space="preserve">to respect an </w:t>
      </w:r>
      <w:r w:rsidR="00374C40">
        <w:rPr>
          <w:rFonts w:ascii="Arial" w:hAnsi="Arial" w:cs="Arial"/>
          <w:sz w:val="22"/>
          <w:szCs w:val="22"/>
        </w:rPr>
        <w:t>individual’s</w:t>
      </w:r>
      <w:r w:rsidR="00A22B27">
        <w:rPr>
          <w:rFonts w:ascii="Arial" w:hAnsi="Arial" w:cs="Arial"/>
          <w:sz w:val="22"/>
          <w:szCs w:val="22"/>
        </w:rPr>
        <w:t xml:space="preserve"> right to make his/ her own treatments is known as Autonomy (Gillon, 1985). This</w:t>
      </w:r>
      <w:r w:rsidRPr="001438C9">
        <w:rPr>
          <w:rFonts w:ascii="Arial" w:hAnsi="Arial" w:cs="Arial"/>
          <w:sz w:val="22"/>
          <w:szCs w:val="22"/>
        </w:rPr>
        <w:t xml:space="preserve"> principle is prone to generating conflicts within the mental health domain. To illustrate this, the patient of a psychotic service may decline the pharmacological services, thereby compelling the professionals to find a balance between autonomy and protecting roles.  </w:t>
      </w:r>
    </w:p>
    <w:p w14:paraId="1C704B0D" w14:textId="2987D777" w:rsidR="00550C7C" w:rsidRPr="001438C9" w:rsidRDefault="00824CBA" w:rsidP="00550C7C">
      <w:pPr>
        <w:rPr>
          <w:rFonts w:ascii="Arial" w:hAnsi="Arial" w:cs="Arial"/>
          <w:sz w:val="22"/>
          <w:szCs w:val="22"/>
        </w:rPr>
      </w:pPr>
      <w:r w:rsidRPr="001438C9">
        <w:rPr>
          <w:rFonts w:ascii="Arial" w:hAnsi="Arial" w:cs="Arial"/>
          <w:sz w:val="22"/>
          <w:szCs w:val="22"/>
        </w:rPr>
        <w:t>Every therapeutic relationship is founded on beneficence</w:t>
      </w:r>
      <w:r w:rsidR="00A22B27">
        <w:rPr>
          <w:rFonts w:ascii="Arial" w:hAnsi="Arial" w:cs="Arial"/>
          <w:sz w:val="22"/>
          <w:szCs w:val="22"/>
        </w:rPr>
        <w:t xml:space="preserve">, which means acting in the </w:t>
      </w:r>
      <w:r w:rsidR="00374C40">
        <w:rPr>
          <w:rFonts w:ascii="Arial" w:hAnsi="Arial" w:cs="Arial"/>
          <w:sz w:val="22"/>
          <w:szCs w:val="22"/>
        </w:rPr>
        <w:t>individual’s best interest</w:t>
      </w:r>
      <w:r w:rsidR="00A22B27">
        <w:rPr>
          <w:rFonts w:ascii="Arial" w:hAnsi="Arial" w:cs="Arial"/>
          <w:sz w:val="22"/>
          <w:szCs w:val="22"/>
        </w:rPr>
        <w:t xml:space="preserve">. Practitioners strive to promote well-being by tailoring interventions to </w:t>
      </w:r>
      <w:r w:rsidR="00A22B27">
        <w:rPr>
          <w:rFonts w:ascii="Arial" w:hAnsi="Arial" w:cs="Arial"/>
          <w:sz w:val="22"/>
          <w:szCs w:val="22"/>
        </w:rPr>
        <w:lastRenderedPageBreak/>
        <w:t xml:space="preserve">suit the </w:t>
      </w:r>
      <w:r w:rsidR="00374C40">
        <w:rPr>
          <w:rFonts w:ascii="Arial" w:hAnsi="Arial" w:cs="Arial"/>
          <w:sz w:val="22"/>
          <w:szCs w:val="22"/>
        </w:rPr>
        <w:t>person’s</w:t>
      </w:r>
      <w:r w:rsidR="00A22B27">
        <w:rPr>
          <w:rFonts w:ascii="Arial" w:hAnsi="Arial" w:cs="Arial"/>
          <w:sz w:val="22"/>
          <w:szCs w:val="22"/>
        </w:rPr>
        <w:t xml:space="preserve"> values and situations (Murray et al., 2016). However, beneficence should be balanced with non-maleficence,</w:t>
      </w:r>
      <w:r w:rsidR="00550C7C" w:rsidRPr="001438C9">
        <w:rPr>
          <w:rFonts w:ascii="Arial" w:hAnsi="Arial" w:cs="Arial"/>
          <w:sz w:val="22"/>
          <w:szCs w:val="22"/>
        </w:rPr>
        <w:t xml:space="preserve"> the obligation to avoid harm. </w:t>
      </w:r>
    </w:p>
    <w:p w14:paraId="4E9A0FEC" w14:textId="0C4EC82D" w:rsidR="00550C7C" w:rsidRPr="001438C9" w:rsidRDefault="00550C7C" w:rsidP="00550C7C">
      <w:pPr>
        <w:rPr>
          <w:rFonts w:ascii="Arial" w:hAnsi="Arial" w:cs="Arial"/>
          <w:sz w:val="22"/>
          <w:szCs w:val="22"/>
        </w:rPr>
      </w:pPr>
      <w:r w:rsidRPr="001438C9">
        <w:rPr>
          <w:rFonts w:ascii="Arial" w:hAnsi="Arial" w:cs="Arial"/>
          <w:sz w:val="22"/>
          <w:szCs w:val="22"/>
        </w:rPr>
        <w:t>Justice involves equity, equality</w:t>
      </w:r>
      <w:r w:rsidR="00A22B27">
        <w:rPr>
          <w:rFonts w:ascii="Arial" w:hAnsi="Arial" w:cs="Arial"/>
          <w:sz w:val="22"/>
          <w:szCs w:val="22"/>
        </w:rPr>
        <w:t>, and equal access to care. In mental health services, people face structural injustice, such as stigma and funding inequity compared to physical health (Burns, 2013). An ethical person-centred approach requires that services focus on these inequities, thus ensuring that resources and support are</w:t>
      </w:r>
      <w:r w:rsidRPr="001438C9">
        <w:rPr>
          <w:rFonts w:ascii="Arial" w:hAnsi="Arial" w:cs="Arial"/>
          <w:sz w:val="22"/>
          <w:szCs w:val="22"/>
        </w:rPr>
        <w:t xml:space="preserve"> provided equally regardless of background, gender, or ethnicity.  </w:t>
      </w:r>
    </w:p>
    <w:p w14:paraId="3C1025E3" w14:textId="757BF59D" w:rsidR="001438C9" w:rsidRPr="001438C9" w:rsidRDefault="00A22B27" w:rsidP="00550C7C">
      <w:pPr>
        <w:rPr>
          <w:rFonts w:ascii="Arial" w:hAnsi="Arial" w:cs="Arial"/>
          <w:sz w:val="22"/>
          <w:szCs w:val="22"/>
          <w:lang w:val="en-GB"/>
        </w:rPr>
      </w:pPr>
      <w:r>
        <w:rPr>
          <w:rFonts w:ascii="Arial" w:hAnsi="Arial" w:cs="Arial"/>
          <w:sz w:val="22"/>
          <w:szCs w:val="22"/>
        </w:rPr>
        <w:t>Partnership working brings about other ethical considerations. The dissemination of patient data between agencies must balance patient confidentiality and the responsibility to protect vulnerable people</w:t>
      </w:r>
      <w:r w:rsidR="00C431BC">
        <w:rPr>
          <w:rFonts w:ascii="Arial" w:hAnsi="Arial" w:cs="Arial"/>
          <w:sz w:val="22"/>
          <w:szCs w:val="22"/>
        </w:rPr>
        <w:t xml:space="preserve"> (</w:t>
      </w:r>
      <w:r w:rsidR="00C431BC" w:rsidRPr="00C431BC">
        <w:rPr>
          <w:rFonts w:ascii="Arial" w:hAnsi="Arial" w:cs="Arial"/>
          <w:sz w:val="22"/>
          <w:szCs w:val="22"/>
        </w:rPr>
        <w:t>Ibrahim</w:t>
      </w:r>
      <w:r w:rsidR="00C431BC">
        <w:rPr>
          <w:rFonts w:ascii="Arial" w:hAnsi="Arial" w:cs="Arial"/>
          <w:sz w:val="22"/>
          <w:szCs w:val="22"/>
        </w:rPr>
        <w:t xml:space="preserve"> et al., 2024)</w:t>
      </w:r>
      <w:r>
        <w:rPr>
          <w:rFonts w:ascii="Arial" w:hAnsi="Arial" w:cs="Arial"/>
          <w:sz w:val="22"/>
          <w:szCs w:val="22"/>
        </w:rPr>
        <w:t xml:space="preserve">. To illustrate, the negotiation of boundaries related to consent and disclosure may be required in the collaborative care planning process </w:t>
      </w:r>
      <w:r w:rsidR="00550C7C" w:rsidRPr="001438C9">
        <w:rPr>
          <w:rFonts w:ascii="Arial" w:hAnsi="Arial" w:cs="Arial"/>
          <w:sz w:val="22"/>
          <w:szCs w:val="22"/>
        </w:rPr>
        <w:t xml:space="preserve">that will include psychiatrists, social workers, and family members.  </w:t>
      </w:r>
    </w:p>
    <w:p w14:paraId="6559A74C" w14:textId="6E00E398" w:rsidR="008D17E5" w:rsidRPr="001438C9" w:rsidRDefault="008D17E5" w:rsidP="008D17E5">
      <w:pPr>
        <w:pStyle w:val="Heading1"/>
        <w:rPr>
          <w:rFonts w:ascii="Arial" w:hAnsi="Arial" w:cs="Arial"/>
          <w:sz w:val="28"/>
          <w:szCs w:val="28"/>
        </w:rPr>
      </w:pPr>
      <w:bookmarkStart w:id="5" w:name="_Toc209456610"/>
      <w:r w:rsidRPr="001438C9">
        <w:rPr>
          <w:rFonts w:ascii="Arial" w:hAnsi="Arial" w:cs="Arial"/>
          <w:sz w:val="28"/>
          <w:szCs w:val="28"/>
        </w:rPr>
        <w:t>Evaluation of Partnership Working</w:t>
      </w:r>
      <w:bookmarkEnd w:id="5"/>
    </w:p>
    <w:p w14:paraId="596736B6" w14:textId="3D361CDA" w:rsidR="00824CBA" w:rsidRPr="001438C9" w:rsidRDefault="008D17E5" w:rsidP="00824CBA">
      <w:pPr>
        <w:rPr>
          <w:rFonts w:ascii="Arial" w:hAnsi="Arial" w:cs="Arial"/>
          <w:sz w:val="22"/>
          <w:szCs w:val="22"/>
        </w:rPr>
      </w:pPr>
      <w:r w:rsidRPr="001438C9">
        <w:rPr>
          <w:rFonts w:ascii="Arial" w:hAnsi="Arial" w:cs="Arial"/>
          <w:sz w:val="22"/>
          <w:szCs w:val="22"/>
        </w:rPr>
        <w:t xml:space="preserve">Partnership Working (PW) in health and social care </w:t>
      </w:r>
      <w:r w:rsidR="00EC3749">
        <w:rPr>
          <w:rFonts w:ascii="Arial" w:hAnsi="Arial" w:cs="Arial"/>
          <w:sz w:val="22"/>
          <w:szCs w:val="22"/>
        </w:rPr>
        <w:t>is the collaboration of service users, professionals, and organisations to</w:t>
      </w:r>
      <w:r w:rsidRPr="001438C9">
        <w:rPr>
          <w:rFonts w:ascii="Arial" w:hAnsi="Arial" w:cs="Arial"/>
          <w:sz w:val="22"/>
          <w:szCs w:val="22"/>
        </w:rPr>
        <w:t xml:space="preserve"> provide coordinated, holistic, and effective care</w:t>
      </w:r>
      <w:r w:rsidR="00130198" w:rsidRPr="001438C9">
        <w:rPr>
          <w:rFonts w:ascii="Arial" w:hAnsi="Arial" w:cs="Arial"/>
          <w:sz w:val="22"/>
          <w:szCs w:val="22"/>
        </w:rPr>
        <w:t xml:space="preserve"> (Glasby, 2017)</w:t>
      </w:r>
      <w:r w:rsidRPr="001438C9">
        <w:rPr>
          <w:rFonts w:ascii="Arial" w:hAnsi="Arial" w:cs="Arial"/>
          <w:sz w:val="22"/>
          <w:szCs w:val="22"/>
        </w:rPr>
        <w:t xml:space="preserve">. It is </w:t>
      </w:r>
      <w:r w:rsidR="00EC3749">
        <w:rPr>
          <w:rFonts w:ascii="Arial" w:hAnsi="Arial" w:cs="Arial"/>
          <w:sz w:val="22"/>
          <w:szCs w:val="22"/>
        </w:rPr>
        <w:t>essential</w:t>
      </w:r>
      <w:r w:rsidRPr="001438C9">
        <w:rPr>
          <w:rFonts w:ascii="Arial" w:hAnsi="Arial" w:cs="Arial"/>
          <w:sz w:val="22"/>
          <w:szCs w:val="22"/>
        </w:rPr>
        <w:t xml:space="preserve"> in the field of mental health services where complicated needs tend to involve psychiatrists, general practitioners, social workers, voluntary agencies and families. With the ability to </w:t>
      </w:r>
      <w:r w:rsidR="00EC3749" w:rsidRPr="001438C9">
        <w:rPr>
          <w:rFonts w:ascii="Arial" w:hAnsi="Arial" w:cs="Arial"/>
          <w:sz w:val="22"/>
          <w:szCs w:val="22"/>
        </w:rPr>
        <w:t>unite</w:t>
      </w:r>
      <w:r w:rsidRPr="001438C9">
        <w:rPr>
          <w:rFonts w:ascii="Arial" w:hAnsi="Arial" w:cs="Arial"/>
          <w:sz w:val="22"/>
          <w:szCs w:val="22"/>
        </w:rPr>
        <w:t xml:space="preserve">, the knowledge and resources of PW would be more effective in responding to patient needs </w:t>
      </w:r>
      <w:r w:rsidR="00EF4B32">
        <w:rPr>
          <w:rFonts w:ascii="Arial" w:hAnsi="Arial" w:cs="Arial"/>
          <w:sz w:val="22"/>
          <w:szCs w:val="22"/>
        </w:rPr>
        <w:t>more comprehensively</w:t>
      </w:r>
      <w:r w:rsidRPr="001438C9">
        <w:rPr>
          <w:rFonts w:ascii="Arial" w:hAnsi="Arial" w:cs="Arial"/>
          <w:sz w:val="22"/>
          <w:szCs w:val="22"/>
        </w:rPr>
        <w:t xml:space="preserve"> than </w:t>
      </w:r>
      <w:r w:rsidR="00EC3749">
        <w:rPr>
          <w:rFonts w:ascii="Arial" w:hAnsi="Arial" w:cs="Arial"/>
          <w:sz w:val="22"/>
          <w:szCs w:val="22"/>
        </w:rPr>
        <w:t>any single professional or service could</w:t>
      </w:r>
      <w:r w:rsidR="001E53CB">
        <w:rPr>
          <w:rFonts w:ascii="Arial" w:hAnsi="Arial" w:cs="Arial"/>
          <w:sz w:val="22"/>
          <w:szCs w:val="22"/>
        </w:rPr>
        <w:t xml:space="preserve"> (Javaid et al., 2023)</w:t>
      </w:r>
      <w:r w:rsidRPr="001438C9">
        <w:rPr>
          <w:rFonts w:ascii="Arial" w:hAnsi="Arial" w:cs="Arial"/>
          <w:sz w:val="22"/>
          <w:szCs w:val="22"/>
        </w:rPr>
        <w:t>.</w:t>
      </w:r>
    </w:p>
    <w:p w14:paraId="67AAC4D9" w14:textId="4DB4CA4F" w:rsidR="00824CBA" w:rsidRPr="001438C9" w:rsidRDefault="00824CBA" w:rsidP="00824CBA">
      <w:pPr>
        <w:rPr>
          <w:rFonts w:ascii="Arial" w:hAnsi="Arial" w:cs="Arial"/>
          <w:sz w:val="22"/>
          <w:szCs w:val="22"/>
        </w:rPr>
      </w:pPr>
      <w:r w:rsidRPr="001438C9">
        <w:rPr>
          <w:rFonts w:ascii="Arial" w:hAnsi="Arial" w:cs="Arial"/>
          <w:sz w:val="22"/>
          <w:szCs w:val="22"/>
        </w:rPr>
        <w:t xml:space="preserve">It has been demonstrated that PW possesses a variety of benefits. Integrated working results in smooth care pathways, </w:t>
      </w:r>
      <w:r w:rsidR="00EC3749">
        <w:rPr>
          <w:rFonts w:ascii="Arial" w:hAnsi="Arial" w:cs="Arial"/>
          <w:sz w:val="22"/>
          <w:szCs w:val="22"/>
        </w:rPr>
        <w:t>reduced</w:t>
      </w:r>
      <w:r w:rsidRPr="001438C9">
        <w:rPr>
          <w:rFonts w:ascii="Arial" w:hAnsi="Arial" w:cs="Arial"/>
          <w:sz w:val="22"/>
          <w:szCs w:val="22"/>
        </w:rPr>
        <w:t xml:space="preserve"> service duplication and patient satisfaction. This approach applies in </w:t>
      </w:r>
      <w:r w:rsidR="00EC3749">
        <w:rPr>
          <w:rFonts w:ascii="Arial" w:hAnsi="Arial" w:cs="Arial"/>
          <w:sz w:val="22"/>
          <w:szCs w:val="22"/>
        </w:rPr>
        <w:t>mental health; multidisciplinary team (MDT) meetings are an example of such an approach, where the care plan is reviewed by psychiatrists, psychologists, nurses, and social workers,</w:t>
      </w:r>
      <w:r w:rsidRPr="001438C9">
        <w:rPr>
          <w:rFonts w:ascii="Arial" w:hAnsi="Arial" w:cs="Arial"/>
          <w:sz w:val="22"/>
          <w:szCs w:val="22"/>
        </w:rPr>
        <w:t xml:space="preserve"> so that the interventions become clinical and social priorities. Such collaboration helps </w:t>
      </w:r>
      <w:r w:rsidR="00EC3749">
        <w:rPr>
          <w:rFonts w:ascii="Arial" w:hAnsi="Arial" w:cs="Arial"/>
          <w:sz w:val="22"/>
          <w:szCs w:val="22"/>
        </w:rPr>
        <w:t xml:space="preserve">improve </w:t>
      </w:r>
      <w:r w:rsidR="00210173">
        <w:rPr>
          <w:rFonts w:ascii="Arial" w:hAnsi="Arial" w:cs="Arial"/>
          <w:sz w:val="22"/>
          <w:szCs w:val="22"/>
        </w:rPr>
        <w:t>recovery by combining medical therapy with housing, employment,</w:t>
      </w:r>
      <w:r w:rsidRPr="001438C9">
        <w:rPr>
          <w:rFonts w:ascii="Arial" w:hAnsi="Arial" w:cs="Arial"/>
          <w:sz w:val="22"/>
          <w:szCs w:val="22"/>
        </w:rPr>
        <w:t xml:space="preserve"> and community services</w:t>
      </w:r>
      <w:r w:rsidR="00EC3749">
        <w:rPr>
          <w:rFonts w:ascii="Arial" w:hAnsi="Arial" w:cs="Arial"/>
          <w:sz w:val="22"/>
          <w:szCs w:val="22"/>
        </w:rPr>
        <w:t xml:space="preserve"> (</w:t>
      </w:r>
      <w:r w:rsidR="00EC3749" w:rsidRPr="00EC3749">
        <w:rPr>
          <w:rFonts w:ascii="Arial" w:hAnsi="Arial" w:cs="Arial"/>
          <w:sz w:val="22"/>
          <w:szCs w:val="22"/>
        </w:rPr>
        <w:t>Reilly</w:t>
      </w:r>
      <w:r w:rsidR="00EC3749">
        <w:rPr>
          <w:rFonts w:ascii="Arial" w:hAnsi="Arial" w:cs="Arial"/>
          <w:sz w:val="22"/>
          <w:szCs w:val="22"/>
        </w:rPr>
        <w:t xml:space="preserve"> et al., 2024)</w:t>
      </w:r>
      <w:r w:rsidRPr="001438C9">
        <w:rPr>
          <w:rFonts w:ascii="Arial" w:hAnsi="Arial" w:cs="Arial"/>
          <w:sz w:val="22"/>
          <w:szCs w:val="22"/>
        </w:rPr>
        <w:t>.</w:t>
      </w:r>
    </w:p>
    <w:p w14:paraId="2CA483C8" w14:textId="63625921" w:rsidR="008D17E5" w:rsidRPr="001438C9" w:rsidRDefault="00824CBA" w:rsidP="008D17E5">
      <w:pPr>
        <w:rPr>
          <w:rFonts w:ascii="Arial" w:hAnsi="Arial" w:cs="Arial"/>
          <w:sz w:val="22"/>
          <w:szCs w:val="22"/>
        </w:rPr>
      </w:pPr>
      <w:r w:rsidRPr="001438C9">
        <w:rPr>
          <w:rFonts w:ascii="Arial" w:hAnsi="Arial" w:cs="Arial"/>
          <w:sz w:val="22"/>
          <w:szCs w:val="22"/>
        </w:rPr>
        <w:t xml:space="preserve">However, PW is not deprived of challenges. The barriers to successful cooperation can be the communication barriers and the professional hierarchies. </w:t>
      </w:r>
      <w:r w:rsidR="008D17E5" w:rsidRPr="001438C9">
        <w:rPr>
          <w:rFonts w:ascii="Arial" w:hAnsi="Arial" w:cs="Arial"/>
          <w:sz w:val="22"/>
          <w:szCs w:val="22"/>
        </w:rPr>
        <w:t>Indicatively, medical practitioners can impose their will and disregard the views of social care workers or service clients</w:t>
      </w:r>
      <w:r w:rsidR="00210173">
        <w:rPr>
          <w:rFonts w:ascii="Arial" w:hAnsi="Arial" w:cs="Arial"/>
          <w:sz w:val="22"/>
          <w:szCs w:val="22"/>
        </w:rPr>
        <w:t xml:space="preserve"> (</w:t>
      </w:r>
      <w:r w:rsidR="00210173" w:rsidRPr="00210173">
        <w:rPr>
          <w:rFonts w:ascii="Arial" w:hAnsi="Arial" w:cs="Arial"/>
          <w:sz w:val="22"/>
          <w:szCs w:val="22"/>
        </w:rPr>
        <w:t>Fitzpatrick</w:t>
      </w:r>
      <w:r w:rsidR="00210173">
        <w:rPr>
          <w:rFonts w:ascii="Arial" w:hAnsi="Arial" w:cs="Arial"/>
          <w:sz w:val="22"/>
          <w:szCs w:val="22"/>
        </w:rPr>
        <w:t xml:space="preserve"> et al., 2023)</w:t>
      </w:r>
      <w:r w:rsidR="008D17E5" w:rsidRPr="001438C9">
        <w:rPr>
          <w:rFonts w:ascii="Arial" w:hAnsi="Arial" w:cs="Arial"/>
          <w:sz w:val="22"/>
          <w:szCs w:val="22"/>
        </w:rPr>
        <w:t>. There may also be organisational differences, which may create tension and slow down delivery of services</w:t>
      </w:r>
      <w:r w:rsidR="00374C40">
        <w:rPr>
          <w:rFonts w:ascii="Arial" w:hAnsi="Arial" w:cs="Arial"/>
          <w:sz w:val="22"/>
          <w:szCs w:val="22"/>
        </w:rPr>
        <w:t>, such as</w:t>
      </w:r>
      <w:r w:rsidR="008D17E5" w:rsidRPr="001438C9">
        <w:rPr>
          <w:rFonts w:ascii="Arial" w:hAnsi="Arial" w:cs="Arial"/>
          <w:sz w:val="22"/>
          <w:szCs w:val="22"/>
        </w:rPr>
        <w:t xml:space="preserve"> a difference in policies or source of funds. </w:t>
      </w:r>
      <w:r w:rsidR="008D17E5" w:rsidRPr="001438C9">
        <w:rPr>
          <w:rFonts w:ascii="Arial" w:hAnsi="Arial" w:cs="Arial"/>
          <w:sz w:val="22"/>
          <w:szCs w:val="22"/>
        </w:rPr>
        <w:lastRenderedPageBreak/>
        <w:t>Moreover, power imbalances might weaken the trust and engage service users in the care planning.</w:t>
      </w:r>
    </w:p>
    <w:p w14:paraId="3E6069B8" w14:textId="21B1DFAB" w:rsidR="008D17E5" w:rsidRPr="001438C9" w:rsidRDefault="008D17E5" w:rsidP="008D17E5">
      <w:pPr>
        <w:rPr>
          <w:rFonts w:ascii="Arial" w:hAnsi="Arial" w:cs="Arial"/>
          <w:sz w:val="22"/>
          <w:szCs w:val="22"/>
        </w:rPr>
      </w:pPr>
      <w:r w:rsidRPr="001438C9">
        <w:rPr>
          <w:rFonts w:ascii="Arial" w:hAnsi="Arial" w:cs="Arial"/>
          <w:sz w:val="22"/>
          <w:szCs w:val="22"/>
        </w:rPr>
        <w:t xml:space="preserve">Nevertheless, with such difficulties, the shift toward the Integrated Care Systems (ICSs) in the NHS proves the increased </w:t>
      </w:r>
      <w:r w:rsidR="00374C40">
        <w:rPr>
          <w:rFonts w:ascii="Arial" w:hAnsi="Arial" w:cs="Arial"/>
          <w:sz w:val="22"/>
          <w:szCs w:val="22"/>
        </w:rPr>
        <w:t>acknowledgement</w:t>
      </w:r>
      <w:r w:rsidRPr="001438C9">
        <w:rPr>
          <w:rFonts w:ascii="Arial" w:hAnsi="Arial" w:cs="Arial"/>
          <w:sz w:val="22"/>
          <w:szCs w:val="22"/>
        </w:rPr>
        <w:t xml:space="preserve"> of the value of PW. The role of ICSs in mental health services is to bridge the gap between NHS trusts, local authorities, and community organisations to achieve person-centred and preventative care</w:t>
      </w:r>
      <w:r w:rsidR="00130198" w:rsidRPr="001438C9">
        <w:rPr>
          <w:rFonts w:ascii="Arial" w:hAnsi="Arial" w:cs="Arial"/>
          <w:sz w:val="22"/>
          <w:szCs w:val="22"/>
        </w:rPr>
        <w:t xml:space="preserve"> (Cairney et al, 2024)</w:t>
      </w:r>
      <w:r w:rsidRPr="001438C9">
        <w:rPr>
          <w:rFonts w:ascii="Arial" w:hAnsi="Arial" w:cs="Arial"/>
          <w:sz w:val="22"/>
          <w:szCs w:val="22"/>
        </w:rPr>
        <w:t xml:space="preserve">. </w:t>
      </w:r>
    </w:p>
    <w:p w14:paraId="321C5BAB" w14:textId="50F0ED74" w:rsidR="008D17E5" w:rsidRDefault="008D17E5" w:rsidP="00550C7C">
      <w:pPr>
        <w:rPr>
          <w:rFonts w:ascii="Arial" w:hAnsi="Arial" w:cs="Arial"/>
          <w:sz w:val="22"/>
          <w:szCs w:val="22"/>
          <w:lang w:val="en-GB"/>
        </w:rPr>
      </w:pPr>
      <w:r w:rsidRPr="001438C9">
        <w:rPr>
          <w:rFonts w:ascii="Arial" w:hAnsi="Arial" w:cs="Arial"/>
          <w:sz w:val="22"/>
          <w:szCs w:val="22"/>
        </w:rPr>
        <w:t xml:space="preserve">Generally, PW plays a critical role in fulfilling </w:t>
      </w:r>
      <w:r w:rsidR="00374C40">
        <w:rPr>
          <w:rFonts w:ascii="Arial" w:hAnsi="Arial" w:cs="Arial"/>
          <w:sz w:val="22"/>
          <w:szCs w:val="22"/>
        </w:rPr>
        <w:t xml:space="preserve">PCC’s aspirations since the two strategies focus on teamwork, empowerment, and accountability. Ideal collaboration is what makes care not only clinically but also socially responsive, and it is a primary concern of </w:t>
      </w:r>
      <w:r w:rsidRPr="001438C9">
        <w:rPr>
          <w:rFonts w:ascii="Arial" w:hAnsi="Arial" w:cs="Arial"/>
          <w:sz w:val="22"/>
          <w:szCs w:val="22"/>
        </w:rPr>
        <w:t>contemporary mental health practice.</w:t>
      </w:r>
    </w:p>
    <w:p w14:paraId="6C44A582" w14:textId="77777777" w:rsidR="001438C9" w:rsidRPr="001438C9" w:rsidRDefault="001438C9" w:rsidP="00550C7C">
      <w:pPr>
        <w:rPr>
          <w:rFonts w:ascii="Arial" w:hAnsi="Arial" w:cs="Arial"/>
          <w:sz w:val="22"/>
          <w:szCs w:val="22"/>
          <w:lang w:val="en-GB"/>
        </w:rPr>
      </w:pPr>
    </w:p>
    <w:p w14:paraId="58908B39" w14:textId="016F2F25" w:rsidR="008D17E5" w:rsidRPr="001438C9" w:rsidRDefault="008D17E5" w:rsidP="000E614D">
      <w:pPr>
        <w:pStyle w:val="Heading1"/>
        <w:rPr>
          <w:rFonts w:ascii="Arial" w:hAnsi="Arial" w:cs="Arial"/>
          <w:sz w:val="28"/>
          <w:szCs w:val="28"/>
        </w:rPr>
      </w:pPr>
      <w:bookmarkStart w:id="6" w:name="_Toc209456611"/>
      <w:r w:rsidRPr="001438C9">
        <w:rPr>
          <w:rFonts w:ascii="Arial" w:hAnsi="Arial" w:cs="Arial"/>
          <w:sz w:val="28"/>
          <w:szCs w:val="28"/>
        </w:rPr>
        <w:t>Policy and Legislation</w:t>
      </w:r>
      <w:bookmarkEnd w:id="6"/>
    </w:p>
    <w:p w14:paraId="17FA3412" w14:textId="0DA28E9F" w:rsidR="008D17E5" w:rsidRPr="001438C9" w:rsidRDefault="008D17E5" w:rsidP="008D17E5">
      <w:pPr>
        <w:rPr>
          <w:rFonts w:ascii="Arial" w:hAnsi="Arial" w:cs="Arial"/>
          <w:sz w:val="22"/>
          <w:szCs w:val="22"/>
        </w:rPr>
      </w:pPr>
      <w:r w:rsidRPr="001438C9">
        <w:rPr>
          <w:rFonts w:ascii="Arial" w:hAnsi="Arial" w:cs="Arial"/>
          <w:sz w:val="22"/>
          <w:szCs w:val="22"/>
        </w:rPr>
        <w:t xml:space="preserve">In the United Kingdom, legislation and national policy frameworks that define </w:t>
      </w:r>
      <w:r w:rsidR="00374C40">
        <w:rPr>
          <w:rFonts w:ascii="Arial" w:hAnsi="Arial" w:cs="Arial"/>
          <w:sz w:val="22"/>
          <w:szCs w:val="22"/>
        </w:rPr>
        <w:t>rights and responsibilities in health and social care highly influence</w:t>
      </w:r>
      <w:r w:rsidRPr="001438C9">
        <w:rPr>
          <w:rFonts w:ascii="Arial" w:hAnsi="Arial" w:cs="Arial"/>
          <w:sz w:val="22"/>
          <w:szCs w:val="22"/>
        </w:rPr>
        <w:t xml:space="preserve"> Person-Centred Care (PCC) and Partnership Working (PW).</w:t>
      </w:r>
    </w:p>
    <w:p w14:paraId="13DF07C1" w14:textId="3118B299" w:rsidR="008D17E5" w:rsidRPr="001438C9" w:rsidRDefault="008D17E5" w:rsidP="008D17E5">
      <w:pPr>
        <w:rPr>
          <w:rFonts w:ascii="Arial" w:hAnsi="Arial" w:cs="Arial"/>
          <w:sz w:val="22"/>
          <w:szCs w:val="22"/>
        </w:rPr>
      </w:pPr>
      <w:r w:rsidRPr="001438C9">
        <w:rPr>
          <w:rFonts w:ascii="Arial" w:hAnsi="Arial" w:cs="Arial"/>
          <w:sz w:val="22"/>
          <w:szCs w:val="22"/>
        </w:rPr>
        <w:t xml:space="preserve">One of the most influential Acts of </w:t>
      </w:r>
      <w:r w:rsidR="00374C40">
        <w:rPr>
          <w:rFonts w:ascii="Arial" w:hAnsi="Arial" w:cs="Arial"/>
          <w:sz w:val="22"/>
          <w:szCs w:val="22"/>
        </w:rPr>
        <w:t>Parliament is the Care Act 2014, which incorporates the concept of well-being into</w:t>
      </w:r>
      <w:r w:rsidRPr="001438C9">
        <w:rPr>
          <w:rFonts w:ascii="Arial" w:hAnsi="Arial" w:cs="Arial"/>
          <w:sz w:val="22"/>
          <w:szCs w:val="22"/>
        </w:rPr>
        <w:t xml:space="preserve"> the </w:t>
      </w:r>
      <w:r w:rsidR="00374C40">
        <w:rPr>
          <w:rFonts w:ascii="Arial" w:hAnsi="Arial" w:cs="Arial"/>
          <w:sz w:val="22"/>
          <w:szCs w:val="22"/>
        </w:rPr>
        <w:t>legislation’s responsibility</w:t>
      </w:r>
      <w:r w:rsidRPr="001438C9">
        <w:rPr>
          <w:rFonts w:ascii="Arial" w:hAnsi="Arial" w:cs="Arial"/>
          <w:sz w:val="22"/>
          <w:szCs w:val="22"/>
        </w:rPr>
        <w:t>. It advocates individual choice, independence</w:t>
      </w:r>
      <w:r w:rsidR="00374C40">
        <w:rPr>
          <w:rFonts w:ascii="Arial" w:hAnsi="Arial" w:cs="Arial"/>
          <w:sz w:val="22"/>
          <w:szCs w:val="22"/>
        </w:rPr>
        <w:t>, and involvement in the planning of care by the local authorities and care providers. In mental health services, this idea</w:t>
      </w:r>
      <w:r w:rsidRPr="001438C9">
        <w:rPr>
          <w:rFonts w:ascii="Arial" w:hAnsi="Arial" w:cs="Arial"/>
          <w:sz w:val="22"/>
          <w:szCs w:val="22"/>
        </w:rPr>
        <w:t xml:space="preserve"> is that practitioners should engage the service users in making decisions regarding treatment and recovery, as it captures the meaning of PCC.</w:t>
      </w:r>
    </w:p>
    <w:p w14:paraId="21D33827" w14:textId="36078B30" w:rsidR="008D17E5" w:rsidRPr="001438C9" w:rsidRDefault="008D17E5" w:rsidP="008D17E5">
      <w:pPr>
        <w:rPr>
          <w:rFonts w:ascii="Arial" w:hAnsi="Arial" w:cs="Arial"/>
          <w:sz w:val="22"/>
          <w:szCs w:val="22"/>
        </w:rPr>
      </w:pPr>
      <w:r w:rsidRPr="001438C9">
        <w:rPr>
          <w:rFonts w:ascii="Arial" w:hAnsi="Arial" w:cs="Arial"/>
          <w:sz w:val="22"/>
          <w:szCs w:val="22"/>
        </w:rPr>
        <w:t xml:space="preserve">The </w:t>
      </w:r>
      <w:r w:rsidRPr="001438C9">
        <w:rPr>
          <w:rFonts w:ascii="Arial" w:hAnsi="Arial" w:cs="Arial"/>
          <w:b/>
          <w:bCs/>
          <w:sz w:val="22"/>
          <w:szCs w:val="22"/>
        </w:rPr>
        <w:t xml:space="preserve">Health and </w:t>
      </w:r>
      <w:r w:rsidR="00374C40">
        <w:rPr>
          <w:rFonts w:ascii="Arial" w:hAnsi="Arial" w:cs="Arial"/>
          <w:b/>
          <w:bCs/>
          <w:sz w:val="22"/>
          <w:szCs w:val="22"/>
        </w:rPr>
        <w:t>Social Care Act</w:t>
      </w:r>
      <w:r w:rsidRPr="001438C9">
        <w:rPr>
          <w:rFonts w:ascii="Arial" w:hAnsi="Arial" w:cs="Arial"/>
          <w:b/>
          <w:bCs/>
          <w:sz w:val="22"/>
          <w:szCs w:val="22"/>
        </w:rPr>
        <w:t xml:space="preserve"> of 2012</w:t>
      </w:r>
      <w:r w:rsidRPr="001438C9">
        <w:rPr>
          <w:rFonts w:ascii="Arial" w:hAnsi="Arial" w:cs="Arial"/>
          <w:sz w:val="22"/>
          <w:szCs w:val="22"/>
        </w:rPr>
        <w:t xml:space="preserve"> </w:t>
      </w:r>
      <w:r w:rsidR="00374C40">
        <w:rPr>
          <w:rFonts w:ascii="Arial" w:hAnsi="Arial" w:cs="Arial"/>
          <w:sz w:val="22"/>
          <w:szCs w:val="22"/>
        </w:rPr>
        <w:t>introduced</w:t>
      </w:r>
      <w:r w:rsidRPr="001438C9">
        <w:rPr>
          <w:rFonts w:ascii="Arial" w:hAnsi="Arial" w:cs="Arial"/>
          <w:sz w:val="22"/>
          <w:szCs w:val="22"/>
        </w:rPr>
        <w:t xml:space="preserve"> reforms </w:t>
      </w:r>
      <w:r w:rsidR="00374C40">
        <w:rPr>
          <w:rFonts w:ascii="Arial" w:hAnsi="Arial" w:cs="Arial"/>
          <w:sz w:val="22"/>
          <w:szCs w:val="22"/>
        </w:rPr>
        <w:t>to</w:t>
      </w:r>
      <w:r w:rsidRPr="001438C9">
        <w:rPr>
          <w:rFonts w:ascii="Arial" w:hAnsi="Arial" w:cs="Arial"/>
          <w:sz w:val="22"/>
          <w:szCs w:val="22"/>
        </w:rPr>
        <w:t xml:space="preserve"> improve efficiency and patient choice by creating Clinical Commissioning Groups (CCGs). </w:t>
      </w:r>
      <w:r w:rsidR="00374C40">
        <w:rPr>
          <w:rFonts w:ascii="Arial" w:hAnsi="Arial" w:cs="Arial"/>
          <w:sz w:val="22"/>
          <w:szCs w:val="22"/>
        </w:rPr>
        <w:t>Even though</w:t>
      </w:r>
      <w:r w:rsidRPr="001438C9">
        <w:rPr>
          <w:rFonts w:ascii="Arial" w:hAnsi="Arial" w:cs="Arial"/>
          <w:sz w:val="22"/>
          <w:szCs w:val="22"/>
        </w:rPr>
        <w:t xml:space="preserve"> the reforms </w:t>
      </w:r>
      <w:r w:rsidR="00374C40">
        <w:rPr>
          <w:rFonts w:ascii="Arial" w:hAnsi="Arial" w:cs="Arial"/>
          <w:sz w:val="22"/>
          <w:szCs w:val="22"/>
        </w:rPr>
        <w:t>encouraged local decision-making and integration</w:t>
      </w:r>
      <w:r w:rsidRPr="001438C9">
        <w:rPr>
          <w:rFonts w:ascii="Arial" w:hAnsi="Arial" w:cs="Arial"/>
          <w:sz w:val="22"/>
          <w:szCs w:val="22"/>
        </w:rPr>
        <w:t>, critics insist that sometimes</w:t>
      </w:r>
      <w:r w:rsidR="00374C40">
        <w:rPr>
          <w:rFonts w:ascii="Arial" w:hAnsi="Arial" w:cs="Arial"/>
          <w:sz w:val="22"/>
          <w:szCs w:val="22"/>
        </w:rPr>
        <w:t>, provider fragmentation negates the need to work effectively as a partner. This conflict identifies how policy can both facilitate and complicate PW</w:t>
      </w:r>
      <w:r w:rsidRPr="001438C9">
        <w:rPr>
          <w:rFonts w:ascii="Arial" w:hAnsi="Arial" w:cs="Arial"/>
          <w:sz w:val="22"/>
          <w:szCs w:val="22"/>
        </w:rPr>
        <w:t xml:space="preserve"> in practice.</w:t>
      </w:r>
    </w:p>
    <w:p w14:paraId="35E62586" w14:textId="1FB9654D" w:rsidR="00824CBA" w:rsidRPr="001438C9" w:rsidRDefault="00374C40" w:rsidP="00824CBA">
      <w:pPr>
        <w:rPr>
          <w:rFonts w:ascii="Arial" w:hAnsi="Arial" w:cs="Arial"/>
          <w:sz w:val="22"/>
          <w:szCs w:val="22"/>
        </w:rPr>
      </w:pPr>
      <w:r>
        <w:rPr>
          <w:rFonts w:ascii="Arial" w:hAnsi="Arial" w:cs="Arial"/>
          <w:sz w:val="22"/>
          <w:szCs w:val="22"/>
        </w:rPr>
        <w:t xml:space="preserve">The Human Rights Act 1998 and the Equality Act 2010 are also central. The Human Rights Act stipulates the values of dignity, privacy, and autonomy, which conform to the values of PCC. Meanwhile, the Equality Act does not allow </w:t>
      </w:r>
      <w:r w:rsidR="00824CBA" w:rsidRPr="001438C9">
        <w:rPr>
          <w:rFonts w:ascii="Arial" w:hAnsi="Arial" w:cs="Arial"/>
          <w:sz w:val="22"/>
          <w:szCs w:val="22"/>
        </w:rPr>
        <w:t>discrimination on the basis of race, gender, disability, or mental state. The implications of this are far-reaching in the case of mental health services: it is important to ensure equal access, combat stigma, and overcome systemic disparities.</w:t>
      </w:r>
    </w:p>
    <w:p w14:paraId="201E9373" w14:textId="05E37B31" w:rsidR="00824CBA" w:rsidRDefault="00824CBA" w:rsidP="00824CBA">
      <w:pPr>
        <w:rPr>
          <w:rFonts w:ascii="Arial" w:hAnsi="Arial" w:cs="Arial"/>
          <w:sz w:val="22"/>
          <w:szCs w:val="22"/>
          <w:lang w:val="en-GB"/>
        </w:rPr>
      </w:pPr>
      <w:r w:rsidRPr="001438C9">
        <w:rPr>
          <w:rFonts w:ascii="Arial" w:hAnsi="Arial" w:cs="Arial"/>
          <w:sz w:val="22"/>
          <w:szCs w:val="22"/>
        </w:rPr>
        <w:lastRenderedPageBreak/>
        <w:t xml:space="preserve">These policies and laws </w:t>
      </w:r>
      <w:r w:rsidR="00374C40">
        <w:rPr>
          <w:rFonts w:ascii="Arial" w:hAnsi="Arial" w:cs="Arial"/>
          <w:sz w:val="22"/>
          <w:szCs w:val="22"/>
        </w:rPr>
        <w:t xml:space="preserve">demonstrate that the UK is ready to implement both PCC and PW. However, they, too, expose problems such as irregularities in </w:t>
      </w:r>
      <w:r w:rsidRPr="001438C9">
        <w:rPr>
          <w:rFonts w:ascii="Arial" w:hAnsi="Arial" w:cs="Arial"/>
          <w:sz w:val="22"/>
          <w:szCs w:val="22"/>
        </w:rPr>
        <w:t xml:space="preserve">implementation, lack of funding, and workforce shortages. </w:t>
      </w:r>
    </w:p>
    <w:p w14:paraId="01445F6E" w14:textId="77777777" w:rsidR="001438C9" w:rsidRPr="001438C9" w:rsidRDefault="001438C9" w:rsidP="00824CBA">
      <w:pPr>
        <w:rPr>
          <w:rFonts w:ascii="Arial" w:hAnsi="Arial" w:cs="Arial"/>
          <w:sz w:val="22"/>
          <w:szCs w:val="22"/>
          <w:lang w:val="en-GB"/>
        </w:rPr>
      </w:pPr>
    </w:p>
    <w:p w14:paraId="12B2685F" w14:textId="18B2D83E" w:rsidR="008D17E5" w:rsidRPr="001438C9" w:rsidRDefault="008D17E5" w:rsidP="00824CBA">
      <w:pPr>
        <w:pStyle w:val="Heading1"/>
        <w:rPr>
          <w:rFonts w:ascii="Arial" w:hAnsi="Arial" w:cs="Arial"/>
          <w:sz w:val="28"/>
          <w:szCs w:val="28"/>
        </w:rPr>
      </w:pPr>
      <w:bookmarkStart w:id="7" w:name="_Toc209456612"/>
      <w:r w:rsidRPr="001438C9">
        <w:rPr>
          <w:rFonts w:ascii="Arial" w:hAnsi="Arial" w:cs="Arial"/>
          <w:sz w:val="28"/>
          <w:szCs w:val="28"/>
        </w:rPr>
        <w:t>Recommendations</w:t>
      </w:r>
      <w:bookmarkEnd w:id="7"/>
    </w:p>
    <w:p w14:paraId="708D93DD" w14:textId="1E950B92" w:rsidR="008D17E5" w:rsidRPr="001438C9" w:rsidRDefault="008D17E5" w:rsidP="008D17E5">
      <w:pPr>
        <w:rPr>
          <w:rFonts w:ascii="Arial" w:hAnsi="Arial" w:cs="Arial"/>
          <w:sz w:val="22"/>
          <w:szCs w:val="22"/>
        </w:rPr>
      </w:pPr>
      <w:r w:rsidRPr="001438C9">
        <w:rPr>
          <w:rFonts w:ascii="Arial" w:hAnsi="Arial" w:cs="Arial"/>
          <w:sz w:val="22"/>
          <w:szCs w:val="22"/>
        </w:rPr>
        <w:t xml:space="preserve">Although Person-Centred Care (PCC) and Partnership Working (PW) are not </w:t>
      </w:r>
      <w:r w:rsidR="00374C40">
        <w:rPr>
          <w:rFonts w:ascii="Arial" w:hAnsi="Arial" w:cs="Arial"/>
          <w:sz w:val="22"/>
          <w:szCs w:val="22"/>
        </w:rPr>
        <w:t>new concepts</w:t>
      </w:r>
      <w:r w:rsidRPr="001438C9">
        <w:rPr>
          <w:rFonts w:ascii="Arial" w:hAnsi="Arial" w:cs="Arial"/>
          <w:sz w:val="22"/>
          <w:szCs w:val="22"/>
        </w:rPr>
        <w:t xml:space="preserve"> in the </w:t>
      </w:r>
      <w:r w:rsidR="00374C40">
        <w:rPr>
          <w:rFonts w:ascii="Arial" w:hAnsi="Arial" w:cs="Arial"/>
          <w:sz w:val="22"/>
          <w:szCs w:val="22"/>
        </w:rPr>
        <w:t>UK health and social care context, certain gaps that need specific enhancement can be identified</w:t>
      </w:r>
      <w:r w:rsidRPr="001438C9">
        <w:rPr>
          <w:rFonts w:ascii="Arial" w:hAnsi="Arial" w:cs="Arial"/>
          <w:sz w:val="22"/>
          <w:szCs w:val="22"/>
        </w:rPr>
        <w:t>. To enhance the services of mental health, the subsequent recommendations are aimed at:</w:t>
      </w:r>
    </w:p>
    <w:p w14:paraId="026E7B3A" w14:textId="02074C5C" w:rsidR="008D17E5" w:rsidRPr="001438C9" w:rsidRDefault="008D17E5" w:rsidP="001438C9">
      <w:pPr>
        <w:pStyle w:val="Heading2"/>
        <w:numPr>
          <w:ilvl w:val="0"/>
          <w:numId w:val="1"/>
        </w:numPr>
        <w:rPr>
          <w:rFonts w:ascii="Arial" w:hAnsi="Arial" w:cs="Arial"/>
          <w:sz w:val="28"/>
          <w:szCs w:val="28"/>
          <w:u w:val="none"/>
          <w:lang w:val="en-GB"/>
        </w:rPr>
      </w:pPr>
      <w:bookmarkStart w:id="8" w:name="_Toc209456613"/>
      <w:r w:rsidRPr="001438C9">
        <w:rPr>
          <w:rFonts w:ascii="Arial" w:hAnsi="Arial" w:cs="Arial"/>
          <w:sz w:val="28"/>
          <w:szCs w:val="28"/>
          <w:u w:val="none"/>
        </w:rPr>
        <w:t>Improved Training and Development</w:t>
      </w:r>
      <w:bookmarkEnd w:id="8"/>
    </w:p>
    <w:p w14:paraId="06F00047" w14:textId="5797BC56" w:rsidR="00824CBA" w:rsidRPr="001438C9" w:rsidRDefault="00374C40" w:rsidP="00824CBA">
      <w:pPr>
        <w:rPr>
          <w:rFonts w:ascii="Arial" w:hAnsi="Arial" w:cs="Arial"/>
          <w:sz w:val="22"/>
          <w:szCs w:val="22"/>
        </w:rPr>
      </w:pPr>
      <w:r>
        <w:rPr>
          <w:rFonts w:ascii="Arial" w:hAnsi="Arial" w:cs="Arial"/>
          <w:sz w:val="22"/>
          <w:szCs w:val="22"/>
        </w:rPr>
        <w:t>Different disciplines should constantly train staff on communication, shared decision-making, and cultural competence. Applying Rogers’s person-centred theory to staff development will improve the connection between therapists and service users and allow the latter to participate in</w:t>
      </w:r>
      <w:r w:rsidR="00824CBA" w:rsidRPr="001438C9">
        <w:rPr>
          <w:rFonts w:ascii="Arial" w:hAnsi="Arial" w:cs="Arial"/>
          <w:sz w:val="22"/>
          <w:szCs w:val="22"/>
        </w:rPr>
        <w:t xml:space="preserve"> </w:t>
      </w:r>
      <w:r>
        <w:rPr>
          <w:rFonts w:ascii="Arial" w:hAnsi="Arial" w:cs="Arial"/>
          <w:sz w:val="22"/>
          <w:szCs w:val="22"/>
        </w:rPr>
        <w:t>recovery</w:t>
      </w:r>
      <w:r w:rsidR="00824CBA" w:rsidRPr="001438C9">
        <w:rPr>
          <w:rFonts w:ascii="Arial" w:hAnsi="Arial" w:cs="Arial"/>
          <w:sz w:val="22"/>
          <w:szCs w:val="22"/>
        </w:rPr>
        <w:t>.</w:t>
      </w:r>
    </w:p>
    <w:p w14:paraId="4047649B" w14:textId="78D8E73B" w:rsidR="00824CBA" w:rsidRPr="001438C9" w:rsidRDefault="00824CBA" w:rsidP="001438C9">
      <w:pPr>
        <w:pStyle w:val="Heading2"/>
        <w:numPr>
          <w:ilvl w:val="0"/>
          <w:numId w:val="1"/>
        </w:numPr>
        <w:rPr>
          <w:rFonts w:ascii="Arial" w:hAnsi="Arial" w:cs="Arial"/>
          <w:sz w:val="28"/>
          <w:szCs w:val="28"/>
          <w:u w:val="none"/>
          <w:lang w:val="en-GB"/>
        </w:rPr>
      </w:pPr>
      <w:bookmarkStart w:id="9" w:name="_Toc209456614"/>
      <w:r w:rsidRPr="001438C9">
        <w:rPr>
          <w:rFonts w:ascii="Arial" w:hAnsi="Arial" w:cs="Arial"/>
          <w:sz w:val="28"/>
          <w:szCs w:val="28"/>
          <w:u w:val="none"/>
        </w:rPr>
        <w:t>Digital Health Technology Integration</w:t>
      </w:r>
      <w:bookmarkEnd w:id="9"/>
    </w:p>
    <w:p w14:paraId="0DEB6CB9" w14:textId="693E52F8" w:rsidR="00824CBA" w:rsidRPr="001438C9" w:rsidRDefault="00824CBA" w:rsidP="00824CBA">
      <w:pPr>
        <w:rPr>
          <w:rFonts w:ascii="Arial" w:hAnsi="Arial" w:cs="Arial"/>
          <w:sz w:val="22"/>
          <w:szCs w:val="22"/>
        </w:rPr>
      </w:pPr>
      <w:r w:rsidRPr="001438C9">
        <w:rPr>
          <w:rFonts w:ascii="Arial" w:hAnsi="Arial" w:cs="Arial"/>
          <w:sz w:val="22"/>
          <w:szCs w:val="22"/>
        </w:rPr>
        <w:t xml:space="preserve">The PW may be strengthened with expanded use of electronic care records and online platforms that will enable </w:t>
      </w:r>
      <w:r w:rsidR="00374C40">
        <w:rPr>
          <w:rFonts w:ascii="Arial" w:hAnsi="Arial" w:cs="Arial"/>
          <w:sz w:val="22"/>
          <w:szCs w:val="22"/>
        </w:rPr>
        <w:t>real-time information exchange</w:t>
      </w:r>
      <w:r w:rsidRPr="001438C9">
        <w:rPr>
          <w:rFonts w:ascii="Arial" w:hAnsi="Arial" w:cs="Arial"/>
          <w:sz w:val="22"/>
          <w:szCs w:val="22"/>
        </w:rPr>
        <w:t xml:space="preserve"> between agencies. This would aid in reducing and eradicating redundancy, enhance transparency, and collaborative care planning</w:t>
      </w:r>
      <w:r w:rsidR="00374C40">
        <w:rPr>
          <w:rFonts w:ascii="Arial" w:hAnsi="Arial" w:cs="Arial"/>
          <w:sz w:val="22"/>
          <w:szCs w:val="22"/>
        </w:rPr>
        <w:t>,</w:t>
      </w:r>
      <w:r w:rsidRPr="001438C9">
        <w:rPr>
          <w:rFonts w:ascii="Arial" w:hAnsi="Arial" w:cs="Arial"/>
          <w:sz w:val="22"/>
          <w:szCs w:val="22"/>
        </w:rPr>
        <w:t xml:space="preserve"> particularly in the Integrated Care Systems (ICSs).</w:t>
      </w:r>
    </w:p>
    <w:p w14:paraId="1BB6A397" w14:textId="36BB72E5" w:rsidR="00824CBA" w:rsidRPr="001438C9" w:rsidRDefault="00824CBA" w:rsidP="001438C9">
      <w:pPr>
        <w:pStyle w:val="Heading2"/>
        <w:numPr>
          <w:ilvl w:val="0"/>
          <w:numId w:val="1"/>
        </w:numPr>
        <w:rPr>
          <w:rFonts w:ascii="Arial" w:hAnsi="Arial" w:cs="Arial"/>
          <w:sz w:val="28"/>
          <w:szCs w:val="28"/>
          <w:u w:val="none"/>
          <w:lang w:val="en-GB"/>
        </w:rPr>
      </w:pPr>
      <w:bookmarkStart w:id="10" w:name="_Toc209456615"/>
      <w:r w:rsidRPr="001438C9">
        <w:rPr>
          <w:rFonts w:ascii="Arial" w:hAnsi="Arial" w:cs="Arial"/>
          <w:sz w:val="28"/>
          <w:szCs w:val="28"/>
          <w:u w:val="none"/>
        </w:rPr>
        <w:t>Improved Service User Involvement</w:t>
      </w:r>
      <w:bookmarkEnd w:id="10"/>
    </w:p>
    <w:p w14:paraId="05DBEB30" w14:textId="3BAAE8E1" w:rsidR="00824CBA" w:rsidRPr="001438C9" w:rsidRDefault="00374C40" w:rsidP="008D17E5">
      <w:pPr>
        <w:rPr>
          <w:rFonts w:ascii="Arial" w:hAnsi="Arial" w:cs="Arial"/>
          <w:sz w:val="22"/>
          <w:szCs w:val="22"/>
        </w:rPr>
      </w:pPr>
      <w:r>
        <w:rPr>
          <w:rFonts w:ascii="Arial" w:hAnsi="Arial" w:cs="Arial"/>
          <w:sz w:val="22"/>
          <w:szCs w:val="22"/>
        </w:rPr>
        <w:t>Mental health services must institutionalise service user advisory groups to ensure that care planning, service design and policy formulation are informed by lived experience</w:t>
      </w:r>
      <w:r w:rsidR="00824CBA" w:rsidRPr="001438C9">
        <w:rPr>
          <w:rFonts w:ascii="Arial" w:hAnsi="Arial" w:cs="Arial"/>
          <w:sz w:val="22"/>
          <w:szCs w:val="22"/>
        </w:rPr>
        <w:t xml:space="preserve">. Not only does this confirm </w:t>
      </w:r>
      <w:r>
        <w:rPr>
          <w:rFonts w:ascii="Arial" w:hAnsi="Arial" w:cs="Arial"/>
          <w:sz w:val="22"/>
          <w:szCs w:val="22"/>
        </w:rPr>
        <w:t>PCC's existence, it also reduces PW's power differentials</w:t>
      </w:r>
      <w:r w:rsidR="00824CBA" w:rsidRPr="001438C9">
        <w:rPr>
          <w:rFonts w:ascii="Arial" w:hAnsi="Arial" w:cs="Arial"/>
          <w:sz w:val="22"/>
          <w:szCs w:val="22"/>
        </w:rPr>
        <w:t>.</w:t>
      </w:r>
    </w:p>
    <w:p w14:paraId="7992E36A" w14:textId="74D4BEC0" w:rsidR="008D17E5" w:rsidRPr="001438C9" w:rsidRDefault="008D17E5" w:rsidP="008D17E5">
      <w:pPr>
        <w:rPr>
          <w:rFonts w:ascii="Arial" w:hAnsi="Arial" w:cs="Arial"/>
          <w:sz w:val="22"/>
          <w:szCs w:val="22"/>
        </w:rPr>
      </w:pPr>
      <w:r w:rsidRPr="001438C9">
        <w:rPr>
          <w:rFonts w:ascii="Arial" w:hAnsi="Arial" w:cs="Arial"/>
          <w:sz w:val="22"/>
          <w:szCs w:val="22"/>
        </w:rPr>
        <w:t>These are evidence-based and realistic recommendations</w:t>
      </w:r>
      <w:r w:rsidR="00374C40">
        <w:rPr>
          <w:rFonts w:ascii="Arial" w:hAnsi="Arial" w:cs="Arial"/>
          <w:sz w:val="22"/>
          <w:szCs w:val="22"/>
        </w:rPr>
        <w:t>, yet their success relies on overcoming the challenges, including financial impact, staff shortage</w:t>
      </w:r>
      <w:r w:rsidRPr="001438C9">
        <w:rPr>
          <w:rFonts w:ascii="Arial" w:hAnsi="Arial" w:cs="Arial"/>
          <w:sz w:val="22"/>
          <w:szCs w:val="22"/>
        </w:rPr>
        <w:t>, and resistance to change. Through these issues, the UK mental health service will be able to make more congruent, fair, and sustainable patterns of PCC and PW.</w:t>
      </w:r>
    </w:p>
    <w:p w14:paraId="0911A4AD" w14:textId="3536CCB0" w:rsidR="008D17E5" w:rsidRPr="001438C9" w:rsidRDefault="008D17E5" w:rsidP="008D17E5">
      <w:pPr>
        <w:pStyle w:val="Heading1"/>
        <w:rPr>
          <w:rFonts w:ascii="Arial" w:hAnsi="Arial" w:cs="Arial"/>
          <w:sz w:val="28"/>
          <w:szCs w:val="28"/>
        </w:rPr>
      </w:pPr>
      <w:bookmarkStart w:id="11" w:name="_Toc209456616"/>
      <w:r w:rsidRPr="001438C9">
        <w:rPr>
          <w:rFonts w:ascii="Arial" w:hAnsi="Arial" w:cs="Arial"/>
          <w:sz w:val="28"/>
          <w:szCs w:val="28"/>
        </w:rPr>
        <w:t>Conclusion</w:t>
      </w:r>
      <w:bookmarkEnd w:id="11"/>
    </w:p>
    <w:p w14:paraId="35591F9E" w14:textId="4F9E18C8" w:rsidR="008D17E5" w:rsidRPr="001438C9" w:rsidRDefault="008D17E5" w:rsidP="008D17E5">
      <w:pPr>
        <w:rPr>
          <w:rFonts w:ascii="Arial" w:hAnsi="Arial" w:cs="Arial"/>
          <w:sz w:val="22"/>
          <w:szCs w:val="22"/>
        </w:rPr>
      </w:pPr>
      <w:r w:rsidRPr="001438C9">
        <w:rPr>
          <w:rFonts w:ascii="Arial" w:hAnsi="Arial" w:cs="Arial"/>
          <w:sz w:val="22"/>
          <w:szCs w:val="22"/>
        </w:rPr>
        <w:t xml:space="preserve">In this report, the principles of Person-Centred Care (PCC) and Partnership Working (PW) in the UK mental health services setting have been critically evaluated. PCC has been </w:t>
      </w:r>
      <w:r w:rsidRPr="001438C9">
        <w:rPr>
          <w:rFonts w:ascii="Arial" w:hAnsi="Arial" w:cs="Arial"/>
          <w:sz w:val="22"/>
          <w:szCs w:val="22"/>
        </w:rPr>
        <w:lastRenderedPageBreak/>
        <w:t>demonstrated to improve patient satisfaction, recovery</w:t>
      </w:r>
      <w:r w:rsidR="00374C40">
        <w:rPr>
          <w:rFonts w:ascii="Arial" w:hAnsi="Arial" w:cs="Arial"/>
          <w:sz w:val="22"/>
          <w:szCs w:val="22"/>
        </w:rPr>
        <w:t>, and trust by</w:t>
      </w:r>
      <w:r w:rsidRPr="001438C9">
        <w:rPr>
          <w:rFonts w:ascii="Arial" w:hAnsi="Arial" w:cs="Arial"/>
          <w:sz w:val="22"/>
          <w:szCs w:val="22"/>
        </w:rPr>
        <w:t xml:space="preserve"> making individuals at the centre of care and PW through an integrated and multidisciplinary approach to service delivery. </w:t>
      </w:r>
      <w:r w:rsidR="00374C40">
        <w:rPr>
          <w:rFonts w:ascii="Arial" w:hAnsi="Arial" w:cs="Arial"/>
          <w:sz w:val="22"/>
          <w:szCs w:val="22"/>
        </w:rPr>
        <w:t xml:space="preserve">The person-centred theory by Rogers and the self-care model by Orem represent theoretical viewpoints, which show that PCC is ethically justified but </w:t>
      </w:r>
      <w:r w:rsidRPr="001438C9">
        <w:rPr>
          <w:rFonts w:ascii="Arial" w:hAnsi="Arial" w:cs="Arial"/>
          <w:sz w:val="22"/>
          <w:szCs w:val="22"/>
        </w:rPr>
        <w:t xml:space="preserve">also relevant and practical. The moral rights of professionals to </w:t>
      </w:r>
      <w:r w:rsidR="00374C40">
        <w:rPr>
          <w:rFonts w:ascii="Arial" w:hAnsi="Arial" w:cs="Arial"/>
          <w:sz w:val="22"/>
          <w:szCs w:val="22"/>
        </w:rPr>
        <w:t>honour</w:t>
      </w:r>
      <w:r w:rsidRPr="001438C9">
        <w:rPr>
          <w:rFonts w:ascii="Arial" w:hAnsi="Arial" w:cs="Arial"/>
          <w:sz w:val="22"/>
          <w:szCs w:val="22"/>
        </w:rPr>
        <w:t xml:space="preserve"> dignity and equity in care are further supported by ethical principles of autonomy, beneficence, non-maleficence and justice.</w:t>
      </w:r>
    </w:p>
    <w:p w14:paraId="324A22F5" w14:textId="4099CA96" w:rsidR="008D17E5" w:rsidRPr="001438C9" w:rsidRDefault="00374C40" w:rsidP="008D17E5">
      <w:pPr>
        <w:rPr>
          <w:rFonts w:ascii="Arial" w:hAnsi="Arial" w:cs="Arial"/>
          <w:sz w:val="22"/>
          <w:szCs w:val="22"/>
        </w:rPr>
      </w:pPr>
      <w:r>
        <w:rPr>
          <w:rFonts w:ascii="Arial" w:hAnsi="Arial" w:cs="Arial"/>
          <w:sz w:val="22"/>
          <w:szCs w:val="22"/>
        </w:rPr>
        <w:t>UK legislation, such as the Care Act 2014, Equality Act 2010, and Health and Care Act 2022, offers a robust framework for implementing</w:t>
      </w:r>
      <w:r w:rsidR="008D17E5" w:rsidRPr="001438C9">
        <w:rPr>
          <w:rFonts w:ascii="Arial" w:hAnsi="Arial" w:cs="Arial"/>
          <w:sz w:val="22"/>
          <w:szCs w:val="22"/>
        </w:rPr>
        <w:t xml:space="preserve"> PCC and PW</w:t>
      </w:r>
      <w:r>
        <w:rPr>
          <w:rFonts w:ascii="Arial" w:hAnsi="Arial" w:cs="Arial"/>
          <w:sz w:val="22"/>
          <w:szCs w:val="22"/>
        </w:rPr>
        <w:t>. However, implementation issues, resource scarcity, and systemic inequalities remain</w:t>
      </w:r>
      <w:r w:rsidR="008D17E5" w:rsidRPr="001438C9">
        <w:rPr>
          <w:rFonts w:ascii="Arial" w:hAnsi="Arial" w:cs="Arial"/>
          <w:sz w:val="22"/>
          <w:szCs w:val="22"/>
        </w:rPr>
        <w:t xml:space="preserve">. </w:t>
      </w:r>
    </w:p>
    <w:p w14:paraId="0B0DBC13" w14:textId="66FDAB51" w:rsidR="008D17E5" w:rsidRPr="001438C9" w:rsidRDefault="008D17E5" w:rsidP="008D17E5">
      <w:pPr>
        <w:rPr>
          <w:rFonts w:ascii="Arial" w:hAnsi="Arial" w:cs="Arial"/>
          <w:sz w:val="22"/>
          <w:szCs w:val="22"/>
        </w:rPr>
      </w:pPr>
      <w:r w:rsidRPr="001438C9">
        <w:rPr>
          <w:rFonts w:ascii="Arial" w:hAnsi="Arial" w:cs="Arial"/>
          <w:sz w:val="22"/>
          <w:szCs w:val="22"/>
        </w:rPr>
        <w:t>PCC and PW are critical towards high-quality, ethical, and inclusive health and social care. Both the outcomes of patients and the overall responsiveness and resilience of the UK health system are enhanced by their integration into practice.</w:t>
      </w:r>
    </w:p>
    <w:p w14:paraId="62BEA1DB" w14:textId="62B55D52" w:rsidR="000E614D" w:rsidRDefault="000E614D" w:rsidP="008D17E5"/>
    <w:p w14:paraId="62C9F1A5" w14:textId="77777777" w:rsidR="000E614D" w:rsidRDefault="000E614D">
      <w:pPr>
        <w:spacing w:line="278" w:lineRule="auto"/>
        <w:jc w:val="left"/>
      </w:pPr>
      <w:r>
        <w:br w:type="page"/>
      </w:r>
    </w:p>
    <w:p w14:paraId="3D338D17" w14:textId="1455209E" w:rsidR="00E8501B" w:rsidRPr="001438C9" w:rsidRDefault="000E614D" w:rsidP="00E8501B">
      <w:pPr>
        <w:pStyle w:val="Heading1"/>
        <w:rPr>
          <w:sz w:val="28"/>
          <w:szCs w:val="28"/>
        </w:rPr>
      </w:pPr>
      <w:bookmarkStart w:id="12" w:name="_Toc209456617"/>
      <w:r w:rsidRPr="001438C9">
        <w:rPr>
          <w:sz w:val="28"/>
          <w:szCs w:val="28"/>
        </w:rPr>
        <w:lastRenderedPageBreak/>
        <w:t>References</w:t>
      </w:r>
      <w:bookmarkEnd w:id="12"/>
    </w:p>
    <w:p w14:paraId="2BB40703" w14:textId="77777777" w:rsidR="00374C40" w:rsidRDefault="00374C40" w:rsidP="00E8501B">
      <w:pPr>
        <w:ind w:left="720" w:hanging="720"/>
        <w:rPr>
          <w:sz w:val="22"/>
          <w:szCs w:val="22"/>
        </w:rPr>
      </w:pPr>
      <w:r w:rsidRPr="00E05EA9">
        <w:rPr>
          <w:sz w:val="22"/>
          <w:szCs w:val="22"/>
        </w:rPr>
        <w:t>Burns, J.K., 2013. Mental health and inequity: A human rights approach to inequality, discrimination and mental disability. In </w:t>
      </w:r>
      <w:r w:rsidRPr="00E05EA9">
        <w:rPr>
          <w:i/>
          <w:iCs/>
          <w:sz w:val="22"/>
          <w:szCs w:val="22"/>
        </w:rPr>
        <w:t>Health and human rights in a changing world</w:t>
      </w:r>
      <w:r w:rsidRPr="00E05EA9">
        <w:rPr>
          <w:sz w:val="22"/>
          <w:szCs w:val="22"/>
        </w:rPr>
        <w:t> (pp. 449-464). Routledge.</w:t>
      </w:r>
    </w:p>
    <w:p w14:paraId="347DB5EA" w14:textId="77777777" w:rsidR="00374C40" w:rsidRPr="00E05EA9" w:rsidRDefault="00374C40" w:rsidP="00E8501B">
      <w:pPr>
        <w:ind w:left="720" w:hanging="720"/>
        <w:rPr>
          <w:sz w:val="22"/>
          <w:szCs w:val="22"/>
        </w:rPr>
      </w:pPr>
      <w:r w:rsidRPr="00E05EA9">
        <w:rPr>
          <w:sz w:val="22"/>
          <w:szCs w:val="22"/>
        </w:rPr>
        <w:t>Cairney, P., Boswell, J., Bliss, A., Mahmood, H. and Raine, J., 2024. Unlocking prevention in integrated care systems.</w:t>
      </w:r>
    </w:p>
    <w:p w14:paraId="55B891D9" w14:textId="77777777" w:rsidR="00374C40" w:rsidRPr="00E05EA9" w:rsidRDefault="00374C40" w:rsidP="00E8501B">
      <w:pPr>
        <w:ind w:left="720" w:hanging="720"/>
        <w:rPr>
          <w:sz w:val="22"/>
          <w:szCs w:val="22"/>
        </w:rPr>
      </w:pPr>
      <w:r w:rsidRPr="00E05EA9">
        <w:rPr>
          <w:sz w:val="22"/>
          <w:szCs w:val="22"/>
        </w:rPr>
        <w:t xml:space="preserve">Care Act 2014. (2014) c.23. London: The Stationery Office. </w:t>
      </w:r>
      <w:hyperlink r:id="rId12" w:history="1">
        <w:r w:rsidRPr="00E05EA9">
          <w:rPr>
            <w:rStyle w:val="Hyperlink"/>
            <w:sz w:val="22"/>
            <w:szCs w:val="22"/>
          </w:rPr>
          <w:t>https://www.legislation.gov.uk/ukpga/2014/23/contents</w:t>
        </w:r>
      </w:hyperlink>
      <w:r w:rsidRPr="00E05EA9">
        <w:rPr>
          <w:sz w:val="22"/>
          <w:szCs w:val="22"/>
        </w:rPr>
        <w:t xml:space="preserve"> </w:t>
      </w:r>
    </w:p>
    <w:p w14:paraId="24C00262" w14:textId="77777777" w:rsidR="00374C40" w:rsidRDefault="00374C40" w:rsidP="00210173">
      <w:pPr>
        <w:ind w:left="720" w:hanging="720"/>
        <w:rPr>
          <w:sz w:val="22"/>
          <w:szCs w:val="22"/>
        </w:rPr>
      </w:pPr>
      <w:r w:rsidRPr="001E53CB">
        <w:rPr>
          <w:sz w:val="22"/>
          <w:szCs w:val="22"/>
        </w:rPr>
        <w:t>Chatwiriyaphong, R., Moxham, L., Bosworth, R., &amp; Kinghorn, G. (2024). The experience of healthcare professionals implementing recovery‐oriented practice in mental health inpatient units: A qualitative evidence synthesis. </w:t>
      </w:r>
      <w:r w:rsidRPr="001E53CB">
        <w:rPr>
          <w:i/>
          <w:iCs/>
          <w:sz w:val="22"/>
          <w:szCs w:val="22"/>
        </w:rPr>
        <w:t>Journal of psychiatric and mental health nursing</w:t>
      </w:r>
      <w:r w:rsidRPr="001E53CB">
        <w:rPr>
          <w:sz w:val="22"/>
          <w:szCs w:val="22"/>
        </w:rPr>
        <w:t>, </w:t>
      </w:r>
      <w:r w:rsidRPr="001E53CB">
        <w:rPr>
          <w:i/>
          <w:iCs/>
          <w:sz w:val="22"/>
          <w:szCs w:val="22"/>
        </w:rPr>
        <w:t>31</w:t>
      </w:r>
      <w:r w:rsidRPr="001E53CB">
        <w:rPr>
          <w:sz w:val="22"/>
          <w:szCs w:val="22"/>
        </w:rPr>
        <w:t>(3), 287-302</w:t>
      </w:r>
      <w:r>
        <w:rPr>
          <w:sz w:val="22"/>
          <w:szCs w:val="22"/>
        </w:rPr>
        <w:t xml:space="preserve"> </w:t>
      </w:r>
      <w:hyperlink r:id="rId13" w:history="1">
        <w:r w:rsidRPr="00E8792E">
          <w:rPr>
            <w:rStyle w:val="Hyperlink"/>
            <w:sz w:val="22"/>
            <w:szCs w:val="22"/>
          </w:rPr>
          <w:t>https://doi.org/10.1111/jpm.12985</w:t>
        </w:r>
      </w:hyperlink>
      <w:r>
        <w:rPr>
          <w:sz w:val="22"/>
          <w:szCs w:val="22"/>
        </w:rPr>
        <w:t>.</w:t>
      </w:r>
    </w:p>
    <w:p w14:paraId="75282731" w14:textId="77777777" w:rsidR="00374C40" w:rsidRPr="00E05EA9" w:rsidRDefault="00374C40" w:rsidP="00E8501B">
      <w:pPr>
        <w:ind w:left="720" w:hanging="720"/>
        <w:rPr>
          <w:sz w:val="22"/>
          <w:szCs w:val="22"/>
        </w:rPr>
      </w:pPr>
      <w:r w:rsidRPr="00E05EA9">
        <w:rPr>
          <w:sz w:val="22"/>
          <w:szCs w:val="22"/>
        </w:rPr>
        <w:t xml:space="preserve">Equality Act 2010. (2010) c.15. London: The Stationery Office. </w:t>
      </w:r>
      <w:hyperlink r:id="rId14" w:history="1">
        <w:r w:rsidRPr="00E05EA9">
          <w:rPr>
            <w:rStyle w:val="Hyperlink"/>
            <w:sz w:val="22"/>
            <w:szCs w:val="22"/>
          </w:rPr>
          <w:t>https://www.legislation.gov.uk/ukpga/2010/15/contents</w:t>
        </w:r>
      </w:hyperlink>
      <w:r w:rsidRPr="00E05EA9">
        <w:rPr>
          <w:sz w:val="22"/>
          <w:szCs w:val="22"/>
        </w:rPr>
        <w:t xml:space="preserve"> </w:t>
      </w:r>
    </w:p>
    <w:p w14:paraId="2074687B" w14:textId="77777777" w:rsidR="00374C40" w:rsidRPr="00E05EA9" w:rsidRDefault="00374C40" w:rsidP="00E8501B">
      <w:pPr>
        <w:ind w:left="720" w:hanging="720"/>
        <w:rPr>
          <w:sz w:val="22"/>
          <w:szCs w:val="22"/>
        </w:rPr>
      </w:pPr>
      <w:r w:rsidRPr="00E05EA9">
        <w:rPr>
          <w:sz w:val="22"/>
          <w:szCs w:val="22"/>
        </w:rPr>
        <w:t>Fazail, I.P., 2024. Key Charac-teristics of Autonomy, Confidentiality, Bene-ficence, Non-maleficence, Justice and Privacy principles in Medical Law within the Context of Human Rights.</w:t>
      </w:r>
    </w:p>
    <w:p w14:paraId="2CD8FCE5" w14:textId="77777777" w:rsidR="00374C40" w:rsidRDefault="00374C40" w:rsidP="00170467">
      <w:pPr>
        <w:ind w:left="720" w:hanging="720"/>
        <w:rPr>
          <w:sz w:val="22"/>
          <w:szCs w:val="22"/>
        </w:rPr>
      </w:pPr>
      <w:r w:rsidRPr="00210173">
        <w:rPr>
          <w:sz w:val="22"/>
          <w:szCs w:val="22"/>
        </w:rPr>
        <w:t>Fitzpatrick, S. J., Gallagher, K., Banfield, M., Gulliver, A., Calear, A. L., Conroy, S., &amp; Batterham, P. J. (2023). At arm's length: a qualitative study of suicide prevention barriers among those experienced with suicide loss. </w:t>
      </w:r>
      <w:r w:rsidRPr="00210173">
        <w:rPr>
          <w:i/>
          <w:iCs/>
          <w:sz w:val="22"/>
          <w:szCs w:val="22"/>
        </w:rPr>
        <w:t>SSM-Qualitative research in health</w:t>
      </w:r>
      <w:r w:rsidRPr="00210173">
        <w:rPr>
          <w:sz w:val="22"/>
          <w:szCs w:val="22"/>
        </w:rPr>
        <w:t>, </w:t>
      </w:r>
      <w:r w:rsidRPr="00210173">
        <w:rPr>
          <w:i/>
          <w:iCs/>
          <w:sz w:val="22"/>
          <w:szCs w:val="22"/>
        </w:rPr>
        <w:t>4</w:t>
      </w:r>
      <w:r w:rsidRPr="00210173">
        <w:rPr>
          <w:sz w:val="22"/>
          <w:szCs w:val="22"/>
        </w:rPr>
        <w:t>, 100318</w:t>
      </w:r>
      <w:r>
        <w:rPr>
          <w:sz w:val="22"/>
          <w:szCs w:val="22"/>
        </w:rPr>
        <w:t xml:space="preserve"> </w:t>
      </w:r>
      <w:hyperlink r:id="rId15" w:history="1">
        <w:r w:rsidRPr="00E8792E">
          <w:rPr>
            <w:rStyle w:val="Hyperlink"/>
            <w:sz w:val="22"/>
            <w:szCs w:val="22"/>
          </w:rPr>
          <w:t>https://doi.org/10.1016/j.ssmqr.2023.100318</w:t>
        </w:r>
      </w:hyperlink>
      <w:r>
        <w:rPr>
          <w:sz w:val="22"/>
          <w:szCs w:val="22"/>
        </w:rPr>
        <w:t>.</w:t>
      </w:r>
    </w:p>
    <w:p w14:paraId="1B6A983D" w14:textId="77777777" w:rsidR="00374C40" w:rsidRPr="00E05EA9" w:rsidRDefault="00374C40" w:rsidP="00E8501B">
      <w:pPr>
        <w:ind w:left="720" w:hanging="720"/>
        <w:rPr>
          <w:sz w:val="22"/>
          <w:szCs w:val="22"/>
        </w:rPr>
      </w:pPr>
      <w:r w:rsidRPr="00E05EA9">
        <w:rPr>
          <w:sz w:val="22"/>
          <w:szCs w:val="22"/>
        </w:rPr>
        <w:t>Gillon, R., 1985. Autonomy and the principle of respect for autonomy. </w:t>
      </w:r>
      <w:r w:rsidRPr="00E05EA9">
        <w:rPr>
          <w:i/>
          <w:iCs/>
          <w:sz w:val="22"/>
          <w:szCs w:val="22"/>
        </w:rPr>
        <w:t>British medical journal (Clinical research ed.)</w:t>
      </w:r>
      <w:r w:rsidRPr="00E05EA9">
        <w:rPr>
          <w:sz w:val="22"/>
          <w:szCs w:val="22"/>
        </w:rPr>
        <w:t>, </w:t>
      </w:r>
      <w:r w:rsidRPr="00E05EA9">
        <w:rPr>
          <w:i/>
          <w:iCs/>
          <w:sz w:val="22"/>
          <w:szCs w:val="22"/>
        </w:rPr>
        <w:t>290</w:t>
      </w:r>
      <w:r w:rsidRPr="00E05EA9">
        <w:rPr>
          <w:sz w:val="22"/>
          <w:szCs w:val="22"/>
        </w:rPr>
        <w:t>(6484), p.1806.</w:t>
      </w:r>
    </w:p>
    <w:p w14:paraId="635F14BB" w14:textId="77777777" w:rsidR="00374C40" w:rsidRPr="00E05EA9" w:rsidRDefault="00374C40" w:rsidP="00E8501B">
      <w:pPr>
        <w:ind w:left="720" w:hanging="720"/>
        <w:rPr>
          <w:sz w:val="22"/>
          <w:szCs w:val="22"/>
        </w:rPr>
      </w:pPr>
      <w:r w:rsidRPr="00E05EA9">
        <w:rPr>
          <w:sz w:val="22"/>
          <w:szCs w:val="22"/>
        </w:rPr>
        <w:t>Glasby, J., 2017. </w:t>
      </w:r>
      <w:r w:rsidRPr="00E05EA9">
        <w:rPr>
          <w:i/>
          <w:iCs/>
          <w:sz w:val="22"/>
          <w:szCs w:val="22"/>
        </w:rPr>
        <w:t>Partnership working in health and social care</w:t>
      </w:r>
      <w:r w:rsidRPr="00E05EA9">
        <w:rPr>
          <w:sz w:val="22"/>
          <w:szCs w:val="22"/>
        </w:rPr>
        <w:t> (pp. 71-94). Policy Press.</w:t>
      </w:r>
    </w:p>
    <w:p w14:paraId="51AB2917" w14:textId="77777777" w:rsidR="00374C40" w:rsidRPr="00E05EA9" w:rsidRDefault="00374C40" w:rsidP="00E8501B">
      <w:pPr>
        <w:ind w:left="720" w:hanging="720"/>
        <w:rPr>
          <w:sz w:val="22"/>
          <w:szCs w:val="22"/>
        </w:rPr>
      </w:pPr>
      <w:r w:rsidRPr="00E05EA9">
        <w:rPr>
          <w:sz w:val="22"/>
          <w:szCs w:val="22"/>
        </w:rPr>
        <w:t xml:space="preserve">Health and Social Care Act 2012. (2012) c.7. London: The Stationery Office. </w:t>
      </w:r>
      <w:hyperlink r:id="rId16" w:history="1">
        <w:r w:rsidRPr="00E05EA9">
          <w:rPr>
            <w:rStyle w:val="Hyperlink"/>
            <w:sz w:val="22"/>
            <w:szCs w:val="22"/>
          </w:rPr>
          <w:t>https://www.legislation.gov.uk/ukpga/2012/7/contents</w:t>
        </w:r>
      </w:hyperlink>
      <w:r w:rsidRPr="00E05EA9">
        <w:rPr>
          <w:sz w:val="22"/>
          <w:szCs w:val="22"/>
        </w:rPr>
        <w:t xml:space="preserve"> </w:t>
      </w:r>
    </w:p>
    <w:p w14:paraId="2E544B6C" w14:textId="77777777" w:rsidR="00374C40" w:rsidRPr="00E05EA9" w:rsidRDefault="00374C40" w:rsidP="00E8501B">
      <w:pPr>
        <w:ind w:left="720" w:hanging="720"/>
        <w:rPr>
          <w:sz w:val="22"/>
          <w:szCs w:val="22"/>
        </w:rPr>
      </w:pPr>
      <w:r w:rsidRPr="00E05EA9">
        <w:rPr>
          <w:sz w:val="22"/>
          <w:szCs w:val="22"/>
        </w:rPr>
        <w:t xml:space="preserve">Human Rights Act 1998. (1998) c.42. London: The Stationery Office. </w:t>
      </w:r>
      <w:hyperlink r:id="rId17" w:history="1">
        <w:r w:rsidRPr="00E05EA9">
          <w:rPr>
            <w:rStyle w:val="Hyperlink"/>
            <w:sz w:val="22"/>
            <w:szCs w:val="22"/>
          </w:rPr>
          <w:t>https://www.legislation.gov.uk/ukpga/1998/42/contents</w:t>
        </w:r>
      </w:hyperlink>
      <w:r w:rsidRPr="00E05EA9">
        <w:rPr>
          <w:sz w:val="22"/>
          <w:szCs w:val="22"/>
        </w:rPr>
        <w:t xml:space="preserve"> </w:t>
      </w:r>
    </w:p>
    <w:p w14:paraId="72DE2F92" w14:textId="77777777" w:rsidR="00374C40" w:rsidRDefault="00374C40" w:rsidP="00170467">
      <w:pPr>
        <w:ind w:left="720" w:hanging="720"/>
        <w:rPr>
          <w:sz w:val="22"/>
          <w:szCs w:val="22"/>
        </w:rPr>
      </w:pPr>
      <w:r w:rsidRPr="00170467">
        <w:rPr>
          <w:sz w:val="22"/>
          <w:szCs w:val="22"/>
        </w:rPr>
        <w:t>Ibrahim, A. M., Abdel-Aziz, H. R., Mohamed, H. A. H., Zaghamir, D. E. F., Wahba, N. M. I., Hassan, G. A., ... &amp; Aboelola, T. H. (2024). Balancing confidentiality and care coordination: challenges in patient privacy. </w:t>
      </w:r>
      <w:r w:rsidRPr="00170467">
        <w:rPr>
          <w:i/>
          <w:iCs/>
          <w:sz w:val="22"/>
          <w:szCs w:val="22"/>
        </w:rPr>
        <w:t>BMC nursing</w:t>
      </w:r>
      <w:r w:rsidRPr="00170467">
        <w:rPr>
          <w:sz w:val="22"/>
          <w:szCs w:val="22"/>
        </w:rPr>
        <w:t>, </w:t>
      </w:r>
      <w:r w:rsidRPr="00170467">
        <w:rPr>
          <w:i/>
          <w:iCs/>
          <w:sz w:val="22"/>
          <w:szCs w:val="22"/>
        </w:rPr>
        <w:t>23</w:t>
      </w:r>
      <w:r w:rsidRPr="00170467">
        <w:rPr>
          <w:sz w:val="22"/>
          <w:szCs w:val="22"/>
        </w:rPr>
        <w:t>(1), 564</w:t>
      </w:r>
      <w:r>
        <w:rPr>
          <w:sz w:val="22"/>
          <w:szCs w:val="22"/>
        </w:rPr>
        <w:t xml:space="preserve"> </w:t>
      </w:r>
      <w:hyperlink r:id="rId18" w:history="1">
        <w:r w:rsidRPr="00E8792E">
          <w:rPr>
            <w:rStyle w:val="Hyperlink"/>
            <w:sz w:val="22"/>
            <w:szCs w:val="22"/>
          </w:rPr>
          <w:t>https://doi.org/10.1186/s12912-024-02231-1</w:t>
        </w:r>
      </w:hyperlink>
      <w:r>
        <w:rPr>
          <w:sz w:val="22"/>
          <w:szCs w:val="22"/>
        </w:rPr>
        <w:t>.</w:t>
      </w:r>
    </w:p>
    <w:p w14:paraId="50D3DCDD" w14:textId="77777777" w:rsidR="00374C40" w:rsidRDefault="00374C40" w:rsidP="00E8501B">
      <w:pPr>
        <w:ind w:left="720" w:hanging="720"/>
        <w:rPr>
          <w:sz w:val="22"/>
          <w:szCs w:val="22"/>
        </w:rPr>
      </w:pPr>
      <w:r w:rsidRPr="00EF4B32">
        <w:rPr>
          <w:sz w:val="22"/>
          <w:szCs w:val="22"/>
        </w:rPr>
        <w:lastRenderedPageBreak/>
        <w:t>Javaid, M., Haleema, A., &amp; Singh, R. P. (2023). ChatGPT for healthcare services: An emerging stage for an innovative perspective. </w:t>
      </w:r>
      <w:r w:rsidRPr="00EF4B32">
        <w:rPr>
          <w:i/>
          <w:iCs/>
          <w:sz w:val="22"/>
          <w:szCs w:val="22"/>
        </w:rPr>
        <w:t>BenchCouncil Transactions on Benchmarks, Standards &amp; Evaluations</w:t>
      </w:r>
      <w:r w:rsidRPr="00EF4B32">
        <w:rPr>
          <w:sz w:val="22"/>
          <w:szCs w:val="22"/>
        </w:rPr>
        <w:t>, </w:t>
      </w:r>
      <w:r w:rsidRPr="00EF4B32">
        <w:rPr>
          <w:i/>
          <w:iCs/>
          <w:sz w:val="22"/>
          <w:szCs w:val="22"/>
        </w:rPr>
        <w:t>3</w:t>
      </w:r>
      <w:r w:rsidRPr="00EF4B32">
        <w:rPr>
          <w:sz w:val="22"/>
          <w:szCs w:val="22"/>
        </w:rPr>
        <w:t>(1)</w:t>
      </w:r>
      <w:r>
        <w:rPr>
          <w:sz w:val="22"/>
          <w:szCs w:val="22"/>
        </w:rPr>
        <w:t>.</w:t>
      </w:r>
    </w:p>
    <w:p w14:paraId="6ACCE89E" w14:textId="77777777" w:rsidR="00374C40" w:rsidRPr="00E05EA9" w:rsidRDefault="00374C40" w:rsidP="001E53CB">
      <w:pPr>
        <w:ind w:left="720" w:hanging="720"/>
        <w:rPr>
          <w:sz w:val="22"/>
          <w:szCs w:val="22"/>
        </w:rPr>
      </w:pPr>
      <w:r w:rsidRPr="00726B35">
        <w:rPr>
          <w:sz w:val="22"/>
          <w:szCs w:val="22"/>
        </w:rPr>
        <w:t>Karajicic, S. (2021). </w:t>
      </w:r>
      <w:r w:rsidRPr="00726B35">
        <w:rPr>
          <w:i/>
          <w:iCs/>
          <w:sz w:val="22"/>
          <w:szCs w:val="22"/>
        </w:rPr>
        <w:t>Patient-centred care (PCC) as idea, process and practice</w:t>
      </w:r>
      <w:r w:rsidRPr="00726B35">
        <w:rPr>
          <w:sz w:val="22"/>
          <w:szCs w:val="22"/>
        </w:rPr>
        <w:t>. Universidade de Evora (Portugal).</w:t>
      </w:r>
    </w:p>
    <w:p w14:paraId="5204E989" w14:textId="77777777" w:rsidR="00374C40" w:rsidRPr="00E05EA9" w:rsidRDefault="00374C40" w:rsidP="00E8501B">
      <w:pPr>
        <w:ind w:left="720" w:hanging="720"/>
        <w:rPr>
          <w:sz w:val="22"/>
          <w:szCs w:val="22"/>
        </w:rPr>
      </w:pPr>
      <w:r w:rsidRPr="00E05EA9">
        <w:rPr>
          <w:sz w:val="22"/>
          <w:szCs w:val="22"/>
        </w:rPr>
        <w:t>Karajicic, S., 2021. </w:t>
      </w:r>
      <w:r w:rsidRPr="00E05EA9">
        <w:rPr>
          <w:i/>
          <w:iCs/>
          <w:sz w:val="22"/>
          <w:szCs w:val="22"/>
        </w:rPr>
        <w:t>Patient-centred care (PCC) as idea, process and practice</w:t>
      </w:r>
      <w:r w:rsidRPr="00E05EA9">
        <w:rPr>
          <w:sz w:val="22"/>
          <w:szCs w:val="22"/>
        </w:rPr>
        <w:t>. Universidade de Evora (Portugal).</w:t>
      </w:r>
    </w:p>
    <w:p w14:paraId="21801B97" w14:textId="77777777" w:rsidR="00374C40" w:rsidRPr="00E05EA9" w:rsidRDefault="00374C40" w:rsidP="00E8501B">
      <w:pPr>
        <w:ind w:left="720" w:hanging="720"/>
        <w:rPr>
          <w:sz w:val="22"/>
          <w:szCs w:val="22"/>
        </w:rPr>
      </w:pPr>
      <w:r w:rsidRPr="00E05EA9">
        <w:rPr>
          <w:sz w:val="22"/>
          <w:szCs w:val="22"/>
        </w:rPr>
        <w:t>Kopec, D., 2021. </w:t>
      </w:r>
      <w:r w:rsidRPr="00E05EA9">
        <w:rPr>
          <w:i/>
          <w:iCs/>
          <w:sz w:val="22"/>
          <w:szCs w:val="22"/>
        </w:rPr>
        <w:t>Person-centered health care design</w:t>
      </w:r>
      <w:r w:rsidRPr="00E05EA9">
        <w:rPr>
          <w:sz w:val="22"/>
          <w:szCs w:val="22"/>
        </w:rPr>
        <w:t>. Routledge.</w:t>
      </w:r>
    </w:p>
    <w:p w14:paraId="4AAF3C22" w14:textId="77777777" w:rsidR="00374C40" w:rsidRPr="00E05EA9" w:rsidRDefault="00374C40" w:rsidP="00E8501B">
      <w:pPr>
        <w:ind w:left="720" w:hanging="720"/>
        <w:rPr>
          <w:sz w:val="22"/>
          <w:szCs w:val="22"/>
        </w:rPr>
      </w:pPr>
      <w:r w:rsidRPr="00E05EA9">
        <w:rPr>
          <w:sz w:val="22"/>
          <w:szCs w:val="22"/>
        </w:rPr>
        <w:t>McCormack, B. and McCance, T., 2011. </w:t>
      </w:r>
      <w:r w:rsidRPr="00E05EA9">
        <w:rPr>
          <w:i/>
          <w:iCs/>
          <w:sz w:val="22"/>
          <w:szCs w:val="22"/>
        </w:rPr>
        <w:t>Person-centred nursing: theory and practice</w:t>
      </w:r>
      <w:r w:rsidRPr="00E05EA9">
        <w:rPr>
          <w:sz w:val="22"/>
          <w:szCs w:val="22"/>
        </w:rPr>
        <w:t>. John Wiley &amp; Sons.</w:t>
      </w:r>
    </w:p>
    <w:p w14:paraId="3FA2BABF" w14:textId="77777777" w:rsidR="00374C40" w:rsidRPr="00E05EA9" w:rsidRDefault="00374C40" w:rsidP="00E8501B">
      <w:pPr>
        <w:ind w:left="720" w:hanging="720"/>
        <w:rPr>
          <w:sz w:val="22"/>
          <w:szCs w:val="22"/>
        </w:rPr>
      </w:pPr>
      <w:r w:rsidRPr="00E05EA9">
        <w:rPr>
          <w:sz w:val="22"/>
          <w:szCs w:val="22"/>
        </w:rPr>
        <w:t>Murray, M., Murray, L. and Donnelly, M., 2016. Systematic review of interventions to improve the psychological well-being of general practitioners. </w:t>
      </w:r>
      <w:r w:rsidRPr="00E05EA9">
        <w:rPr>
          <w:i/>
          <w:iCs/>
          <w:sz w:val="22"/>
          <w:szCs w:val="22"/>
        </w:rPr>
        <w:t>BMC family practice</w:t>
      </w:r>
      <w:r w:rsidRPr="00E05EA9">
        <w:rPr>
          <w:sz w:val="22"/>
          <w:szCs w:val="22"/>
        </w:rPr>
        <w:t>, </w:t>
      </w:r>
      <w:r w:rsidRPr="00E05EA9">
        <w:rPr>
          <w:i/>
          <w:iCs/>
          <w:sz w:val="22"/>
          <w:szCs w:val="22"/>
        </w:rPr>
        <w:t>17</w:t>
      </w:r>
      <w:r w:rsidRPr="00E05EA9">
        <w:rPr>
          <w:sz w:val="22"/>
          <w:szCs w:val="22"/>
        </w:rPr>
        <w:t>(1), p.36.</w:t>
      </w:r>
    </w:p>
    <w:p w14:paraId="60E2F56C" w14:textId="77777777" w:rsidR="00374C40" w:rsidRPr="00E05EA9" w:rsidRDefault="00374C40" w:rsidP="00E8501B">
      <w:pPr>
        <w:ind w:left="720" w:hanging="720"/>
        <w:rPr>
          <w:sz w:val="22"/>
          <w:szCs w:val="22"/>
        </w:rPr>
      </w:pPr>
      <w:r w:rsidRPr="00E05EA9">
        <w:rPr>
          <w:sz w:val="22"/>
          <w:szCs w:val="22"/>
        </w:rPr>
        <w:t>Orem, D.E., 1991. Nursing: Concepts of practice . St. Louis: Mosby-Year Book. </w:t>
      </w:r>
      <w:r w:rsidRPr="00E05EA9">
        <w:rPr>
          <w:rFonts w:ascii="MS Gothic" w:eastAsia="MS Gothic" w:hAnsi="MS Gothic" w:cs="MS Gothic" w:hint="eastAsia"/>
          <w:i/>
          <w:iCs/>
          <w:sz w:val="22"/>
          <w:szCs w:val="22"/>
        </w:rPr>
        <w:t>オレム</w:t>
      </w:r>
      <w:r w:rsidRPr="00E05EA9">
        <w:rPr>
          <w:i/>
          <w:iCs/>
          <w:sz w:val="22"/>
          <w:szCs w:val="22"/>
        </w:rPr>
        <w:t xml:space="preserve">, DE </w:t>
      </w:r>
      <w:r w:rsidRPr="00E05EA9">
        <w:rPr>
          <w:rFonts w:ascii="MS Gothic" w:eastAsia="MS Gothic" w:hAnsi="MS Gothic" w:cs="MS Gothic" w:hint="eastAsia"/>
          <w:i/>
          <w:iCs/>
          <w:sz w:val="22"/>
          <w:szCs w:val="22"/>
        </w:rPr>
        <w:t>小野寺杜紀</w:t>
      </w:r>
      <w:r w:rsidRPr="00E05EA9">
        <w:rPr>
          <w:i/>
          <w:iCs/>
          <w:sz w:val="22"/>
          <w:szCs w:val="22"/>
        </w:rPr>
        <w:t xml:space="preserve"> (1995). </w:t>
      </w:r>
      <w:r w:rsidRPr="00E05EA9">
        <w:rPr>
          <w:rFonts w:ascii="MS Gothic" w:eastAsia="MS Gothic" w:hAnsi="MS Gothic" w:cs="MS Gothic" w:hint="eastAsia"/>
          <w:i/>
          <w:iCs/>
          <w:sz w:val="22"/>
          <w:szCs w:val="22"/>
        </w:rPr>
        <w:t>オレム看護論</w:t>
      </w:r>
      <w:r w:rsidRPr="00E05EA9">
        <w:rPr>
          <w:i/>
          <w:iCs/>
          <w:sz w:val="22"/>
          <w:szCs w:val="22"/>
        </w:rPr>
        <w:t xml:space="preserve"> </w:t>
      </w:r>
      <w:r w:rsidRPr="00E05EA9">
        <w:rPr>
          <w:rFonts w:ascii="MS Gothic" w:eastAsia="MS Gothic" w:hAnsi="MS Gothic" w:cs="MS Gothic" w:hint="eastAsia"/>
          <w:i/>
          <w:iCs/>
          <w:sz w:val="22"/>
          <w:szCs w:val="22"/>
        </w:rPr>
        <w:t>看護実践における基本概念</w:t>
      </w:r>
      <w:r w:rsidRPr="00E05EA9">
        <w:rPr>
          <w:i/>
          <w:iCs/>
          <w:sz w:val="22"/>
          <w:szCs w:val="22"/>
        </w:rPr>
        <w:t xml:space="preserve"> </w:t>
      </w:r>
      <w:r w:rsidRPr="00E05EA9">
        <w:rPr>
          <w:rFonts w:ascii="MS Gothic" w:eastAsia="MS Gothic" w:hAnsi="MS Gothic" w:cs="MS Gothic" w:hint="eastAsia"/>
          <w:i/>
          <w:iCs/>
          <w:sz w:val="22"/>
          <w:szCs w:val="22"/>
        </w:rPr>
        <w:t>第</w:t>
      </w:r>
      <w:r w:rsidRPr="00E05EA9">
        <w:rPr>
          <w:i/>
          <w:iCs/>
          <w:sz w:val="22"/>
          <w:szCs w:val="22"/>
        </w:rPr>
        <w:t xml:space="preserve"> 3 </w:t>
      </w:r>
      <w:r w:rsidRPr="00E05EA9">
        <w:rPr>
          <w:rFonts w:ascii="MS Gothic" w:eastAsia="MS Gothic" w:hAnsi="MS Gothic" w:cs="MS Gothic" w:hint="eastAsia"/>
          <w:i/>
          <w:iCs/>
          <w:sz w:val="22"/>
          <w:szCs w:val="22"/>
        </w:rPr>
        <w:t>版</w:t>
      </w:r>
      <w:r w:rsidRPr="00E05EA9">
        <w:rPr>
          <w:i/>
          <w:iCs/>
          <w:sz w:val="22"/>
          <w:szCs w:val="22"/>
        </w:rPr>
        <w:t xml:space="preserve">, Nursing: Concept of Practice, 4th edition </w:t>
      </w:r>
      <w:r w:rsidRPr="00E05EA9">
        <w:rPr>
          <w:rFonts w:ascii="MS Gothic" w:eastAsia="MS Gothic" w:hAnsi="MS Gothic" w:cs="MS Gothic" w:hint="eastAsia"/>
          <w:i/>
          <w:iCs/>
          <w:sz w:val="22"/>
          <w:szCs w:val="22"/>
        </w:rPr>
        <w:t>医学書院</w:t>
      </w:r>
      <w:r w:rsidRPr="00E05EA9">
        <w:rPr>
          <w:sz w:val="22"/>
          <w:szCs w:val="22"/>
        </w:rPr>
        <w:t>.</w:t>
      </w:r>
    </w:p>
    <w:p w14:paraId="7DEE075F" w14:textId="77777777" w:rsidR="00374C40" w:rsidRDefault="00374C40" w:rsidP="00A22B27">
      <w:pPr>
        <w:ind w:left="720" w:hanging="720"/>
        <w:rPr>
          <w:sz w:val="22"/>
          <w:szCs w:val="22"/>
        </w:rPr>
      </w:pPr>
      <w:r w:rsidRPr="00AF661D">
        <w:rPr>
          <w:sz w:val="22"/>
          <w:szCs w:val="22"/>
        </w:rPr>
        <w:t>Reilly, S., Hobson-Merrett, C., Gibbons, B., Jones, B., Richards, D., Plappert, H., ... &amp; Planner, C. L. (2024). Collaborative care approaches for people with severe mental illness. </w:t>
      </w:r>
      <w:r w:rsidRPr="00AF661D">
        <w:rPr>
          <w:i/>
          <w:iCs/>
          <w:sz w:val="22"/>
          <w:szCs w:val="22"/>
        </w:rPr>
        <w:t>Cochrane Database of Systematic Reviews</w:t>
      </w:r>
      <w:r w:rsidRPr="00AF661D">
        <w:rPr>
          <w:sz w:val="22"/>
          <w:szCs w:val="22"/>
        </w:rPr>
        <w:t>, (5)</w:t>
      </w:r>
      <w:r>
        <w:rPr>
          <w:sz w:val="22"/>
          <w:szCs w:val="22"/>
        </w:rPr>
        <w:t xml:space="preserve"> </w:t>
      </w:r>
      <w:hyperlink r:id="rId19" w:history="1">
        <w:r w:rsidRPr="00E8792E">
          <w:rPr>
            <w:rStyle w:val="Hyperlink"/>
            <w:sz w:val="22"/>
            <w:szCs w:val="22"/>
          </w:rPr>
          <w:t>https://doi.org/10.1002/14651858.cd009531.pub3</w:t>
        </w:r>
      </w:hyperlink>
      <w:r>
        <w:rPr>
          <w:sz w:val="22"/>
          <w:szCs w:val="22"/>
        </w:rPr>
        <w:t>.</w:t>
      </w:r>
    </w:p>
    <w:p w14:paraId="2F9DD13B" w14:textId="77777777" w:rsidR="00374C40" w:rsidRPr="00E05EA9" w:rsidRDefault="00374C40" w:rsidP="00E8501B">
      <w:pPr>
        <w:ind w:left="720" w:hanging="720"/>
        <w:rPr>
          <w:sz w:val="22"/>
          <w:szCs w:val="22"/>
        </w:rPr>
      </w:pPr>
      <w:r w:rsidRPr="00E05EA9">
        <w:rPr>
          <w:sz w:val="22"/>
          <w:szCs w:val="22"/>
        </w:rPr>
        <w:t>Rogers, C.R., 1951. Client-centered therapy: Its current practice, implications, and theory. </w:t>
      </w:r>
      <w:r w:rsidRPr="00E05EA9">
        <w:rPr>
          <w:i/>
          <w:iCs/>
          <w:sz w:val="22"/>
          <w:szCs w:val="22"/>
        </w:rPr>
        <w:t>(No Title)</w:t>
      </w:r>
      <w:r w:rsidRPr="00E05EA9">
        <w:rPr>
          <w:sz w:val="22"/>
          <w:szCs w:val="22"/>
        </w:rPr>
        <w:t>.</w:t>
      </w:r>
    </w:p>
    <w:p w14:paraId="547098E0" w14:textId="77777777" w:rsidR="00374C40" w:rsidRPr="00E05EA9" w:rsidRDefault="00374C40" w:rsidP="00E8501B">
      <w:pPr>
        <w:ind w:left="720" w:hanging="720"/>
        <w:rPr>
          <w:sz w:val="22"/>
          <w:szCs w:val="22"/>
        </w:rPr>
      </w:pPr>
      <w:r w:rsidRPr="00E05EA9">
        <w:rPr>
          <w:sz w:val="22"/>
          <w:szCs w:val="22"/>
        </w:rPr>
        <w:t>Santana, M.J., Manalili, K., Jolley, R.J., Zelinsky, S., Quan, H. and Lu, M., 2018. How to practice person‐centred care: A conceptual framework. </w:t>
      </w:r>
      <w:r w:rsidRPr="00E05EA9">
        <w:rPr>
          <w:i/>
          <w:iCs/>
          <w:sz w:val="22"/>
          <w:szCs w:val="22"/>
        </w:rPr>
        <w:t>Health Expectations</w:t>
      </w:r>
      <w:r w:rsidRPr="00E05EA9">
        <w:rPr>
          <w:sz w:val="22"/>
          <w:szCs w:val="22"/>
        </w:rPr>
        <w:t>, </w:t>
      </w:r>
      <w:r w:rsidRPr="00E05EA9">
        <w:rPr>
          <w:i/>
          <w:iCs/>
          <w:sz w:val="22"/>
          <w:szCs w:val="22"/>
        </w:rPr>
        <w:t>21</w:t>
      </w:r>
      <w:r w:rsidRPr="00E05EA9">
        <w:rPr>
          <w:sz w:val="22"/>
          <w:szCs w:val="22"/>
        </w:rPr>
        <w:t>(2), pp.429-440.</w:t>
      </w:r>
    </w:p>
    <w:sectPr w:rsidR="00374C40" w:rsidRPr="00E05EA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125CB" w14:textId="77777777" w:rsidR="00AC1123" w:rsidRDefault="00AC1123" w:rsidP="001438C9">
      <w:pPr>
        <w:spacing w:after="0" w:line="240" w:lineRule="auto"/>
      </w:pPr>
      <w:r>
        <w:separator/>
      </w:r>
    </w:p>
  </w:endnote>
  <w:endnote w:type="continuationSeparator" w:id="0">
    <w:p w14:paraId="790FDF21" w14:textId="77777777" w:rsidR="00AC1123" w:rsidRDefault="00AC1123" w:rsidP="00143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920714"/>
      <w:docPartObj>
        <w:docPartGallery w:val="Page Numbers (Bottom of Page)"/>
        <w:docPartUnique/>
      </w:docPartObj>
    </w:sdtPr>
    <w:sdtContent>
      <w:sdt>
        <w:sdtPr>
          <w:id w:val="1728636285"/>
          <w:docPartObj>
            <w:docPartGallery w:val="Page Numbers (Top of Page)"/>
            <w:docPartUnique/>
          </w:docPartObj>
        </w:sdtPr>
        <w:sdtContent>
          <w:p w14:paraId="5563AAB1" w14:textId="4A1CE5D0" w:rsidR="001438C9" w:rsidRDefault="001438C9">
            <w:pPr>
              <w:pStyle w:val="Footer"/>
              <w:jc w:val="center"/>
            </w:pPr>
            <w:r>
              <w:rPr>
                <w:lang w:val="en-GB"/>
              </w:rPr>
              <w:t xml:space="preserve">Page </w:t>
            </w:r>
            <w:r>
              <w:rPr>
                <w:b/>
                <w:bCs/>
              </w:rPr>
              <w:fldChar w:fldCharType="begin"/>
            </w:r>
            <w:r>
              <w:rPr>
                <w:b/>
                <w:bCs/>
              </w:rPr>
              <w:instrText>PAGE</w:instrText>
            </w:r>
            <w:r>
              <w:rPr>
                <w:b/>
                <w:bCs/>
              </w:rPr>
              <w:fldChar w:fldCharType="separate"/>
            </w:r>
            <w:r>
              <w:rPr>
                <w:b/>
                <w:bCs/>
                <w:lang w:val="en-GB"/>
              </w:rPr>
              <w:t>2</w:t>
            </w:r>
            <w:r>
              <w:rPr>
                <w:b/>
                <w:bCs/>
              </w:rPr>
              <w:fldChar w:fldCharType="end"/>
            </w:r>
            <w:r>
              <w:rPr>
                <w:lang w:val="en-GB"/>
              </w:rPr>
              <w:t xml:space="preserve"> of </w:t>
            </w:r>
            <w:r>
              <w:rPr>
                <w:b/>
                <w:bCs/>
              </w:rPr>
              <w:fldChar w:fldCharType="begin"/>
            </w:r>
            <w:r>
              <w:rPr>
                <w:b/>
                <w:bCs/>
              </w:rPr>
              <w:instrText>NUMPAGES</w:instrText>
            </w:r>
            <w:r>
              <w:rPr>
                <w:b/>
                <w:bCs/>
              </w:rPr>
              <w:fldChar w:fldCharType="separate"/>
            </w:r>
            <w:r>
              <w:rPr>
                <w:b/>
                <w:bCs/>
                <w:lang w:val="en-GB"/>
              </w:rPr>
              <w:t>2</w:t>
            </w:r>
            <w:r>
              <w:rPr>
                <w:b/>
                <w:bCs/>
              </w:rPr>
              <w:fldChar w:fldCharType="end"/>
            </w:r>
          </w:p>
        </w:sdtContent>
      </w:sdt>
    </w:sdtContent>
  </w:sdt>
  <w:p w14:paraId="42C909DA" w14:textId="77777777" w:rsidR="001438C9" w:rsidRDefault="00143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CB4BF" w14:textId="77777777" w:rsidR="00AC1123" w:rsidRDefault="00AC1123" w:rsidP="001438C9">
      <w:pPr>
        <w:spacing w:after="0" w:line="240" w:lineRule="auto"/>
      </w:pPr>
      <w:r>
        <w:separator/>
      </w:r>
    </w:p>
  </w:footnote>
  <w:footnote w:type="continuationSeparator" w:id="0">
    <w:p w14:paraId="59D38538" w14:textId="77777777" w:rsidR="00AC1123" w:rsidRDefault="00AC1123" w:rsidP="00143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BE034" w14:textId="72B48938" w:rsidR="001438C9" w:rsidRDefault="001438C9">
    <w:pPr>
      <w:spacing w:line="264" w:lineRule="auto"/>
    </w:pPr>
    <w:r>
      <w:rPr>
        <w:noProof/>
        <w:color w:val="000000"/>
      </w:rPr>
      <mc:AlternateContent>
        <mc:Choice Requires="wps">
          <w:drawing>
            <wp:anchor distT="0" distB="0" distL="114300" distR="114300" simplePos="0" relativeHeight="251659264" behindDoc="0" locked="0" layoutInCell="1" allowOverlap="1" wp14:anchorId="49353236" wp14:editId="18D41D42">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55CE73"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r>
      <w:rPr>
        <w:color w:val="156082" w:themeColor="accent1"/>
        <w:sz w:val="20"/>
        <w:szCs w:val="20"/>
        <w:lang w:val="en-GB"/>
      </w:rPr>
      <w:t>M</w:t>
    </w:r>
    <w:sdt>
      <w:sdtPr>
        <w:rPr>
          <w:color w:val="156082" w:themeColor="accent1"/>
          <w:sz w:val="20"/>
          <w:szCs w:val="20"/>
        </w:rPr>
        <w:alias w:val="Title"/>
        <w:id w:val="15524250"/>
        <w:placeholder>
          <w:docPart w:val="1C5E0BE2CED5439EB7FEDF4F3E96F794"/>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lang w:val="en-GB"/>
          </w:rPr>
          <w:t>usab Umayr Shah 2411894</w:t>
        </w:r>
      </w:sdtContent>
    </w:sdt>
  </w:p>
  <w:p w14:paraId="0698B554" w14:textId="77777777" w:rsidR="001438C9" w:rsidRDefault="001438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106968"/>
    <w:multiLevelType w:val="hybridMultilevel"/>
    <w:tmpl w:val="7C02B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622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086"/>
    <w:rsid w:val="000E614D"/>
    <w:rsid w:val="00130198"/>
    <w:rsid w:val="001438C9"/>
    <w:rsid w:val="00170467"/>
    <w:rsid w:val="001E53CB"/>
    <w:rsid w:val="001F41F0"/>
    <w:rsid w:val="001F4549"/>
    <w:rsid w:val="00210173"/>
    <w:rsid w:val="00374C40"/>
    <w:rsid w:val="00411DC0"/>
    <w:rsid w:val="00424096"/>
    <w:rsid w:val="004A6086"/>
    <w:rsid w:val="004D3D5C"/>
    <w:rsid w:val="00550C7C"/>
    <w:rsid w:val="00726B35"/>
    <w:rsid w:val="00824CBA"/>
    <w:rsid w:val="008D17E5"/>
    <w:rsid w:val="008F1001"/>
    <w:rsid w:val="009130C1"/>
    <w:rsid w:val="009B0114"/>
    <w:rsid w:val="00A22B27"/>
    <w:rsid w:val="00A617CB"/>
    <w:rsid w:val="00AC1123"/>
    <w:rsid w:val="00AF661D"/>
    <w:rsid w:val="00B842C1"/>
    <w:rsid w:val="00C431BC"/>
    <w:rsid w:val="00CE5EE2"/>
    <w:rsid w:val="00D223E8"/>
    <w:rsid w:val="00D3077F"/>
    <w:rsid w:val="00DB2C1A"/>
    <w:rsid w:val="00E05EA9"/>
    <w:rsid w:val="00E8501B"/>
    <w:rsid w:val="00EB0628"/>
    <w:rsid w:val="00EB2663"/>
    <w:rsid w:val="00EC3749"/>
    <w:rsid w:val="00EF4B32"/>
    <w:rsid w:val="00F054A6"/>
    <w:rsid w:val="00FF785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AD6D99"/>
  <w15:chartTrackingRefBased/>
  <w15:docId w15:val="{00DF89D3-F4CE-436F-A15C-B379067DB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4A608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608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60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60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60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60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4A6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086"/>
    <w:rPr>
      <w:rFonts w:eastAsiaTheme="majorEastAsia" w:cstheme="majorBidi"/>
      <w:color w:val="272727" w:themeColor="text1" w:themeTint="D8"/>
    </w:rPr>
  </w:style>
  <w:style w:type="paragraph" w:styleId="Title">
    <w:name w:val="Title"/>
    <w:basedOn w:val="Normal"/>
    <w:next w:val="Normal"/>
    <w:link w:val="TitleChar"/>
    <w:uiPriority w:val="10"/>
    <w:qFormat/>
    <w:rsid w:val="004A60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08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086"/>
    <w:pPr>
      <w:spacing w:before="160"/>
      <w:jc w:val="center"/>
    </w:pPr>
    <w:rPr>
      <w:i/>
      <w:iCs/>
      <w:color w:val="404040" w:themeColor="text1" w:themeTint="BF"/>
    </w:rPr>
  </w:style>
  <w:style w:type="character" w:customStyle="1" w:styleId="QuoteChar">
    <w:name w:val="Quote Char"/>
    <w:basedOn w:val="DefaultParagraphFont"/>
    <w:link w:val="Quote"/>
    <w:uiPriority w:val="29"/>
    <w:rsid w:val="004A6086"/>
    <w:rPr>
      <w:rFonts w:ascii="Times New Roman" w:hAnsi="Times New Roman"/>
      <w:i/>
      <w:iCs/>
      <w:color w:val="404040" w:themeColor="text1" w:themeTint="BF"/>
    </w:rPr>
  </w:style>
  <w:style w:type="paragraph" w:styleId="ListParagraph">
    <w:name w:val="List Paragraph"/>
    <w:basedOn w:val="Normal"/>
    <w:uiPriority w:val="34"/>
    <w:qFormat/>
    <w:rsid w:val="004A6086"/>
    <w:pPr>
      <w:ind w:left="720"/>
      <w:contextualSpacing/>
    </w:pPr>
  </w:style>
  <w:style w:type="character" w:styleId="IntenseEmphasis">
    <w:name w:val="Intense Emphasis"/>
    <w:basedOn w:val="DefaultParagraphFont"/>
    <w:uiPriority w:val="21"/>
    <w:qFormat/>
    <w:rsid w:val="004A6086"/>
    <w:rPr>
      <w:i/>
      <w:iCs/>
      <w:color w:val="0F4761" w:themeColor="accent1" w:themeShade="BF"/>
    </w:rPr>
  </w:style>
  <w:style w:type="paragraph" w:styleId="IntenseQuote">
    <w:name w:val="Intense Quote"/>
    <w:basedOn w:val="Normal"/>
    <w:next w:val="Normal"/>
    <w:link w:val="IntenseQuoteChar"/>
    <w:uiPriority w:val="30"/>
    <w:qFormat/>
    <w:rsid w:val="004A6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086"/>
    <w:rPr>
      <w:rFonts w:ascii="Times New Roman" w:hAnsi="Times New Roman"/>
      <w:i/>
      <w:iCs/>
      <w:color w:val="0F4761" w:themeColor="accent1" w:themeShade="BF"/>
    </w:rPr>
  </w:style>
  <w:style w:type="character" w:styleId="IntenseReference">
    <w:name w:val="Intense Reference"/>
    <w:basedOn w:val="DefaultParagraphFont"/>
    <w:uiPriority w:val="32"/>
    <w:qFormat/>
    <w:rsid w:val="004A6086"/>
    <w:rPr>
      <w:b/>
      <w:bCs/>
      <w:smallCaps/>
      <w:color w:val="0F4761" w:themeColor="accent1" w:themeShade="BF"/>
      <w:spacing w:val="5"/>
    </w:rPr>
  </w:style>
  <w:style w:type="paragraph" w:styleId="Caption">
    <w:name w:val="caption"/>
    <w:basedOn w:val="Normal"/>
    <w:next w:val="Normal"/>
    <w:uiPriority w:val="35"/>
    <w:unhideWhenUsed/>
    <w:qFormat/>
    <w:rsid w:val="00A617CB"/>
    <w:pPr>
      <w:spacing w:after="200" w:line="240" w:lineRule="auto"/>
    </w:pPr>
    <w:rPr>
      <w:i/>
      <w:iCs/>
      <w:color w:val="0E2841" w:themeColor="text2"/>
      <w:sz w:val="18"/>
      <w:szCs w:val="18"/>
    </w:rPr>
  </w:style>
  <w:style w:type="character" w:styleId="Hyperlink">
    <w:name w:val="Hyperlink"/>
    <w:basedOn w:val="DefaultParagraphFont"/>
    <w:uiPriority w:val="99"/>
    <w:unhideWhenUsed/>
    <w:rsid w:val="00E8501B"/>
    <w:rPr>
      <w:color w:val="467886" w:themeColor="hyperlink"/>
      <w:u w:val="single"/>
    </w:rPr>
  </w:style>
  <w:style w:type="character" w:styleId="UnresolvedMention">
    <w:name w:val="Unresolved Mention"/>
    <w:basedOn w:val="DefaultParagraphFont"/>
    <w:uiPriority w:val="99"/>
    <w:semiHidden/>
    <w:unhideWhenUsed/>
    <w:rsid w:val="00E8501B"/>
    <w:rPr>
      <w:color w:val="605E5C"/>
      <w:shd w:val="clear" w:color="auto" w:fill="E1DFDD"/>
    </w:rPr>
  </w:style>
  <w:style w:type="paragraph" w:styleId="TOCHeading">
    <w:name w:val="TOC Heading"/>
    <w:basedOn w:val="Heading1"/>
    <w:next w:val="Normal"/>
    <w:uiPriority w:val="39"/>
    <w:unhideWhenUsed/>
    <w:qFormat/>
    <w:rsid w:val="00E8501B"/>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8501B"/>
    <w:pPr>
      <w:spacing w:after="100"/>
    </w:pPr>
  </w:style>
  <w:style w:type="paragraph" w:styleId="TOC2">
    <w:name w:val="toc 2"/>
    <w:basedOn w:val="Normal"/>
    <w:next w:val="Normal"/>
    <w:autoRedefine/>
    <w:uiPriority w:val="39"/>
    <w:unhideWhenUsed/>
    <w:rsid w:val="00E8501B"/>
    <w:pPr>
      <w:spacing w:after="100"/>
      <w:ind w:left="240"/>
    </w:pPr>
  </w:style>
  <w:style w:type="paragraph" w:styleId="Header">
    <w:name w:val="header"/>
    <w:basedOn w:val="Normal"/>
    <w:link w:val="HeaderChar"/>
    <w:uiPriority w:val="99"/>
    <w:unhideWhenUsed/>
    <w:rsid w:val="00143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8C9"/>
    <w:rPr>
      <w:rFonts w:ascii="Times New Roman" w:hAnsi="Times New Roman"/>
    </w:rPr>
  </w:style>
  <w:style w:type="paragraph" w:styleId="Footer">
    <w:name w:val="footer"/>
    <w:basedOn w:val="Normal"/>
    <w:link w:val="FooterChar"/>
    <w:uiPriority w:val="99"/>
    <w:unhideWhenUsed/>
    <w:rsid w:val="00143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8C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pm.12985" TargetMode="External"/><Relationship Id="rId18" Type="http://schemas.openxmlformats.org/officeDocument/2006/relationships/hyperlink" Target="https://doi.org/10.1186/s12912-024-02231-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hyperlink" Target="https://www.legislation.gov.uk/ukpga/2012/7/conten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ssmqr.2023.100318"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doi.org/10.1002/14651858.cd009531.pub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0/15/content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C5E0BE2CED5439EB7FEDF4F3E96F794"/>
        <w:category>
          <w:name w:val="General"/>
          <w:gallery w:val="placeholder"/>
        </w:category>
        <w:types>
          <w:type w:val="bbPlcHdr"/>
        </w:types>
        <w:behaviors>
          <w:behavior w:val="content"/>
        </w:behaviors>
        <w:guid w:val="{58FEE0D4-74CE-45DC-A97B-6564C1077D21}"/>
      </w:docPartPr>
      <w:docPartBody>
        <w:p w:rsidR="00F930B9" w:rsidRDefault="00066889" w:rsidP="00066889">
          <w:pPr>
            <w:pStyle w:val="1C5E0BE2CED5439EB7FEDF4F3E96F794"/>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889"/>
    <w:rsid w:val="00066889"/>
    <w:rsid w:val="00327D06"/>
    <w:rsid w:val="00424096"/>
    <w:rsid w:val="00575EAC"/>
    <w:rsid w:val="009B0114"/>
    <w:rsid w:val="00DB2C1A"/>
    <w:rsid w:val="00F10556"/>
    <w:rsid w:val="00F93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5E0BE2CED5439EB7FEDF4F3E96F794">
    <w:name w:val="1C5E0BE2CED5439EB7FEDF4F3E96F794"/>
    <w:rsid w:val="000668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C0883F25CF1C46A7C704B9AB0A2E0D" ma:contentTypeVersion="6" ma:contentTypeDescription="Create a new document." ma:contentTypeScope="" ma:versionID="4ae9c313409c0f87e40fde72e1a7139d">
  <xsd:schema xmlns:xsd="http://www.w3.org/2001/XMLSchema" xmlns:xs="http://www.w3.org/2001/XMLSchema" xmlns:p="http://schemas.microsoft.com/office/2006/metadata/properties" xmlns:ns3="d5896b40-d792-4512-8395-c9f9aef9b624" targetNamespace="http://schemas.microsoft.com/office/2006/metadata/properties" ma:root="true" ma:fieldsID="ce73dae54ee019d60a53ce7085f29e2c" ns3:_="">
    <xsd:import namespace="d5896b40-d792-4512-8395-c9f9aef9b624"/>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896b40-d792-4512-8395-c9f9aef9b62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5896b40-d792-4512-8395-c9f9aef9b62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67F2AB-C5D4-4550-90D7-D570A76E77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5896b40-d792-4512-8395-c9f9aef9b6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E9D431-980F-4432-95E6-0711C707ECDE}">
  <ds:schemaRefs>
    <ds:schemaRef ds:uri="http://schemas.openxmlformats.org/officeDocument/2006/bibliography"/>
  </ds:schemaRefs>
</ds:datastoreItem>
</file>

<file path=customXml/itemProps3.xml><?xml version="1.0" encoding="utf-8"?>
<ds:datastoreItem xmlns:ds="http://schemas.openxmlformats.org/officeDocument/2006/customXml" ds:itemID="{83ED15DF-B6D0-4F10-B893-5F3FF20E4D66}">
  <ds:schemaRefs>
    <ds:schemaRef ds:uri="http://schemas.microsoft.com/office/2006/metadata/properties"/>
    <ds:schemaRef ds:uri="http://schemas.microsoft.com/office/infopath/2007/PartnerControls"/>
    <ds:schemaRef ds:uri="d5896b40-d792-4512-8395-c9f9aef9b624"/>
  </ds:schemaRefs>
</ds:datastoreItem>
</file>

<file path=customXml/itemProps4.xml><?xml version="1.0" encoding="utf-8"?>
<ds:datastoreItem xmlns:ds="http://schemas.openxmlformats.org/officeDocument/2006/customXml" ds:itemID="{492CF997-696F-4CE2-B2DD-4E76746284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3164</Words>
  <Characters>19020</Characters>
  <Application>Microsoft Office Word</Application>
  <DocSecurity>0</DocSecurity>
  <Lines>317</Lines>
  <Paragraphs>113</Paragraphs>
  <ScaleCrop>false</ScaleCrop>
  <HeadingPairs>
    <vt:vector size="2" baseType="variant">
      <vt:variant>
        <vt:lpstr>Title</vt:lpstr>
      </vt:variant>
      <vt:variant>
        <vt:i4>1</vt:i4>
      </vt:variant>
    </vt:vector>
  </HeadingPairs>
  <TitlesOfParts>
    <vt:vector size="1" baseType="lpstr">
      <vt:lpstr>usab Umayr Shah 2411894</vt:lpstr>
    </vt:vector>
  </TitlesOfParts>
  <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 Umayr Shah 2411894</dc:title>
  <dc:subject/>
  <dc:creator>01-134222-134</dc:creator>
  <cp:keywords/>
  <dc:description/>
  <cp:lastModifiedBy>01-134222-134</cp:lastModifiedBy>
  <cp:revision>22</cp:revision>
  <dcterms:created xsi:type="dcterms:W3CDTF">2025-09-22T17:03:00Z</dcterms:created>
  <dcterms:modified xsi:type="dcterms:W3CDTF">2025-10-22T08:15:00Z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b5de657a-33be-4caa-941d-268c99912a71</vt:lpwstr>
  </property>
  <property fmtid="{D5CDD505-2E9C-101B-9397-08002B2CF9AE}" pid="3" name="ContentTypeId">
    <vt:lpwstr>0x0101007CC0883F25CF1C46A7C704B9AB0A2E0D</vt:lpwstr>
  </property>
</Properties>
</file>