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CAD7A">
      <w:pPr>
        <w:pStyle w:val="8"/>
        <w:rPr>
          <w:rFonts w:hint="default" w:ascii="Arial" w:hAnsi="Arial" w:cs="Arial"/>
          <w:highlight w:val="none"/>
        </w:rPr>
      </w:pPr>
    </w:p>
    <w:p w14:paraId="42B7D326">
      <w:pPr>
        <w:pStyle w:val="8"/>
        <w:ind w:left="2798"/>
        <w:rPr>
          <w:rFonts w:hint="default" w:ascii="Arial" w:hAnsi="Arial" w:cs="Arial"/>
          <w:highlight w:val="none"/>
        </w:rPr>
      </w:pPr>
      <w:r>
        <w:rPr>
          <w:rFonts w:hint="default" w:ascii="Arial" w:hAnsi="Arial" w:cs="Arial"/>
          <w:highlight w:val="none"/>
          <w:lang w:val="en-US" w:eastAsia="en-US" w:bidi="ar-SA"/>
        </w:rPr>
        <w:drawing>
          <wp:anchor distT="0" distB="0" distL="114300" distR="114300" simplePos="0" relativeHeight="251659264" behindDoc="1" locked="0" layoutInCell="1" allowOverlap="1">
            <wp:simplePos x="0" y="0"/>
            <wp:positionH relativeFrom="column">
              <wp:posOffset>1275080</wp:posOffset>
            </wp:positionH>
            <wp:positionV relativeFrom="paragraph">
              <wp:posOffset>60325</wp:posOffset>
            </wp:positionV>
            <wp:extent cx="5082540" cy="1328420"/>
            <wp:effectExtent l="0" t="0" r="0" b="0"/>
            <wp:wrapTight wrapText="bothSides">
              <wp:wrapPolygon>
                <wp:start x="729" y="3407"/>
                <wp:lineTo x="729" y="8983"/>
                <wp:lineTo x="1052" y="13939"/>
                <wp:lineTo x="1943" y="17346"/>
                <wp:lineTo x="2024" y="17966"/>
                <wp:lineTo x="5991" y="17966"/>
                <wp:lineTo x="10606" y="17346"/>
                <wp:lineTo x="10687" y="13939"/>
                <wp:lineTo x="14006" y="13629"/>
                <wp:lineTo x="14168" y="9602"/>
                <wp:lineTo x="17406" y="8983"/>
                <wp:lineTo x="17649" y="5266"/>
                <wp:lineTo x="15787" y="3407"/>
                <wp:lineTo x="729" y="3407"/>
              </wp:wrapPolygon>
            </wp:wrapTight>
            <wp:docPr id="3" name="Picture 3"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noChangeArrowheads="1"/>
                    </pic:cNvPicPr>
                  </pic:nvPicPr>
                  <pic:blipFill>
                    <a:blip r:embed="rId9">
                      <a:extLst>
                        <a:ext uri="{28A0092B-C50C-407E-A947-70E740481C1C}">
                          <a14:useLocalDpi xmlns:a14="http://schemas.microsoft.com/office/drawing/2010/main" val="0"/>
                        </a:ext>
                      </a:extLst>
                    </a:blip>
                    <a:srcRect r="6549"/>
                    <a:stretch>
                      <a:fillRect/>
                    </a:stretch>
                  </pic:blipFill>
                  <pic:spPr>
                    <a:xfrm>
                      <a:off x="0" y="0"/>
                      <a:ext cx="5082540" cy="1328420"/>
                    </a:xfrm>
                    <a:prstGeom prst="rect">
                      <a:avLst/>
                    </a:prstGeom>
                    <a:noFill/>
                    <a:ln>
                      <a:noFill/>
                    </a:ln>
                  </pic:spPr>
                </pic:pic>
              </a:graphicData>
            </a:graphic>
          </wp:anchor>
        </w:drawing>
      </w:r>
    </w:p>
    <w:p w14:paraId="212C2AA1">
      <w:pPr>
        <w:pStyle w:val="8"/>
        <w:rPr>
          <w:rFonts w:hint="default" w:ascii="Arial" w:hAnsi="Arial" w:cs="Arial"/>
          <w:highlight w:val="none"/>
        </w:rPr>
      </w:pPr>
    </w:p>
    <w:p w14:paraId="366C2374">
      <w:pPr>
        <w:pStyle w:val="8"/>
        <w:rPr>
          <w:rFonts w:hint="default" w:ascii="Arial" w:hAnsi="Arial" w:cs="Arial"/>
          <w:highlight w:val="none"/>
        </w:rPr>
      </w:pPr>
    </w:p>
    <w:p w14:paraId="6D98DF1F">
      <w:pPr>
        <w:pStyle w:val="8"/>
        <w:rPr>
          <w:rFonts w:hint="default" w:ascii="Arial" w:hAnsi="Arial" w:cs="Arial"/>
          <w:highlight w:val="none"/>
        </w:rPr>
      </w:pPr>
    </w:p>
    <w:p w14:paraId="1CB49B21">
      <w:pPr>
        <w:pStyle w:val="8"/>
        <w:rPr>
          <w:rFonts w:hint="default" w:ascii="Arial" w:hAnsi="Arial" w:cs="Arial"/>
          <w:highlight w:val="none"/>
        </w:rPr>
      </w:pPr>
    </w:p>
    <w:p w14:paraId="57B005FF">
      <w:pPr>
        <w:pStyle w:val="8"/>
        <w:rPr>
          <w:rFonts w:hint="default" w:ascii="Arial" w:hAnsi="Arial" w:cs="Arial"/>
          <w:highlight w:val="none"/>
        </w:rPr>
      </w:pPr>
    </w:p>
    <w:p w14:paraId="16E2ECA5">
      <w:pPr>
        <w:pStyle w:val="8"/>
        <w:spacing w:before="2"/>
        <w:rPr>
          <w:rFonts w:hint="default" w:ascii="Arial" w:hAnsi="Arial" w:cs="Arial"/>
          <w:highlight w:val="none"/>
        </w:rPr>
      </w:pPr>
    </w:p>
    <w:p w14:paraId="1A9D23BA">
      <w:pPr>
        <w:ind w:left="1835"/>
        <w:rPr>
          <w:rFonts w:hint="default" w:ascii="Arial" w:hAnsi="Arial" w:cs="Arial"/>
          <w:highlight w:val="none"/>
        </w:rPr>
      </w:pPr>
    </w:p>
    <w:p w14:paraId="19704960">
      <w:pPr>
        <w:rPr>
          <w:rFonts w:hint="default" w:ascii="Arial" w:hAnsi="Arial" w:cs="Arial"/>
          <w:highlight w:val="none"/>
        </w:rPr>
      </w:pPr>
    </w:p>
    <w:p w14:paraId="03BBA133">
      <w:pPr>
        <w:rPr>
          <w:rFonts w:hint="default" w:ascii="Arial" w:hAnsi="Arial" w:cs="Arial"/>
          <w:highlight w:val="none"/>
        </w:rPr>
      </w:pPr>
    </w:p>
    <w:p w14:paraId="5023D347">
      <w:pPr>
        <w:jc w:val="center"/>
        <w:rPr>
          <w:rFonts w:hint="default" w:ascii="Arial" w:hAnsi="Arial" w:cs="Arial"/>
          <w:sz w:val="70"/>
          <w:szCs w:val="70"/>
          <w:highlight w:val="none"/>
        </w:rPr>
      </w:pPr>
      <w:r>
        <w:rPr>
          <w:rFonts w:hint="default" w:ascii="Arial" w:hAnsi="Arial" w:cs="Arial"/>
          <w:sz w:val="70"/>
          <w:szCs w:val="70"/>
          <w:highlight w:val="none"/>
        </w:rPr>
        <w:t>SefydliadDysgu Canol Dinas /</w:t>
      </w:r>
    </w:p>
    <w:p w14:paraId="096D3C03">
      <w:pPr>
        <w:ind w:left="1234" w:right="1229"/>
        <w:jc w:val="center"/>
        <w:rPr>
          <w:rFonts w:hint="default" w:ascii="Arial" w:hAnsi="Arial" w:cs="Arial"/>
          <w:sz w:val="70"/>
          <w:szCs w:val="70"/>
          <w:highlight w:val="none"/>
        </w:rPr>
      </w:pPr>
      <w:r>
        <w:rPr>
          <w:rFonts w:hint="default" w:ascii="Arial" w:hAnsi="Arial" w:cs="Arial"/>
          <w:sz w:val="70"/>
          <w:szCs w:val="70"/>
          <w:highlight w:val="none"/>
        </w:rPr>
        <w:t>Institute of Inner City Learning</w:t>
      </w:r>
    </w:p>
    <w:p w14:paraId="3EA4042D">
      <w:pPr>
        <w:rPr>
          <w:rFonts w:hint="default" w:ascii="Arial" w:hAnsi="Arial" w:cs="Arial"/>
          <w:sz w:val="70"/>
          <w:szCs w:val="70"/>
          <w:highlight w:val="none"/>
        </w:rPr>
      </w:pPr>
    </w:p>
    <w:p w14:paraId="3540F7F5">
      <w:pPr>
        <w:jc w:val="center"/>
        <w:rPr>
          <w:rFonts w:hint="default" w:ascii="Arial" w:hAnsi="Arial" w:cs="Arial"/>
          <w:sz w:val="70"/>
          <w:szCs w:val="70"/>
          <w:highlight w:val="none"/>
        </w:rPr>
      </w:pPr>
      <w:r>
        <w:rPr>
          <w:rFonts w:hint="default" w:ascii="Arial" w:hAnsi="Arial" w:cs="Arial"/>
          <w:sz w:val="70"/>
          <w:szCs w:val="70"/>
          <w:highlight w:val="none"/>
        </w:rPr>
        <w:t>MSc Public Health and Social Care in Practice</w:t>
      </w:r>
    </w:p>
    <w:p w14:paraId="6572E015">
      <w:pPr>
        <w:jc w:val="center"/>
        <w:rPr>
          <w:rFonts w:hint="default" w:ascii="Arial" w:hAnsi="Arial" w:cs="Arial"/>
          <w:highlight w:val="none"/>
        </w:rPr>
        <w:sectPr>
          <w:footerReference r:id="rId5" w:type="default"/>
          <w:type w:val="continuous"/>
          <w:pgSz w:w="12240" w:h="15840"/>
          <w:pgMar w:top="1440" w:right="1800" w:bottom="1440" w:left="1800" w:header="720" w:footer="1053" w:gutter="0"/>
          <w:pgNumType w:start="1"/>
          <w:cols w:space="720" w:num="1"/>
        </w:sectPr>
      </w:pPr>
    </w:p>
    <w:p w14:paraId="66B36C41">
      <w:pPr>
        <w:keepNext/>
        <w:spacing w:before="240" w:after="60"/>
        <w:jc w:val="both"/>
        <w:outlineLvl w:val="0"/>
        <w:rPr>
          <w:rFonts w:hint="default" w:ascii="Arial" w:hAnsi="Arial" w:cs="Arial"/>
          <w:sz w:val="60"/>
          <w:szCs w:val="60"/>
          <w:highlight w:val="none"/>
        </w:rPr>
      </w:pPr>
      <w:bookmarkStart w:id="0" w:name="_Hlk131937255"/>
    </w:p>
    <w:p w14:paraId="0C4CECB5">
      <w:pPr>
        <w:pStyle w:val="39"/>
        <w:spacing w:line="360" w:lineRule="auto"/>
        <w:jc w:val="center"/>
        <w:rPr>
          <w:rFonts w:hint="default" w:ascii="Arial" w:hAnsi="Arial" w:cs="Arial"/>
          <w:b/>
          <w:sz w:val="60"/>
          <w:szCs w:val="60"/>
          <w:highlight w:val="none"/>
        </w:rPr>
      </w:pPr>
      <w:r>
        <w:rPr>
          <w:rFonts w:hint="default" w:ascii="Arial" w:hAnsi="Arial" w:cs="Arial"/>
          <w:b/>
          <w:sz w:val="60"/>
          <w:szCs w:val="60"/>
          <w:highlight w:val="none"/>
        </w:rPr>
        <w:t>How lifestyle affects the cardiovascular health of South Asian adults living in the UK — A systematic literature review</w:t>
      </w:r>
    </w:p>
    <w:p w14:paraId="7E21A6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ascii="Arial" w:hAnsi="Arial" w:cs="Arial"/>
          <w:b/>
          <w:highlight w:val="none"/>
        </w:rPr>
      </w:pPr>
    </w:p>
    <w:p w14:paraId="6BF314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ascii="Arial" w:hAnsi="Arial" w:cs="Arial"/>
          <w:highlight w:val="none"/>
        </w:rPr>
      </w:pPr>
    </w:p>
    <w:p w14:paraId="67628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ascii="Arial" w:hAnsi="Arial" w:cs="Arial"/>
          <w:b/>
          <w:sz w:val="60"/>
          <w:szCs w:val="60"/>
          <w:highlight w:val="none"/>
        </w:rPr>
      </w:pPr>
    </w:p>
    <w:p w14:paraId="4AE32D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ascii="Arial" w:hAnsi="Arial" w:cs="Arial"/>
          <w:b/>
          <w:sz w:val="60"/>
          <w:szCs w:val="60"/>
          <w:highlight w:val="none"/>
        </w:rPr>
      </w:pPr>
      <w:r>
        <w:rPr>
          <w:rFonts w:hint="default" w:ascii="Arial" w:hAnsi="Arial" w:cs="Arial"/>
          <w:b/>
          <w:sz w:val="60"/>
          <w:szCs w:val="60"/>
          <w:highlight w:val="none"/>
        </w:rPr>
        <w:t xml:space="preserve">Your Full Name: </w:t>
      </w:r>
      <w:r>
        <w:rPr>
          <w:rFonts w:hint="default" w:ascii="Arial" w:hAnsi="Arial" w:cs="Arial"/>
          <w:color w:val="222222"/>
          <w:sz w:val="60"/>
          <w:szCs w:val="60"/>
          <w:highlight w:val="none"/>
          <w:shd w:val="clear" w:color="auto" w:fill="FFFFFF"/>
        </w:rPr>
        <w:t> Stephygraph Anem</w:t>
      </w:r>
    </w:p>
    <w:p w14:paraId="08668A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ascii="Arial" w:hAnsi="Arial" w:cs="Arial"/>
          <w:b/>
          <w:sz w:val="60"/>
          <w:szCs w:val="60"/>
          <w:highlight w:val="none"/>
        </w:rPr>
      </w:pPr>
      <w:r>
        <w:rPr>
          <w:rFonts w:hint="default" w:ascii="Arial" w:hAnsi="Arial" w:cs="Arial"/>
          <w:b/>
          <w:sz w:val="60"/>
          <w:szCs w:val="60"/>
          <w:highlight w:val="none"/>
        </w:rPr>
        <w:t xml:space="preserve">Student Number: </w:t>
      </w:r>
      <w:r>
        <w:rPr>
          <w:rFonts w:hint="default" w:ascii="Arial" w:hAnsi="Arial" w:cs="Arial"/>
          <w:color w:val="222222"/>
          <w:sz w:val="60"/>
          <w:szCs w:val="60"/>
          <w:highlight w:val="none"/>
          <w:shd w:val="clear" w:color="auto" w:fill="FFFFFF"/>
        </w:rPr>
        <w:t>2435901</w:t>
      </w:r>
    </w:p>
    <w:p w14:paraId="60EBD8FF">
      <w:pPr>
        <w:jc w:val="center"/>
        <w:rPr>
          <w:rFonts w:hint="default" w:ascii="Arial" w:hAnsi="Arial" w:eastAsia="Times New Roman" w:cs="Arial"/>
          <w:sz w:val="60"/>
          <w:szCs w:val="60"/>
          <w:highlight w:val="none"/>
          <w:lang w:val="en-US" w:eastAsia="en-US" w:bidi="ar-SA"/>
        </w:rPr>
      </w:pPr>
      <w:r>
        <w:rPr>
          <w:rFonts w:hint="default" w:ascii="Arial" w:hAnsi="Arial" w:cs="Arial"/>
          <w:b/>
          <w:sz w:val="60"/>
          <w:szCs w:val="60"/>
          <w:highlight w:val="none"/>
        </w:rPr>
        <w:t xml:space="preserve">Supervisor Name: </w:t>
      </w:r>
      <w:r>
        <w:rPr>
          <w:rFonts w:hint="default" w:ascii="Arial" w:hAnsi="Arial" w:eastAsia="Times New Roman" w:cs="Arial"/>
          <w:sz w:val="60"/>
          <w:szCs w:val="60"/>
          <w:highlight w:val="none"/>
          <w:lang w:val="en-US" w:eastAsia="en-US" w:bidi="ar-SA"/>
        </w:rPr>
        <w:t>Dr Rizwan Nadim</w:t>
      </w:r>
    </w:p>
    <w:bookmarkEnd w:id="0"/>
    <w:p w14:paraId="2F0FEF84">
      <w:pPr>
        <w:rPr>
          <w:rFonts w:hint="default" w:ascii="Arial" w:hAnsi="Arial" w:cs="Arial"/>
          <w:highlight w:val="none"/>
        </w:rPr>
      </w:pPr>
    </w:p>
    <w:p w14:paraId="11645AB8">
      <w:pPr>
        <w:jc w:val="center"/>
        <w:rPr>
          <w:rFonts w:hint="default" w:ascii="Arial" w:hAnsi="Arial" w:cs="Arial"/>
          <w:b/>
          <w:sz w:val="28"/>
          <w:szCs w:val="28"/>
          <w:highlight w:val="none"/>
        </w:rPr>
      </w:pPr>
      <w:r>
        <w:rPr>
          <w:rFonts w:hint="default" w:ascii="Arial" w:hAnsi="Arial" w:cs="Arial"/>
          <w:b/>
          <w:sz w:val="28"/>
          <w:szCs w:val="28"/>
          <w:highlight w:val="none"/>
        </w:rPr>
        <w:t>DECLARATION</w:t>
      </w:r>
    </w:p>
    <w:p w14:paraId="51F90E6C">
      <w:pPr>
        <w:rPr>
          <w:rFonts w:hint="default" w:ascii="Arial" w:hAnsi="Arial" w:cs="Arial"/>
          <w:highlight w:val="none"/>
        </w:rPr>
      </w:pPr>
    </w:p>
    <w:p w14:paraId="5AAB2D4F">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highlight w:val="none"/>
        </w:rPr>
        <w:t>I,</w:t>
      </w:r>
      <w:r>
        <w:rPr>
          <w:rFonts w:hint="default" w:cs="Arial"/>
          <w:highlight w:val="none"/>
          <w:lang w:val="en-US"/>
        </w:rPr>
        <w:t xml:space="preserve"> </w:t>
      </w:r>
      <w:r>
        <w:rPr>
          <w:rFonts w:hint="default" w:ascii="Arial" w:hAnsi="Arial" w:cs="Arial"/>
          <w:highlight w:val="none"/>
        </w:rPr>
        <w:t>Stephygraph Anem,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3F6150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p>
    <w:p w14:paraId="4290910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lang w:val="en-US"/>
        </w:rPr>
      </w:pPr>
      <w:r>
        <w:rPr>
          <w:rFonts w:hint="default" w:ascii="Arial" w:hAnsi="Arial" w:cs="Arial"/>
          <w:highlight w:val="none"/>
        </w:rPr>
        <w:t>Signature:</w:t>
      </w:r>
      <w:r>
        <w:rPr>
          <w:rFonts w:hint="default" w:cs="Arial"/>
          <w:highlight w:val="none"/>
          <w:u w:val="dotted"/>
          <w:lang w:val="en-US"/>
        </w:rPr>
        <w:t xml:space="preserve">          </w:t>
      </w:r>
      <w:r>
        <w:rPr>
          <w:rFonts w:hint="default" w:ascii="Arial" w:hAnsi="Arial" w:cs="Arial"/>
          <w:highlight w:val="none"/>
          <w:u w:val="dotted"/>
        </w:rPr>
        <w:t>Stephygraph Anem</w:t>
      </w:r>
      <w:r>
        <w:rPr>
          <w:rFonts w:hint="default" w:cs="Arial"/>
          <w:highlight w:val="none"/>
          <w:u w:val="dotted"/>
          <w:lang w:val="en-US"/>
        </w:rPr>
        <w:t xml:space="preserve">            </w:t>
      </w:r>
    </w:p>
    <w:p w14:paraId="3F183592">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p>
    <w:p w14:paraId="1ECC0A3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u w:val="dotted"/>
          <w:lang w:val="en-US"/>
        </w:rPr>
      </w:pPr>
      <w:r>
        <w:rPr>
          <w:rFonts w:hint="default" w:ascii="Arial" w:hAnsi="Arial" w:cs="Arial"/>
          <w:highlight w:val="none"/>
        </w:rPr>
        <w:t>Date</w:t>
      </w:r>
      <w:r>
        <w:rPr>
          <w:rFonts w:hint="default" w:cs="Arial"/>
          <w:highlight w:val="none"/>
          <w:lang w:val="en-US"/>
        </w:rPr>
        <w:t>:</w:t>
      </w:r>
      <w:r>
        <w:rPr>
          <w:rFonts w:hint="default" w:cs="Arial"/>
          <w:highlight w:val="none"/>
          <w:u w:val="dotted"/>
          <w:lang w:val="en-US"/>
        </w:rPr>
        <w:t xml:space="preserve">              12/05/2026          </w:t>
      </w:r>
    </w:p>
    <w:p w14:paraId="14AFBFB6">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p>
    <w:p w14:paraId="355A6EA7">
      <w:pPr>
        <w:spacing w:line="240" w:lineRule="auto"/>
        <w:jc w:val="left"/>
        <w:rPr>
          <w:rFonts w:hint="default" w:ascii="Arial" w:hAnsi="Arial" w:cs="Arial"/>
          <w:highlight w:val="none"/>
        </w:rPr>
      </w:pPr>
      <w:r>
        <w:rPr>
          <w:rFonts w:hint="default" w:ascii="Arial" w:hAnsi="Arial" w:cs="Arial"/>
          <w:highlight w:val="none"/>
        </w:rPr>
        <w:br w:type="page"/>
      </w:r>
    </w:p>
    <w:p w14:paraId="4DD527DE">
      <w:pPr>
        <w:pStyle w:val="2"/>
        <w:spacing w:line="480" w:lineRule="auto"/>
        <w:jc w:val="center"/>
        <w:rPr>
          <w:rFonts w:hint="default" w:ascii="Arial" w:hAnsi="Arial" w:cs="Arial"/>
          <w:highlight w:val="none"/>
        </w:rPr>
      </w:pPr>
      <w:bookmarkStart w:id="1" w:name="_Toc15112"/>
      <w:r>
        <w:rPr>
          <w:rFonts w:hint="default" w:ascii="Arial" w:hAnsi="Arial" w:cs="Arial"/>
          <w:highlight w:val="none"/>
        </w:rPr>
        <w:t>ACKNOWLEDGEMENTS</w:t>
      </w:r>
      <w:bookmarkEnd w:id="1"/>
    </w:p>
    <w:p w14:paraId="05674B71">
      <w:pPr>
        <w:rPr>
          <w:rFonts w:hint="default" w:ascii="Arial" w:hAnsi="Arial" w:cs="Arial"/>
          <w:highlight w:val="none"/>
        </w:rPr>
      </w:pPr>
      <w:r>
        <w:rPr>
          <w:rFonts w:hint="default" w:ascii="Arial" w:hAnsi="Arial" w:cs="Arial"/>
          <w:highlight w:val="none"/>
        </w:rPr>
        <w:t>I would like to express my gratitude to my supervisor, Dr Rizwan Nadim, immensely due to the continuous guidance, support and feedback he provided to me throughout this research. They have been of great support and experience in ensuring that this dissertation was done to success. I also want to express my gratitude to the academic staff and university resources, who assisted me in learning and researching. My peers and colleagues played a critical role in ensuring positive discussions and motivating me. Finally, I would like to thank my family who have been supportive, patient and encouraging and have helped me to achieve success in this work.</w:t>
      </w:r>
      <w:r>
        <w:rPr>
          <w:rFonts w:hint="default" w:ascii="Arial" w:hAnsi="Arial" w:cs="Arial"/>
          <w:highlight w:val="none"/>
        </w:rPr>
        <w:br w:type="page"/>
      </w:r>
    </w:p>
    <w:p w14:paraId="66C5CEB8">
      <w:pPr>
        <w:pStyle w:val="2"/>
        <w:spacing w:line="480" w:lineRule="auto"/>
        <w:jc w:val="center"/>
        <w:rPr>
          <w:rFonts w:hint="default" w:ascii="Arial" w:hAnsi="Arial" w:cs="Arial"/>
          <w:highlight w:val="none"/>
        </w:rPr>
      </w:pPr>
      <w:bookmarkStart w:id="2" w:name="_Toc26447"/>
      <w:r>
        <w:rPr>
          <w:rFonts w:hint="default" w:ascii="Arial" w:hAnsi="Arial" w:cs="Arial"/>
          <w:highlight w:val="none"/>
        </w:rPr>
        <w:t>ABSTRACT</w:t>
      </w:r>
      <w:bookmarkEnd w:id="2"/>
    </w:p>
    <w:p w14:paraId="6662785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b/>
          <w:bCs/>
          <w:highlight w:val="none"/>
        </w:rPr>
        <w:t>Background:</w:t>
      </w:r>
      <w:r>
        <w:rPr>
          <w:rFonts w:hint="default" w:ascii="Arial" w:hAnsi="Arial" w:cs="Arial"/>
          <w:highlight w:val="none"/>
        </w:rPr>
        <w:t xml:space="preserve"> Cardiovascular disease (CVD) is one of the significant topics of concern in the population of South Asians in the United Kingdom and is more prevalent in association with lifestyle behaviours and socio-cultural factors. It is imperative to understand these factors to be able to devise effective prevention strategies.</w:t>
      </w:r>
    </w:p>
    <w:p w14:paraId="6AAE785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b/>
          <w:bCs/>
          <w:highlight w:val="none"/>
        </w:rPr>
        <w:t>Aim:</w:t>
      </w:r>
      <w:r>
        <w:rPr>
          <w:rFonts w:hint="default" w:ascii="Arial" w:hAnsi="Arial" w:cs="Arial"/>
          <w:highlight w:val="none"/>
        </w:rPr>
        <w:t xml:space="preserve"> This research will examine how lifestyle behaviours, cultural, social and migration-related factors influence the risk of cardiovascular diseases among South Asian adults in the UK.</w:t>
      </w:r>
    </w:p>
    <w:p w14:paraId="424B954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b/>
          <w:bCs/>
          <w:highlight w:val="none"/>
        </w:rPr>
        <w:t>Methods:</w:t>
      </w:r>
      <w:r>
        <w:rPr>
          <w:rFonts w:hint="default" w:ascii="Arial" w:hAnsi="Arial" w:cs="Arial"/>
          <w:highlight w:val="none"/>
        </w:rPr>
        <w:t xml:space="preserve"> Qualitative studies were obtained in academic databases such as Web of Science, PubMed and ScienceDirect and used to conduct a systematic literature review (SLR). PRISMA Framework, Braun and Clarke’s thematic analysis, inclusion and exclusion criteria, and a systematic search strategy were used to synthesise the results of the chosen studies. CASP and MMAT were used for doing quality assessment of the articles. </w:t>
      </w:r>
    </w:p>
    <w:p w14:paraId="68AB497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b/>
          <w:bCs/>
          <w:highlight w:val="none"/>
        </w:rPr>
        <w:t>Findings:</w:t>
      </w:r>
      <w:r>
        <w:rPr>
          <w:rFonts w:hint="default" w:ascii="Arial" w:hAnsi="Arial" w:cs="Arial"/>
          <w:highlight w:val="none"/>
        </w:rPr>
        <w:t xml:space="preserve"> The results revealed that 3 themes: poor eating habits, lack of exercise, and mental stress are the major factors leading to a higher cardiovascular risk. Health behaviours are further influenced by cultural beliefs, family influence, social norms, as well as migration challenges that further restrict lifestyle modification. Also, other obstacles like lack of awareness, socioeconomic status, and healthcare services that are culturally appropriate were identified. Nonetheless, community-based support and culturally-specific interventions turned out to be the main tools to enhance health outcomes.</w:t>
      </w:r>
    </w:p>
    <w:p w14:paraId="0E2E57A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b/>
          <w:bCs/>
          <w:highlight w:val="none"/>
        </w:rPr>
        <w:t xml:space="preserve">Conclusion: </w:t>
      </w:r>
      <w:r>
        <w:rPr>
          <w:rFonts w:hint="default" w:ascii="Arial" w:hAnsi="Arial" w:cs="Arial"/>
          <w:highlight w:val="none"/>
        </w:rPr>
        <w:t>The research concludes that conventional methods of public health do not suffice to meet the multi-dimensional needs of South Asian communities. Culturally sensitive, community-based, and biopsychosocial interventions are required to improve cardiovascular disease prevention and management.</w:t>
      </w:r>
    </w:p>
    <w:p w14:paraId="2A4DB4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p>
    <w:p w14:paraId="22E5CAC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r>
        <w:rPr>
          <w:rFonts w:hint="default" w:ascii="Arial" w:hAnsi="Arial" w:cs="Arial"/>
          <w:b/>
          <w:bCs/>
          <w:highlight w:val="none"/>
        </w:rPr>
        <w:t xml:space="preserve">Keywords: </w:t>
      </w:r>
      <w:r>
        <w:rPr>
          <w:rFonts w:hint="default" w:ascii="Arial" w:hAnsi="Arial" w:cs="Arial"/>
          <w:i/>
          <w:iCs/>
          <w:highlight w:val="none"/>
        </w:rPr>
        <w:t>Cardiovascular disease, South Asian population, lifestyle behaviours, cultural factors, systematic literature review, UK.</w:t>
      </w:r>
    </w:p>
    <w:p w14:paraId="64A13312">
      <w:pPr>
        <w:spacing w:line="240" w:lineRule="auto"/>
        <w:jc w:val="left"/>
        <w:rPr>
          <w:rFonts w:hint="default" w:ascii="Arial" w:hAnsi="Arial" w:cs="Arial"/>
          <w:highlight w:val="none"/>
        </w:rPr>
      </w:pPr>
    </w:p>
    <w:p w14:paraId="17312045">
      <w:pPr>
        <w:spacing w:line="240" w:lineRule="auto"/>
        <w:jc w:val="left"/>
        <w:rPr>
          <w:rFonts w:hint="default" w:ascii="Arial" w:hAnsi="Arial" w:cs="Arial"/>
          <w:highlight w:val="none"/>
        </w:rPr>
      </w:pPr>
      <w:r>
        <w:rPr>
          <w:rFonts w:hint="default" w:ascii="Arial" w:hAnsi="Arial" w:cs="Arial"/>
          <w:highlight w:val="none"/>
        </w:rPr>
        <w:br w:type="page"/>
      </w:r>
    </w:p>
    <w:sdt>
      <w:sdtPr>
        <w:rPr>
          <w:rFonts w:hint="default" w:ascii="Arial" w:hAnsi="Arial" w:eastAsia="Calibri Light" w:cs="Arial"/>
          <w:b/>
          <w:bCs/>
          <w:color w:val="auto"/>
          <w:sz w:val="24"/>
          <w:szCs w:val="24"/>
          <w:highlight w:val="none"/>
          <w:lang w:val="en-GB" w:eastAsia="en-GB" w:bidi="en-GB"/>
        </w:rPr>
        <w:id w:val="9875662"/>
        <w:docPartObj>
          <w:docPartGallery w:val="Table of Contents"/>
          <w:docPartUnique/>
        </w:docPartObj>
      </w:sdtPr>
      <w:sdtEndPr>
        <w:rPr>
          <w:rFonts w:hint="default" w:ascii="Arial" w:hAnsi="Arial" w:eastAsia="Calibri Light" w:cs="Arial"/>
          <w:b w:val="0"/>
          <w:bCs w:val="0"/>
          <w:color w:val="auto"/>
          <w:sz w:val="22"/>
          <w:szCs w:val="22"/>
          <w:highlight w:val="none"/>
          <w:lang w:val="en-GB" w:eastAsia="en-GB" w:bidi="en-GB"/>
        </w:rPr>
      </w:sdtEndPr>
      <w:sdtContent>
        <w:p w14:paraId="52AFABAA">
          <w:pPr>
            <w:pStyle w:val="40"/>
            <w:spacing w:line="480" w:lineRule="auto"/>
            <w:rPr>
              <w:rFonts w:hint="default" w:ascii="Arial" w:hAnsi="Arial" w:cs="Arial"/>
              <w:b/>
              <w:bCs/>
              <w:color w:val="auto"/>
              <w:sz w:val="24"/>
              <w:szCs w:val="24"/>
              <w:highlight w:val="none"/>
            </w:rPr>
          </w:pPr>
          <w:r>
            <w:rPr>
              <w:rFonts w:hint="default" w:ascii="Arial" w:hAnsi="Arial" w:cs="Arial"/>
              <w:b/>
              <w:bCs/>
              <w:color w:val="auto"/>
              <w:sz w:val="24"/>
              <w:szCs w:val="24"/>
              <w:highlight w:val="none"/>
            </w:rPr>
            <w:t>TABLE OF CONTENTS</w:t>
          </w:r>
        </w:p>
        <w:p w14:paraId="7CEBE465">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TOC \o "1-3" \h \z \u </w:instrText>
          </w:r>
          <w:r>
            <w:rPr>
              <w:rFonts w:hint="default" w:ascii="Arial" w:hAnsi="Arial" w:cs="Arial"/>
              <w:szCs w:val="24"/>
              <w:highlight w:val="none"/>
            </w:rPr>
            <w:fldChar w:fldCharType="separate"/>
          </w:r>
          <w:r>
            <w:rPr>
              <w:rFonts w:hint="default" w:ascii="Arial" w:hAnsi="Arial" w:cs="Arial"/>
              <w:szCs w:val="24"/>
              <w:highlight w:val="none"/>
            </w:rPr>
            <w:fldChar w:fldCharType="begin"/>
          </w:r>
          <w:r>
            <w:rPr>
              <w:rFonts w:hint="default" w:ascii="Arial" w:hAnsi="Arial" w:cs="Arial"/>
              <w:szCs w:val="24"/>
              <w:highlight w:val="none"/>
            </w:rPr>
            <w:instrText xml:space="preserve"> HYPERLINK \l _Toc15112 </w:instrText>
          </w:r>
          <w:r>
            <w:rPr>
              <w:rFonts w:hint="default" w:ascii="Arial" w:hAnsi="Arial" w:cs="Arial"/>
              <w:szCs w:val="24"/>
              <w:highlight w:val="none"/>
            </w:rPr>
            <w:fldChar w:fldCharType="separate"/>
          </w:r>
          <w:r>
            <w:rPr>
              <w:rFonts w:hint="default" w:ascii="Arial" w:hAnsi="Arial" w:cs="Arial"/>
              <w:highlight w:val="none"/>
            </w:rPr>
            <w:t>ACKNOWLEDGEMENTS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_Toc15112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szCs w:val="24"/>
              <w:highlight w:val="none"/>
            </w:rPr>
            <w:fldChar w:fldCharType="end"/>
          </w:r>
        </w:p>
        <w:p w14:paraId="330F30B9">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_Toc26447 </w:instrText>
          </w:r>
          <w:r>
            <w:rPr>
              <w:rFonts w:hint="default" w:ascii="Arial" w:hAnsi="Arial" w:cs="Arial"/>
              <w:szCs w:val="24"/>
              <w:highlight w:val="none"/>
            </w:rPr>
            <w:fldChar w:fldCharType="separate"/>
          </w:r>
          <w:r>
            <w:rPr>
              <w:rFonts w:hint="default" w:ascii="Arial" w:hAnsi="Arial" w:cs="Arial"/>
              <w:highlight w:val="none"/>
            </w:rPr>
            <w:t>ABSTRACT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_Toc26447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szCs w:val="24"/>
              <w:highlight w:val="none"/>
            </w:rPr>
            <w:fldChar w:fldCharType="end"/>
          </w:r>
        </w:p>
        <w:p w14:paraId="3B85D9C3">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_Toc2842 </w:instrText>
          </w:r>
          <w:r>
            <w:rPr>
              <w:rFonts w:hint="default" w:ascii="Arial" w:hAnsi="Arial" w:cs="Arial"/>
              <w:szCs w:val="24"/>
              <w:highlight w:val="none"/>
            </w:rPr>
            <w:fldChar w:fldCharType="separate"/>
          </w:r>
          <w:r>
            <w:rPr>
              <w:rFonts w:hint="default" w:ascii="Arial" w:hAnsi="Arial" w:cs="Arial"/>
              <w:highlight w:val="none"/>
            </w:rPr>
            <w:t>LIST OF TABLES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_Toc2842 \h </w:instrText>
          </w:r>
          <w:r>
            <w:rPr>
              <w:rFonts w:hint="default" w:ascii="Arial" w:hAnsi="Arial" w:cs="Arial"/>
            </w:rPr>
            <w:fldChar w:fldCharType="separate"/>
          </w:r>
          <w:r>
            <w:rPr>
              <w:rFonts w:hint="default" w:ascii="Arial" w:hAnsi="Arial" w:cs="Arial"/>
            </w:rPr>
            <w:t>9</w:t>
          </w:r>
          <w:r>
            <w:rPr>
              <w:rFonts w:hint="default" w:ascii="Arial" w:hAnsi="Arial" w:cs="Arial"/>
            </w:rPr>
            <w:fldChar w:fldCharType="end"/>
          </w:r>
          <w:r>
            <w:rPr>
              <w:rFonts w:hint="default" w:ascii="Arial" w:hAnsi="Arial" w:cs="Arial"/>
              <w:szCs w:val="24"/>
              <w:highlight w:val="none"/>
            </w:rPr>
            <w:fldChar w:fldCharType="end"/>
          </w:r>
        </w:p>
        <w:p w14:paraId="05755B44">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_Toc9030 </w:instrText>
          </w:r>
          <w:r>
            <w:rPr>
              <w:rFonts w:hint="default" w:ascii="Arial" w:hAnsi="Arial" w:cs="Arial"/>
              <w:szCs w:val="24"/>
              <w:highlight w:val="none"/>
            </w:rPr>
            <w:fldChar w:fldCharType="separate"/>
          </w:r>
          <w:r>
            <w:rPr>
              <w:rFonts w:hint="default" w:ascii="Arial" w:hAnsi="Arial" w:cs="Arial"/>
              <w:highlight w:val="none"/>
            </w:rPr>
            <w:t>LIST OF FIGURES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_Toc9030 \h </w:instrText>
          </w:r>
          <w:r>
            <w:rPr>
              <w:rFonts w:hint="default" w:ascii="Arial" w:hAnsi="Arial" w:cs="Arial"/>
            </w:rPr>
            <w:fldChar w:fldCharType="separate"/>
          </w:r>
          <w:r>
            <w:rPr>
              <w:rFonts w:hint="default" w:ascii="Arial" w:hAnsi="Arial" w:cs="Arial"/>
            </w:rPr>
            <w:t>9</w:t>
          </w:r>
          <w:r>
            <w:rPr>
              <w:rFonts w:hint="default" w:ascii="Arial" w:hAnsi="Arial" w:cs="Arial"/>
            </w:rPr>
            <w:fldChar w:fldCharType="end"/>
          </w:r>
          <w:r>
            <w:rPr>
              <w:rFonts w:hint="default" w:ascii="Arial" w:hAnsi="Arial" w:cs="Arial"/>
              <w:szCs w:val="24"/>
              <w:highlight w:val="none"/>
            </w:rPr>
            <w:fldChar w:fldCharType="end"/>
          </w:r>
        </w:p>
        <w:p w14:paraId="6C907E69">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_Toc6087 </w:instrText>
          </w:r>
          <w:r>
            <w:rPr>
              <w:rFonts w:hint="default" w:ascii="Arial" w:hAnsi="Arial" w:cs="Arial"/>
              <w:szCs w:val="24"/>
              <w:highlight w:val="none"/>
            </w:rPr>
            <w:fldChar w:fldCharType="separate"/>
          </w:r>
          <w:r>
            <w:rPr>
              <w:rFonts w:hint="default" w:ascii="Arial" w:hAnsi="Arial" w:cs="Arial"/>
              <w:highlight w:val="none"/>
            </w:rPr>
            <w:t>ABBREVIATIONS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_Toc6087 \h </w:instrText>
          </w:r>
          <w:r>
            <w:rPr>
              <w:rFonts w:hint="default" w:ascii="Arial" w:hAnsi="Arial" w:cs="Arial"/>
            </w:rPr>
            <w:fldChar w:fldCharType="separate"/>
          </w:r>
          <w:r>
            <w:rPr>
              <w:rFonts w:hint="default" w:ascii="Arial" w:hAnsi="Arial" w:cs="Arial"/>
            </w:rPr>
            <w:t>10</w:t>
          </w:r>
          <w:r>
            <w:rPr>
              <w:rFonts w:hint="default" w:ascii="Arial" w:hAnsi="Arial" w:cs="Arial"/>
            </w:rPr>
            <w:fldChar w:fldCharType="end"/>
          </w:r>
          <w:r>
            <w:rPr>
              <w:rFonts w:hint="default" w:ascii="Arial" w:hAnsi="Arial" w:cs="Arial"/>
              <w:szCs w:val="24"/>
              <w:highlight w:val="none"/>
            </w:rPr>
            <w:fldChar w:fldCharType="end"/>
          </w:r>
        </w:p>
        <w:p w14:paraId="29015F4A">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_Toc27684 </w:instrText>
          </w:r>
          <w:r>
            <w:rPr>
              <w:rFonts w:hint="default" w:ascii="Arial" w:hAnsi="Arial" w:cs="Arial"/>
              <w:szCs w:val="24"/>
              <w:highlight w:val="none"/>
            </w:rPr>
            <w:fldChar w:fldCharType="separate"/>
          </w:r>
          <w:r>
            <w:rPr>
              <w:rFonts w:hint="default" w:ascii="Arial" w:hAnsi="Arial" w:cs="Arial"/>
              <w:highlight w:val="none"/>
            </w:rPr>
            <w:t>CHAPTER 1: INTRODUCTION AND BACKGROUND</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_Toc27684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highlight w:val="none"/>
            </w:rPr>
            <w:fldChar w:fldCharType="end"/>
          </w:r>
        </w:p>
        <w:p w14:paraId="208CA380">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_Toc24223 </w:instrText>
          </w:r>
          <w:r>
            <w:rPr>
              <w:rFonts w:hint="default" w:ascii="Arial" w:hAnsi="Arial" w:cs="Arial"/>
              <w:szCs w:val="24"/>
              <w:highlight w:val="none"/>
            </w:rPr>
            <w:fldChar w:fldCharType="separate"/>
          </w:r>
          <w:r>
            <w:rPr>
              <w:rFonts w:hint="default" w:ascii="Arial" w:hAnsi="Arial" w:cs="Arial"/>
              <w:highlight w:val="none"/>
            </w:rPr>
            <w:t>1.1 Introduction to the Topic</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_Toc24223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highlight w:val="none"/>
            </w:rPr>
            <w:fldChar w:fldCharType="end"/>
          </w:r>
        </w:p>
        <w:p w14:paraId="62A14D48">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_Toc26857 </w:instrText>
          </w:r>
          <w:r>
            <w:rPr>
              <w:rFonts w:hint="default" w:ascii="Arial" w:hAnsi="Arial" w:cs="Arial"/>
              <w:szCs w:val="24"/>
              <w:highlight w:val="none"/>
            </w:rPr>
            <w:fldChar w:fldCharType="separate"/>
          </w:r>
          <w:r>
            <w:rPr>
              <w:rFonts w:hint="default" w:ascii="Arial" w:hAnsi="Arial" w:cs="Arial"/>
            </w:rPr>
            <w:t xml:space="preserve">1.2 </w:t>
          </w:r>
          <w:r>
            <w:rPr>
              <w:rFonts w:hint="default" w:ascii="Arial" w:hAnsi="Arial" w:cs="Arial"/>
              <w:highlight w:val="none"/>
            </w:rPr>
            <w:t>Background and Current Context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_Toc26857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highlight w:val="none"/>
            </w:rPr>
            <w:fldChar w:fldCharType="end"/>
          </w:r>
        </w:p>
        <w:p w14:paraId="37A4B8F9">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_Toc21385 </w:instrText>
          </w:r>
          <w:r>
            <w:rPr>
              <w:rFonts w:hint="default" w:ascii="Arial" w:hAnsi="Arial" w:cs="Arial"/>
              <w:szCs w:val="24"/>
              <w:highlight w:val="none"/>
            </w:rPr>
            <w:fldChar w:fldCharType="separate"/>
          </w:r>
          <w:r>
            <w:rPr>
              <w:rFonts w:hint="default" w:ascii="Arial" w:hAnsi="Arial" w:cs="Arial"/>
              <w:szCs w:val="24"/>
              <w:highlight w:val="none"/>
            </w:rPr>
            <w:t>1.2.1 CVD Burden in the UK</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_Toc21385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highlight w:val="none"/>
            </w:rPr>
            <w:fldChar w:fldCharType="end"/>
          </w:r>
        </w:p>
        <w:p w14:paraId="24D52E51">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_Toc11044 </w:instrText>
          </w:r>
          <w:r>
            <w:rPr>
              <w:rFonts w:hint="default" w:ascii="Arial" w:hAnsi="Arial" w:cs="Arial"/>
              <w:szCs w:val="24"/>
              <w:highlight w:val="none"/>
            </w:rPr>
            <w:fldChar w:fldCharType="separate"/>
          </w:r>
          <w:r>
            <w:rPr>
              <w:rFonts w:hint="default" w:ascii="Arial" w:hAnsi="Arial" w:cs="Arial"/>
              <w:szCs w:val="24"/>
              <w:highlight w:val="none"/>
            </w:rPr>
            <w:t>1.2.2 Higher Risk Among South Asian Adults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_Toc11044 \h </w:instrText>
          </w:r>
          <w:r>
            <w:rPr>
              <w:rFonts w:hint="default" w:ascii="Arial" w:hAnsi="Arial" w:cs="Arial"/>
            </w:rPr>
            <w:fldChar w:fldCharType="separate"/>
          </w:r>
          <w:r>
            <w:rPr>
              <w:rFonts w:hint="default" w:ascii="Arial" w:hAnsi="Arial" w:cs="Arial"/>
            </w:rPr>
            <w:t>12</w:t>
          </w:r>
          <w:r>
            <w:rPr>
              <w:rFonts w:hint="default" w:ascii="Arial" w:hAnsi="Arial" w:cs="Arial"/>
            </w:rPr>
            <w:fldChar w:fldCharType="end"/>
          </w:r>
          <w:r>
            <w:rPr>
              <w:rFonts w:hint="default" w:ascii="Arial" w:hAnsi="Arial" w:cs="Arial"/>
              <w:szCs w:val="24"/>
              <w:highlight w:val="none"/>
            </w:rPr>
            <w:fldChar w:fldCharType="end"/>
          </w:r>
        </w:p>
        <w:p w14:paraId="72C520D8">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_Toc529 </w:instrText>
          </w:r>
          <w:r>
            <w:rPr>
              <w:rFonts w:hint="default" w:ascii="Arial" w:hAnsi="Arial" w:cs="Arial"/>
              <w:szCs w:val="24"/>
              <w:highlight w:val="none"/>
            </w:rPr>
            <w:fldChar w:fldCharType="separate"/>
          </w:r>
          <w:r>
            <w:rPr>
              <w:rFonts w:hint="default" w:ascii="Arial" w:hAnsi="Arial" w:cs="Arial"/>
              <w:szCs w:val="24"/>
            </w:rPr>
            <w:t xml:space="preserve">1.2.3 </w:t>
          </w:r>
          <w:r>
            <w:rPr>
              <w:rFonts w:hint="default" w:ascii="Arial" w:hAnsi="Arial" w:cs="Arial"/>
              <w:szCs w:val="24"/>
              <w:highlight w:val="none"/>
            </w:rPr>
            <w:t>Lifestyle Risk Factors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_Toc529 \h </w:instrText>
          </w:r>
          <w:r>
            <w:rPr>
              <w:rFonts w:hint="default" w:ascii="Arial" w:hAnsi="Arial" w:cs="Arial"/>
            </w:rPr>
            <w:fldChar w:fldCharType="separate"/>
          </w:r>
          <w:r>
            <w:rPr>
              <w:rFonts w:hint="default" w:ascii="Arial" w:hAnsi="Arial" w:cs="Arial"/>
            </w:rPr>
            <w:t>12</w:t>
          </w:r>
          <w:r>
            <w:rPr>
              <w:rFonts w:hint="default" w:ascii="Arial" w:hAnsi="Arial" w:cs="Arial"/>
            </w:rPr>
            <w:fldChar w:fldCharType="end"/>
          </w:r>
          <w:r>
            <w:rPr>
              <w:rFonts w:hint="default" w:ascii="Arial" w:hAnsi="Arial" w:cs="Arial"/>
              <w:szCs w:val="24"/>
              <w:highlight w:val="none"/>
            </w:rPr>
            <w:fldChar w:fldCharType="end"/>
          </w:r>
        </w:p>
        <w:p w14:paraId="61E9C453">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_Toc14206 </w:instrText>
          </w:r>
          <w:r>
            <w:rPr>
              <w:rFonts w:hint="default" w:ascii="Arial" w:hAnsi="Arial" w:cs="Arial"/>
              <w:szCs w:val="24"/>
              <w:highlight w:val="none"/>
            </w:rPr>
            <w:fldChar w:fldCharType="separate"/>
          </w:r>
          <w:r>
            <w:rPr>
              <w:rFonts w:hint="default" w:ascii="Arial" w:hAnsi="Arial" w:cs="Arial"/>
              <w:szCs w:val="24"/>
              <w:highlight w:val="none"/>
              <w:lang w:val="en-IN"/>
            </w:rPr>
            <w:t>1.2.4 Cultural and Socioeconomic Influences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_Toc14206 \h </w:instrText>
          </w:r>
          <w:r>
            <w:rPr>
              <w:rFonts w:hint="default" w:ascii="Arial" w:hAnsi="Arial" w:cs="Arial"/>
            </w:rPr>
            <w:fldChar w:fldCharType="separate"/>
          </w:r>
          <w:r>
            <w:rPr>
              <w:rFonts w:hint="default" w:ascii="Arial" w:hAnsi="Arial" w:cs="Arial"/>
            </w:rPr>
            <w:t>13</w:t>
          </w:r>
          <w:r>
            <w:rPr>
              <w:rFonts w:hint="default" w:ascii="Arial" w:hAnsi="Arial" w:cs="Arial"/>
            </w:rPr>
            <w:fldChar w:fldCharType="end"/>
          </w:r>
          <w:r>
            <w:rPr>
              <w:rFonts w:hint="default" w:ascii="Arial" w:hAnsi="Arial" w:cs="Arial"/>
              <w:szCs w:val="24"/>
              <w:highlight w:val="none"/>
            </w:rPr>
            <w:fldChar w:fldCharType="end"/>
          </w:r>
        </w:p>
        <w:p w14:paraId="64DFE269">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_Toc11848 </w:instrText>
          </w:r>
          <w:r>
            <w:rPr>
              <w:rFonts w:hint="default" w:ascii="Arial" w:hAnsi="Arial" w:cs="Arial"/>
              <w:szCs w:val="24"/>
              <w:highlight w:val="none"/>
            </w:rPr>
            <w:fldChar w:fldCharType="separate"/>
          </w:r>
          <w:r>
            <w:rPr>
              <w:rFonts w:hint="default" w:ascii="Arial" w:hAnsi="Arial" w:cs="Arial"/>
              <w:szCs w:val="24"/>
              <w:highlight w:val="none"/>
            </w:rPr>
            <w:t>1.2.5 Current Public Health Response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_Toc11848 \h </w:instrText>
          </w:r>
          <w:r>
            <w:rPr>
              <w:rFonts w:hint="default" w:ascii="Arial" w:hAnsi="Arial" w:cs="Arial"/>
            </w:rPr>
            <w:fldChar w:fldCharType="separate"/>
          </w:r>
          <w:r>
            <w:rPr>
              <w:rFonts w:hint="default" w:ascii="Arial" w:hAnsi="Arial" w:cs="Arial"/>
            </w:rPr>
            <w:t>13</w:t>
          </w:r>
          <w:r>
            <w:rPr>
              <w:rFonts w:hint="default" w:ascii="Arial" w:hAnsi="Arial" w:cs="Arial"/>
            </w:rPr>
            <w:fldChar w:fldCharType="end"/>
          </w:r>
          <w:r>
            <w:rPr>
              <w:rFonts w:hint="default" w:ascii="Arial" w:hAnsi="Arial" w:cs="Arial"/>
              <w:szCs w:val="24"/>
              <w:highlight w:val="none"/>
            </w:rPr>
            <w:fldChar w:fldCharType="end"/>
          </w:r>
        </w:p>
        <w:p w14:paraId="216C41FF">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_Toc29611 </w:instrText>
          </w:r>
          <w:r>
            <w:rPr>
              <w:rFonts w:hint="default" w:ascii="Arial" w:hAnsi="Arial" w:cs="Arial"/>
              <w:szCs w:val="24"/>
              <w:highlight w:val="none"/>
            </w:rPr>
            <w:fldChar w:fldCharType="separate"/>
          </w:r>
          <w:r>
            <w:rPr>
              <w:rFonts w:hint="default" w:ascii="Arial" w:hAnsi="Arial" w:cs="Arial"/>
            </w:rPr>
            <w:t xml:space="preserve">1.3 </w:t>
          </w:r>
          <w:r>
            <w:rPr>
              <w:rFonts w:hint="default" w:ascii="Arial" w:hAnsi="Arial" w:cs="Arial"/>
              <w:highlight w:val="none"/>
            </w:rPr>
            <w:t>Rationale for Research or Problem Statement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_Toc29611 \h </w:instrText>
          </w:r>
          <w:r>
            <w:rPr>
              <w:rFonts w:hint="default" w:ascii="Arial" w:hAnsi="Arial" w:cs="Arial"/>
            </w:rPr>
            <w:fldChar w:fldCharType="separate"/>
          </w:r>
          <w:r>
            <w:rPr>
              <w:rFonts w:hint="default" w:ascii="Arial" w:hAnsi="Arial" w:cs="Arial"/>
            </w:rPr>
            <w:t>14</w:t>
          </w:r>
          <w:r>
            <w:rPr>
              <w:rFonts w:hint="default" w:ascii="Arial" w:hAnsi="Arial" w:cs="Arial"/>
            </w:rPr>
            <w:fldChar w:fldCharType="end"/>
          </w:r>
          <w:r>
            <w:rPr>
              <w:rFonts w:hint="default" w:ascii="Arial" w:hAnsi="Arial" w:cs="Arial"/>
              <w:szCs w:val="24"/>
              <w:highlight w:val="none"/>
            </w:rPr>
            <w:fldChar w:fldCharType="end"/>
          </w:r>
        </w:p>
        <w:p w14:paraId="07F57B5D">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_Toc6505 </w:instrText>
          </w:r>
          <w:r>
            <w:rPr>
              <w:rFonts w:hint="default" w:ascii="Arial" w:hAnsi="Arial" w:cs="Arial"/>
              <w:szCs w:val="24"/>
              <w:highlight w:val="none"/>
            </w:rPr>
            <w:fldChar w:fldCharType="separate"/>
          </w:r>
          <w:r>
            <w:rPr>
              <w:rFonts w:hint="default" w:ascii="Arial" w:hAnsi="Arial" w:cs="Arial"/>
            </w:rPr>
            <w:t xml:space="preserve">1.4 </w:t>
          </w:r>
          <w:r>
            <w:rPr>
              <w:rFonts w:hint="default" w:ascii="Arial" w:hAnsi="Arial" w:cs="Arial"/>
              <w:highlight w:val="none"/>
            </w:rPr>
            <w:t>Research Question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_Toc6505 \h </w:instrText>
          </w:r>
          <w:r>
            <w:rPr>
              <w:rFonts w:hint="default" w:ascii="Arial" w:hAnsi="Arial" w:cs="Arial"/>
            </w:rPr>
            <w:fldChar w:fldCharType="separate"/>
          </w:r>
          <w:r>
            <w:rPr>
              <w:rFonts w:hint="default" w:ascii="Arial" w:hAnsi="Arial" w:cs="Arial"/>
            </w:rPr>
            <w:t>14</w:t>
          </w:r>
          <w:r>
            <w:rPr>
              <w:rFonts w:hint="default" w:ascii="Arial" w:hAnsi="Arial" w:cs="Arial"/>
            </w:rPr>
            <w:fldChar w:fldCharType="end"/>
          </w:r>
          <w:r>
            <w:rPr>
              <w:rFonts w:hint="default" w:ascii="Arial" w:hAnsi="Arial" w:cs="Arial"/>
              <w:szCs w:val="24"/>
              <w:highlight w:val="none"/>
            </w:rPr>
            <w:fldChar w:fldCharType="end"/>
          </w:r>
        </w:p>
        <w:p w14:paraId="454E3D2A">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_Toc11500 </w:instrText>
          </w:r>
          <w:r>
            <w:rPr>
              <w:rFonts w:hint="default" w:ascii="Arial" w:hAnsi="Arial" w:cs="Arial"/>
              <w:szCs w:val="24"/>
              <w:highlight w:val="none"/>
            </w:rPr>
            <w:fldChar w:fldCharType="separate"/>
          </w:r>
          <w:r>
            <w:rPr>
              <w:rFonts w:hint="default" w:ascii="Arial" w:hAnsi="Arial" w:cs="Arial"/>
            </w:rPr>
            <w:t xml:space="preserve">1.5 </w:t>
          </w:r>
          <w:r>
            <w:rPr>
              <w:rFonts w:hint="default" w:ascii="Arial" w:hAnsi="Arial" w:cs="Arial"/>
              <w:highlight w:val="none"/>
            </w:rPr>
            <w:t>Research Aim</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_Toc11500 \h </w:instrText>
          </w:r>
          <w:r>
            <w:rPr>
              <w:rFonts w:hint="default" w:ascii="Arial" w:hAnsi="Arial" w:cs="Arial"/>
            </w:rPr>
            <w:fldChar w:fldCharType="separate"/>
          </w:r>
          <w:r>
            <w:rPr>
              <w:rFonts w:hint="default" w:ascii="Arial" w:hAnsi="Arial" w:cs="Arial"/>
            </w:rPr>
            <w:t>14</w:t>
          </w:r>
          <w:r>
            <w:rPr>
              <w:rFonts w:hint="default" w:ascii="Arial" w:hAnsi="Arial" w:cs="Arial"/>
            </w:rPr>
            <w:fldChar w:fldCharType="end"/>
          </w:r>
          <w:r>
            <w:rPr>
              <w:rFonts w:hint="default" w:ascii="Arial" w:hAnsi="Arial" w:cs="Arial"/>
              <w:szCs w:val="24"/>
              <w:highlight w:val="none"/>
            </w:rPr>
            <w:fldChar w:fldCharType="end"/>
          </w:r>
        </w:p>
        <w:p w14:paraId="37B702A9">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_Toc28895 </w:instrText>
          </w:r>
          <w:r>
            <w:rPr>
              <w:rFonts w:hint="default" w:ascii="Arial" w:hAnsi="Arial" w:cs="Arial"/>
              <w:szCs w:val="24"/>
              <w:highlight w:val="none"/>
            </w:rPr>
            <w:fldChar w:fldCharType="separate"/>
          </w:r>
          <w:r>
            <w:rPr>
              <w:rFonts w:hint="default" w:ascii="Arial" w:hAnsi="Arial" w:cs="Arial"/>
            </w:rPr>
            <w:t xml:space="preserve">1.6 </w:t>
          </w:r>
          <w:r>
            <w:rPr>
              <w:rFonts w:hint="default" w:ascii="Arial" w:hAnsi="Arial" w:cs="Arial"/>
              <w:highlight w:val="none"/>
            </w:rPr>
            <w:t>Research Objectives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_Toc28895 \h </w:instrText>
          </w:r>
          <w:r>
            <w:rPr>
              <w:rFonts w:hint="default" w:ascii="Arial" w:hAnsi="Arial" w:cs="Arial"/>
            </w:rPr>
            <w:fldChar w:fldCharType="separate"/>
          </w:r>
          <w:r>
            <w:rPr>
              <w:rFonts w:hint="default" w:ascii="Arial" w:hAnsi="Arial" w:cs="Arial"/>
            </w:rPr>
            <w:t>15</w:t>
          </w:r>
          <w:r>
            <w:rPr>
              <w:rFonts w:hint="default" w:ascii="Arial" w:hAnsi="Arial" w:cs="Arial"/>
            </w:rPr>
            <w:fldChar w:fldCharType="end"/>
          </w:r>
          <w:r>
            <w:rPr>
              <w:rFonts w:hint="default" w:ascii="Arial" w:hAnsi="Arial" w:cs="Arial"/>
              <w:szCs w:val="24"/>
              <w:highlight w:val="none"/>
            </w:rPr>
            <w:fldChar w:fldCharType="end"/>
          </w:r>
        </w:p>
        <w:p w14:paraId="47F82F6E">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_Toc17278 </w:instrText>
          </w:r>
          <w:r>
            <w:rPr>
              <w:rFonts w:hint="default" w:ascii="Arial" w:hAnsi="Arial" w:cs="Arial"/>
              <w:szCs w:val="24"/>
              <w:highlight w:val="none"/>
            </w:rPr>
            <w:fldChar w:fldCharType="separate"/>
          </w:r>
          <w:r>
            <w:rPr>
              <w:rFonts w:hint="default" w:ascii="Arial" w:hAnsi="Arial" w:cs="Arial"/>
            </w:rPr>
            <w:t xml:space="preserve">1.7 </w:t>
          </w:r>
          <w:r>
            <w:rPr>
              <w:rFonts w:hint="default" w:ascii="Arial" w:hAnsi="Arial" w:cs="Arial"/>
              <w:highlight w:val="none"/>
            </w:rPr>
            <w:t>Chapter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_Toc17278 \h </w:instrText>
          </w:r>
          <w:r>
            <w:rPr>
              <w:rFonts w:hint="default" w:ascii="Arial" w:hAnsi="Arial" w:cs="Arial"/>
            </w:rPr>
            <w:fldChar w:fldCharType="separate"/>
          </w:r>
          <w:r>
            <w:rPr>
              <w:rFonts w:hint="default" w:ascii="Arial" w:hAnsi="Arial" w:cs="Arial"/>
            </w:rPr>
            <w:t>15</w:t>
          </w:r>
          <w:r>
            <w:rPr>
              <w:rFonts w:hint="default" w:ascii="Arial" w:hAnsi="Arial" w:cs="Arial"/>
            </w:rPr>
            <w:fldChar w:fldCharType="end"/>
          </w:r>
          <w:r>
            <w:rPr>
              <w:rFonts w:hint="default" w:ascii="Arial" w:hAnsi="Arial" w:cs="Arial"/>
              <w:szCs w:val="24"/>
              <w:highlight w:val="none"/>
            </w:rPr>
            <w:fldChar w:fldCharType="end"/>
          </w:r>
        </w:p>
        <w:p w14:paraId="0D01BC7E">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_Toc25197 </w:instrText>
          </w:r>
          <w:r>
            <w:rPr>
              <w:rFonts w:hint="default" w:ascii="Arial" w:hAnsi="Arial" w:cs="Arial"/>
              <w:szCs w:val="24"/>
              <w:highlight w:val="none"/>
            </w:rPr>
            <w:fldChar w:fldCharType="separate"/>
          </w:r>
          <w:r>
            <w:rPr>
              <w:rFonts w:hint="default" w:ascii="Arial" w:hAnsi="Arial" w:cs="Arial"/>
              <w:lang w:val="en-US"/>
            </w:rPr>
            <w:t>CHAPTER 2: LITERATURE REVIEW</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_Toc25197 \h </w:instrText>
          </w:r>
          <w:r>
            <w:rPr>
              <w:rFonts w:hint="default" w:ascii="Arial" w:hAnsi="Arial" w:cs="Arial"/>
            </w:rPr>
            <w:fldChar w:fldCharType="separate"/>
          </w:r>
          <w:r>
            <w:rPr>
              <w:rFonts w:hint="default" w:ascii="Arial" w:hAnsi="Arial" w:cs="Arial"/>
            </w:rPr>
            <w:t>16</w:t>
          </w:r>
          <w:r>
            <w:rPr>
              <w:rFonts w:hint="default" w:ascii="Arial" w:hAnsi="Arial" w:cs="Arial"/>
            </w:rPr>
            <w:fldChar w:fldCharType="end"/>
          </w:r>
          <w:r>
            <w:rPr>
              <w:rFonts w:hint="default" w:ascii="Arial" w:hAnsi="Arial" w:cs="Arial"/>
              <w:szCs w:val="24"/>
              <w:highlight w:val="none"/>
            </w:rPr>
            <w:fldChar w:fldCharType="end"/>
          </w:r>
        </w:p>
        <w:p w14:paraId="7DB405A7">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_Toc10924 </w:instrText>
          </w:r>
          <w:r>
            <w:rPr>
              <w:rFonts w:hint="default" w:ascii="Arial" w:hAnsi="Arial" w:cs="Arial"/>
              <w:szCs w:val="24"/>
              <w:highlight w:val="none"/>
            </w:rPr>
            <w:fldChar w:fldCharType="separate"/>
          </w:r>
          <w:r>
            <w:rPr>
              <w:rFonts w:hint="default" w:ascii="Arial" w:hAnsi="Arial" w:cs="Arial"/>
              <w:highlight w:val="none"/>
            </w:rPr>
            <w:t>2.1 Introduction to Literature Review</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_Toc10924 \h </w:instrText>
          </w:r>
          <w:r>
            <w:rPr>
              <w:rFonts w:hint="default" w:ascii="Arial" w:hAnsi="Arial" w:cs="Arial"/>
            </w:rPr>
            <w:fldChar w:fldCharType="separate"/>
          </w:r>
          <w:r>
            <w:rPr>
              <w:rFonts w:hint="default" w:ascii="Arial" w:hAnsi="Arial" w:cs="Arial"/>
            </w:rPr>
            <w:t>16</w:t>
          </w:r>
          <w:r>
            <w:rPr>
              <w:rFonts w:hint="default" w:ascii="Arial" w:hAnsi="Arial" w:cs="Arial"/>
            </w:rPr>
            <w:fldChar w:fldCharType="end"/>
          </w:r>
          <w:r>
            <w:rPr>
              <w:rFonts w:hint="default" w:ascii="Arial" w:hAnsi="Arial" w:cs="Arial"/>
              <w:szCs w:val="24"/>
              <w:highlight w:val="none"/>
            </w:rPr>
            <w:fldChar w:fldCharType="end"/>
          </w:r>
        </w:p>
        <w:p w14:paraId="24A39335">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_Toc26233 </w:instrText>
          </w:r>
          <w:r>
            <w:rPr>
              <w:rFonts w:hint="default" w:ascii="Arial" w:hAnsi="Arial" w:cs="Arial"/>
              <w:szCs w:val="24"/>
              <w:highlight w:val="none"/>
            </w:rPr>
            <w:fldChar w:fldCharType="separate"/>
          </w:r>
          <w:r>
            <w:rPr>
              <w:rFonts w:hint="default" w:ascii="Arial" w:hAnsi="Arial" w:cs="Arial"/>
              <w:highlight w:val="none"/>
            </w:rPr>
            <w:t>2.2 Review of Existing Evidence: Literature review</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_Toc26233 \h </w:instrText>
          </w:r>
          <w:r>
            <w:rPr>
              <w:rFonts w:hint="default" w:ascii="Arial" w:hAnsi="Arial" w:cs="Arial"/>
            </w:rPr>
            <w:fldChar w:fldCharType="separate"/>
          </w:r>
          <w:r>
            <w:rPr>
              <w:rFonts w:hint="default" w:ascii="Arial" w:hAnsi="Arial" w:cs="Arial"/>
            </w:rPr>
            <w:t>16</w:t>
          </w:r>
          <w:r>
            <w:rPr>
              <w:rFonts w:hint="default" w:ascii="Arial" w:hAnsi="Arial" w:cs="Arial"/>
            </w:rPr>
            <w:fldChar w:fldCharType="end"/>
          </w:r>
          <w:r>
            <w:rPr>
              <w:rFonts w:hint="default" w:ascii="Arial" w:hAnsi="Arial" w:cs="Arial"/>
              <w:szCs w:val="24"/>
              <w:highlight w:val="none"/>
            </w:rPr>
            <w:fldChar w:fldCharType="end"/>
          </w:r>
        </w:p>
        <w:p w14:paraId="0729FAC7">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_Toc10854 </w:instrText>
          </w:r>
          <w:r>
            <w:rPr>
              <w:rFonts w:hint="default" w:ascii="Arial" w:hAnsi="Arial" w:cs="Arial"/>
              <w:szCs w:val="24"/>
              <w:highlight w:val="none"/>
            </w:rPr>
            <w:fldChar w:fldCharType="separate"/>
          </w:r>
          <w:r>
            <w:rPr>
              <w:rFonts w:hint="default" w:ascii="Arial" w:hAnsi="Arial" w:cs="Arial"/>
              <w:szCs w:val="24"/>
              <w:highlight w:val="none"/>
            </w:rPr>
            <w:t>2.2.1 Overview of Cardiovascular Disease and Risk among South Asian Populations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_Toc10854 \h </w:instrText>
          </w:r>
          <w:r>
            <w:rPr>
              <w:rFonts w:hint="default" w:ascii="Arial" w:hAnsi="Arial" w:cs="Arial"/>
            </w:rPr>
            <w:fldChar w:fldCharType="separate"/>
          </w:r>
          <w:r>
            <w:rPr>
              <w:rFonts w:hint="default" w:ascii="Arial" w:hAnsi="Arial" w:cs="Arial"/>
            </w:rPr>
            <w:t>16</w:t>
          </w:r>
          <w:r>
            <w:rPr>
              <w:rFonts w:hint="default" w:ascii="Arial" w:hAnsi="Arial" w:cs="Arial"/>
            </w:rPr>
            <w:fldChar w:fldCharType="end"/>
          </w:r>
          <w:r>
            <w:rPr>
              <w:rFonts w:hint="default" w:ascii="Arial" w:hAnsi="Arial" w:cs="Arial"/>
              <w:szCs w:val="24"/>
              <w:highlight w:val="none"/>
            </w:rPr>
            <w:fldChar w:fldCharType="end"/>
          </w:r>
        </w:p>
        <w:p w14:paraId="4913637C">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_Toc6604 </w:instrText>
          </w:r>
          <w:r>
            <w:rPr>
              <w:rFonts w:hint="default" w:ascii="Arial" w:hAnsi="Arial" w:cs="Arial"/>
              <w:szCs w:val="24"/>
              <w:highlight w:val="none"/>
            </w:rPr>
            <w:fldChar w:fldCharType="separate"/>
          </w:r>
          <w:r>
            <w:rPr>
              <w:rFonts w:hint="default" w:ascii="Arial" w:hAnsi="Arial" w:cs="Arial"/>
              <w:szCs w:val="24"/>
              <w:highlight w:val="none"/>
            </w:rPr>
            <w:t>2.2.2</w:t>
          </w:r>
          <w:r>
            <w:rPr>
              <w:rFonts w:hint="default" w:ascii="Arial" w:hAnsi="Arial" w:cs="Arial"/>
              <w:szCs w:val="24"/>
              <w:highlight w:val="none"/>
              <w:lang w:val="en-US"/>
            </w:rPr>
            <w:t xml:space="preserve"> </w:t>
          </w:r>
          <w:r>
            <w:rPr>
              <w:rFonts w:hint="default" w:ascii="Arial" w:hAnsi="Arial" w:cs="Arial"/>
              <w:szCs w:val="24"/>
              <w:highlight w:val="none"/>
            </w:rPr>
            <w:t xml:space="preserve"> Influence of Modifiable Lifestyle Factors on Cardiovascular Health</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_Toc6604 \h </w:instrText>
          </w:r>
          <w:r>
            <w:rPr>
              <w:rFonts w:hint="default" w:ascii="Arial" w:hAnsi="Arial" w:cs="Arial"/>
            </w:rPr>
            <w:fldChar w:fldCharType="separate"/>
          </w:r>
          <w:r>
            <w:rPr>
              <w:rFonts w:hint="default" w:ascii="Arial" w:hAnsi="Arial" w:cs="Arial"/>
            </w:rPr>
            <w:t>17</w:t>
          </w:r>
          <w:r>
            <w:rPr>
              <w:rFonts w:hint="default" w:ascii="Arial" w:hAnsi="Arial" w:cs="Arial"/>
            </w:rPr>
            <w:fldChar w:fldCharType="end"/>
          </w:r>
          <w:r>
            <w:rPr>
              <w:rFonts w:hint="default" w:ascii="Arial" w:hAnsi="Arial" w:cs="Arial"/>
              <w:szCs w:val="24"/>
              <w:highlight w:val="none"/>
            </w:rPr>
            <w:fldChar w:fldCharType="end"/>
          </w:r>
        </w:p>
        <w:p w14:paraId="785A9084">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_Toc30341 </w:instrText>
          </w:r>
          <w:r>
            <w:rPr>
              <w:rFonts w:hint="default" w:ascii="Arial" w:hAnsi="Arial" w:cs="Arial"/>
              <w:szCs w:val="24"/>
              <w:highlight w:val="none"/>
            </w:rPr>
            <w:fldChar w:fldCharType="separate"/>
          </w:r>
          <w:r>
            <w:rPr>
              <w:rFonts w:hint="default" w:ascii="Arial" w:hAnsi="Arial" w:cs="Arial"/>
              <w:szCs w:val="24"/>
              <w:highlight w:val="none"/>
            </w:rPr>
            <w:t>2.2.3 Socio-Cultural and Migration-Related Determinants of Lifestyle Behaviours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_Toc30341 \h </w:instrText>
          </w:r>
          <w:r>
            <w:rPr>
              <w:rFonts w:hint="default" w:ascii="Arial" w:hAnsi="Arial" w:cs="Arial"/>
            </w:rPr>
            <w:fldChar w:fldCharType="separate"/>
          </w:r>
          <w:r>
            <w:rPr>
              <w:rFonts w:hint="default" w:ascii="Arial" w:hAnsi="Arial" w:cs="Arial"/>
            </w:rPr>
            <w:t>19</w:t>
          </w:r>
          <w:r>
            <w:rPr>
              <w:rFonts w:hint="default" w:ascii="Arial" w:hAnsi="Arial" w:cs="Arial"/>
            </w:rPr>
            <w:fldChar w:fldCharType="end"/>
          </w:r>
          <w:r>
            <w:rPr>
              <w:rFonts w:hint="default" w:ascii="Arial" w:hAnsi="Arial" w:cs="Arial"/>
              <w:szCs w:val="24"/>
              <w:highlight w:val="none"/>
            </w:rPr>
            <w:fldChar w:fldCharType="end"/>
          </w:r>
        </w:p>
        <w:p w14:paraId="71E232C3">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_Toc2634 </w:instrText>
          </w:r>
          <w:r>
            <w:rPr>
              <w:rFonts w:hint="default" w:ascii="Arial" w:hAnsi="Arial" w:cs="Arial"/>
              <w:szCs w:val="24"/>
              <w:highlight w:val="none"/>
            </w:rPr>
            <w:fldChar w:fldCharType="separate"/>
          </w:r>
          <w:r>
            <w:rPr>
              <w:rFonts w:hint="default" w:ascii="Arial" w:hAnsi="Arial" w:cs="Arial"/>
              <w:szCs w:val="24"/>
              <w:highlight w:val="none"/>
            </w:rPr>
            <w:t>2.2.4 Cardiovascular Disease Prevention and Health Promotion Strategies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_Toc2634 \h </w:instrText>
          </w:r>
          <w:r>
            <w:rPr>
              <w:rFonts w:hint="default" w:ascii="Arial" w:hAnsi="Arial" w:cs="Arial"/>
            </w:rPr>
            <w:fldChar w:fldCharType="separate"/>
          </w:r>
          <w:r>
            <w:rPr>
              <w:rFonts w:hint="default" w:ascii="Arial" w:hAnsi="Arial" w:cs="Arial"/>
            </w:rPr>
            <w:t>20</w:t>
          </w:r>
          <w:r>
            <w:rPr>
              <w:rFonts w:hint="default" w:ascii="Arial" w:hAnsi="Arial" w:cs="Arial"/>
            </w:rPr>
            <w:fldChar w:fldCharType="end"/>
          </w:r>
          <w:r>
            <w:rPr>
              <w:rFonts w:hint="default" w:ascii="Arial" w:hAnsi="Arial" w:cs="Arial"/>
              <w:szCs w:val="24"/>
              <w:highlight w:val="none"/>
            </w:rPr>
            <w:fldChar w:fldCharType="end"/>
          </w:r>
        </w:p>
        <w:p w14:paraId="6462159B">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_Toc4382 </w:instrText>
          </w:r>
          <w:r>
            <w:rPr>
              <w:rFonts w:hint="default" w:ascii="Arial" w:hAnsi="Arial" w:cs="Arial"/>
              <w:szCs w:val="24"/>
              <w:highlight w:val="none"/>
            </w:rPr>
            <w:fldChar w:fldCharType="separate"/>
          </w:r>
          <w:r>
            <w:rPr>
              <w:rFonts w:hint="default" w:ascii="Arial" w:hAnsi="Arial" w:cs="Arial"/>
              <w:szCs w:val="24"/>
              <w:highlight w:val="none"/>
            </w:rPr>
            <w:t>2.2.5 Literature Gaps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_Toc4382 \h </w:instrText>
          </w:r>
          <w:r>
            <w:rPr>
              <w:rFonts w:hint="default" w:ascii="Arial" w:hAnsi="Arial" w:cs="Arial"/>
            </w:rPr>
            <w:fldChar w:fldCharType="separate"/>
          </w:r>
          <w:r>
            <w:rPr>
              <w:rFonts w:hint="default" w:ascii="Arial" w:hAnsi="Arial" w:cs="Arial"/>
            </w:rPr>
            <w:t>22</w:t>
          </w:r>
          <w:r>
            <w:rPr>
              <w:rFonts w:hint="default" w:ascii="Arial" w:hAnsi="Arial" w:cs="Arial"/>
            </w:rPr>
            <w:fldChar w:fldCharType="end"/>
          </w:r>
          <w:r>
            <w:rPr>
              <w:rFonts w:hint="default" w:ascii="Arial" w:hAnsi="Arial" w:cs="Arial"/>
              <w:szCs w:val="24"/>
              <w:highlight w:val="none"/>
            </w:rPr>
            <w:fldChar w:fldCharType="end"/>
          </w:r>
        </w:p>
        <w:p w14:paraId="268B229D">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_Toc13930 </w:instrText>
          </w:r>
          <w:r>
            <w:rPr>
              <w:rFonts w:hint="default" w:ascii="Arial" w:hAnsi="Arial" w:cs="Arial"/>
              <w:szCs w:val="24"/>
              <w:highlight w:val="none"/>
            </w:rPr>
            <w:fldChar w:fldCharType="separate"/>
          </w:r>
          <w:r>
            <w:rPr>
              <w:rFonts w:hint="default" w:ascii="Arial" w:hAnsi="Arial" w:cs="Arial"/>
              <w:highlight w:val="none"/>
            </w:rPr>
            <w:t>2.3 Chapter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_Toc13930 \h </w:instrText>
          </w:r>
          <w:r>
            <w:rPr>
              <w:rFonts w:hint="default" w:ascii="Arial" w:hAnsi="Arial" w:cs="Arial"/>
            </w:rPr>
            <w:fldChar w:fldCharType="separate"/>
          </w:r>
          <w:r>
            <w:rPr>
              <w:rFonts w:hint="default" w:ascii="Arial" w:hAnsi="Arial" w:cs="Arial"/>
            </w:rPr>
            <w:t>23</w:t>
          </w:r>
          <w:r>
            <w:rPr>
              <w:rFonts w:hint="default" w:ascii="Arial" w:hAnsi="Arial" w:cs="Arial"/>
            </w:rPr>
            <w:fldChar w:fldCharType="end"/>
          </w:r>
          <w:r>
            <w:rPr>
              <w:rFonts w:hint="default" w:ascii="Arial" w:hAnsi="Arial" w:cs="Arial"/>
              <w:szCs w:val="24"/>
              <w:highlight w:val="none"/>
            </w:rPr>
            <w:fldChar w:fldCharType="end"/>
          </w:r>
        </w:p>
        <w:p w14:paraId="215DA801">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_Toc22682 </w:instrText>
          </w:r>
          <w:r>
            <w:rPr>
              <w:rFonts w:hint="default" w:ascii="Arial" w:hAnsi="Arial" w:cs="Arial"/>
              <w:szCs w:val="24"/>
              <w:highlight w:val="none"/>
            </w:rPr>
            <w:fldChar w:fldCharType="separate"/>
          </w:r>
          <w:r>
            <w:rPr>
              <w:rFonts w:hint="default" w:ascii="Arial" w:hAnsi="Arial" w:cs="Arial"/>
              <w:highlight w:val="none"/>
            </w:rPr>
            <w:t>CHAPTER 3: METHODOLOGY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_Toc22682 \h </w:instrText>
          </w:r>
          <w:r>
            <w:rPr>
              <w:rFonts w:hint="default" w:ascii="Arial" w:hAnsi="Arial" w:cs="Arial"/>
            </w:rPr>
            <w:fldChar w:fldCharType="separate"/>
          </w:r>
          <w:r>
            <w:rPr>
              <w:rFonts w:hint="default" w:ascii="Arial" w:hAnsi="Arial" w:cs="Arial"/>
            </w:rPr>
            <w:t>24</w:t>
          </w:r>
          <w:r>
            <w:rPr>
              <w:rFonts w:hint="default" w:ascii="Arial" w:hAnsi="Arial" w:cs="Arial"/>
            </w:rPr>
            <w:fldChar w:fldCharType="end"/>
          </w:r>
          <w:r>
            <w:rPr>
              <w:rFonts w:hint="default" w:ascii="Arial" w:hAnsi="Arial" w:cs="Arial"/>
              <w:szCs w:val="24"/>
              <w:highlight w:val="none"/>
            </w:rPr>
            <w:fldChar w:fldCharType="end"/>
          </w:r>
        </w:p>
        <w:p w14:paraId="0AA2DE48">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_Toc15741 </w:instrText>
          </w:r>
          <w:r>
            <w:rPr>
              <w:rFonts w:hint="default" w:ascii="Arial" w:hAnsi="Arial" w:cs="Arial"/>
              <w:szCs w:val="24"/>
              <w:highlight w:val="none"/>
            </w:rPr>
            <w:fldChar w:fldCharType="separate"/>
          </w:r>
          <w:r>
            <w:rPr>
              <w:rFonts w:hint="default" w:ascii="Arial" w:hAnsi="Arial" w:cs="Arial"/>
              <w:highlight w:val="none"/>
            </w:rPr>
            <w:t>3.1 Introduction to Chapter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_Toc15741 \h </w:instrText>
          </w:r>
          <w:r>
            <w:rPr>
              <w:rFonts w:hint="default" w:ascii="Arial" w:hAnsi="Arial" w:cs="Arial"/>
            </w:rPr>
            <w:fldChar w:fldCharType="separate"/>
          </w:r>
          <w:r>
            <w:rPr>
              <w:rFonts w:hint="default" w:ascii="Arial" w:hAnsi="Arial" w:cs="Arial"/>
            </w:rPr>
            <w:t>24</w:t>
          </w:r>
          <w:r>
            <w:rPr>
              <w:rFonts w:hint="default" w:ascii="Arial" w:hAnsi="Arial" w:cs="Arial"/>
            </w:rPr>
            <w:fldChar w:fldCharType="end"/>
          </w:r>
          <w:r>
            <w:rPr>
              <w:rFonts w:hint="default" w:ascii="Arial" w:hAnsi="Arial" w:cs="Arial"/>
              <w:szCs w:val="24"/>
              <w:highlight w:val="none"/>
            </w:rPr>
            <w:fldChar w:fldCharType="end"/>
          </w:r>
        </w:p>
        <w:p w14:paraId="3BE0E719">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_Toc26479 </w:instrText>
          </w:r>
          <w:r>
            <w:rPr>
              <w:rFonts w:hint="default" w:ascii="Arial" w:hAnsi="Arial" w:cs="Arial"/>
              <w:szCs w:val="24"/>
              <w:highlight w:val="none"/>
            </w:rPr>
            <w:fldChar w:fldCharType="separate"/>
          </w:r>
          <w:r>
            <w:rPr>
              <w:rFonts w:hint="default" w:ascii="Arial" w:hAnsi="Arial" w:cs="Arial"/>
              <w:highlight w:val="none"/>
            </w:rPr>
            <w:t>3.2 Systematic Literature Review (SLR)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_Toc26479 \h </w:instrText>
          </w:r>
          <w:r>
            <w:rPr>
              <w:rFonts w:hint="default" w:ascii="Arial" w:hAnsi="Arial" w:cs="Arial"/>
            </w:rPr>
            <w:fldChar w:fldCharType="separate"/>
          </w:r>
          <w:r>
            <w:rPr>
              <w:rFonts w:hint="default" w:ascii="Arial" w:hAnsi="Arial" w:cs="Arial"/>
            </w:rPr>
            <w:t>24</w:t>
          </w:r>
          <w:r>
            <w:rPr>
              <w:rFonts w:hint="default" w:ascii="Arial" w:hAnsi="Arial" w:cs="Arial"/>
            </w:rPr>
            <w:fldChar w:fldCharType="end"/>
          </w:r>
          <w:r>
            <w:rPr>
              <w:rFonts w:hint="default" w:ascii="Arial" w:hAnsi="Arial" w:cs="Arial"/>
              <w:szCs w:val="24"/>
              <w:highlight w:val="none"/>
            </w:rPr>
            <w:fldChar w:fldCharType="end"/>
          </w:r>
        </w:p>
        <w:p w14:paraId="25D52BE9">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_Toc28409 </w:instrText>
          </w:r>
          <w:r>
            <w:rPr>
              <w:rFonts w:hint="default" w:ascii="Arial" w:hAnsi="Arial" w:cs="Arial"/>
              <w:szCs w:val="24"/>
              <w:highlight w:val="none"/>
            </w:rPr>
            <w:fldChar w:fldCharType="separate"/>
          </w:r>
          <w:r>
            <w:rPr>
              <w:rFonts w:hint="default" w:ascii="Arial" w:hAnsi="Arial" w:cs="Arial"/>
              <w:szCs w:val="24"/>
              <w:highlight w:val="none"/>
            </w:rPr>
            <w:t>3.2.1 Definition and purpose of SLR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_Toc28409 \h </w:instrText>
          </w:r>
          <w:r>
            <w:rPr>
              <w:rFonts w:hint="default" w:ascii="Arial" w:hAnsi="Arial" w:cs="Arial"/>
            </w:rPr>
            <w:fldChar w:fldCharType="separate"/>
          </w:r>
          <w:r>
            <w:rPr>
              <w:rFonts w:hint="default" w:ascii="Arial" w:hAnsi="Arial" w:cs="Arial"/>
            </w:rPr>
            <w:t>24</w:t>
          </w:r>
          <w:r>
            <w:rPr>
              <w:rFonts w:hint="default" w:ascii="Arial" w:hAnsi="Arial" w:cs="Arial"/>
            </w:rPr>
            <w:fldChar w:fldCharType="end"/>
          </w:r>
          <w:r>
            <w:rPr>
              <w:rFonts w:hint="default" w:ascii="Arial" w:hAnsi="Arial" w:cs="Arial"/>
              <w:szCs w:val="24"/>
              <w:highlight w:val="none"/>
            </w:rPr>
            <w:fldChar w:fldCharType="end"/>
          </w:r>
        </w:p>
        <w:p w14:paraId="7906807B">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_Toc23207 </w:instrText>
          </w:r>
          <w:r>
            <w:rPr>
              <w:rFonts w:hint="default" w:ascii="Arial" w:hAnsi="Arial" w:cs="Arial"/>
              <w:szCs w:val="24"/>
              <w:highlight w:val="none"/>
            </w:rPr>
            <w:fldChar w:fldCharType="separate"/>
          </w:r>
          <w:r>
            <w:rPr>
              <w:rFonts w:hint="default" w:ascii="Arial" w:hAnsi="Arial" w:cs="Arial"/>
              <w:szCs w:val="24"/>
              <w:highlight w:val="none"/>
            </w:rPr>
            <w:t>3.2.2 Steps for achieving comprehensive conduction of SLR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_Toc23207 \h </w:instrText>
          </w:r>
          <w:r>
            <w:rPr>
              <w:rFonts w:hint="default" w:ascii="Arial" w:hAnsi="Arial" w:cs="Arial"/>
            </w:rPr>
            <w:fldChar w:fldCharType="separate"/>
          </w:r>
          <w:r>
            <w:rPr>
              <w:rFonts w:hint="default" w:ascii="Arial" w:hAnsi="Arial" w:cs="Arial"/>
            </w:rPr>
            <w:t>24</w:t>
          </w:r>
          <w:r>
            <w:rPr>
              <w:rFonts w:hint="default" w:ascii="Arial" w:hAnsi="Arial" w:cs="Arial"/>
            </w:rPr>
            <w:fldChar w:fldCharType="end"/>
          </w:r>
          <w:r>
            <w:rPr>
              <w:rFonts w:hint="default" w:ascii="Arial" w:hAnsi="Arial" w:cs="Arial"/>
              <w:szCs w:val="24"/>
              <w:highlight w:val="none"/>
            </w:rPr>
            <w:fldChar w:fldCharType="end"/>
          </w:r>
        </w:p>
        <w:p w14:paraId="79CFCFCB">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_Toc6509 </w:instrText>
          </w:r>
          <w:r>
            <w:rPr>
              <w:rFonts w:hint="default" w:ascii="Arial" w:hAnsi="Arial" w:cs="Arial"/>
              <w:szCs w:val="24"/>
              <w:highlight w:val="none"/>
            </w:rPr>
            <w:fldChar w:fldCharType="separate"/>
          </w:r>
          <w:r>
            <w:rPr>
              <w:rFonts w:hint="default" w:ascii="Arial" w:hAnsi="Arial" w:cs="Arial"/>
              <w:highlight w:val="none"/>
            </w:rPr>
            <w:t>3.3 Search Strategy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_Toc6509 \h </w:instrText>
          </w:r>
          <w:r>
            <w:rPr>
              <w:rFonts w:hint="default" w:ascii="Arial" w:hAnsi="Arial" w:cs="Arial"/>
            </w:rPr>
            <w:fldChar w:fldCharType="separate"/>
          </w:r>
          <w:r>
            <w:rPr>
              <w:rFonts w:hint="default" w:ascii="Arial" w:hAnsi="Arial" w:cs="Arial"/>
            </w:rPr>
            <w:t>25</w:t>
          </w:r>
          <w:r>
            <w:rPr>
              <w:rFonts w:hint="default" w:ascii="Arial" w:hAnsi="Arial" w:cs="Arial"/>
            </w:rPr>
            <w:fldChar w:fldCharType="end"/>
          </w:r>
          <w:r>
            <w:rPr>
              <w:rFonts w:hint="default" w:ascii="Arial" w:hAnsi="Arial" w:cs="Arial"/>
              <w:szCs w:val="24"/>
              <w:highlight w:val="none"/>
            </w:rPr>
            <w:fldChar w:fldCharType="end"/>
          </w:r>
        </w:p>
        <w:p w14:paraId="4E235EF2">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_Toc32154 </w:instrText>
          </w:r>
          <w:r>
            <w:rPr>
              <w:rFonts w:hint="default" w:ascii="Arial" w:hAnsi="Arial" w:cs="Arial"/>
              <w:szCs w:val="24"/>
              <w:highlight w:val="none"/>
            </w:rPr>
            <w:fldChar w:fldCharType="separate"/>
          </w:r>
          <w:r>
            <w:rPr>
              <w:rFonts w:hint="default" w:ascii="Arial" w:hAnsi="Arial" w:cs="Arial"/>
              <w:szCs w:val="24"/>
              <w:highlight w:val="none"/>
            </w:rPr>
            <w:t>3.3.1 Definition of search strategy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_Toc32154 \h </w:instrText>
          </w:r>
          <w:r>
            <w:rPr>
              <w:rFonts w:hint="default" w:ascii="Arial" w:hAnsi="Arial" w:cs="Arial"/>
            </w:rPr>
            <w:fldChar w:fldCharType="separate"/>
          </w:r>
          <w:r>
            <w:rPr>
              <w:rFonts w:hint="default" w:ascii="Arial" w:hAnsi="Arial" w:cs="Arial"/>
            </w:rPr>
            <w:t>25</w:t>
          </w:r>
          <w:r>
            <w:rPr>
              <w:rFonts w:hint="default" w:ascii="Arial" w:hAnsi="Arial" w:cs="Arial"/>
            </w:rPr>
            <w:fldChar w:fldCharType="end"/>
          </w:r>
          <w:r>
            <w:rPr>
              <w:rFonts w:hint="default" w:ascii="Arial" w:hAnsi="Arial" w:cs="Arial"/>
              <w:szCs w:val="24"/>
              <w:highlight w:val="none"/>
            </w:rPr>
            <w:fldChar w:fldCharType="end"/>
          </w:r>
        </w:p>
        <w:p w14:paraId="3EC16C5E">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_Toc15817 </w:instrText>
          </w:r>
          <w:r>
            <w:rPr>
              <w:rFonts w:hint="default" w:ascii="Arial" w:hAnsi="Arial" w:cs="Arial"/>
              <w:szCs w:val="24"/>
              <w:highlight w:val="none"/>
            </w:rPr>
            <w:fldChar w:fldCharType="separate"/>
          </w:r>
          <w:r>
            <w:rPr>
              <w:rFonts w:hint="default" w:ascii="Arial" w:hAnsi="Arial" w:cs="Arial"/>
              <w:highlight w:val="none"/>
            </w:rPr>
            <w:t>3.3.2 Process of a comprehensive search and time limit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_Toc15817 \h </w:instrText>
          </w:r>
          <w:r>
            <w:rPr>
              <w:rFonts w:hint="default" w:ascii="Arial" w:hAnsi="Arial" w:cs="Arial"/>
            </w:rPr>
            <w:fldChar w:fldCharType="separate"/>
          </w:r>
          <w:r>
            <w:rPr>
              <w:rFonts w:hint="default" w:ascii="Arial" w:hAnsi="Arial" w:cs="Arial"/>
            </w:rPr>
            <w:t>25</w:t>
          </w:r>
          <w:r>
            <w:rPr>
              <w:rFonts w:hint="default" w:ascii="Arial" w:hAnsi="Arial" w:cs="Arial"/>
            </w:rPr>
            <w:fldChar w:fldCharType="end"/>
          </w:r>
          <w:r>
            <w:rPr>
              <w:rFonts w:hint="default" w:ascii="Arial" w:hAnsi="Arial" w:cs="Arial"/>
              <w:szCs w:val="24"/>
              <w:highlight w:val="none"/>
            </w:rPr>
            <w:fldChar w:fldCharType="end"/>
          </w:r>
        </w:p>
        <w:p w14:paraId="3D34E05F">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_Toc3208 </w:instrText>
          </w:r>
          <w:r>
            <w:rPr>
              <w:rFonts w:hint="default" w:ascii="Arial" w:hAnsi="Arial" w:cs="Arial"/>
              <w:szCs w:val="24"/>
              <w:highlight w:val="none"/>
            </w:rPr>
            <w:fldChar w:fldCharType="separate"/>
          </w:r>
          <w:r>
            <w:rPr>
              <w:rFonts w:hint="default" w:ascii="Arial" w:hAnsi="Arial" w:cs="Arial"/>
              <w:highlight w:val="none"/>
            </w:rPr>
            <w:t>3.4 Search Terms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_Toc3208 \h </w:instrText>
          </w:r>
          <w:r>
            <w:rPr>
              <w:rFonts w:hint="default" w:ascii="Arial" w:hAnsi="Arial" w:cs="Arial"/>
            </w:rPr>
            <w:fldChar w:fldCharType="separate"/>
          </w:r>
          <w:r>
            <w:rPr>
              <w:rFonts w:hint="default" w:ascii="Arial" w:hAnsi="Arial" w:cs="Arial"/>
            </w:rPr>
            <w:t>25</w:t>
          </w:r>
          <w:r>
            <w:rPr>
              <w:rFonts w:hint="default" w:ascii="Arial" w:hAnsi="Arial" w:cs="Arial"/>
            </w:rPr>
            <w:fldChar w:fldCharType="end"/>
          </w:r>
          <w:r>
            <w:rPr>
              <w:rFonts w:hint="default" w:ascii="Arial" w:hAnsi="Arial" w:cs="Arial"/>
              <w:szCs w:val="24"/>
              <w:highlight w:val="none"/>
            </w:rPr>
            <w:fldChar w:fldCharType="end"/>
          </w:r>
        </w:p>
        <w:p w14:paraId="38D66004">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_Toc12823 </w:instrText>
          </w:r>
          <w:r>
            <w:rPr>
              <w:rFonts w:hint="default" w:ascii="Arial" w:hAnsi="Arial" w:cs="Arial"/>
              <w:szCs w:val="24"/>
              <w:highlight w:val="none"/>
            </w:rPr>
            <w:fldChar w:fldCharType="separate"/>
          </w:r>
          <w:r>
            <w:rPr>
              <w:rFonts w:hint="default" w:ascii="Arial" w:hAnsi="Arial" w:cs="Arial"/>
              <w:szCs w:val="24"/>
              <w:highlight w:val="none"/>
            </w:rPr>
            <w:t>3.4.1 Definition and importance of search terms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_Toc12823 \h </w:instrText>
          </w:r>
          <w:r>
            <w:rPr>
              <w:rFonts w:hint="default" w:ascii="Arial" w:hAnsi="Arial" w:cs="Arial"/>
            </w:rPr>
            <w:fldChar w:fldCharType="separate"/>
          </w:r>
          <w:r>
            <w:rPr>
              <w:rFonts w:hint="default" w:ascii="Arial" w:hAnsi="Arial" w:cs="Arial"/>
            </w:rPr>
            <w:t>25</w:t>
          </w:r>
          <w:r>
            <w:rPr>
              <w:rFonts w:hint="default" w:ascii="Arial" w:hAnsi="Arial" w:cs="Arial"/>
            </w:rPr>
            <w:fldChar w:fldCharType="end"/>
          </w:r>
          <w:r>
            <w:rPr>
              <w:rFonts w:hint="default" w:ascii="Arial" w:hAnsi="Arial" w:cs="Arial"/>
              <w:szCs w:val="24"/>
              <w:highlight w:val="none"/>
            </w:rPr>
            <w:fldChar w:fldCharType="end"/>
          </w:r>
        </w:p>
        <w:p w14:paraId="1E1B1BC2">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_Toc3318 </w:instrText>
          </w:r>
          <w:r>
            <w:rPr>
              <w:rFonts w:hint="default" w:ascii="Arial" w:hAnsi="Arial" w:cs="Arial"/>
              <w:szCs w:val="24"/>
              <w:highlight w:val="none"/>
            </w:rPr>
            <w:fldChar w:fldCharType="separate"/>
          </w:r>
          <w:r>
            <w:rPr>
              <w:rFonts w:hint="default" w:ascii="Arial" w:hAnsi="Arial" w:cs="Arial"/>
              <w:szCs w:val="24"/>
              <w:highlight w:val="none"/>
            </w:rPr>
            <w:t>3.4.2 Importance of using synonyms in searching</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_Toc3318 \h </w:instrText>
          </w:r>
          <w:r>
            <w:rPr>
              <w:rFonts w:hint="default" w:ascii="Arial" w:hAnsi="Arial" w:cs="Arial"/>
            </w:rPr>
            <w:fldChar w:fldCharType="separate"/>
          </w:r>
          <w:r>
            <w:rPr>
              <w:rFonts w:hint="default" w:ascii="Arial" w:hAnsi="Arial" w:cs="Arial"/>
            </w:rPr>
            <w:t>26</w:t>
          </w:r>
          <w:r>
            <w:rPr>
              <w:rFonts w:hint="default" w:ascii="Arial" w:hAnsi="Arial" w:cs="Arial"/>
            </w:rPr>
            <w:fldChar w:fldCharType="end"/>
          </w:r>
          <w:r>
            <w:rPr>
              <w:rFonts w:hint="default" w:ascii="Arial" w:hAnsi="Arial" w:cs="Arial"/>
              <w:szCs w:val="24"/>
              <w:highlight w:val="none"/>
            </w:rPr>
            <w:fldChar w:fldCharType="end"/>
          </w:r>
        </w:p>
        <w:p w14:paraId="67A8FB8B">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_Toc22241 </w:instrText>
          </w:r>
          <w:r>
            <w:rPr>
              <w:rFonts w:hint="default" w:ascii="Arial" w:hAnsi="Arial" w:cs="Arial"/>
              <w:szCs w:val="24"/>
              <w:highlight w:val="none"/>
            </w:rPr>
            <w:fldChar w:fldCharType="separate"/>
          </w:r>
          <w:r>
            <w:rPr>
              <w:rFonts w:hint="default" w:ascii="Arial" w:hAnsi="Arial" w:cs="Arial"/>
              <w:szCs w:val="24"/>
              <w:highlight w:val="none"/>
            </w:rPr>
            <w:t>3.4.3 Explanation of the PEO framework and the process of using it for search</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_Toc22241 \h </w:instrText>
          </w:r>
          <w:r>
            <w:rPr>
              <w:rFonts w:hint="default" w:ascii="Arial" w:hAnsi="Arial" w:cs="Arial"/>
            </w:rPr>
            <w:fldChar w:fldCharType="separate"/>
          </w:r>
          <w:r>
            <w:rPr>
              <w:rFonts w:hint="default" w:ascii="Arial" w:hAnsi="Arial" w:cs="Arial"/>
            </w:rPr>
            <w:t>26</w:t>
          </w:r>
          <w:r>
            <w:rPr>
              <w:rFonts w:hint="default" w:ascii="Arial" w:hAnsi="Arial" w:cs="Arial"/>
            </w:rPr>
            <w:fldChar w:fldCharType="end"/>
          </w:r>
          <w:r>
            <w:rPr>
              <w:rFonts w:hint="default" w:ascii="Arial" w:hAnsi="Arial" w:cs="Arial"/>
              <w:szCs w:val="24"/>
              <w:highlight w:val="none"/>
            </w:rPr>
            <w:fldChar w:fldCharType="end"/>
          </w:r>
        </w:p>
        <w:p w14:paraId="40982016">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_Toc29179 </w:instrText>
          </w:r>
          <w:r>
            <w:rPr>
              <w:rFonts w:hint="default" w:ascii="Arial" w:hAnsi="Arial" w:cs="Arial"/>
              <w:szCs w:val="24"/>
              <w:highlight w:val="none"/>
            </w:rPr>
            <w:fldChar w:fldCharType="separate"/>
          </w:r>
          <w:r>
            <w:rPr>
              <w:rFonts w:hint="default" w:ascii="Arial" w:hAnsi="Arial" w:cs="Arial"/>
              <w:highlight w:val="none"/>
            </w:rPr>
            <w:t>3.5 Keywords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_Toc29179 \h </w:instrText>
          </w:r>
          <w:r>
            <w:rPr>
              <w:rFonts w:hint="default" w:ascii="Arial" w:hAnsi="Arial" w:cs="Arial"/>
            </w:rPr>
            <w:fldChar w:fldCharType="separate"/>
          </w:r>
          <w:r>
            <w:rPr>
              <w:rFonts w:hint="default" w:ascii="Arial" w:hAnsi="Arial" w:cs="Arial"/>
            </w:rPr>
            <w:t>27</w:t>
          </w:r>
          <w:r>
            <w:rPr>
              <w:rFonts w:hint="default" w:ascii="Arial" w:hAnsi="Arial" w:cs="Arial"/>
            </w:rPr>
            <w:fldChar w:fldCharType="end"/>
          </w:r>
          <w:r>
            <w:rPr>
              <w:rFonts w:hint="default" w:ascii="Arial" w:hAnsi="Arial" w:cs="Arial"/>
              <w:szCs w:val="24"/>
              <w:highlight w:val="none"/>
            </w:rPr>
            <w:fldChar w:fldCharType="end"/>
          </w:r>
        </w:p>
        <w:p w14:paraId="0643CBDF">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_Toc23760 </w:instrText>
          </w:r>
          <w:r>
            <w:rPr>
              <w:rFonts w:hint="default" w:ascii="Arial" w:hAnsi="Arial" w:cs="Arial"/>
              <w:szCs w:val="24"/>
              <w:highlight w:val="none"/>
            </w:rPr>
            <w:fldChar w:fldCharType="separate"/>
          </w:r>
          <w:r>
            <w:rPr>
              <w:rFonts w:hint="default" w:ascii="Arial" w:hAnsi="Arial" w:cs="Arial"/>
              <w:szCs w:val="24"/>
              <w:highlight w:val="none"/>
            </w:rPr>
            <w:t>3.5.1 Definition of keywords and importance of using those for the searching process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_Toc23760 \h </w:instrText>
          </w:r>
          <w:r>
            <w:rPr>
              <w:rFonts w:hint="default" w:ascii="Arial" w:hAnsi="Arial" w:cs="Arial"/>
            </w:rPr>
            <w:fldChar w:fldCharType="separate"/>
          </w:r>
          <w:r>
            <w:rPr>
              <w:rFonts w:hint="default" w:ascii="Arial" w:hAnsi="Arial" w:cs="Arial"/>
            </w:rPr>
            <w:t>27</w:t>
          </w:r>
          <w:r>
            <w:rPr>
              <w:rFonts w:hint="default" w:ascii="Arial" w:hAnsi="Arial" w:cs="Arial"/>
            </w:rPr>
            <w:fldChar w:fldCharType="end"/>
          </w:r>
          <w:r>
            <w:rPr>
              <w:rFonts w:hint="default" w:ascii="Arial" w:hAnsi="Arial" w:cs="Arial"/>
              <w:szCs w:val="24"/>
              <w:highlight w:val="none"/>
            </w:rPr>
            <w:fldChar w:fldCharType="end"/>
          </w:r>
        </w:p>
        <w:p w14:paraId="62EC132A">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_Toc13274 </w:instrText>
          </w:r>
          <w:r>
            <w:rPr>
              <w:rFonts w:hint="default" w:ascii="Arial" w:hAnsi="Arial" w:cs="Arial"/>
              <w:szCs w:val="24"/>
              <w:highlight w:val="none"/>
            </w:rPr>
            <w:fldChar w:fldCharType="separate"/>
          </w:r>
          <w:r>
            <w:rPr>
              <w:rFonts w:hint="default" w:ascii="Arial" w:hAnsi="Arial" w:cs="Arial"/>
              <w:highlight w:val="none"/>
            </w:rPr>
            <w:t>3.5.2 Main keywords used in this study for search</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_Toc13274 \h </w:instrText>
          </w:r>
          <w:r>
            <w:rPr>
              <w:rFonts w:hint="default" w:ascii="Arial" w:hAnsi="Arial" w:cs="Arial"/>
            </w:rPr>
            <w:fldChar w:fldCharType="separate"/>
          </w:r>
          <w:r>
            <w:rPr>
              <w:rFonts w:hint="default" w:ascii="Arial" w:hAnsi="Arial" w:cs="Arial"/>
            </w:rPr>
            <w:t>27</w:t>
          </w:r>
          <w:r>
            <w:rPr>
              <w:rFonts w:hint="default" w:ascii="Arial" w:hAnsi="Arial" w:cs="Arial"/>
            </w:rPr>
            <w:fldChar w:fldCharType="end"/>
          </w:r>
          <w:r>
            <w:rPr>
              <w:rFonts w:hint="default" w:ascii="Arial" w:hAnsi="Arial" w:cs="Arial"/>
              <w:szCs w:val="24"/>
              <w:highlight w:val="none"/>
            </w:rPr>
            <w:fldChar w:fldCharType="end"/>
          </w:r>
        </w:p>
        <w:p w14:paraId="072E533B">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_Toc17486 </w:instrText>
          </w:r>
          <w:r>
            <w:rPr>
              <w:rFonts w:hint="default" w:ascii="Arial" w:hAnsi="Arial" w:cs="Arial"/>
              <w:szCs w:val="24"/>
              <w:highlight w:val="none"/>
            </w:rPr>
            <w:fldChar w:fldCharType="separate"/>
          </w:r>
          <w:r>
            <w:rPr>
              <w:rFonts w:hint="default" w:ascii="Arial" w:hAnsi="Arial" w:cs="Arial"/>
              <w:highlight w:val="none"/>
            </w:rPr>
            <w:t>3.6 Databases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_Toc17486 \h </w:instrText>
          </w:r>
          <w:r>
            <w:rPr>
              <w:rFonts w:hint="default" w:ascii="Arial" w:hAnsi="Arial" w:cs="Arial"/>
            </w:rPr>
            <w:fldChar w:fldCharType="separate"/>
          </w:r>
          <w:r>
            <w:rPr>
              <w:rFonts w:hint="default" w:ascii="Arial" w:hAnsi="Arial" w:cs="Arial"/>
            </w:rPr>
            <w:t>28</w:t>
          </w:r>
          <w:r>
            <w:rPr>
              <w:rFonts w:hint="default" w:ascii="Arial" w:hAnsi="Arial" w:cs="Arial"/>
            </w:rPr>
            <w:fldChar w:fldCharType="end"/>
          </w:r>
          <w:r>
            <w:rPr>
              <w:rFonts w:hint="default" w:ascii="Arial" w:hAnsi="Arial" w:cs="Arial"/>
              <w:szCs w:val="24"/>
              <w:highlight w:val="none"/>
            </w:rPr>
            <w:fldChar w:fldCharType="end"/>
          </w:r>
        </w:p>
        <w:p w14:paraId="7ED72AC1">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_Toc32166 </w:instrText>
          </w:r>
          <w:r>
            <w:rPr>
              <w:rFonts w:hint="default" w:ascii="Arial" w:hAnsi="Arial" w:cs="Arial"/>
              <w:szCs w:val="24"/>
              <w:highlight w:val="none"/>
            </w:rPr>
            <w:fldChar w:fldCharType="separate"/>
          </w:r>
          <w:r>
            <w:rPr>
              <w:rFonts w:hint="default" w:ascii="Arial" w:hAnsi="Arial" w:cs="Arial"/>
              <w:szCs w:val="24"/>
              <w:highlight w:val="none"/>
            </w:rPr>
            <w:t>3.6.1 Process of searching for information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_Toc32166 \h </w:instrText>
          </w:r>
          <w:r>
            <w:rPr>
              <w:rFonts w:hint="default" w:ascii="Arial" w:hAnsi="Arial" w:cs="Arial"/>
            </w:rPr>
            <w:fldChar w:fldCharType="separate"/>
          </w:r>
          <w:r>
            <w:rPr>
              <w:rFonts w:hint="default" w:ascii="Arial" w:hAnsi="Arial" w:cs="Arial"/>
            </w:rPr>
            <w:t>28</w:t>
          </w:r>
          <w:r>
            <w:rPr>
              <w:rFonts w:hint="default" w:ascii="Arial" w:hAnsi="Arial" w:cs="Arial"/>
            </w:rPr>
            <w:fldChar w:fldCharType="end"/>
          </w:r>
          <w:r>
            <w:rPr>
              <w:rFonts w:hint="default" w:ascii="Arial" w:hAnsi="Arial" w:cs="Arial"/>
              <w:szCs w:val="24"/>
              <w:highlight w:val="none"/>
            </w:rPr>
            <w:fldChar w:fldCharType="end"/>
          </w:r>
        </w:p>
        <w:p w14:paraId="1B96A0EA">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_Toc20275 </w:instrText>
          </w:r>
          <w:r>
            <w:rPr>
              <w:rFonts w:hint="default" w:ascii="Arial" w:hAnsi="Arial" w:cs="Arial"/>
              <w:szCs w:val="24"/>
              <w:highlight w:val="none"/>
            </w:rPr>
            <w:fldChar w:fldCharType="separate"/>
          </w:r>
          <w:r>
            <w:rPr>
              <w:rFonts w:hint="default" w:ascii="Arial" w:hAnsi="Arial" w:cs="Arial"/>
              <w:szCs w:val="24"/>
              <w:highlight w:val="none"/>
            </w:rPr>
            <w:t>3.6.2 Importance of using multiple databases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_Toc20275 \h </w:instrText>
          </w:r>
          <w:r>
            <w:rPr>
              <w:rFonts w:hint="default" w:ascii="Arial" w:hAnsi="Arial" w:cs="Arial"/>
            </w:rPr>
            <w:fldChar w:fldCharType="separate"/>
          </w:r>
          <w:r>
            <w:rPr>
              <w:rFonts w:hint="default" w:ascii="Arial" w:hAnsi="Arial" w:cs="Arial"/>
            </w:rPr>
            <w:t>28</w:t>
          </w:r>
          <w:r>
            <w:rPr>
              <w:rFonts w:hint="default" w:ascii="Arial" w:hAnsi="Arial" w:cs="Arial"/>
            </w:rPr>
            <w:fldChar w:fldCharType="end"/>
          </w:r>
          <w:r>
            <w:rPr>
              <w:rFonts w:hint="default" w:ascii="Arial" w:hAnsi="Arial" w:cs="Arial"/>
              <w:szCs w:val="24"/>
              <w:highlight w:val="none"/>
            </w:rPr>
            <w:fldChar w:fldCharType="end"/>
          </w:r>
        </w:p>
        <w:p w14:paraId="4B4FBACB">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_Toc26813 </w:instrText>
          </w:r>
          <w:r>
            <w:rPr>
              <w:rFonts w:hint="default" w:ascii="Arial" w:hAnsi="Arial" w:cs="Arial"/>
              <w:szCs w:val="24"/>
              <w:highlight w:val="none"/>
            </w:rPr>
            <w:fldChar w:fldCharType="separate"/>
          </w:r>
          <w:r>
            <w:rPr>
              <w:rFonts w:hint="default" w:ascii="Arial" w:hAnsi="Arial" w:cs="Arial"/>
              <w:szCs w:val="24"/>
              <w:highlight w:val="none"/>
            </w:rPr>
            <w:t>3.6.3 Databases searched for conducting the particular study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_Toc26813 \h </w:instrText>
          </w:r>
          <w:r>
            <w:rPr>
              <w:rFonts w:hint="default" w:ascii="Arial" w:hAnsi="Arial" w:cs="Arial"/>
            </w:rPr>
            <w:fldChar w:fldCharType="separate"/>
          </w:r>
          <w:r>
            <w:rPr>
              <w:rFonts w:hint="default" w:ascii="Arial" w:hAnsi="Arial" w:cs="Arial"/>
            </w:rPr>
            <w:t>28</w:t>
          </w:r>
          <w:r>
            <w:rPr>
              <w:rFonts w:hint="default" w:ascii="Arial" w:hAnsi="Arial" w:cs="Arial"/>
            </w:rPr>
            <w:fldChar w:fldCharType="end"/>
          </w:r>
          <w:r>
            <w:rPr>
              <w:rFonts w:hint="default" w:ascii="Arial" w:hAnsi="Arial" w:cs="Arial"/>
              <w:szCs w:val="24"/>
              <w:highlight w:val="none"/>
            </w:rPr>
            <w:fldChar w:fldCharType="end"/>
          </w:r>
        </w:p>
        <w:p w14:paraId="097E4D9F">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_Toc7355 </w:instrText>
          </w:r>
          <w:r>
            <w:rPr>
              <w:rFonts w:hint="default" w:ascii="Arial" w:hAnsi="Arial" w:cs="Arial"/>
              <w:szCs w:val="24"/>
              <w:highlight w:val="none"/>
            </w:rPr>
            <w:fldChar w:fldCharType="separate"/>
          </w:r>
          <w:r>
            <w:rPr>
              <w:rFonts w:hint="default" w:ascii="Arial" w:hAnsi="Arial" w:cs="Arial"/>
              <w:highlight w:val="none"/>
            </w:rPr>
            <w:t>3.7 Inclusion/Exclusion Criteria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_Toc7355 \h </w:instrText>
          </w:r>
          <w:r>
            <w:rPr>
              <w:rFonts w:hint="default" w:ascii="Arial" w:hAnsi="Arial" w:cs="Arial"/>
            </w:rPr>
            <w:fldChar w:fldCharType="separate"/>
          </w:r>
          <w:r>
            <w:rPr>
              <w:rFonts w:hint="default" w:ascii="Arial" w:hAnsi="Arial" w:cs="Arial"/>
            </w:rPr>
            <w:t>28</w:t>
          </w:r>
          <w:r>
            <w:rPr>
              <w:rFonts w:hint="default" w:ascii="Arial" w:hAnsi="Arial" w:cs="Arial"/>
            </w:rPr>
            <w:fldChar w:fldCharType="end"/>
          </w:r>
          <w:r>
            <w:rPr>
              <w:rFonts w:hint="default" w:ascii="Arial" w:hAnsi="Arial" w:cs="Arial"/>
              <w:szCs w:val="24"/>
              <w:highlight w:val="none"/>
            </w:rPr>
            <w:fldChar w:fldCharType="end"/>
          </w:r>
        </w:p>
        <w:p w14:paraId="402BDF12">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_Toc15708 </w:instrText>
          </w:r>
          <w:r>
            <w:rPr>
              <w:rFonts w:hint="default" w:ascii="Arial" w:hAnsi="Arial" w:cs="Arial"/>
              <w:szCs w:val="24"/>
              <w:highlight w:val="none"/>
            </w:rPr>
            <w:fldChar w:fldCharType="separate"/>
          </w:r>
          <w:r>
            <w:rPr>
              <w:rFonts w:hint="default" w:ascii="Arial" w:hAnsi="Arial" w:cs="Arial"/>
              <w:szCs w:val="24"/>
              <w:highlight w:val="none"/>
            </w:rPr>
            <w:t>3.7.1 Inclusion Criteria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_Toc15708 \h </w:instrText>
          </w:r>
          <w:r>
            <w:rPr>
              <w:rFonts w:hint="default" w:ascii="Arial" w:hAnsi="Arial" w:cs="Arial"/>
            </w:rPr>
            <w:fldChar w:fldCharType="separate"/>
          </w:r>
          <w:r>
            <w:rPr>
              <w:rFonts w:hint="default" w:ascii="Arial" w:hAnsi="Arial" w:cs="Arial"/>
            </w:rPr>
            <w:t>29</w:t>
          </w:r>
          <w:r>
            <w:rPr>
              <w:rFonts w:hint="default" w:ascii="Arial" w:hAnsi="Arial" w:cs="Arial"/>
            </w:rPr>
            <w:fldChar w:fldCharType="end"/>
          </w:r>
          <w:r>
            <w:rPr>
              <w:rFonts w:hint="default" w:ascii="Arial" w:hAnsi="Arial" w:cs="Arial"/>
              <w:szCs w:val="24"/>
              <w:highlight w:val="none"/>
            </w:rPr>
            <w:fldChar w:fldCharType="end"/>
          </w:r>
        </w:p>
        <w:p w14:paraId="2C9E8EC1">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_Toc10846 </w:instrText>
          </w:r>
          <w:r>
            <w:rPr>
              <w:rFonts w:hint="default" w:ascii="Arial" w:hAnsi="Arial" w:cs="Arial"/>
              <w:szCs w:val="24"/>
              <w:highlight w:val="none"/>
            </w:rPr>
            <w:fldChar w:fldCharType="separate"/>
          </w:r>
          <w:r>
            <w:rPr>
              <w:rFonts w:hint="default" w:ascii="Arial" w:hAnsi="Arial" w:cs="Arial"/>
              <w:szCs w:val="24"/>
              <w:highlight w:val="none"/>
            </w:rPr>
            <w:t>3.7.2 Exclusion Criteria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_Toc10846 \h </w:instrText>
          </w:r>
          <w:r>
            <w:rPr>
              <w:rFonts w:hint="default" w:ascii="Arial" w:hAnsi="Arial" w:cs="Arial"/>
            </w:rPr>
            <w:fldChar w:fldCharType="separate"/>
          </w:r>
          <w:r>
            <w:rPr>
              <w:rFonts w:hint="default" w:ascii="Arial" w:hAnsi="Arial" w:cs="Arial"/>
            </w:rPr>
            <w:t>29</w:t>
          </w:r>
          <w:r>
            <w:rPr>
              <w:rFonts w:hint="default" w:ascii="Arial" w:hAnsi="Arial" w:cs="Arial"/>
            </w:rPr>
            <w:fldChar w:fldCharType="end"/>
          </w:r>
          <w:r>
            <w:rPr>
              <w:rFonts w:hint="default" w:ascii="Arial" w:hAnsi="Arial" w:cs="Arial"/>
              <w:szCs w:val="24"/>
              <w:highlight w:val="none"/>
            </w:rPr>
            <w:fldChar w:fldCharType="end"/>
          </w:r>
        </w:p>
        <w:p w14:paraId="3464E351">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_Toc10396 </w:instrText>
          </w:r>
          <w:r>
            <w:rPr>
              <w:rFonts w:hint="default" w:ascii="Arial" w:hAnsi="Arial" w:cs="Arial"/>
              <w:szCs w:val="24"/>
              <w:highlight w:val="none"/>
            </w:rPr>
            <w:fldChar w:fldCharType="separate"/>
          </w:r>
          <w:r>
            <w:rPr>
              <w:rFonts w:hint="default" w:ascii="Arial" w:hAnsi="Arial" w:cs="Arial"/>
              <w:highlight w:val="none"/>
            </w:rPr>
            <w:t>3.8 Search Results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_Toc10396 \h </w:instrText>
          </w:r>
          <w:r>
            <w:rPr>
              <w:rFonts w:hint="default" w:ascii="Arial" w:hAnsi="Arial" w:cs="Arial"/>
            </w:rPr>
            <w:fldChar w:fldCharType="separate"/>
          </w:r>
          <w:r>
            <w:rPr>
              <w:rFonts w:hint="default" w:ascii="Arial" w:hAnsi="Arial" w:cs="Arial"/>
            </w:rPr>
            <w:t>30</w:t>
          </w:r>
          <w:r>
            <w:rPr>
              <w:rFonts w:hint="default" w:ascii="Arial" w:hAnsi="Arial" w:cs="Arial"/>
            </w:rPr>
            <w:fldChar w:fldCharType="end"/>
          </w:r>
          <w:r>
            <w:rPr>
              <w:rFonts w:hint="default" w:ascii="Arial" w:hAnsi="Arial" w:cs="Arial"/>
              <w:szCs w:val="24"/>
              <w:highlight w:val="none"/>
            </w:rPr>
            <w:fldChar w:fldCharType="end"/>
          </w:r>
        </w:p>
        <w:p w14:paraId="045C8C16">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_Toc2114 </w:instrText>
          </w:r>
          <w:r>
            <w:rPr>
              <w:rFonts w:hint="default" w:ascii="Arial" w:hAnsi="Arial" w:cs="Arial"/>
              <w:szCs w:val="24"/>
              <w:highlight w:val="none"/>
            </w:rPr>
            <w:fldChar w:fldCharType="separate"/>
          </w:r>
          <w:r>
            <w:rPr>
              <w:rFonts w:hint="default" w:ascii="Arial" w:hAnsi="Arial" w:cs="Arial"/>
              <w:highlight w:val="none"/>
            </w:rPr>
            <w:t>3.9 Ethical Considerations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_Toc2114 \h </w:instrText>
          </w:r>
          <w:r>
            <w:rPr>
              <w:rFonts w:hint="default" w:ascii="Arial" w:hAnsi="Arial" w:cs="Arial"/>
            </w:rPr>
            <w:fldChar w:fldCharType="separate"/>
          </w:r>
          <w:r>
            <w:rPr>
              <w:rFonts w:hint="default" w:ascii="Arial" w:hAnsi="Arial" w:cs="Arial"/>
            </w:rPr>
            <w:t>32</w:t>
          </w:r>
          <w:r>
            <w:rPr>
              <w:rFonts w:hint="default" w:ascii="Arial" w:hAnsi="Arial" w:cs="Arial"/>
            </w:rPr>
            <w:fldChar w:fldCharType="end"/>
          </w:r>
          <w:r>
            <w:rPr>
              <w:rFonts w:hint="default" w:ascii="Arial" w:hAnsi="Arial" w:cs="Arial"/>
              <w:szCs w:val="24"/>
              <w:highlight w:val="none"/>
            </w:rPr>
            <w:fldChar w:fldCharType="end"/>
          </w:r>
        </w:p>
        <w:p w14:paraId="7C26E36B">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_Toc7068 </w:instrText>
          </w:r>
          <w:r>
            <w:rPr>
              <w:rFonts w:hint="default" w:ascii="Arial" w:hAnsi="Arial" w:cs="Arial"/>
              <w:szCs w:val="24"/>
              <w:highlight w:val="none"/>
            </w:rPr>
            <w:fldChar w:fldCharType="separate"/>
          </w:r>
          <w:r>
            <w:rPr>
              <w:rFonts w:hint="default" w:ascii="Arial" w:hAnsi="Arial" w:cs="Arial"/>
              <w:highlight w:val="none"/>
            </w:rPr>
            <w:t>3.10 Chapter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_Toc7068 \h </w:instrText>
          </w:r>
          <w:r>
            <w:rPr>
              <w:rFonts w:hint="default" w:ascii="Arial" w:hAnsi="Arial" w:cs="Arial"/>
            </w:rPr>
            <w:fldChar w:fldCharType="separate"/>
          </w:r>
          <w:r>
            <w:rPr>
              <w:rFonts w:hint="default" w:ascii="Arial" w:hAnsi="Arial" w:cs="Arial"/>
            </w:rPr>
            <w:t>32</w:t>
          </w:r>
          <w:r>
            <w:rPr>
              <w:rFonts w:hint="default" w:ascii="Arial" w:hAnsi="Arial" w:cs="Arial"/>
            </w:rPr>
            <w:fldChar w:fldCharType="end"/>
          </w:r>
          <w:r>
            <w:rPr>
              <w:rFonts w:hint="default" w:ascii="Arial" w:hAnsi="Arial" w:cs="Arial"/>
              <w:szCs w:val="24"/>
              <w:highlight w:val="none"/>
            </w:rPr>
            <w:fldChar w:fldCharType="end"/>
          </w:r>
        </w:p>
        <w:p w14:paraId="30DAC59A">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_Toc18014 </w:instrText>
          </w:r>
          <w:r>
            <w:rPr>
              <w:rFonts w:hint="default" w:ascii="Arial" w:hAnsi="Arial" w:cs="Arial"/>
              <w:szCs w:val="24"/>
              <w:highlight w:val="none"/>
            </w:rPr>
            <w:fldChar w:fldCharType="separate"/>
          </w:r>
          <w:r>
            <w:rPr>
              <w:rFonts w:hint="default" w:ascii="Arial" w:hAnsi="Arial" w:cs="Arial"/>
              <w:highlight w:val="none"/>
            </w:rPr>
            <w:t>CHAPTER 4: DATA EXTRACTION AND EVALUATION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_Toc18014 \h </w:instrText>
          </w:r>
          <w:r>
            <w:rPr>
              <w:rFonts w:hint="default" w:ascii="Arial" w:hAnsi="Arial" w:cs="Arial"/>
            </w:rPr>
            <w:fldChar w:fldCharType="separate"/>
          </w:r>
          <w:r>
            <w:rPr>
              <w:rFonts w:hint="default" w:ascii="Arial" w:hAnsi="Arial" w:cs="Arial"/>
            </w:rPr>
            <w:t>33</w:t>
          </w:r>
          <w:r>
            <w:rPr>
              <w:rFonts w:hint="default" w:ascii="Arial" w:hAnsi="Arial" w:cs="Arial"/>
            </w:rPr>
            <w:fldChar w:fldCharType="end"/>
          </w:r>
          <w:r>
            <w:rPr>
              <w:rFonts w:hint="default" w:ascii="Arial" w:hAnsi="Arial" w:cs="Arial"/>
              <w:szCs w:val="24"/>
              <w:highlight w:val="none"/>
            </w:rPr>
            <w:fldChar w:fldCharType="end"/>
          </w:r>
        </w:p>
        <w:p w14:paraId="3AB71921">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_Toc25757 </w:instrText>
          </w:r>
          <w:r>
            <w:rPr>
              <w:rFonts w:hint="default" w:ascii="Arial" w:hAnsi="Arial" w:cs="Arial"/>
              <w:szCs w:val="24"/>
              <w:highlight w:val="none"/>
            </w:rPr>
            <w:fldChar w:fldCharType="separate"/>
          </w:r>
          <w:r>
            <w:rPr>
              <w:rFonts w:hint="default" w:ascii="Arial" w:hAnsi="Arial" w:cs="Arial"/>
              <w:highlight w:val="none"/>
            </w:rPr>
            <w:t>4.1 Introduction to Chapter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_Toc25757 \h </w:instrText>
          </w:r>
          <w:r>
            <w:rPr>
              <w:rFonts w:hint="default" w:ascii="Arial" w:hAnsi="Arial" w:cs="Arial"/>
            </w:rPr>
            <w:fldChar w:fldCharType="separate"/>
          </w:r>
          <w:r>
            <w:rPr>
              <w:rFonts w:hint="default" w:ascii="Arial" w:hAnsi="Arial" w:cs="Arial"/>
            </w:rPr>
            <w:t>33</w:t>
          </w:r>
          <w:r>
            <w:rPr>
              <w:rFonts w:hint="default" w:ascii="Arial" w:hAnsi="Arial" w:cs="Arial"/>
            </w:rPr>
            <w:fldChar w:fldCharType="end"/>
          </w:r>
          <w:r>
            <w:rPr>
              <w:rFonts w:hint="default" w:ascii="Arial" w:hAnsi="Arial" w:cs="Arial"/>
              <w:szCs w:val="24"/>
              <w:highlight w:val="none"/>
            </w:rPr>
            <w:fldChar w:fldCharType="end"/>
          </w:r>
        </w:p>
        <w:p w14:paraId="32B44A29">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_Toc1922 </w:instrText>
          </w:r>
          <w:r>
            <w:rPr>
              <w:rFonts w:hint="default" w:ascii="Arial" w:hAnsi="Arial" w:cs="Arial"/>
              <w:szCs w:val="24"/>
              <w:highlight w:val="none"/>
            </w:rPr>
            <w:fldChar w:fldCharType="separate"/>
          </w:r>
          <w:r>
            <w:rPr>
              <w:rFonts w:hint="default" w:ascii="Arial" w:hAnsi="Arial" w:cs="Arial"/>
              <w:highlight w:val="none"/>
            </w:rPr>
            <w:t>4.2 Data Extraction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_Toc1922 \h </w:instrText>
          </w:r>
          <w:r>
            <w:rPr>
              <w:rFonts w:hint="default" w:ascii="Arial" w:hAnsi="Arial" w:cs="Arial"/>
            </w:rPr>
            <w:fldChar w:fldCharType="separate"/>
          </w:r>
          <w:r>
            <w:rPr>
              <w:rFonts w:hint="default" w:ascii="Arial" w:hAnsi="Arial" w:cs="Arial"/>
            </w:rPr>
            <w:t>33</w:t>
          </w:r>
          <w:r>
            <w:rPr>
              <w:rFonts w:hint="default" w:ascii="Arial" w:hAnsi="Arial" w:cs="Arial"/>
            </w:rPr>
            <w:fldChar w:fldCharType="end"/>
          </w:r>
          <w:r>
            <w:rPr>
              <w:rFonts w:hint="default" w:ascii="Arial" w:hAnsi="Arial" w:cs="Arial"/>
              <w:szCs w:val="24"/>
              <w:highlight w:val="none"/>
            </w:rPr>
            <w:fldChar w:fldCharType="end"/>
          </w:r>
        </w:p>
        <w:p w14:paraId="13FCCE3E">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_Toc23130 </w:instrText>
          </w:r>
          <w:r>
            <w:rPr>
              <w:rFonts w:hint="default" w:ascii="Arial" w:hAnsi="Arial" w:cs="Arial"/>
              <w:szCs w:val="24"/>
              <w:highlight w:val="none"/>
            </w:rPr>
            <w:fldChar w:fldCharType="separate"/>
          </w:r>
          <w:r>
            <w:rPr>
              <w:rFonts w:hint="default" w:ascii="Arial" w:hAnsi="Arial" w:cs="Arial"/>
              <w:highlight w:val="none"/>
            </w:rPr>
            <w:t>4.3 Brief Introduction to Critical Appraisal and Paper Quality Assessment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_Toc23130 \h </w:instrText>
          </w:r>
          <w:r>
            <w:rPr>
              <w:rFonts w:hint="default" w:ascii="Arial" w:hAnsi="Arial" w:cs="Arial"/>
            </w:rPr>
            <w:fldChar w:fldCharType="separate"/>
          </w:r>
          <w:r>
            <w:rPr>
              <w:rFonts w:hint="default" w:ascii="Arial" w:hAnsi="Arial" w:cs="Arial"/>
            </w:rPr>
            <w:t>34</w:t>
          </w:r>
          <w:r>
            <w:rPr>
              <w:rFonts w:hint="default" w:ascii="Arial" w:hAnsi="Arial" w:cs="Arial"/>
            </w:rPr>
            <w:fldChar w:fldCharType="end"/>
          </w:r>
          <w:r>
            <w:rPr>
              <w:rFonts w:hint="default" w:ascii="Arial" w:hAnsi="Arial" w:cs="Arial"/>
              <w:szCs w:val="24"/>
              <w:highlight w:val="none"/>
            </w:rPr>
            <w:fldChar w:fldCharType="end"/>
          </w:r>
        </w:p>
        <w:p w14:paraId="626CE814">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_Toc20967 </w:instrText>
          </w:r>
          <w:r>
            <w:rPr>
              <w:rFonts w:hint="default" w:ascii="Arial" w:hAnsi="Arial" w:cs="Arial"/>
              <w:szCs w:val="24"/>
              <w:highlight w:val="none"/>
            </w:rPr>
            <w:fldChar w:fldCharType="separate"/>
          </w:r>
          <w:r>
            <w:rPr>
              <w:rFonts w:hint="default" w:ascii="Arial" w:hAnsi="Arial" w:cs="Arial"/>
              <w:highlight w:val="none"/>
            </w:rPr>
            <w:t>4.4 Critical Appraisal Tools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_Toc20967 \h </w:instrText>
          </w:r>
          <w:r>
            <w:rPr>
              <w:rFonts w:hint="default" w:ascii="Arial" w:hAnsi="Arial" w:cs="Arial"/>
            </w:rPr>
            <w:fldChar w:fldCharType="separate"/>
          </w:r>
          <w:r>
            <w:rPr>
              <w:rFonts w:hint="default" w:ascii="Arial" w:hAnsi="Arial" w:cs="Arial"/>
            </w:rPr>
            <w:t>34</w:t>
          </w:r>
          <w:r>
            <w:rPr>
              <w:rFonts w:hint="default" w:ascii="Arial" w:hAnsi="Arial" w:cs="Arial"/>
            </w:rPr>
            <w:fldChar w:fldCharType="end"/>
          </w:r>
          <w:r>
            <w:rPr>
              <w:rFonts w:hint="default" w:ascii="Arial" w:hAnsi="Arial" w:cs="Arial"/>
              <w:szCs w:val="24"/>
              <w:highlight w:val="none"/>
            </w:rPr>
            <w:fldChar w:fldCharType="end"/>
          </w:r>
        </w:p>
        <w:p w14:paraId="53990FB6">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_Toc29425 </w:instrText>
          </w:r>
          <w:r>
            <w:rPr>
              <w:rFonts w:hint="default" w:ascii="Arial" w:hAnsi="Arial" w:cs="Arial"/>
              <w:szCs w:val="24"/>
              <w:highlight w:val="none"/>
            </w:rPr>
            <w:fldChar w:fldCharType="separate"/>
          </w:r>
          <w:r>
            <w:rPr>
              <w:rFonts w:hint="default" w:ascii="Arial" w:hAnsi="Arial" w:cs="Arial"/>
              <w:highlight w:val="none"/>
            </w:rPr>
            <w:t>4.5 Evaluation of Qualitative Studies using CASP Tool</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_Toc29425 \h </w:instrText>
          </w:r>
          <w:r>
            <w:rPr>
              <w:rFonts w:hint="default" w:ascii="Arial" w:hAnsi="Arial" w:cs="Arial"/>
            </w:rPr>
            <w:fldChar w:fldCharType="separate"/>
          </w:r>
          <w:r>
            <w:rPr>
              <w:rFonts w:hint="default" w:ascii="Arial" w:hAnsi="Arial" w:cs="Arial"/>
            </w:rPr>
            <w:t>35</w:t>
          </w:r>
          <w:r>
            <w:rPr>
              <w:rFonts w:hint="default" w:ascii="Arial" w:hAnsi="Arial" w:cs="Arial"/>
            </w:rPr>
            <w:fldChar w:fldCharType="end"/>
          </w:r>
          <w:r>
            <w:rPr>
              <w:rFonts w:hint="default" w:ascii="Arial" w:hAnsi="Arial" w:cs="Arial"/>
              <w:szCs w:val="24"/>
              <w:highlight w:val="none"/>
            </w:rPr>
            <w:fldChar w:fldCharType="end"/>
          </w:r>
        </w:p>
        <w:p w14:paraId="41F70B4D">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_Toc12530 </w:instrText>
          </w:r>
          <w:r>
            <w:rPr>
              <w:rFonts w:hint="default" w:ascii="Arial" w:hAnsi="Arial" w:cs="Arial"/>
              <w:szCs w:val="24"/>
              <w:highlight w:val="none"/>
            </w:rPr>
            <w:fldChar w:fldCharType="separate"/>
          </w:r>
          <w:r>
            <w:rPr>
              <w:rFonts w:hint="default" w:ascii="Arial" w:hAnsi="Arial" w:cs="Arial"/>
              <w:highlight w:val="none"/>
            </w:rPr>
            <w:t>4.6 Chapter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_Toc12530 \h </w:instrText>
          </w:r>
          <w:r>
            <w:rPr>
              <w:rFonts w:hint="default" w:ascii="Arial" w:hAnsi="Arial" w:cs="Arial"/>
            </w:rPr>
            <w:fldChar w:fldCharType="separate"/>
          </w:r>
          <w:r>
            <w:rPr>
              <w:rFonts w:hint="default" w:ascii="Arial" w:hAnsi="Arial" w:cs="Arial"/>
            </w:rPr>
            <w:t>41</w:t>
          </w:r>
          <w:r>
            <w:rPr>
              <w:rFonts w:hint="default" w:ascii="Arial" w:hAnsi="Arial" w:cs="Arial"/>
            </w:rPr>
            <w:fldChar w:fldCharType="end"/>
          </w:r>
          <w:r>
            <w:rPr>
              <w:rFonts w:hint="default" w:ascii="Arial" w:hAnsi="Arial" w:cs="Arial"/>
              <w:szCs w:val="24"/>
              <w:highlight w:val="none"/>
            </w:rPr>
            <w:fldChar w:fldCharType="end"/>
          </w:r>
        </w:p>
        <w:p w14:paraId="6D13EB66">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_Toc11010 </w:instrText>
          </w:r>
          <w:r>
            <w:rPr>
              <w:rFonts w:hint="default" w:ascii="Arial" w:hAnsi="Arial" w:cs="Arial"/>
              <w:szCs w:val="24"/>
              <w:highlight w:val="none"/>
            </w:rPr>
            <w:fldChar w:fldCharType="separate"/>
          </w:r>
          <w:r>
            <w:rPr>
              <w:rFonts w:hint="default" w:ascii="Arial" w:hAnsi="Arial" w:cs="Arial"/>
              <w:highlight w:val="none"/>
            </w:rPr>
            <w:t>CHAPTER 5: DATA ANALYSIS AND SYNTHESIS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_Toc11010 \h </w:instrText>
          </w:r>
          <w:r>
            <w:rPr>
              <w:rFonts w:hint="default" w:ascii="Arial" w:hAnsi="Arial" w:cs="Arial"/>
            </w:rPr>
            <w:fldChar w:fldCharType="separate"/>
          </w:r>
          <w:r>
            <w:rPr>
              <w:rFonts w:hint="default" w:ascii="Arial" w:hAnsi="Arial" w:cs="Arial"/>
            </w:rPr>
            <w:t>43</w:t>
          </w:r>
          <w:r>
            <w:rPr>
              <w:rFonts w:hint="default" w:ascii="Arial" w:hAnsi="Arial" w:cs="Arial"/>
            </w:rPr>
            <w:fldChar w:fldCharType="end"/>
          </w:r>
          <w:r>
            <w:rPr>
              <w:rFonts w:hint="default" w:ascii="Arial" w:hAnsi="Arial" w:cs="Arial"/>
              <w:szCs w:val="24"/>
              <w:highlight w:val="none"/>
            </w:rPr>
            <w:fldChar w:fldCharType="end"/>
          </w:r>
        </w:p>
        <w:p w14:paraId="7EA18236">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_Toc6728 </w:instrText>
          </w:r>
          <w:r>
            <w:rPr>
              <w:rFonts w:hint="default" w:ascii="Arial" w:hAnsi="Arial" w:cs="Arial"/>
              <w:szCs w:val="24"/>
              <w:highlight w:val="none"/>
            </w:rPr>
            <w:fldChar w:fldCharType="separate"/>
          </w:r>
          <w:r>
            <w:rPr>
              <w:rFonts w:hint="default" w:ascii="Arial" w:hAnsi="Arial" w:cs="Arial"/>
              <w:highlight w:val="none"/>
            </w:rPr>
            <w:t>5.1 Introduction to Chapter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_Toc6728 \h </w:instrText>
          </w:r>
          <w:r>
            <w:rPr>
              <w:rFonts w:hint="default" w:ascii="Arial" w:hAnsi="Arial" w:cs="Arial"/>
            </w:rPr>
            <w:fldChar w:fldCharType="separate"/>
          </w:r>
          <w:r>
            <w:rPr>
              <w:rFonts w:hint="default" w:ascii="Arial" w:hAnsi="Arial" w:cs="Arial"/>
            </w:rPr>
            <w:t>43</w:t>
          </w:r>
          <w:r>
            <w:rPr>
              <w:rFonts w:hint="default" w:ascii="Arial" w:hAnsi="Arial" w:cs="Arial"/>
            </w:rPr>
            <w:fldChar w:fldCharType="end"/>
          </w:r>
          <w:r>
            <w:rPr>
              <w:rFonts w:hint="default" w:ascii="Arial" w:hAnsi="Arial" w:cs="Arial"/>
              <w:szCs w:val="24"/>
              <w:highlight w:val="none"/>
            </w:rPr>
            <w:fldChar w:fldCharType="end"/>
          </w:r>
        </w:p>
        <w:p w14:paraId="031DEF91">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_Toc1790 </w:instrText>
          </w:r>
          <w:r>
            <w:rPr>
              <w:rFonts w:hint="default" w:ascii="Arial" w:hAnsi="Arial" w:cs="Arial"/>
              <w:szCs w:val="24"/>
              <w:highlight w:val="none"/>
            </w:rPr>
            <w:fldChar w:fldCharType="separate"/>
          </w:r>
          <w:r>
            <w:rPr>
              <w:rFonts w:hint="default" w:ascii="Arial" w:hAnsi="Arial" w:cs="Arial"/>
              <w:highlight w:val="none"/>
            </w:rPr>
            <w:t>5.2 Thematic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_Toc1790 \h </w:instrText>
          </w:r>
          <w:r>
            <w:rPr>
              <w:rFonts w:hint="default" w:ascii="Arial" w:hAnsi="Arial" w:cs="Arial"/>
            </w:rPr>
            <w:fldChar w:fldCharType="separate"/>
          </w:r>
          <w:r>
            <w:rPr>
              <w:rFonts w:hint="default" w:ascii="Arial" w:hAnsi="Arial" w:cs="Arial"/>
            </w:rPr>
            <w:t>43</w:t>
          </w:r>
          <w:r>
            <w:rPr>
              <w:rFonts w:hint="default" w:ascii="Arial" w:hAnsi="Arial" w:cs="Arial"/>
            </w:rPr>
            <w:fldChar w:fldCharType="end"/>
          </w:r>
          <w:r>
            <w:rPr>
              <w:rFonts w:hint="default" w:ascii="Arial" w:hAnsi="Arial" w:cs="Arial"/>
              <w:szCs w:val="24"/>
              <w:highlight w:val="none"/>
            </w:rPr>
            <w:fldChar w:fldCharType="end"/>
          </w:r>
        </w:p>
        <w:p w14:paraId="551D9EB8">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_Toc22644 </w:instrText>
          </w:r>
          <w:r>
            <w:rPr>
              <w:rFonts w:hint="default" w:ascii="Arial" w:hAnsi="Arial" w:cs="Arial"/>
              <w:szCs w:val="24"/>
              <w:highlight w:val="none"/>
            </w:rPr>
            <w:fldChar w:fldCharType="separate"/>
          </w:r>
          <w:r>
            <w:rPr>
              <w:rFonts w:hint="default" w:ascii="Arial" w:hAnsi="Arial" w:cs="Arial"/>
              <w:highlight w:val="none"/>
            </w:rPr>
            <w:t>5.3 Data Analysis Tool</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_Toc22644 \h </w:instrText>
          </w:r>
          <w:r>
            <w:rPr>
              <w:rFonts w:hint="default" w:ascii="Arial" w:hAnsi="Arial" w:cs="Arial"/>
            </w:rPr>
            <w:fldChar w:fldCharType="separate"/>
          </w:r>
          <w:r>
            <w:rPr>
              <w:rFonts w:hint="default" w:ascii="Arial" w:hAnsi="Arial" w:cs="Arial"/>
            </w:rPr>
            <w:t>43</w:t>
          </w:r>
          <w:r>
            <w:rPr>
              <w:rFonts w:hint="default" w:ascii="Arial" w:hAnsi="Arial" w:cs="Arial"/>
            </w:rPr>
            <w:fldChar w:fldCharType="end"/>
          </w:r>
          <w:r>
            <w:rPr>
              <w:rFonts w:hint="default" w:ascii="Arial" w:hAnsi="Arial" w:cs="Arial"/>
              <w:szCs w:val="24"/>
              <w:highlight w:val="none"/>
            </w:rPr>
            <w:fldChar w:fldCharType="end"/>
          </w:r>
        </w:p>
        <w:p w14:paraId="05524DA3">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_Toc1979 </w:instrText>
          </w:r>
          <w:r>
            <w:rPr>
              <w:rFonts w:hint="default" w:ascii="Arial" w:hAnsi="Arial" w:cs="Arial"/>
              <w:szCs w:val="24"/>
              <w:highlight w:val="none"/>
            </w:rPr>
            <w:fldChar w:fldCharType="separate"/>
          </w:r>
          <w:r>
            <w:rPr>
              <w:rFonts w:hint="default" w:ascii="Arial" w:hAnsi="Arial" w:cs="Arial"/>
              <w:highlight w:val="none"/>
            </w:rPr>
            <w:t>5.4 Characteristics of Identified Studies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_Toc1979 \h </w:instrText>
          </w:r>
          <w:r>
            <w:rPr>
              <w:rFonts w:hint="default" w:ascii="Arial" w:hAnsi="Arial" w:cs="Arial"/>
            </w:rPr>
            <w:fldChar w:fldCharType="separate"/>
          </w:r>
          <w:r>
            <w:rPr>
              <w:rFonts w:hint="default" w:ascii="Arial" w:hAnsi="Arial" w:cs="Arial"/>
            </w:rPr>
            <w:t>43</w:t>
          </w:r>
          <w:r>
            <w:rPr>
              <w:rFonts w:hint="default" w:ascii="Arial" w:hAnsi="Arial" w:cs="Arial"/>
            </w:rPr>
            <w:fldChar w:fldCharType="end"/>
          </w:r>
          <w:r>
            <w:rPr>
              <w:rFonts w:hint="default" w:ascii="Arial" w:hAnsi="Arial" w:cs="Arial"/>
              <w:szCs w:val="24"/>
              <w:highlight w:val="none"/>
            </w:rPr>
            <w:fldChar w:fldCharType="end"/>
          </w:r>
        </w:p>
        <w:p w14:paraId="09AD11CC">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_Toc3999 </w:instrText>
          </w:r>
          <w:r>
            <w:rPr>
              <w:rFonts w:hint="default" w:ascii="Arial" w:hAnsi="Arial" w:cs="Arial"/>
              <w:szCs w:val="24"/>
              <w:highlight w:val="none"/>
            </w:rPr>
            <w:fldChar w:fldCharType="separate"/>
          </w:r>
          <w:r>
            <w:rPr>
              <w:rFonts w:hint="default" w:ascii="Arial" w:hAnsi="Arial" w:cs="Arial"/>
              <w:highlight w:val="none"/>
            </w:rPr>
            <w:t>5.5 Emerging Themes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_Toc3999 \h </w:instrText>
          </w:r>
          <w:r>
            <w:rPr>
              <w:rFonts w:hint="default" w:ascii="Arial" w:hAnsi="Arial" w:cs="Arial"/>
            </w:rPr>
            <w:fldChar w:fldCharType="separate"/>
          </w:r>
          <w:r>
            <w:rPr>
              <w:rFonts w:hint="default" w:ascii="Arial" w:hAnsi="Arial" w:cs="Arial"/>
            </w:rPr>
            <w:t>44</w:t>
          </w:r>
          <w:r>
            <w:rPr>
              <w:rFonts w:hint="default" w:ascii="Arial" w:hAnsi="Arial" w:cs="Arial"/>
            </w:rPr>
            <w:fldChar w:fldCharType="end"/>
          </w:r>
          <w:r>
            <w:rPr>
              <w:rFonts w:hint="default" w:ascii="Arial" w:hAnsi="Arial" w:cs="Arial"/>
              <w:szCs w:val="24"/>
              <w:highlight w:val="none"/>
            </w:rPr>
            <w:fldChar w:fldCharType="end"/>
          </w:r>
        </w:p>
        <w:p w14:paraId="0AC0ABB4">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_Toc29886 </w:instrText>
          </w:r>
          <w:r>
            <w:rPr>
              <w:rFonts w:hint="default" w:ascii="Arial" w:hAnsi="Arial" w:cs="Arial"/>
              <w:szCs w:val="24"/>
              <w:highlight w:val="none"/>
            </w:rPr>
            <w:fldChar w:fldCharType="separate"/>
          </w:r>
          <w:r>
            <w:rPr>
              <w:rFonts w:hint="default" w:ascii="Arial" w:hAnsi="Arial" w:cs="Arial"/>
              <w:szCs w:val="24"/>
              <w:highlight w:val="none"/>
            </w:rPr>
            <w:t>Theme 1: Lifestyle Behaviours and Cardiovascular Disease Risk</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_Toc29886 \h </w:instrText>
          </w:r>
          <w:r>
            <w:rPr>
              <w:rFonts w:hint="default" w:ascii="Arial" w:hAnsi="Arial" w:cs="Arial"/>
            </w:rPr>
            <w:fldChar w:fldCharType="separate"/>
          </w:r>
          <w:r>
            <w:rPr>
              <w:rFonts w:hint="default" w:ascii="Arial" w:hAnsi="Arial" w:cs="Arial"/>
            </w:rPr>
            <w:t>45</w:t>
          </w:r>
          <w:r>
            <w:rPr>
              <w:rFonts w:hint="default" w:ascii="Arial" w:hAnsi="Arial" w:cs="Arial"/>
            </w:rPr>
            <w:fldChar w:fldCharType="end"/>
          </w:r>
          <w:r>
            <w:rPr>
              <w:rFonts w:hint="default" w:ascii="Arial" w:hAnsi="Arial" w:cs="Arial"/>
              <w:szCs w:val="24"/>
              <w:highlight w:val="none"/>
            </w:rPr>
            <w:fldChar w:fldCharType="end"/>
          </w:r>
        </w:p>
        <w:p w14:paraId="3E05129A">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_Toc21806 </w:instrText>
          </w:r>
          <w:r>
            <w:rPr>
              <w:rFonts w:hint="default" w:ascii="Arial" w:hAnsi="Arial" w:cs="Arial"/>
              <w:szCs w:val="24"/>
              <w:highlight w:val="none"/>
            </w:rPr>
            <w:fldChar w:fldCharType="separate"/>
          </w:r>
          <w:r>
            <w:rPr>
              <w:rFonts w:hint="default" w:ascii="Arial" w:hAnsi="Arial" w:cs="Arial"/>
              <w:szCs w:val="24"/>
              <w:highlight w:val="none"/>
            </w:rPr>
            <w:t>Theme 2: Cultural, Social, and Migration Influences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_Toc21806 \h </w:instrText>
          </w:r>
          <w:r>
            <w:rPr>
              <w:rFonts w:hint="default" w:ascii="Arial" w:hAnsi="Arial" w:cs="Arial"/>
            </w:rPr>
            <w:fldChar w:fldCharType="separate"/>
          </w:r>
          <w:r>
            <w:rPr>
              <w:rFonts w:hint="default" w:ascii="Arial" w:hAnsi="Arial" w:cs="Arial"/>
            </w:rPr>
            <w:t>47</w:t>
          </w:r>
          <w:r>
            <w:rPr>
              <w:rFonts w:hint="default" w:ascii="Arial" w:hAnsi="Arial" w:cs="Arial"/>
            </w:rPr>
            <w:fldChar w:fldCharType="end"/>
          </w:r>
          <w:r>
            <w:rPr>
              <w:rFonts w:hint="default" w:ascii="Arial" w:hAnsi="Arial" w:cs="Arial"/>
              <w:szCs w:val="24"/>
              <w:highlight w:val="none"/>
            </w:rPr>
            <w:fldChar w:fldCharType="end"/>
          </w:r>
        </w:p>
        <w:p w14:paraId="4FC8AB06">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_Toc12777 </w:instrText>
          </w:r>
          <w:r>
            <w:rPr>
              <w:rFonts w:hint="default" w:ascii="Arial" w:hAnsi="Arial" w:cs="Arial"/>
              <w:szCs w:val="24"/>
              <w:highlight w:val="none"/>
            </w:rPr>
            <w:fldChar w:fldCharType="separate"/>
          </w:r>
          <w:r>
            <w:rPr>
              <w:rFonts w:hint="default" w:ascii="Arial" w:hAnsi="Arial" w:cs="Arial"/>
              <w:szCs w:val="24"/>
              <w:highlight w:val="none"/>
            </w:rPr>
            <w:t>Theme 3: Barriers, Facilitators, and Prevention Strategies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_Toc12777 \h </w:instrText>
          </w:r>
          <w:r>
            <w:rPr>
              <w:rFonts w:hint="default" w:ascii="Arial" w:hAnsi="Arial" w:cs="Arial"/>
            </w:rPr>
            <w:fldChar w:fldCharType="separate"/>
          </w:r>
          <w:r>
            <w:rPr>
              <w:rFonts w:hint="default" w:ascii="Arial" w:hAnsi="Arial" w:cs="Arial"/>
            </w:rPr>
            <w:t>50</w:t>
          </w:r>
          <w:r>
            <w:rPr>
              <w:rFonts w:hint="default" w:ascii="Arial" w:hAnsi="Arial" w:cs="Arial"/>
            </w:rPr>
            <w:fldChar w:fldCharType="end"/>
          </w:r>
          <w:r>
            <w:rPr>
              <w:rFonts w:hint="default" w:ascii="Arial" w:hAnsi="Arial" w:cs="Arial"/>
              <w:szCs w:val="24"/>
              <w:highlight w:val="none"/>
            </w:rPr>
            <w:fldChar w:fldCharType="end"/>
          </w:r>
        </w:p>
        <w:p w14:paraId="6F3C00B2">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_Toc22857 </w:instrText>
          </w:r>
          <w:r>
            <w:rPr>
              <w:rFonts w:hint="default" w:ascii="Arial" w:hAnsi="Arial" w:cs="Arial"/>
              <w:szCs w:val="24"/>
              <w:highlight w:val="none"/>
            </w:rPr>
            <w:fldChar w:fldCharType="separate"/>
          </w:r>
          <w:r>
            <w:rPr>
              <w:rFonts w:hint="default" w:ascii="Arial" w:hAnsi="Arial" w:cs="Arial"/>
              <w:highlight w:val="none"/>
            </w:rPr>
            <w:t>5.6 Chapter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_Toc22857 \h </w:instrText>
          </w:r>
          <w:r>
            <w:rPr>
              <w:rFonts w:hint="default" w:ascii="Arial" w:hAnsi="Arial" w:cs="Arial"/>
            </w:rPr>
            <w:fldChar w:fldCharType="separate"/>
          </w:r>
          <w:r>
            <w:rPr>
              <w:rFonts w:hint="default" w:ascii="Arial" w:hAnsi="Arial" w:cs="Arial"/>
            </w:rPr>
            <w:t>53</w:t>
          </w:r>
          <w:r>
            <w:rPr>
              <w:rFonts w:hint="default" w:ascii="Arial" w:hAnsi="Arial" w:cs="Arial"/>
            </w:rPr>
            <w:fldChar w:fldCharType="end"/>
          </w:r>
          <w:r>
            <w:rPr>
              <w:rFonts w:hint="default" w:ascii="Arial" w:hAnsi="Arial" w:cs="Arial"/>
              <w:szCs w:val="24"/>
              <w:highlight w:val="none"/>
            </w:rPr>
            <w:fldChar w:fldCharType="end"/>
          </w:r>
        </w:p>
        <w:p w14:paraId="10E2069B">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_Toc17250 </w:instrText>
          </w:r>
          <w:r>
            <w:rPr>
              <w:rFonts w:hint="default" w:ascii="Arial" w:hAnsi="Arial" w:cs="Arial"/>
              <w:szCs w:val="24"/>
              <w:highlight w:val="none"/>
            </w:rPr>
            <w:fldChar w:fldCharType="separate"/>
          </w:r>
          <w:r>
            <w:rPr>
              <w:rFonts w:hint="default" w:ascii="Arial" w:hAnsi="Arial" w:cs="Arial"/>
              <w:highlight w:val="none"/>
              <w:lang w:val="en-IN"/>
            </w:rPr>
            <w:t>CHAPTER 6: DISCUSSION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_Toc17250 \h </w:instrText>
          </w:r>
          <w:r>
            <w:rPr>
              <w:rFonts w:hint="default" w:ascii="Arial" w:hAnsi="Arial" w:cs="Arial"/>
            </w:rPr>
            <w:fldChar w:fldCharType="separate"/>
          </w:r>
          <w:r>
            <w:rPr>
              <w:rFonts w:hint="default" w:ascii="Arial" w:hAnsi="Arial" w:cs="Arial"/>
            </w:rPr>
            <w:t>54</w:t>
          </w:r>
          <w:r>
            <w:rPr>
              <w:rFonts w:hint="default" w:ascii="Arial" w:hAnsi="Arial" w:cs="Arial"/>
            </w:rPr>
            <w:fldChar w:fldCharType="end"/>
          </w:r>
          <w:r>
            <w:rPr>
              <w:rFonts w:hint="default" w:ascii="Arial" w:hAnsi="Arial" w:cs="Arial"/>
              <w:szCs w:val="24"/>
              <w:highlight w:val="none"/>
            </w:rPr>
            <w:fldChar w:fldCharType="end"/>
          </w:r>
        </w:p>
        <w:p w14:paraId="2AE1D5D2">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_Toc22933 </w:instrText>
          </w:r>
          <w:r>
            <w:rPr>
              <w:rFonts w:hint="default" w:ascii="Arial" w:hAnsi="Arial" w:cs="Arial"/>
              <w:szCs w:val="24"/>
              <w:highlight w:val="none"/>
            </w:rPr>
            <w:fldChar w:fldCharType="separate"/>
          </w:r>
          <w:r>
            <w:rPr>
              <w:rFonts w:hint="default" w:ascii="Arial" w:hAnsi="Arial" w:cs="Arial"/>
              <w:highlight w:val="none"/>
              <w:lang w:val="en-IN"/>
            </w:rPr>
            <w:t>6.1 Introduction to Chapter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_Toc22933 \h </w:instrText>
          </w:r>
          <w:r>
            <w:rPr>
              <w:rFonts w:hint="default" w:ascii="Arial" w:hAnsi="Arial" w:cs="Arial"/>
            </w:rPr>
            <w:fldChar w:fldCharType="separate"/>
          </w:r>
          <w:r>
            <w:rPr>
              <w:rFonts w:hint="default" w:ascii="Arial" w:hAnsi="Arial" w:cs="Arial"/>
            </w:rPr>
            <w:t>54</w:t>
          </w:r>
          <w:r>
            <w:rPr>
              <w:rFonts w:hint="default" w:ascii="Arial" w:hAnsi="Arial" w:cs="Arial"/>
            </w:rPr>
            <w:fldChar w:fldCharType="end"/>
          </w:r>
          <w:r>
            <w:rPr>
              <w:rFonts w:hint="default" w:ascii="Arial" w:hAnsi="Arial" w:cs="Arial"/>
              <w:szCs w:val="24"/>
              <w:highlight w:val="none"/>
            </w:rPr>
            <w:fldChar w:fldCharType="end"/>
          </w:r>
        </w:p>
        <w:p w14:paraId="2473EFC7">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_Toc31221 </w:instrText>
          </w:r>
          <w:r>
            <w:rPr>
              <w:rFonts w:hint="default" w:ascii="Arial" w:hAnsi="Arial" w:cs="Arial"/>
              <w:szCs w:val="24"/>
              <w:highlight w:val="none"/>
            </w:rPr>
            <w:fldChar w:fldCharType="separate"/>
          </w:r>
          <w:r>
            <w:rPr>
              <w:rFonts w:hint="default" w:ascii="Arial" w:hAnsi="Arial" w:cs="Arial"/>
              <w:highlight w:val="none"/>
              <w:lang w:val="en-IN"/>
            </w:rPr>
            <w:t>6.2 Discussion of Key Findings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_Toc31221 \h </w:instrText>
          </w:r>
          <w:r>
            <w:rPr>
              <w:rFonts w:hint="default" w:ascii="Arial" w:hAnsi="Arial" w:cs="Arial"/>
            </w:rPr>
            <w:fldChar w:fldCharType="separate"/>
          </w:r>
          <w:r>
            <w:rPr>
              <w:rFonts w:hint="default" w:ascii="Arial" w:hAnsi="Arial" w:cs="Arial"/>
            </w:rPr>
            <w:t>54</w:t>
          </w:r>
          <w:r>
            <w:rPr>
              <w:rFonts w:hint="default" w:ascii="Arial" w:hAnsi="Arial" w:cs="Arial"/>
            </w:rPr>
            <w:fldChar w:fldCharType="end"/>
          </w:r>
          <w:r>
            <w:rPr>
              <w:rFonts w:hint="default" w:ascii="Arial" w:hAnsi="Arial" w:cs="Arial"/>
              <w:szCs w:val="24"/>
              <w:highlight w:val="none"/>
            </w:rPr>
            <w:fldChar w:fldCharType="end"/>
          </w:r>
        </w:p>
        <w:p w14:paraId="00BB7B42">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_Toc3741 </w:instrText>
          </w:r>
          <w:r>
            <w:rPr>
              <w:rFonts w:hint="default" w:ascii="Arial" w:hAnsi="Arial" w:cs="Arial"/>
              <w:szCs w:val="24"/>
              <w:highlight w:val="none"/>
            </w:rPr>
            <w:fldChar w:fldCharType="separate"/>
          </w:r>
          <w:r>
            <w:rPr>
              <w:rFonts w:hint="default" w:ascii="Arial" w:hAnsi="Arial" w:cs="Arial"/>
              <w:szCs w:val="24"/>
              <w:highlight w:val="none"/>
            </w:rPr>
            <w:t>6.2.1 Critical Analysis of Findings Linked to Background Research</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_Toc3741 \h </w:instrText>
          </w:r>
          <w:r>
            <w:rPr>
              <w:rFonts w:hint="default" w:ascii="Arial" w:hAnsi="Arial" w:cs="Arial"/>
            </w:rPr>
            <w:fldChar w:fldCharType="separate"/>
          </w:r>
          <w:r>
            <w:rPr>
              <w:rFonts w:hint="default" w:ascii="Arial" w:hAnsi="Arial" w:cs="Arial"/>
            </w:rPr>
            <w:t>54</w:t>
          </w:r>
          <w:r>
            <w:rPr>
              <w:rFonts w:hint="default" w:ascii="Arial" w:hAnsi="Arial" w:cs="Arial"/>
            </w:rPr>
            <w:fldChar w:fldCharType="end"/>
          </w:r>
          <w:r>
            <w:rPr>
              <w:rFonts w:hint="default" w:ascii="Arial" w:hAnsi="Arial" w:cs="Arial"/>
              <w:szCs w:val="24"/>
              <w:highlight w:val="none"/>
            </w:rPr>
            <w:fldChar w:fldCharType="end"/>
          </w:r>
        </w:p>
        <w:p w14:paraId="70ACDED0">
          <w:pPr>
            <w:pStyle w:val="23"/>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_Toc21308 </w:instrText>
          </w:r>
          <w:r>
            <w:rPr>
              <w:rFonts w:hint="default" w:ascii="Arial" w:hAnsi="Arial" w:cs="Arial"/>
              <w:szCs w:val="24"/>
              <w:highlight w:val="none"/>
            </w:rPr>
            <w:fldChar w:fldCharType="separate"/>
          </w:r>
          <w:r>
            <w:rPr>
              <w:rFonts w:hint="default" w:ascii="Arial" w:hAnsi="Arial" w:cs="Arial"/>
              <w:szCs w:val="24"/>
              <w:highlight w:val="none"/>
              <w:lang w:val="en-IN"/>
            </w:rPr>
            <w:t>6.2.2 Critique of the Research Approach</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_Toc21308 \h </w:instrText>
          </w:r>
          <w:r>
            <w:rPr>
              <w:rFonts w:hint="default" w:ascii="Arial" w:hAnsi="Arial" w:cs="Arial"/>
            </w:rPr>
            <w:fldChar w:fldCharType="separate"/>
          </w:r>
          <w:r>
            <w:rPr>
              <w:rFonts w:hint="default" w:ascii="Arial" w:hAnsi="Arial" w:cs="Arial"/>
            </w:rPr>
            <w:t>57</w:t>
          </w:r>
          <w:r>
            <w:rPr>
              <w:rFonts w:hint="default" w:ascii="Arial" w:hAnsi="Arial" w:cs="Arial"/>
            </w:rPr>
            <w:fldChar w:fldCharType="end"/>
          </w:r>
          <w:r>
            <w:rPr>
              <w:rFonts w:hint="default" w:ascii="Arial" w:hAnsi="Arial" w:cs="Arial"/>
              <w:szCs w:val="24"/>
              <w:highlight w:val="none"/>
            </w:rPr>
            <w:fldChar w:fldCharType="end"/>
          </w:r>
        </w:p>
        <w:p w14:paraId="5018F7AE">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_Toc4554 </w:instrText>
          </w:r>
          <w:r>
            <w:rPr>
              <w:rFonts w:hint="default" w:ascii="Arial" w:hAnsi="Arial" w:cs="Arial"/>
              <w:szCs w:val="24"/>
              <w:highlight w:val="none"/>
            </w:rPr>
            <w:fldChar w:fldCharType="separate"/>
          </w:r>
          <w:r>
            <w:rPr>
              <w:rFonts w:hint="default" w:ascii="Arial" w:hAnsi="Arial" w:cs="Arial"/>
              <w:highlight w:val="none"/>
              <w:lang w:val="en-IN"/>
            </w:rPr>
            <w:t>6.3 Strengths and Limitations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_Toc4554 \h </w:instrText>
          </w:r>
          <w:r>
            <w:rPr>
              <w:rFonts w:hint="default" w:ascii="Arial" w:hAnsi="Arial" w:cs="Arial"/>
            </w:rPr>
            <w:fldChar w:fldCharType="separate"/>
          </w:r>
          <w:r>
            <w:rPr>
              <w:rFonts w:hint="default" w:ascii="Arial" w:hAnsi="Arial" w:cs="Arial"/>
            </w:rPr>
            <w:t>58</w:t>
          </w:r>
          <w:r>
            <w:rPr>
              <w:rFonts w:hint="default" w:ascii="Arial" w:hAnsi="Arial" w:cs="Arial"/>
            </w:rPr>
            <w:fldChar w:fldCharType="end"/>
          </w:r>
          <w:r>
            <w:rPr>
              <w:rFonts w:hint="default" w:ascii="Arial" w:hAnsi="Arial" w:cs="Arial"/>
              <w:szCs w:val="24"/>
              <w:highlight w:val="none"/>
            </w:rPr>
            <w:fldChar w:fldCharType="end"/>
          </w:r>
        </w:p>
        <w:p w14:paraId="79C4D3DD">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_Toc13392 </w:instrText>
          </w:r>
          <w:r>
            <w:rPr>
              <w:rFonts w:hint="default" w:ascii="Arial" w:hAnsi="Arial" w:cs="Arial"/>
              <w:szCs w:val="24"/>
              <w:highlight w:val="none"/>
            </w:rPr>
            <w:fldChar w:fldCharType="separate"/>
          </w:r>
          <w:r>
            <w:rPr>
              <w:rFonts w:hint="default" w:ascii="Arial" w:hAnsi="Arial" w:cs="Arial"/>
              <w:highlight w:val="none"/>
              <w:lang w:val="en-IN"/>
            </w:rPr>
            <w:t>6.4 Chapter Summary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_Toc13392 \h </w:instrText>
          </w:r>
          <w:r>
            <w:rPr>
              <w:rFonts w:hint="default" w:ascii="Arial" w:hAnsi="Arial" w:cs="Arial"/>
            </w:rPr>
            <w:fldChar w:fldCharType="separate"/>
          </w:r>
          <w:r>
            <w:rPr>
              <w:rFonts w:hint="default" w:ascii="Arial" w:hAnsi="Arial" w:cs="Arial"/>
            </w:rPr>
            <w:t>59</w:t>
          </w:r>
          <w:r>
            <w:rPr>
              <w:rFonts w:hint="default" w:ascii="Arial" w:hAnsi="Arial" w:cs="Arial"/>
            </w:rPr>
            <w:fldChar w:fldCharType="end"/>
          </w:r>
          <w:r>
            <w:rPr>
              <w:rFonts w:hint="default" w:ascii="Arial" w:hAnsi="Arial" w:cs="Arial"/>
              <w:szCs w:val="24"/>
              <w:highlight w:val="none"/>
            </w:rPr>
            <w:fldChar w:fldCharType="end"/>
          </w:r>
        </w:p>
        <w:p w14:paraId="15464297">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_Toc26586 </w:instrText>
          </w:r>
          <w:r>
            <w:rPr>
              <w:rFonts w:hint="default" w:ascii="Arial" w:hAnsi="Arial" w:cs="Arial"/>
              <w:szCs w:val="24"/>
              <w:highlight w:val="none"/>
            </w:rPr>
            <w:fldChar w:fldCharType="separate"/>
          </w:r>
          <w:r>
            <w:rPr>
              <w:rFonts w:hint="default" w:ascii="Arial" w:hAnsi="Arial" w:cs="Arial"/>
              <w:highlight w:val="none"/>
              <w:lang w:val="en-IN"/>
            </w:rPr>
            <w:t>CHAPTER 7: RECOMMENDATIONS AND 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_Toc26586 \h </w:instrText>
          </w:r>
          <w:r>
            <w:rPr>
              <w:rFonts w:hint="default" w:ascii="Arial" w:hAnsi="Arial" w:cs="Arial"/>
            </w:rPr>
            <w:fldChar w:fldCharType="separate"/>
          </w:r>
          <w:r>
            <w:rPr>
              <w:rFonts w:hint="default" w:ascii="Arial" w:hAnsi="Arial" w:cs="Arial"/>
            </w:rPr>
            <w:t>60</w:t>
          </w:r>
          <w:r>
            <w:rPr>
              <w:rFonts w:hint="default" w:ascii="Arial" w:hAnsi="Arial" w:cs="Arial"/>
            </w:rPr>
            <w:fldChar w:fldCharType="end"/>
          </w:r>
          <w:r>
            <w:rPr>
              <w:rFonts w:hint="default" w:ascii="Arial" w:hAnsi="Arial" w:cs="Arial"/>
              <w:szCs w:val="24"/>
              <w:highlight w:val="none"/>
            </w:rPr>
            <w:fldChar w:fldCharType="end"/>
          </w:r>
        </w:p>
        <w:p w14:paraId="0E708123">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_Toc6875 </w:instrText>
          </w:r>
          <w:r>
            <w:rPr>
              <w:rFonts w:hint="default" w:ascii="Arial" w:hAnsi="Arial" w:cs="Arial"/>
              <w:szCs w:val="24"/>
              <w:highlight w:val="none"/>
            </w:rPr>
            <w:fldChar w:fldCharType="separate"/>
          </w:r>
          <w:r>
            <w:rPr>
              <w:rFonts w:hint="default" w:ascii="Arial" w:hAnsi="Arial" w:cs="Arial"/>
              <w:highlight w:val="none"/>
              <w:lang w:val="en-IN"/>
            </w:rPr>
            <w:t>7.1 Introduction to Chapter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_Toc6875 \h </w:instrText>
          </w:r>
          <w:r>
            <w:rPr>
              <w:rFonts w:hint="default" w:ascii="Arial" w:hAnsi="Arial" w:cs="Arial"/>
            </w:rPr>
            <w:fldChar w:fldCharType="separate"/>
          </w:r>
          <w:r>
            <w:rPr>
              <w:rFonts w:hint="default" w:ascii="Arial" w:hAnsi="Arial" w:cs="Arial"/>
            </w:rPr>
            <w:t>60</w:t>
          </w:r>
          <w:r>
            <w:rPr>
              <w:rFonts w:hint="default" w:ascii="Arial" w:hAnsi="Arial" w:cs="Arial"/>
            </w:rPr>
            <w:fldChar w:fldCharType="end"/>
          </w:r>
          <w:r>
            <w:rPr>
              <w:rFonts w:hint="default" w:ascii="Arial" w:hAnsi="Arial" w:cs="Arial"/>
              <w:szCs w:val="24"/>
              <w:highlight w:val="none"/>
            </w:rPr>
            <w:fldChar w:fldCharType="end"/>
          </w:r>
        </w:p>
        <w:p w14:paraId="5A2073A1">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_Toc31786 </w:instrText>
          </w:r>
          <w:r>
            <w:rPr>
              <w:rFonts w:hint="default" w:ascii="Arial" w:hAnsi="Arial" w:cs="Arial"/>
              <w:szCs w:val="24"/>
              <w:highlight w:val="none"/>
            </w:rPr>
            <w:fldChar w:fldCharType="separate"/>
          </w:r>
          <w:r>
            <w:rPr>
              <w:rFonts w:hint="default" w:ascii="Arial" w:hAnsi="Arial" w:cs="Arial"/>
              <w:highlight w:val="none"/>
              <w:lang w:val="en-IN"/>
            </w:rPr>
            <w:t>7.2 Implications of Findings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_Toc31786 \h </w:instrText>
          </w:r>
          <w:r>
            <w:rPr>
              <w:rFonts w:hint="default" w:ascii="Arial" w:hAnsi="Arial" w:cs="Arial"/>
            </w:rPr>
            <w:fldChar w:fldCharType="separate"/>
          </w:r>
          <w:r>
            <w:rPr>
              <w:rFonts w:hint="default" w:ascii="Arial" w:hAnsi="Arial" w:cs="Arial"/>
            </w:rPr>
            <w:t>60</w:t>
          </w:r>
          <w:r>
            <w:rPr>
              <w:rFonts w:hint="default" w:ascii="Arial" w:hAnsi="Arial" w:cs="Arial"/>
            </w:rPr>
            <w:fldChar w:fldCharType="end"/>
          </w:r>
          <w:r>
            <w:rPr>
              <w:rFonts w:hint="default" w:ascii="Arial" w:hAnsi="Arial" w:cs="Arial"/>
              <w:szCs w:val="24"/>
              <w:highlight w:val="none"/>
            </w:rPr>
            <w:fldChar w:fldCharType="end"/>
          </w:r>
        </w:p>
        <w:p w14:paraId="11C66B0B">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_Toc32693 </w:instrText>
          </w:r>
          <w:r>
            <w:rPr>
              <w:rFonts w:hint="default" w:ascii="Arial" w:hAnsi="Arial" w:cs="Arial"/>
              <w:szCs w:val="24"/>
              <w:highlight w:val="none"/>
            </w:rPr>
            <w:fldChar w:fldCharType="separate"/>
          </w:r>
          <w:r>
            <w:rPr>
              <w:rFonts w:hint="default" w:ascii="Arial" w:hAnsi="Arial" w:cs="Arial"/>
              <w:highlight w:val="none"/>
              <w:lang w:val="en-IN"/>
            </w:rPr>
            <w:t>7.3 Recommendations for Practice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_Toc32693 \h </w:instrText>
          </w:r>
          <w:r>
            <w:rPr>
              <w:rFonts w:hint="default" w:ascii="Arial" w:hAnsi="Arial" w:cs="Arial"/>
            </w:rPr>
            <w:fldChar w:fldCharType="separate"/>
          </w:r>
          <w:r>
            <w:rPr>
              <w:rFonts w:hint="default" w:ascii="Arial" w:hAnsi="Arial" w:cs="Arial"/>
            </w:rPr>
            <w:t>61</w:t>
          </w:r>
          <w:r>
            <w:rPr>
              <w:rFonts w:hint="default" w:ascii="Arial" w:hAnsi="Arial" w:cs="Arial"/>
            </w:rPr>
            <w:fldChar w:fldCharType="end"/>
          </w:r>
          <w:r>
            <w:rPr>
              <w:rFonts w:hint="default" w:ascii="Arial" w:hAnsi="Arial" w:cs="Arial"/>
              <w:szCs w:val="24"/>
              <w:highlight w:val="none"/>
            </w:rPr>
            <w:fldChar w:fldCharType="end"/>
          </w:r>
        </w:p>
        <w:p w14:paraId="4EC42B9D">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_Toc31581 </w:instrText>
          </w:r>
          <w:r>
            <w:rPr>
              <w:rFonts w:hint="default" w:ascii="Arial" w:hAnsi="Arial" w:cs="Arial"/>
              <w:szCs w:val="24"/>
              <w:highlight w:val="none"/>
            </w:rPr>
            <w:fldChar w:fldCharType="separate"/>
          </w:r>
          <w:r>
            <w:rPr>
              <w:rFonts w:hint="default" w:ascii="Arial" w:hAnsi="Arial" w:cs="Arial"/>
              <w:highlight w:val="none"/>
              <w:lang w:val="en-IN"/>
            </w:rPr>
            <w:t>7.4 Recommendations for Future Research</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_Toc31581 \h </w:instrText>
          </w:r>
          <w:r>
            <w:rPr>
              <w:rFonts w:hint="default" w:ascii="Arial" w:hAnsi="Arial" w:cs="Arial"/>
            </w:rPr>
            <w:fldChar w:fldCharType="separate"/>
          </w:r>
          <w:r>
            <w:rPr>
              <w:rFonts w:hint="default" w:ascii="Arial" w:hAnsi="Arial" w:cs="Arial"/>
            </w:rPr>
            <w:t>63</w:t>
          </w:r>
          <w:r>
            <w:rPr>
              <w:rFonts w:hint="default" w:ascii="Arial" w:hAnsi="Arial" w:cs="Arial"/>
            </w:rPr>
            <w:fldChar w:fldCharType="end"/>
          </w:r>
          <w:r>
            <w:rPr>
              <w:rFonts w:hint="default" w:ascii="Arial" w:hAnsi="Arial" w:cs="Arial"/>
              <w:szCs w:val="24"/>
              <w:highlight w:val="none"/>
            </w:rPr>
            <w:fldChar w:fldCharType="end"/>
          </w:r>
        </w:p>
        <w:p w14:paraId="24C3A199">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_Toc16248 </w:instrText>
          </w:r>
          <w:r>
            <w:rPr>
              <w:rFonts w:hint="default" w:ascii="Arial" w:hAnsi="Arial" w:cs="Arial"/>
              <w:szCs w:val="24"/>
              <w:highlight w:val="none"/>
            </w:rPr>
            <w:fldChar w:fldCharType="separate"/>
          </w:r>
          <w:r>
            <w:rPr>
              <w:rFonts w:hint="default" w:ascii="Arial" w:hAnsi="Arial" w:cs="Arial"/>
              <w:highlight w:val="none"/>
              <w:lang w:val="en-IN"/>
            </w:rPr>
            <w:t>7.5 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_Toc16248 \h </w:instrText>
          </w:r>
          <w:r>
            <w:rPr>
              <w:rFonts w:hint="default" w:ascii="Arial" w:hAnsi="Arial" w:cs="Arial"/>
            </w:rPr>
            <w:fldChar w:fldCharType="separate"/>
          </w:r>
          <w:r>
            <w:rPr>
              <w:rFonts w:hint="default" w:ascii="Arial" w:hAnsi="Arial" w:cs="Arial"/>
            </w:rPr>
            <w:t>63</w:t>
          </w:r>
          <w:r>
            <w:rPr>
              <w:rFonts w:hint="default" w:ascii="Arial" w:hAnsi="Arial" w:cs="Arial"/>
            </w:rPr>
            <w:fldChar w:fldCharType="end"/>
          </w:r>
          <w:r>
            <w:rPr>
              <w:rFonts w:hint="default" w:ascii="Arial" w:hAnsi="Arial" w:cs="Arial"/>
              <w:szCs w:val="24"/>
              <w:highlight w:val="none"/>
            </w:rPr>
            <w:fldChar w:fldCharType="end"/>
          </w:r>
        </w:p>
        <w:p w14:paraId="16D1F35A">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_Toc12321 </w:instrText>
          </w:r>
          <w:r>
            <w:rPr>
              <w:rFonts w:hint="default" w:ascii="Arial" w:hAnsi="Arial" w:cs="Arial"/>
              <w:szCs w:val="24"/>
              <w:highlight w:val="none"/>
            </w:rPr>
            <w:fldChar w:fldCharType="separate"/>
          </w:r>
          <w:r>
            <w:rPr>
              <w:rFonts w:hint="default" w:ascii="Arial" w:hAnsi="Arial" w:cs="Arial"/>
              <w:highlight w:val="none"/>
            </w:rPr>
            <w:t>REFERENCES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_Toc12321 \h </w:instrText>
          </w:r>
          <w:r>
            <w:rPr>
              <w:rFonts w:hint="default" w:ascii="Arial" w:hAnsi="Arial" w:cs="Arial"/>
            </w:rPr>
            <w:fldChar w:fldCharType="separate"/>
          </w:r>
          <w:r>
            <w:rPr>
              <w:rFonts w:hint="default" w:ascii="Arial" w:hAnsi="Arial" w:cs="Arial"/>
            </w:rPr>
            <w:t>65</w:t>
          </w:r>
          <w:r>
            <w:rPr>
              <w:rFonts w:hint="default" w:ascii="Arial" w:hAnsi="Arial" w:cs="Arial"/>
            </w:rPr>
            <w:fldChar w:fldCharType="end"/>
          </w:r>
          <w:r>
            <w:rPr>
              <w:rFonts w:hint="default" w:ascii="Arial" w:hAnsi="Arial" w:cs="Arial"/>
              <w:szCs w:val="24"/>
              <w:highlight w:val="none"/>
            </w:rPr>
            <w:fldChar w:fldCharType="end"/>
          </w:r>
        </w:p>
        <w:p w14:paraId="78D52348">
          <w:pPr>
            <w:pStyle w:val="21"/>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_Toc16559 </w:instrText>
          </w:r>
          <w:r>
            <w:rPr>
              <w:rFonts w:hint="default" w:ascii="Arial" w:hAnsi="Arial" w:cs="Arial"/>
              <w:szCs w:val="24"/>
              <w:highlight w:val="none"/>
            </w:rPr>
            <w:fldChar w:fldCharType="separate"/>
          </w:r>
          <w:r>
            <w:rPr>
              <w:rFonts w:hint="default" w:ascii="Arial" w:hAnsi="Arial" w:cs="Arial"/>
              <w:highlight w:val="none"/>
            </w:rPr>
            <w:t>APPENDICES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_Toc16559 \h </w:instrText>
          </w:r>
          <w:r>
            <w:rPr>
              <w:rFonts w:hint="default" w:ascii="Arial" w:hAnsi="Arial" w:cs="Arial"/>
            </w:rPr>
            <w:fldChar w:fldCharType="separate"/>
          </w:r>
          <w:r>
            <w:rPr>
              <w:rFonts w:hint="default" w:ascii="Arial" w:hAnsi="Arial" w:cs="Arial"/>
            </w:rPr>
            <w:t>75</w:t>
          </w:r>
          <w:r>
            <w:rPr>
              <w:rFonts w:hint="default" w:ascii="Arial" w:hAnsi="Arial" w:cs="Arial"/>
            </w:rPr>
            <w:fldChar w:fldCharType="end"/>
          </w:r>
          <w:r>
            <w:rPr>
              <w:rFonts w:hint="default" w:ascii="Arial" w:hAnsi="Arial" w:cs="Arial"/>
              <w:szCs w:val="24"/>
              <w:highlight w:val="none"/>
            </w:rPr>
            <w:fldChar w:fldCharType="end"/>
          </w:r>
        </w:p>
        <w:p w14:paraId="3A3C33C0">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_Toc23320 </w:instrText>
          </w:r>
          <w:r>
            <w:rPr>
              <w:rFonts w:hint="default" w:ascii="Arial" w:hAnsi="Arial" w:cs="Arial"/>
              <w:szCs w:val="24"/>
              <w:highlight w:val="none"/>
            </w:rPr>
            <w:fldChar w:fldCharType="separate"/>
          </w:r>
          <w:r>
            <w:rPr>
              <w:rFonts w:hint="default" w:ascii="Arial" w:hAnsi="Arial" w:cs="Arial"/>
              <w:highlight w:val="none"/>
            </w:rPr>
            <w:t>Appendix 1: Characteristics Table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_Toc23320 \h </w:instrText>
          </w:r>
          <w:r>
            <w:rPr>
              <w:rFonts w:hint="default" w:ascii="Arial" w:hAnsi="Arial" w:cs="Arial"/>
            </w:rPr>
            <w:fldChar w:fldCharType="separate"/>
          </w:r>
          <w:r>
            <w:rPr>
              <w:rFonts w:hint="default" w:ascii="Arial" w:hAnsi="Arial" w:cs="Arial"/>
            </w:rPr>
            <w:t>75</w:t>
          </w:r>
          <w:r>
            <w:rPr>
              <w:rFonts w:hint="default" w:ascii="Arial" w:hAnsi="Arial" w:cs="Arial"/>
            </w:rPr>
            <w:fldChar w:fldCharType="end"/>
          </w:r>
          <w:r>
            <w:rPr>
              <w:rFonts w:hint="default" w:ascii="Arial" w:hAnsi="Arial" w:cs="Arial"/>
              <w:szCs w:val="24"/>
              <w:highlight w:val="none"/>
            </w:rPr>
            <w:fldChar w:fldCharType="end"/>
          </w:r>
        </w:p>
        <w:p w14:paraId="484D45F0">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_Toc3217 </w:instrText>
          </w:r>
          <w:r>
            <w:rPr>
              <w:rFonts w:hint="default" w:ascii="Arial" w:hAnsi="Arial" w:cs="Arial"/>
              <w:szCs w:val="24"/>
              <w:highlight w:val="none"/>
            </w:rPr>
            <w:fldChar w:fldCharType="separate"/>
          </w:r>
          <w:r>
            <w:rPr>
              <w:rFonts w:hint="default" w:ascii="Arial" w:hAnsi="Arial" w:cs="Arial"/>
              <w:highlight w:val="none"/>
            </w:rPr>
            <w:t>Appendix 2: CASP Checklist for Qualitative Studies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_Toc3217 \h </w:instrText>
          </w:r>
          <w:r>
            <w:rPr>
              <w:rFonts w:hint="default" w:ascii="Arial" w:hAnsi="Arial" w:cs="Arial"/>
            </w:rPr>
            <w:fldChar w:fldCharType="separate"/>
          </w:r>
          <w:r>
            <w:rPr>
              <w:rFonts w:hint="default" w:ascii="Arial" w:hAnsi="Arial" w:cs="Arial"/>
            </w:rPr>
            <w:t>78</w:t>
          </w:r>
          <w:r>
            <w:rPr>
              <w:rFonts w:hint="default" w:ascii="Arial" w:hAnsi="Arial" w:cs="Arial"/>
            </w:rPr>
            <w:fldChar w:fldCharType="end"/>
          </w:r>
          <w:r>
            <w:rPr>
              <w:rFonts w:hint="default" w:ascii="Arial" w:hAnsi="Arial" w:cs="Arial"/>
              <w:szCs w:val="24"/>
              <w:highlight w:val="none"/>
            </w:rPr>
            <w:fldChar w:fldCharType="end"/>
          </w:r>
        </w:p>
        <w:p w14:paraId="26430114">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_Toc1854 </w:instrText>
          </w:r>
          <w:r>
            <w:rPr>
              <w:rFonts w:hint="default" w:ascii="Arial" w:hAnsi="Arial" w:cs="Arial"/>
              <w:szCs w:val="24"/>
              <w:highlight w:val="none"/>
            </w:rPr>
            <w:fldChar w:fldCharType="separate"/>
          </w:r>
          <w:r>
            <w:rPr>
              <w:rFonts w:hint="default" w:ascii="Arial" w:hAnsi="Arial" w:cs="Arial"/>
              <w:highlight w:val="none"/>
            </w:rPr>
            <w:t>Appendix 3: Critical Appraisal Using the MMAT Tool</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_Toc1854 \h </w:instrText>
          </w:r>
          <w:r>
            <w:rPr>
              <w:rFonts w:hint="default" w:ascii="Arial" w:hAnsi="Arial" w:cs="Arial"/>
            </w:rPr>
            <w:fldChar w:fldCharType="separate"/>
          </w:r>
          <w:r>
            <w:rPr>
              <w:rFonts w:hint="default" w:ascii="Arial" w:hAnsi="Arial" w:cs="Arial"/>
            </w:rPr>
            <w:t>80</w:t>
          </w:r>
          <w:r>
            <w:rPr>
              <w:rFonts w:hint="default" w:ascii="Arial" w:hAnsi="Arial" w:cs="Arial"/>
            </w:rPr>
            <w:fldChar w:fldCharType="end"/>
          </w:r>
          <w:r>
            <w:rPr>
              <w:rFonts w:hint="default" w:ascii="Arial" w:hAnsi="Arial" w:cs="Arial"/>
              <w:szCs w:val="24"/>
              <w:highlight w:val="none"/>
            </w:rPr>
            <w:fldChar w:fldCharType="end"/>
          </w:r>
        </w:p>
        <w:p w14:paraId="26E9F7CD">
          <w:pPr>
            <w:pStyle w:val="22"/>
            <w:tabs>
              <w:tab w:val="right" w:leader="dot" w:pos="8306"/>
            </w:tabs>
            <w:rPr>
              <w:rFonts w:hint="default" w:ascii="Arial" w:hAnsi="Arial" w:cs="Arial"/>
            </w:rPr>
          </w:pPr>
          <w:r>
            <w:rPr>
              <w:rFonts w:hint="default" w:ascii="Arial" w:hAnsi="Arial" w:cs="Arial"/>
              <w:szCs w:val="24"/>
              <w:highlight w:val="none"/>
            </w:rPr>
            <w:fldChar w:fldCharType="begin"/>
          </w:r>
          <w:r>
            <w:rPr>
              <w:rFonts w:hint="default" w:ascii="Arial" w:hAnsi="Arial" w:cs="Arial"/>
              <w:szCs w:val="24"/>
              <w:highlight w:val="none"/>
            </w:rPr>
            <w:instrText xml:space="preserve"> HYPERLINK \l _Toc30300 </w:instrText>
          </w:r>
          <w:r>
            <w:rPr>
              <w:rFonts w:hint="default" w:ascii="Arial" w:hAnsi="Arial" w:cs="Arial"/>
              <w:szCs w:val="24"/>
              <w:highlight w:val="none"/>
            </w:rPr>
            <w:fldChar w:fldCharType="separate"/>
          </w:r>
          <w:r>
            <w:rPr>
              <w:rFonts w:hint="default" w:ascii="Arial" w:hAnsi="Arial" w:cs="Arial"/>
              <w:highlight w:val="none"/>
            </w:rPr>
            <w:t>Appendix 4: Thematic Table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_Toc30300 \h </w:instrText>
          </w:r>
          <w:r>
            <w:rPr>
              <w:rFonts w:hint="default" w:ascii="Arial" w:hAnsi="Arial" w:cs="Arial"/>
            </w:rPr>
            <w:fldChar w:fldCharType="separate"/>
          </w:r>
          <w:r>
            <w:rPr>
              <w:rFonts w:hint="default" w:ascii="Arial" w:hAnsi="Arial" w:cs="Arial"/>
            </w:rPr>
            <w:t>81</w:t>
          </w:r>
          <w:r>
            <w:rPr>
              <w:rFonts w:hint="default" w:ascii="Arial" w:hAnsi="Arial" w:cs="Arial"/>
            </w:rPr>
            <w:fldChar w:fldCharType="end"/>
          </w:r>
          <w:r>
            <w:rPr>
              <w:rFonts w:hint="default" w:ascii="Arial" w:hAnsi="Arial" w:cs="Arial"/>
              <w:szCs w:val="24"/>
              <w:highlight w:val="none"/>
            </w:rPr>
            <w:fldChar w:fldCharType="end"/>
          </w:r>
        </w:p>
        <w:p w14:paraId="280AD447">
          <w:pPr>
            <w:spacing w:line="360" w:lineRule="auto"/>
            <w:rPr>
              <w:rFonts w:hint="default" w:ascii="Arial" w:hAnsi="Arial" w:cs="Arial"/>
              <w:highlight w:val="none"/>
            </w:rPr>
          </w:pPr>
          <w:r>
            <w:rPr>
              <w:rFonts w:hint="default" w:ascii="Arial" w:hAnsi="Arial" w:cs="Arial"/>
              <w:szCs w:val="24"/>
              <w:highlight w:val="none"/>
            </w:rPr>
            <w:fldChar w:fldCharType="end"/>
          </w:r>
        </w:p>
      </w:sdtContent>
    </w:sdt>
    <w:p w14:paraId="427E69A8">
      <w:pPr>
        <w:jc w:val="left"/>
        <w:rPr>
          <w:rFonts w:hint="default" w:ascii="Arial" w:hAnsi="Arial" w:cs="Arial"/>
          <w:highlight w:val="none"/>
        </w:rPr>
      </w:pPr>
      <w:bookmarkStart w:id="3" w:name="_Hlk132185764"/>
      <w:r>
        <w:rPr>
          <w:rFonts w:hint="default" w:ascii="Arial" w:hAnsi="Arial" w:cs="Arial"/>
          <w:highlight w:val="none"/>
        </w:rPr>
        <w:br w:type="page"/>
      </w:r>
    </w:p>
    <w:p w14:paraId="06A81EE9">
      <w:pPr>
        <w:pStyle w:val="2"/>
        <w:bidi w:val="0"/>
        <w:spacing w:line="480" w:lineRule="auto"/>
        <w:rPr>
          <w:rFonts w:hint="default"/>
          <w:highlight w:val="none"/>
        </w:rPr>
      </w:pPr>
      <w:bookmarkStart w:id="4" w:name="_Toc2842"/>
      <w:r>
        <w:rPr>
          <w:rFonts w:hint="default"/>
          <w:highlight w:val="none"/>
        </w:rPr>
        <w:t>LIST OF TABLES</w:t>
      </w:r>
      <w:bookmarkEnd w:id="4"/>
    </w:p>
    <w:bookmarkEnd w:id="3"/>
    <w:p w14:paraId="660C8527">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TOC \h \c "Table"</w:instrText>
      </w:r>
      <w:r>
        <w:rPr>
          <w:rFonts w:hint="default" w:ascii="Arial" w:hAnsi="Arial" w:cs="Arial"/>
          <w:highlight w:val="none"/>
        </w:rPr>
        <w:fldChar w:fldCharType="separate"/>
      </w:r>
      <w:r>
        <w:rPr>
          <w:rFonts w:hint="default" w:ascii="Arial" w:hAnsi="Arial" w:cs="Arial"/>
          <w:highlight w:val="none"/>
        </w:rPr>
        <w:fldChar w:fldCharType="begin"/>
      </w:r>
      <w:r>
        <w:rPr>
          <w:rFonts w:hint="default" w:ascii="Arial" w:hAnsi="Arial" w:cs="Arial"/>
          <w:highlight w:val="none"/>
        </w:rPr>
        <w:instrText xml:space="preserve"> HYPERLINK \l _Toc7958 </w:instrText>
      </w:r>
      <w:r>
        <w:rPr>
          <w:rFonts w:hint="default" w:ascii="Arial" w:hAnsi="Arial" w:cs="Arial"/>
          <w:highlight w:val="none"/>
        </w:rPr>
        <w:fldChar w:fldCharType="separate"/>
      </w:r>
      <w:r>
        <w:rPr>
          <w:rFonts w:hint="default" w:ascii="Arial" w:hAnsi="Arial" w:cs="Arial"/>
          <w:szCs w:val="24"/>
          <w:highlight w:val="none"/>
        </w:rPr>
        <w:t xml:space="preserve">Table </w:t>
      </w:r>
      <w:r>
        <w:rPr>
          <w:rFonts w:hint="default" w:ascii="Arial" w:hAnsi="Arial" w:cs="Arial"/>
        </w:rPr>
        <w:t xml:space="preserve">1 </w:t>
      </w:r>
      <w:r>
        <w:rPr>
          <w:rFonts w:hint="default" w:ascii="Arial" w:hAnsi="Arial" w:cs="Arial"/>
          <w:szCs w:val="24"/>
          <w:highlight w:val="none"/>
        </w:rPr>
        <w:t>: PEO Framework</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_Toc7958 \h </w:instrText>
      </w:r>
      <w:r>
        <w:rPr>
          <w:rFonts w:hint="default" w:ascii="Arial" w:hAnsi="Arial" w:cs="Arial"/>
        </w:rPr>
        <w:fldChar w:fldCharType="separate"/>
      </w:r>
      <w:r>
        <w:rPr>
          <w:rFonts w:hint="default" w:ascii="Arial" w:hAnsi="Arial" w:cs="Arial"/>
        </w:rPr>
        <w:t>26</w:t>
      </w:r>
      <w:r>
        <w:rPr>
          <w:rFonts w:hint="default" w:ascii="Arial" w:hAnsi="Arial" w:cs="Arial"/>
        </w:rPr>
        <w:fldChar w:fldCharType="end"/>
      </w:r>
      <w:r>
        <w:rPr>
          <w:rFonts w:hint="default" w:ascii="Arial" w:hAnsi="Arial" w:cs="Arial"/>
          <w:highlight w:val="none"/>
        </w:rPr>
        <w:fldChar w:fldCharType="end"/>
      </w:r>
    </w:p>
    <w:p w14:paraId="6F0B1CFD">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 HYPERLINK \l _Toc22779 </w:instrText>
      </w:r>
      <w:r>
        <w:rPr>
          <w:rFonts w:hint="default" w:ascii="Arial" w:hAnsi="Arial" w:cs="Arial"/>
          <w:highlight w:val="none"/>
        </w:rPr>
        <w:fldChar w:fldCharType="separate"/>
      </w:r>
      <w:r>
        <w:rPr>
          <w:rFonts w:hint="default" w:ascii="Arial" w:hAnsi="Arial" w:cs="Arial"/>
          <w:szCs w:val="24"/>
          <w:highlight w:val="none"/>
        </w:rPr>
        <w:t xml:space="preserve">Table </w:t>
      </w:r>
      <w:r>
        <w:rPr>
          <w:rFonts w:hint="default" w:ascii="Arial" w:hAnsi="Arial" w:cs="Arial"/>
        </w:rPr>
        <w:t xml:space="preserve">2 </w:t>
      </w:r>
      <w:r>
        <w:rPr>
          <w:rFonts w:hint="default" w:ascii="Arial" w:hAnsi="Arial" w:cs="Arial"/>
          <w:szCs w:val="24"/>
          <w:highlight w:val="none"/>
        </w:rPr>
        <w:t>: Search Terms Examples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_Toc22779 \h </w:instrText>
      </w:r>
      <w:r>
        <w:rPr>
          <w:rFonts w:hint="default" w:ascii="Arial" w:hAnsi="Arial" w:cs="Arial"/>
        </w:rPr>
        <w:fldChar w:fldCharType="separate"/>
      </w:r>
      <w:r>
        <w:rPr>
          <w:rFonts w:hint="default" w:ascii="Arial" w:hAnsi="Arial" w:cs="Arial"/>
        </w:rPr>
        <w:t>27</w:t>
      </w:r>
      <w:r>
        <w:rPr>
          <w:rFonts w:hint="default" w:ascii="Arial" w:hAnsi="Arial" w:cs="Arial"/>
        </w:rPr>
        <w:fldChar w:fldCharType="end"/>
      </w:r>
      <w:r>
        <w:rPr>
          <w:rFonts w:hint="default" w:ascii="Arial" w:hAnsi="Arial" w:cs="Arial"/>
          <w:highlight w:val="none"/>
        </w:rPr>
        <w:fldChar w:fldCharType="end"/>
      </w:r>
    </w:p>
    <w:p w14:paraId="422F6709">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 HYPERLINK \l _Toc966 </w:instrText>
      </w:r>
      <w:r>
        <w:rPr>
          <w:rFonts w:hint="default" w:ascii="Arial" w:hAnsi="Arial" w:cs="Arial"/>
          <w:highlight w:val="none"/>
        </w:rPr>
        <w:fldChar w:fldCharType="separate"/>
      </w:r>
      <w:r>
        <w:rPr>
          <w:rFonts w:hint="default" w:ascii="Arial" w:hAnsi="Arial" w:cs="Arial"/>
          <w:szCs w:val="24"/>
          <w:highlight w:val="none"/>
        </w:rPr>
        <w:t xml:space="preserve">Table </w:t>
      </w:r>
      <w:r>
        <w:rPr>
          <w:rFonts w:hint="default" w:ascii="Arial" w:hAnsi="Arial" w:cs="Arial"/>
        </w:rPr>
        <w:t xml:space="preserve">3 </w:t>
      </w:r>
      <w:r>
        <w:rPr>
          <w:rFonts w:hint="default" w:ascii="Arial" w:hAnsi="Arial" w:cs="Arial"/>
          <w:szCs w:val="24"/>
          <w:highlight w:val="none"/>
        </w:rPr>
        <w:t>: Inclusion Criteria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_Toc966 \h </w:instrText>
      </w:r>
      <w:r>
        <w:rPr>
          <w:rFonts w:hint="default" w:ascii="Arial" w:hAnsi="Arial" w:cs="Arial"/>
        </w:rPr>
        <w:fldChar w:fldCharType="separate"/>
      </w:r>
      <w:r>
        <w:rPr>
          <w:rFonts w:hint="default" w:ascii="Arial" w:hAnsi="Arial" w:cs="Arial"/>
        </w:rPr>
        <w:t>29</w:t>
      </w:r>
      <w:r>
        <w:rPr>
          <w:rFonts w:hint="default" w:ascii="Arial" w:hAnsi="Arial" w:cs="Arial"/>
        </w:rPr>
        <w:fldChar w:fldCharType="end"/>
      </w:r>
      <w:r>
        <w:rPr>
          <w:rFonts w:hint="default" w:ascii="Arial" w:hAnsi="Arial" w:cs="Arial"/>
          <w:highlight w:val="none"/>
        </w:rPr>
        <w:fldChar w:fldCharType="end"/>
      </w:r>
    </w:p>
    <w:p w14:paraId="3B81A963">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 HYPERLINK \l _Toc17165 </w:instrText>
      </w:r>
      <w:r>
        <w:rPr>
          <w:rFonts w:hint="default" w:ascii="Arial" w:hAnsi="Arial" w:cs="Arial"/>
          <w:highlight w:val="none"/>
        </w:rPr>
        <w:fldChar w:fldCharType="separate"/>
      </w:r>
      <w:r>
        <w:rPr>
          <w:rFonts w:hint="default" w:ascii="Arial" w:hAnsi="Arial" w:cs="Arial"/>
          <w:szCs w:val="24"/>
          <w:highlight w:val="none"/>
        </w:rPr>
        <w:t xml:space="preserve">Table </w:t>
      </w:r>
      <w:r>
        <w:rPr>
          <w:rFonts w:hint="default" w:ascii="Arial" w:hAnsi="Arial" w:cs="Arial"/>
        </w:rPr>
        <w:t xml:space="preserve">4 </w:t>
      </w:r>
      <w:r>
        <w:rPr>
          <w:rFonts w:hint="default" w:ascii="Arial" w:hAnsi="Arial" w:cs="Arial"/>
          <w:szCs w:val="24"/>
          <w:highlight w:val="none"/>
        </w:rPr>
        <w:t>: Exclusion Criteria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_Toc17165 \h </w:instrText>
      </w:r>
      <w:r>
        <w:rPr>
          <w:rFonts w:hint="default" w:ascii="Arial" w:hAnsi="Arial" w:cs="Arial"/>
        </w:rPr>
        <w:fldChar w:fldCharType="separate"/>
      </w:r>
      <w:r>
        <w:rPr>
          <w:rFonts w:hint="default" w:ascii="Arial" w:hAnsi="Arial" w:cs="Arial"/>
        </w:rPr>
        <w:t>29</w:t>
      </w:r>
      <w:r>
        <w:rPr>
          <w:rFonts w:hint="default" w:ascii="Arial" w:hAnsi="Arial" w:cs="Arial"/>
        </w:rPr>
        <w:fldChar w:fldCharType="end"/>
      </w:r>
      <w:r>
        <w:rPr>
          <w:rFonts w:hint="default" w:ascii="Arial" w:hAnsi="Arial" w:cs="Arial"/>
          <w:highlight w:val="none"/>
        </w:rPr>
        <w:fldChar w:fldCharType="end"/>
      </w:r>
    </w:p>
    <w:p w14:paraId="58E4B5DE">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 HYPERLINK \l _Toc11867 </w:instrText>
      </w:r>
      <w:r>
        <w:rPr>
          <w:rFonts w:hint="default" w:ascii="Arial" w:hAnsi="Arial" w:cs="Arial"/>
          <w:highlight w:val="none"/>
        </w:rPr>
        <w:fldChar w:fldCharType="separate"/>
      </w:r>
      <w:r>
        <w:rPr>
          <w:rFonts w:hint="default" w:ascii="Arial" w:hAnsi="Arial" w:cs="Arial"/>
          <w:szCs w:val="24"/>
        </w:rPr>
        <w:t xml:space="preserve">Table </w:t>
      </w:r>
      <w:r>
        <w:rPr>
          <w:rFonts w:hint="default" w:ascii="Arial" w:hAnsi="Arial" w:cs="Arial"/>
        </w:rPr>
        <w:t xml:space="preserve">5 </w:t>
      </w:r>
      <w:r>
        <w:rPr>
          <w:rFonts w:hint="default" w:ascii="Arial" w:hAnsi="Arial" w:cs="Arial"/>
          <w:szCs w:val="24"/>
          <w:lang w:val="en-US"/>
        </w:rPr>
        <w:t xml:space="preserve">: </w:t>
      </w:r>
      <w:r>
        <w:rPr>
          <w:rFonts w:hint="default" w:ascii="Arial" w:hAnsi="Arial" w:cs="Arial"/>
          <w:szCs w:val="24"/>
          <w:highlight w:val="none"/>
        </w:rPr>
        <w:t>Themes Identified from Included Studies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_Toc11867 \h </w:instrText>
      </w:r>
      <w:r>
        <w:rPr>
          <w:rFonts w:hint="default" w:ascii="Arial" w:hAnsi="Arial" w:cs="Arial"/>
        </w:rPr>
        <w:fldChar w:fldCharType="separate"/>
      </w:r>
      <w:r>
        <w:rPr>
          <w:rFonts w:hint="default" w:ascii="Arial" w:hAnsi="Arial" w:cs="Arial"/>
        </w:rPr>
        <w:t>44</w:t>
      </w:r>
      <w:r>
        <w:rPr>
          <w:rFonts w:hint="default" w:ascii="Arial" w:hAnsi="Arial" w:cs="Arial"/>
        </w:rPr>
        <w:fldChar w:fldCharType="end"/>
      </w:r>
      <w:r>
        <w:rPr>
          <w:rFonts w:hint="default" w:ascii="Arial" w:hAnsi="Arial" w:cs="Arial"/>
          <w:highlight w:val="none"/>
        </w:rPr>
        <w:fldChar w:fldCharType="end"/>
      </w:r>
    </w:p>
    <w:p w14:paraId="59AC11E0">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 HYPERLINK \l _Toc19196 </w:instrText>
      </w:r>
      <w:r>
        <w:rPr>
          <w:rFonts w:hint="default" w:ascii="Arial" w:hAnsi="Arial" w:cs="Arial"/>
          <w:highlight w:val="none"/>
        </w:rPr>
        <w:fldChar w:fldCharType="separate"/>
      </w:r>
      <w:r>
        <w:rPr>
          <w:rFonts w:hint="default" w:ascii="Arial" w:hAnsi="Arial" w:cs="Arial"/>
          <w:szCs w:val="24"/>
        </w:rPr>
        <w:t xml:space="preserve">Table </w:t>
      </w:r>
      <w:r>
        <w:rPr>
          <w:rFonts w:hint="default" w:ascii="Arial" w:hAnsi="Arial" w:cs="Arial"/>
        </w:rPr>
        <w:t xml:space="preserve">6 </w:t>
      </w:r>
      <w:r>
        <w:rPr>
          <w:rFonts w:hint="default" w:ascii="Arial" w:hAnsi="Arial" w:cs="Arial"/>
          <w:szCs w:val="24"/>
          <w:lang w:val="en-US"/>
        </w:rPr>
        <w:t xml:space="preserve">: </w:t>
      </w:r>
      <w:r>
        <w:rPr>
          <w:rFonts w:hint="default" w:ascii="Arial" w:hAnsi="Arial" w:cs="Arial"/>
          <w:bCs/>
          <w:szCs w:val="24"/>
          <w:highlight w:val="none"/>
        </w:rPr>
        <w:t>Implications of Findings in Relation to Research Objectives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_Toc19196 \h </w:instrText>
      </w:r>
      <w:r>
        <w:rPr>
          <w:rFonts w:hint="default" w:ascii="Arial" w:hAnsi="Arial" w:cs="Arial"/>
        </w:rPr>
        <w:fldChar w:fldCharType="separate"/>
      </w:r>
      <w:r>
        <w:rPr>
          <w:rFonts w:hint="default" w:ascii="Arial" w:hAnsi="Arial" w:cs="Arial"/>
        </w:rPr>
        <w:t>60</w:t>
      </w:r>
      <w:r>
        <w:rPr>
          <w:rFonts w:hint="default" w:ascii="Arial" w:hAnsi="Arial" w:cs="Arial"/>
        </w:rPr>
        <w:fldChar w:fldCharType="end"/>
      </w:r>
      <w:r>
        <w:rPr>
          <w:rFonts w:hint="default" w:ascii="Arial" w:hAnsi="Arial" w:cs="Arial"/>
          <w:highlight w:val="none"/>
        </w:rPr>
        <w:fldChar w:fldCharType="end"/>
      </w:r>
    </w:p>
    <w:p w14:paraId="7AB6920E">
      <w:pPr>
        <w:widowControl/>
        <w:autoSpaceDE/>
        <w:autoSpaceDN/>
        <w:spacing w:after="160" w:line="360" w:lineRule="auto"/>
        <w:jc w:val="both"/>
        <w:rPr>
          <w:rFonts w:hint="default" w:ascii="Arial" w:hAnsi="Arial" w:cs="Arial"/>
          <w:highlight w:val="none"/>
        </w:rPr>
      </w:pPr>
      <w:r>
        <w:rPr>
          <w:rFonts w:hint="default" w:ascii="Arial" w:hAnsi="Arial" w:cs="Arial"/>
          <w:highlight w:val="none"/>
        </w:rPr>
        <w:fldChar w:fldCharType="end"/>
      </w:r>
    </w:p>
    <w:p w14:paraId="3251180C">
      <w:pPr>
        <w:rPr>
          <w:rFonts w:hint="default" w:ascii="Arial" w:hAnsi="Arial" w:cs="Arial"/>
          <w:highlight w:val="none"/>
        </w:rPr>
      </w:pPr>
    </w:p>
    <w:p w14:paraId="089C4AB1">
      <w:pPr>
        <w:pStyle w:val="2"/>
        <w:bidi w:val="0"/>
        <w:spacing w:line="480" w:lineRule="auto"/>
        <w:ind w:left="0" w:leftChars="0" w:firstLine="0" w:firstLineChars="0"/>
        <w:jc w:val="center"/>
        <w:rPr>
          <w:rFonts w:hint="default"/>
          <w:highlight w:val="none"/>
        </w:rPr>
      </w:pPr>
      <w:bookmarkStart w:id="5" w:name="_Toc9030"/>
      <w:r>
        <w:rPr>
          <w:rFonts w:hint="default"/>
          <w:highlight w:val="none"/>
        </w:rPr>
        <w:t>LIST OF FIGURES</w:t>
      </w:r>
      <w:bookmarkEnd w:id="5"/>
    </w:p>
    <w:p w14:paraId="2DE9BE95">
      <w:pPr>
        <w:pStyle w:val="20"/>
        <w:tabs>
          <w:tab w:val="right" w:leader="dot" w:pos="8306"/>
        </w:tabs>
        <w:rPr>
          <w:rFonts w:hint="default" w:ascii="Arial" w:hAnsi="Arial" w:cs="Arial"/>
        </w:rPr>
      </w:pPr>
      <w:r>
        <w:rPr>
          <w:rFonts w:hint="default" w:ascii="Arial" w:hAnsi="Arial" w:cs="Arial"/>
          <w:highlight w:val="none"/>
        </w:rPr>
        <w:fldChar w:fldCharType="begin"/>
      </w:r>
      <w:r>
        <w:rPr>
          <w:rFonts w:hint="default" w:ascii="Arial" w:hAnsi="Arial" w:cs="Arial"/>
          <w:highlight w:val="none"/>
        </w:rPr>
        <w:instrText xml:space="preserve"> TOC \h \z \c "Figure" </w:instrText>
      </w:r>
      <w:r>
        <w:rPr>
          <w:rFonts w:hint="default" w:ascii="Arial" w:hAnsi="Arial" w:cs="Arial"/>
          <w:highlight w:val="none"/>
        </w:rPr>
        <w:fldChar w:fldCharType="separate"/>
      </w:r>
      <w:r>
        <w:rPr>
          <w:rFonts w:hint="default" w:ascii="Arial" w:hAnsi="Arial" w:cs="Arial"/>
          <w:highlight w:val="none"/>
        </w:rPr>
        <w:fldChar w:fldCharType="begin"/>
      </w:r>
      <w:r>
        <w:rPr>
          <w:rFonts w:hint="default" w:ascii="Arial" w:hAnsi="Arial" w:cs="Arial"/>
          <w:highlight w:val="none"/>
        </w:rPr>
        <w:instrText xml:space="preserve"> HYPERLINK \l _Toc3714 </w:instrText>
      </w:r>
      <w:r>
        <w:rPr>
          <w:rFonts w:hint="default" w:ascii="Arial" w:hAnsi="Arial" w:cs="Arial"/>
          <w:highlight w:val="none"/>
        </w:rPr>
        <w:fldChar w:fldCharType="separate"/>
      </w:r>
      <w:r>
        <w:rPr>
          <w:rFonts w:hint="default" w:ascii="Arial" w:hAnsi="Arial" w:cs="Arial"/>
          <w:szCs w:val="24"/>
          <w:highlight w:val="none"/>
        </w:rPr>
        <w:t xml:space="preserve">Figure </w:t>
      </w:r>
      <w:r>
        <w:rPr>
          <w:rFonts w:hint="default" w:ascii="Arial" w:hAnsi="Arial" w:cs="Arial"/>
        </w:rPr>
        <w:t xml:space="preserve">1 </w:t>
      </w:r>
      <w:r>
        <w:rPr>
          <w:rFonts w:hint="default" w:ascii="Arial" w:hAnsi="Arial" w:cs="Arial"/>
          <w:szCs w:val="24"/>
          <w:highlight w:val="none"/>
        </w:rPr>
        <w:t>: PRISMA Table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_Toc3714 \h </w:instrText>
      </w:r>
      <w:r>
        <w:rPr>
          <w:rFonts w:hint="default" w:ascii="Arial" w:hAnsi="Arial" w:cs="Arial"/>
        </w:rPr>
        <w:fldChar w:fldCharType="separate"/>
      </w:r>
      <w:r>
        <w:rPr>
          <w:rFonts w:hint="default" w:ascii="Arial" w:hAnsi="Arial" w:cs="Arial"/>
        </w:rPr>
        <w:t>31</w:t>
      </w:r>
      <w:r>
        <w:rPr>
          <w:rFonts w:hint="default" w:ascii="Arial" w:hAnsi="Arial" w:cs="Arial"/>
        </w:rPr>
        <w:fldChar w:fldCharType="end"/>
      </w:r>
      <w:r>
        <w:rPr>
          <w:rFonts w:hint="default" w:ascii="Arial" w:hAnsi="Arial" w:cs="Arial"/>
          <w:highlight w:val="none"/>
        </w:rPr>
        <w:fldChar w:fldCharType="end"/>
      </w:r>
    </w:p>
    <w:p w14:paraId="23C8AF08">
      <w:pPr>
        <w:spacing w:line="360" w:lineRule="auto"/>
        <w:jc w:val="center"/>
        <w:rPr>
          <w:rFonts w:hint="default" w:ascii="Arial" w:hAnsi="Arial" w:cs="Arial"/>
          <w:highlight w:val="none"/>
        </w:rPr>
      </w:pPr>
      <w:r>
        <w:rPr>
          <w:rFonts w:hint="default" w:ascii="Arial" w:hAnsi="Arial" w:cs="Arial" w:eastAsiaTheme="minorHAnsi"/>
          <w:highlight w:val="none"/>
          <w:lang w:eastAsia="en-US" w:bidi="ar-SA"/>
        </w:rPr>
        <w:fldChar w:fldCharType="end"/>
      </w:r>
    </w:p>
    <w:p w14:paraId="64EF84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53CB225B">
      <w:pPr>
        <w:widowControl/>
        <w:autoSpaceDE/>
        <w:autoSpaceDN/>
        <w:spacing w:after="160"/>
        <w:rPr>
          <w:rFonts w:hint="default" w:ascii="Arial" w:hAnsi="Arial" w:cs="Arial"/>
          <w:highlight w:val="none"/>
        </w:rPr>
      </w:pPr>
    </w:p>
    <w:p w14:paraId="32F1E7FB">
      <w:pPr>
        <w:widowControl/>
        <w:autoSpaceDE/>
        <w:autoSpaceDN/>
        <w:spacing w:after="160"/>
        <w:rPr>
          <w:rFonts w:hint="default" w:ascii="Arial" w:hAnsi="Arial" w:cs="Arial"/>
          <w:highlight w:val="none"/>
        </w:rPr>
      </w:pPr>
      <w:bookmarkStart w:id="181" w:name="_GoBack"/>
      <w:bookmarkEnd w:id="181"/>
    </w:p>
    <w:p w14:paraId="055D69BE">
      <w:pPr>
        <w:widowControl/>
        <w:autoSpaceDE/>
        <w:autoSpaceDN/>
        <w:spacing w:after="160"/>
        <w:jc w:val="center"/>
        <w:rPr>
          <w:rFonts w:hint="default" w:ascii="Arial" w:hAnsi="Arial" w:cs="Arial"/>
          <w:highlight w:val="none"/>
        </w:rPr>
      </w:pPr>
    </w:p>
    <w:p w14:paraId="6BAE6487">
      <w:pPr>
        <w:widowControl/>
        <w:autoSpaceDE/>
        <w:autoSpaceDN/>
        <w:spacing w:after="160"/>
        <w:jc w:val="center"/>
        <w:rPr>
          <w:rFonts w:hint="default" w:ascii="Arial" w:hAnsi="Arial" w:cs="Arial"/>
          <w:highlight w:val="none"/>
        </w:rPr>
      </w:pPr>
    </w:p>
    <w:p w14:paraId="1C538C53">
      <w:pPr>
        <w:widowControl/>
        <w:autoSpaceDE/>
        <w:autoSpaceDN/>
        <w:spacing w:after="160"/>
        <w:rPr>
          <w:rFonts w:hint="default" w:ascii="Arial" w:hAnsi="Arial" w:cs="Arial"/>
          <w:highlight w:val="none"/>
        </w:rPr>
      </w:pPr>
    </w:p>
    <w:p w14:paraId="4C3B1A9A">
      <w:pPr>
        <w:rPr>
          <w:rFonts w:hint="default" w:ascii="Arial" w:hAnsi="Arial" w:cs="Arial"/>
          <w:highlight w:val="none"/>
        </w:rPr>
      </w:pPr>
      <w:r>
        <w:rPr>
          <w:rFonts w:hint="default" w:ascii="Arial" w:hAnsi="Arial" w:cs="Arial"/>
          <w:highlight w:val="none"/>
        </w:rPr>
        <w:br w:type="page"/>
      </w:r>
    </w:p>
    <w:p w14:paraId="1278669B">
      <w:pPr>
        <w:pStyle w:val="2"/>
        <w:bidi w:val="0"/>
        <w:spacing w:line="480" w:lineRule="auto"/>
        <w:rPr>
          <w:rFonts w:hint="default"/>
          <w:highlight w:val="none"/>
        </w:rPr>
      </w:pPr>
      <w:bookmarkStart w:id="6" w:name="_Toc6087"/>
      <w:r>
        <w:rPr>
          <w:rFonts w:hint="default"/>
          <w:highlight w:val="none"/>
        </w:rPr>
        <w:t>ABBREVIATIONS</w:t>
      </w:r>
      <w:bookmarkEnd w:id="6"/>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1"/>
        <w:gridCol w:w="6961"/>
      </w:tblGrid>
      <w:tr w14:paraId="4827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00507ED">
            <w:pPr>
              <w:widowControl/>
              <w:autoSpaceDE/>
              <w:autoSpaceDN/>
              <w:jc w:val="center"/>
              <w:rPr>
                <w:rFonts w:hint="default" w:ascii="Arial" w:hAnsi="Arial" w:cs="Arial"/>
                <w:b/>
                <w:bCs/>
                <w:highlight w:val="none"/>
              </w:rPr>
            </w:pPr>
            <w:r>
              <w:rPr>
                <w:rFonts w:hint="default" w:ascii="Arial" w:hAnsi="Arial" w:cs="Arial"/>
                <w:b/>
                <w:bCs/>
                <w:highlight w:val="none"/>
              </w:rPr>
              <w:t>Abbreviation</w:t>
            </w:r>
          </w:p>
        </w:tc>
        <w:tc>
          <w:tcPr>
            <w:tcW w:w="0" w:type="auto"/>
          </w:tcPr>
          <w:p w14:paraId="4C0DCABD">
            <w:pPr>
              <w:widowControl/>
              <w:autoSpaceDE/>
              <w:autoSpaceDN/>
              <w:jc w:val="center"/>
              <w:rPr>
                <w:rFonts w:hint="default" w:ascii="Arial" w:hAnsi="Arial" w:cs="Arial"/>
                <w:b/>
                <w:bCs/>
                <w:highlight w:val="none"/>
              </w:rPr>
            </w:pPr>
            <w:r>
              <w:rPr>
                <w:rFonts w:hint="default" w:ascii="Arial" w:hAnsi="Arial" w:cs="Arial"/>
                <w:b/>
                <w:bCs/>
                <w:highlight w:val="none"/>
              </w:rPr>
              <w:t>Full Form</w:t>
            </w:r>
          </w:p>
        </w:tc>
      </w:tr>
      <w:tr w14:paraId="7735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3F0EF60">
            <w:pPr>
              <w:widowControl/>
              <w:autoSpaceDE/>
              <w:autoSpaceDN/>
              <w:rPr>
                <w:rFonts w:hint="default" w:ascii="Arial" w:hAnsi="Arial" w:cs="Arial"/>
                <w:highlight w:val="none"/>
              </w:rPr>
            </w:pPr>
            <w:r>
              <w:rPr>
                <w:rFonts w:hint="default" w:ascii="Arial" w:hAnsi="Arial" w:cs="Arial"/>
                <w:highlight w:val="none"/>
              </w:rPr>
              <w:t>CVD</w:t>
            </w:r>
          </w:p>
        </w:tc>
        <w:tc>
          <w:tcPr>
            <w:tcW w:w="0" w:type="auto"/>
          </w:tcPr>
          <w:p w14:paraId="3D1C0693">
            <w:pPr>
              <w:widowControl/>
              <w:autoSpaceDE/>
              <w:autoSpaceDN/>
              <w:jc w:val="center"/>
              <w:rPr>
                <w:rFonts w:hint="default" w:ascii="Arial" w:hAnsi="Arial" w:cs="Arial"/>
                <w:highlight w:val="none"/>
              </w:rPr>
            </w:pPr>
            <w:r>
              <w:rPr>
                <w:rFonts w:hint="default" w:ascii="Arial" w:hAnsi="Arial" w:cs="Arial"/>
                <w:highlight w:val="none"/>
              </w:rPr>
              <w:t>Cardiovascular Disease</w:t>
            </w:r>
          </w:p>
        </w:tc>
      </w:tr>
      <w:tr w14:paraId="204C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77187E5">
            <w:pPr>
              <w:widowControl/>
              <w:autoSpaceDE/>
              <w:autoSpaceDN/>
              <w:rPr>
                <w:rFonts w:hint="default" w:ascii="Arial" w:hAnsi="Arial" w:cs="Arial"/>
                <w:highlight w:val="none"/>
              </w:rPr>
            </w:pPr>
            <w:r>
              <w:rPr>
                <w:rFonts w:hint="default" w:ascii="Arial" w:hAnsi="Arial" w:cs="Arial"/>
                <w:highlight w:val="none"/>
              </w:rPr>
              <w:t>CHD</w:t>
            </w:r>
          </w:p>
        </w:tc>
        <w:tc>
          <w:tcPr>
            <w:tcW w:w="0" w:type="auto"/>
          </w:tcPr>
          <w:p w14:paraId="69774982">
            <w:pPr>
              <w:widowControl/>
              <w:autoSpaceDE/>
              <w:autoSpaceDN/>
              <w:jc w:val="center"/>
              <w:rPr>
                <w:rFonts w:hint="default" w:ascii="Arial" w:hAnsi="Arial" w:cs="Arial"/>
                <w:highlight w:val="none"/>
              </w:rPr>
            </w:pPr>
            <w:r>
              <w:rPr>
                <w:rFonts w:hint="default" w:ascii="Arial" w:hAnsi="Arial" w:cs="Arial"/>
                <w:highlight w:val="none"/>
              </w:rPr>
              <w:t>Coronary Heart Disease</w:t>
            </w:r>
          </w:p>
        </w:tc>
      </w:tr>
      <w:tr w14:paraId="71BF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ECD6CBB">
            <w:pPr>
              <w:widowControl/>
              <w:autoSpaceDE/>
              <w:autoSpaceDN/>
              <w:rPr>
                <w:rFonts w:hint="default" w:ascii="Arial" w:hAnsi="Arial" w:cs="Arial"/>
                <w:highlight w:val="none"/>
              </w:rPr>
            </w:pPr>
            <w:r>
              <w:rPr>
                <w:rFonts w:hint="default" w:ascii="Arial" w:hAnsi="Arial" w:cs="Arial"/>
                <w:highlight w:val="none"/>
              </w:rPr>
              <w:t>ASCVD</w:t>
            </w:r>
          </w:p>
        </w:tc>
        <w:tc>
          <w:tcPr>
            <w:tcW w:w="0" w:type="auto"/>
          </w:tcPr>
          <w:p w14:paraId="49D0FE7A">
            <w:pPr>
              <w:widowControl/>
              <w:autoSpaceDE/>
              <w:autoSpaceDN/>
              <w:jc w:val="center"/>
              <w:rPr>
                <w:rFonts w:hint="default" w:ascii="Arial" w:hAnsi="Arial" w:cs="Arial"/>
                <w:highlight w:val="none"/>
              </w:rPr>
            </w:pPr>
            <w:r>
              <w:rPr>
                <w:rFonts w:hint="default" w:ascii="Arial" w:hAnsi="Arial" w:cs="Arial"/>
                <w:highlight w:val="none"/>
              </w:rPr>
              <w:t>Atherosclerotic Cardiovascular Disease</w:t>
            </w:r>
          </w:p>
        </w:tc>
      </w:tr>
      <w:tr w14:paraId="5255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5B2CE16">
            <w:pPr>
              <w:widowControl/>
              <w:autoSpaceDE/>
              <w:autoSpaceDN/>
              <w:rPr>
                <w:rFonts w:hint="default" w:ascii="Arial" w:hAnsi="Arial" w:cs="Arial"/>
                <w:highlight w:val="none"/>
              </w:rPr>
            </w:pPr>
            <w:r>
              <w:rPr>
                <w:rFonts w:hint="default" w:ascii="Arial" w:hAnsi="Arial" w:cs="Arial"/>
                <w:highlight w:val="none"/>
              </w:rPr>
              <w:t>UK</w:t>
            </w:r>
          </w:p>
        </w:tc>
        <w:tc>
          <w:tcPr>
            <w:tcW w:w="0" w:type="auto"/>
          </w:tcPr>
          <w:p w14:paraId="4798F756">
            <w:pPr>
              <w:widowControl/>
              <w:autoSpaceDE/>
              <w:autoSpaceDN/>
              <w:jc w:val="center"/>
              <w:rPr>
                <w:rFonts w:hint="default" w:ascii="Arial" w:hAnsi="Arial" w:cs="Arial"/>
                <w:highlight w:val="none"/>
              </w:rPr>
            </w:pPr>
            <w:r>
              <w:rPr>
                <w:rFonts w:hint="default" w:ascii="Arial" w:hAnsi="Arial" w:cs="Arial"/>
                <w:highlight w:val="none"/>
              </w:rPr>
              <w:t>United Kingdom</w:t>
            </w:r>
          </w:p>
        </w:tc>
      </w:tr>
      <w:tr w14:paraId="70FA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348B6AC">
            <w:pPr>
              <w:widowControl/>
              <w:autoSpaceDE/>
              <w:autoSpaceDN/>
              <w:rPr>
                <w:rFonts w:hint="default" w:ascii="Arial" w:hAnsi="Arial" w:cs="Arial"/>
                <w:highlight w:val="none"/>
              </w:rPr>
            </w:pPr>
            <w:r>
              <w:rPr>
                <w:rFonts w:hint="default" w:ascii="Arial" w:hAnsi="Arial" w:cs="Arial"/>
                <w:highlight w:val="none"/>
              </w:rPr>
              <w:t>NHS</w:t>
            </w:r>
          </w:p>
        </w:tc>
        <w:tc>
          <w:tcPr>
            <w:tcW w:w="0" w:type="auto"/>
          </w:tcPr>
          <w:p w14:paraId="0794C299">
            <w:pPr>
              <w:widowControl/>
              <w:autoSpaceDE/>
              <w:autoSpaceDN/>
              <w:jc w:val="center"/>
              <w:rPr>
                <w:rFonts w:hint="default" w:ascii="Arial" w:hAnsi="Arial" w:cs="Arial"/>
                <w:highlight w:val="none"/>
              </w:rPr>
            </w:pPr>
            <w:r>
              <w:rPr>
                <w:rFonts w:hint="default" w:ascii="Arial" w:hAnsi="Arial" w:cs="Arial"/>
                <w:highlight w:val="none"/>
              </w:rPr>
              <w:t>National Health Service</w:t>
            </w:r>
          </w:p>
        </w:tc>
      </w:tr>
      <w:tr w14:paraId="5F0C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6BBD6CF">
            <w:pPr>
              <w:widowControl/>
              <w:autoSpaceDE/>
              <w:autoSpaceDN/>
              <w:rPr>
                <w:rFonts w:hint="default" w:ascii="Arial" w:hAnsi="Arial" w:cs="Arial"/>
                <w:highlight w:val="none"/>
              </w:rPr>
            </w:pPr>
            <w:r>
              <w:rPr>
                <w:rFonts w:hint="default" w:ascii="Arial" w:hAnsi="Arial" w:cs="Arial"/>
                <w:highlight w:val="none"/>
              </w:rPr>
              <w:t>WHO</w:t>
            </w:r>
          </w:p>
        </w:tc>
        <w:tc>
          <w:tcPr>
            <w:tcW w:w="0" w:type="auto"/>
          </w:tcPr>
          <w:p w14:paraId="2F2CA6EE">
            <w:pPr>
              <w:widowControl/>
              <w:autoSpaceDE/>
              <w:autoSpaceDN/>
              <w:jc w:val="center"/>
              <w:rPr>
                <w:rFonts w:hint="default" w:ascii="Arial" w:hAnsi="Arial" w:cs="Arial"/>
                <w:highlight w:val="none"/>
              </w:rPr>
            </w:pPr>
            <w:r>
              <w:rPr>
                <w:rFonts w:hint="default" w:ascii="Arial" w:hAnsi="Arial" w:cs="Arial"/>
                <w:highlight w:val="none"/>
              </w:rPr>
              <w:t>World Health Organisation</w:t>
            </w:r>
          </w:p>
        </w:tc>
      </w:tr>
      <w:tr w14:paraId="181E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890D54C">
            <w:pPr>
              <w:widowControl/>
              <w:autoSpaceDE/>
              <w:autoSpaceDN/>
              <w:rPr>
                <w:rFonts w:hint="default" w:ascii="Arial" w:hAnsi="Arial" w:cs="Arial"/>
                <w:highlight w:val="none"/>
              </w:rPr>
            </w:pPr>
            <w:r>
              <w:rPr>
                <w:rFonts w:hint="default" w:ascii="Arial" w:hAnsi="Arial" w:cs="Arial"/>
                <w:highlight w:val="none"/>
              </w:rPr>
              <w:t>CDC</w:t>
            </w:r>
          </w:p>
        </w:tc>
        <w:tc>
          <w:tcPr>
            <w:tcW w:w="0" w:type="auto"/>
          </w:tcPr>
          <w:p w14:paraId="37537790">
            <w:pPr>
              <w:widowControl/>
              <w:autoSpaceDE/>
              <w:autoSpaceDN/>
              <w:jc w:val="center"/>
              <w:rPr>
                <w:rFonts w:hint="default" w:ascii="Arial" w:hAnsi="Arial" w:cs="Arial"/>
                <w:highlight w:val="none"/>
              </w:rPr>
            </w:pPr>
            <w:r>
              <w:rPr>
                <w:rFonts w:hint="default" w:ascii="Arial" w:hAnsi="Arial" w:cs="Arial"/>
                <w:highlight w:val="none"/>
              </w:rPr>
              <w:t>Centres for Disease Control and Prevention</w:t>
            </w:r>
          </w:p>
        </w:tc>
      </w:tr>
      <w:tr w14:paraId="5024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8832EE9">
            <w:pPr>
              <w:widowControl/>
              <w:autoSpaceDE/>
              <w:autoSpaceDN/>
              <w:rPr>
                <w:rFonts w:hint="default" w:ascii="Arial" w:hAnsi="Arial" w:cs="Arial"/>
                <w:highlight w:val="none"/>
              </w:rPr>
            </w:pPr>
            <w:r>
              <w:rPr>
                <w:rFonts w:hint="default" w:ascii="Arial" w:hAnsi="Arial" w:cs="Arial"/>
                <w:highlight w:val="none"/>
              </w:rPr>
              <w:t>SLR</w:t>
            </w:r>
          </w:p>
        </w:tc>
        <w:tc>
          <w:tcPr>
            <w:tcW w:w="0" w:type="auto"/>
          </w:tcPr>
          <w:p w14:paraId="0BAB929D">
            <w:pPr>
              <w:widowControl/>
              <w:autoSpaceDE/>
              <w:autoSpaceDN/>
              <w:jc w:val="center"/>
              <w:rPr>
                <w:rFonts w:hint="default" w:ascii="Arial" w:hAnsi="Arial" w:cs="Arial"/>
                <w:highlight w:val="none"/>
              </w:rPr>
            </w:pPr>
            <w:r>
              <w:rPr>
                <w:rFonts w:hint="default" w:ascii="Arial" w:hAnsi="Arial" w:cs="Arial"/>
                <w:highlight w:val="none"/>
              </w:rPr>
              <w:t>Systematic Literature Review</w:t>
            </w:r>
          </w:p>
        </w:tc>
      </w:tr>
      <w:tr w14:paraId="296A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BFA7507">
            <w:pPr>
              <w:widowControl/>
              <w:autoSpaceDE/>
              <w:autoSpaceDN/>
              <w:rPr>
                <w:rFonts w:hint="default" w:ascii="Arial" w:hAnsi="Arial" w:cs="Arial"/>
                <w:highlight w:val="none"/>
              </w:rPr>
            </w:pPr>
            <w:r>
              <w:rPr>
                <w:rFonts w:hint="default" w:ascii="Arial" w:hAnsi="Arial" w:cs="Arial"/>
                <w:highlight w:val="none"/>
              </w:rPr>
              <w:t>PRISMA</w:t>
            </w:r>
          </w:p>
        </w:tc>
        <w:tc>
          <w:tcPr>
            <w:tcW w:w="0" w:type="auto"/>
          </w:tcPr>
          <w:p w14:paraId="7268614F">
            <w:pPr>
              <w:widowControl/>
              <w:autoSpaceDE/>
              <w:autoSpaceDN/>
              <w:jc w:val="center"/>
              <w:rPr>
                <w:rFonts w:hint="default" w:ascii="Arial" w:hAnsi="Arial" w:cs="Arial"/>
                <w:highlight w:val="none"/>
              </w:rPr>
            </w:pPr>
            <w:r>
              <w:rPr>
                <w:rFonts w:hint="default" w:ascii="Arial" w:hAnsi="Arial" w:cs="Arial"/>
                <w:highlight w:val="none"/>
              </w:rPr>
              <w:t>Preferred Reporting Items for Systematic Reviews and Meta-Analyses</w:t>
            </w:r>
          </w:p>
        </w:tc>
      </w:tr>
      <w:tr w14:paraId="2BCB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5F791C0">
            <w:pPr>
              <w:widowControl/>
              <w:autoSpaceDE/>
              <w:autoSpaceDN/>
              <w:rPr>
                <w:rFonts w:hint="default" w:ascii="Arial" w:hAnsi="Arial" w:cs="Arial"/>
                <w:highlight w:val="none"/>
              </w:rPr>
            </w:pPr>
            <w:r>
              <w:rPr>
                <w:rFonts w:hint="default" w:ascii="Arial" w:hAnsi="Arial" w:cs="Arial"/>
                <w:highlight w:val="none"/>
              </w:rPr>
              <w:t>CASP</w:t>
            </w:r>
          </w:p>
        </w:tc>
        <w:tc>
          <w:tcPr>
            <w:tcW w:w="0" w:type="auto"/>
          </w:tcPr>
          <w:p w14:paraId="659F4FF5">
            <w:pPr>
              <w:widowControl/>
              <w:autoSpaceDE/>
              <w:autoSpaceDN/>
              <w:jc w:val="center"/>
              <w:rPr>
                <w:rFonts w:hint="default" w:ascii="Arial" w:hAnsi="Arial" w:cs="Arial"/>
                <w:highlight w:val="none"/>
              </w:rPr>
            </w:pPr>
            <w:r>
              <w:rPr>
                <w:rFonts w:hint="default" w:ascii="Arial" w:hAnsi="Arial" w:cs="Arial"/>
                <w:highlight w:val="none"/>
              </w:rPr>
              <w:t>Critical Appraisal Skills Programme</w:t>
            </w:r>
          </w:p>
        </w:tc>
      </w:tr>
      <w:tr w14:paraId="5FD8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57CC783">
            <w:pPr>
              <w:widowControl/>
              <w:autoSpaceDE/>
              <w:autoSpaceDN/>
              <w:rPr>
                <w:rFonts w:hint="default" w:ascii="Arial" w:hAnsi="Arial" w:cs="Arial"/>
                <w:highlight w:val="none"/>
              </w:rPr>
            </w:pPr>
            <w:r>
              <w:rPr>
                <w:rFonts w:hint="default" w:ascii="Arial" w:hAnsi="Arial" w:cs="Arial"/>
                <w:highlight w:val="none"/>
              </w:rPr>
              <w:t>PEO</w:t>
            </w:r>
          </w:p>
        </w:tc>
        <w:tc>
          <w:tcPr>
            <w:tcW w:w="0" w:type="auto"/>
          </w:tcPr>
          <w:p w14:paraId="0EFECBAD">
            <w:pPr>
              <w:widowControl/>
              <w:autoSpaceDE/>
              <w:autoSpaceDN/>
              <w:jc w:val="center"/>
              <w:rPr>
                <w:rFonts w:hint="default" w:ascii="Arial" w:hAnsi="Arial" w:cs="Arial"/>
                <w:highlight w:val="none"/>
              </w:rPr>
            </w:pPr>
            <w:r>
              <w:rPr>
                <w:rFonts w:hint="default" w:ascii="Arial" w:hAnsi="Arial" w:cs="Arial"/>
                <w:highlight w:val="none"/>
              </w:rPr>
              <w:t>Population, Exposure, Outcome</w:t>
            </w:r>
          </w:p>
        </w:tc>
      </w:tr>
      <w:tr w14:paraId="04E5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DB08397">
            <w:pPr>
              <w:widowControl/>
              <w:autoSpaceDE/>
              <w:autoSpaceDN/>
              <w:rPr>
                <w:rFonts w:hint="default" w:ascii="Arial" w:hAnsi="Arial" w:cs="Arial"/>
                <w:highlight w:val="none"/>
              </w:rPr>
            </w:pPr>
            <w:r>
              <w:rPr>
                <w:rFonts w:hint="default" w:ascii="Arial" w:hAnsi="Arial" w:cs="Arial"/>
                <w:highlight w:val="none"/>
              </w:rPr>
              <w:t>PICO</w:t>
            </w:r>
          </w:p>
        </w:tc>
        <w:tc>
          <w:tcPr>
            <w:tcW w:w="0" w:type="auto"/>
          </w:tcPr>
          <w:p w14:paraId="47B4F9F1">
            <w:pPr>
              <w:widowControl/>
              <w:autoSpaceDE/>
              <w:autoSpaceDN/>
              <w:jc w:val="center"/>
              <w:rPr>
                <w:rFonts w:hint="default" w:ascii="Arial" w:hAnsi="Arial" w:cs="Arial"/>
                <w:highlight w:val="none"/>
              </w:rPr>
            </w:pPr>
            <w:r>
              <w:rPr>
                <w:rFonts w:hint="default" w:ascii="Arial" w:hAnsi="Arial" w:cs="Arial"/>
                <w:highlight w:val="none"/>
              </w:rPr>
              <w:t>Population, Intervention, Comparison, Outcome</w:t>
            </w:r>
          </w:p>
        </w:tc>
      </w:tr>
      <w:tr w14:paraId="0F5B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1ACBC4A">
            <w:pPr>
              <w:widowControl/>
              <w:autoSpaceDE/>
              <w:autoSpaceDN/>
              <w:rPr>
                <w:rFonts w:hint="default" w:ascii="Arial" w:hAnsi="Arial" w:cs="Arial"/>
                <w:highlight w:val="none"/>
              </w:rPr>
            </w:pPr>
            <w:r>
              <w:rPr>
                <w:rFonts w:hint="default" w:ascii="Arial" w:hAnsi="Arial" w:cs="Arial"/>
                <w:highlight w:val="none"/>
              </w:rPr>
              <w:t>SES</w:t>
            </w:r>
          </w:p>
        </w:tc>
        <w:tc>
          <w:tcPr>
            <w:tcW w:w="0" w:type="auto"/>
          </w:tcPr>
          <w:p w14:paraId="0AC053CE">
            <w:pPr>
              <w:widowControl/>
              <w:autoSpaceDE/>
              <w:autoSpaceDN/>
              <w:jc w:val="center"/>
              <w:rPr>
                <w:rFonts w:hint="default" w:ascii="Arial" w:hAnsi="Arial" w:cs="Arial"/>
                <w:highlight w:val="none"/>
              </w:rPr>
            </w:pPr>
            <w:r>
              <w:rPr>
                <w:rFonts w:hint="default" w:ascii="Arial" w:hAnsi="Arial" w:cs="Arial"/>
                <w:highlight w:val="none"/>
              </w:rPr>
              <w:t>Socioeconomic Status</w:t>
            </w:r>
          </w:p>
        </w:tc>
      </w:tr>
      <w:tr w14:paraId="0823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B5A1553">
            <w:pPr>
              <w:widowControl/>
              <w:autoSpaceDE/>
              <w:autoSpaceDN/>
              <w:rPr>
                <w:rFonts w:hint="default" w:ascii="Arial" w:hAnsi="Arial" w:cs="Arial"/>
                <w:highlight w:val="none"/>
              </w:rPr>
            </w:pPr>
            <w:r>
              <w:rPr>
                <w:rFonts w:hint="default" w:ascii="Arial" w:hAnsi="Arial" w:cs="Arial"/>
                <w:highlight w:val="none"/>
              </w:rPr>
              <w:t>MI</w:t>
            </w:r>
          </w:p>
        </w:tc>
        <w:tc>
          <w:tcPr>
            <w:tcW w:w="0" w:type="auto"/>
          </w:tcPr>
          <w:p w14:paraId="59F0DB8E">
            <w:pPr>
              <w:widowControl/>
              <w:autoSpaceDE/>
              <w:autoSpaceDN/>
              <w:jc w:val="center"/>
              <w:rPr>
                <w:rFonts w:hint="default" w:ascii="Arial" w:hAnsi="Arial" w:cs="Arial"/>
                <w:highlight w:val="none"/>
              </w:rPr>
            </w:pPr>
            <w:r>
              <w:rPr>
                <w:rFonts w:hint="default" w:ascii="Arial" w:hAnsi="Arial" w:cs="Arial"/>
                <w:highlight w:val="none"/>
              </w:rPr>
              <w:t>Myocardial Infarction</w:t>
            </w:r>
          </w:p>
        </w:tc>
      </w:tr>
      <w:tr w14:paraId="55E30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E535ED3">
            <w:pPr>
              <w:widowControl/>
              <w:autoSpaceDE/>
              <w:autoSpaceDN/>
              <w:rPr>
                <w:rFonts w:hint="default" w:ascii="Arial" w:hAnsi="Arial" w:cs="Arial"/>
                <w:highlight w:val="none"/>
              </w:rPr>
            </w:pPr>
            <w:r>
              <w:rPr>
                <w:rFonts w:hint="default" w:ascii="Arial" w:hAnsi="Arial" w:cs="Arial"/>
                <w:highlight w:val="none"/>
              </w:rPr>
              <w:t>PA</w:t>
            </w:r>
          </w:p>
        </w:tc>
        <w:tc>
          <w:tcPr>
            <w:tcW w:w="0" w:type="auto"/>
          </w:tcPr>
          <w:p w14:paraId="3F69B8CB">
            <w:pPr>
              <w:widowControl/>
              <w:autoSpaceDE/>
              <w:autoSpaceDN/>
              <w:jc w:val="center"/>
              <w:rPr>
                <w:rFonts w:hint="default" w:ascii="Arial" w:hAnsi="Arial" w:cs="Arial"/>
                <w:highlight w:val="none"/>
              </w:rPr>
            </w:pPr>
            <w:r>
              <w:rPr>
                <w:rFonts w:hint="default" w:ascii="Arial" w:hAnsi="Arial" w:cs="Arial"/>
                <w:highlight w:val="none"/>
              </w:rPr>
              <w:t>Physical Activity</w:t>
            </w:r>
          </w:p>
        </w:tc>
      </w:tr>
      <w:tr w14:paraId="599AB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252336E">
            <w:pPr>
              <w:widowControl/>
              <w:autoSpaceDE/>
              <w:autoSpaceDN/>
              <w:rPr>
                <w:rFonts w:hint="default" w:ascii="Arial" w:hAnsi="Arial" w:cs="Arial"/>
                <w:highlight w:val="none"/>
              </w:rPr>
            </w:pPr>
            <w:r>
              <w:rPr>
                <w:rFonts w:hint="default" w:ascii="Arial" w:hAnsi="Arial" w:cs="Arial"/>
                <w:highlight w:val="none"/>
              </w:rPr>
              <w:t>MD</w:t>
            </w:r>
          </w:p>
        </w:tc>
        <w:tc>
          <w:tcPr>
            <w:tcW w:w="0" w:type="auto"/>
          </w:tcPr>
          <w:p w14:paraId="268BBB3C">
            <w:pPr>
              <w:widowControl/>
              <w:autoSpaceDE/>
              <w:autoSpaceDN/>
              <w:jc w:val="center"/>
              <w:rPr>
                <w:rFonts w:hint="default" w:ascii="Arial" w:hAnsi="Arial" w:cs="Arial"/>
                <w:highlight w:val="none"/>
              </w:rPr>
            </w:pPr>
            <w:r>
              <w:rPr>
                <w:rFonts w:hint="default" w:ascii="Arial" w:hAnsi="Arial" w:cs="Arial"/>
                <w:highlight w:val="none"/>
              </w:rPr>
              <w:t>Mediterranean Diet</w:t>
            </w:r>
          </w:p>
        </w:tc>
      </w:tr>
      <w:tr w14:paraId="3B72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E620AD2">
            <w:pPr>
              <w:widowControl/>
              <w:autoSpaceDE/>
              <w:autoSpaceDN/>
              <w:rPr>
                <w:rFonts w:hint="default" w:ascii="Arial" w:hAnsi="Arial" w:cs="Arial"/>
                <w:highlight w:val="none"/>
              </w:rPr>
            </w:pPr>
            <w:r>
              <w:rPr>
                <w:rFonts w:hint="default" w:ascii="Arial" w:hAnsi="Arial" w:cs="Arial"/>
                <w:highlight w:val="none"/>
              </w:rPr>
              <w:t>DASH</w:t>
            </w:r>
          </w:p>
        </w:tc>
        <w:tc>
          <w:tcPr>
            <w:tcW w:w="0" w:type="auto"/>
          </w:tcPr>
          <w:p w14:paraId="3245D110">
            <w:pPr>
              <w:widowControl/>
              <w:autoSpaceDE/>
              <w:autoSpaceDN/>
              <w:jc w:val="center"/>
              <w:rPr>
                <w:rFonts w:hint="default" w:ascii="Arial" w:hAnsi="Arial" w:cs="Arial"/>
                <w:highlight w:val="none"/>
              </w:rPr>
            </w:pPr>
            <w:r>
              <w:rPr>
                <w:rFonts w:hint="default" w:ascii="Arial" w:hAnsi="Arial" w:cs="Arial"/>
                <w:highlight w:val="none"/>
              </w:rPr>
              <w:t>Dietary Approaches to Stop Hypertension</w:t>
            </w:r>
          </w:p>
        </w:tc>
      </w:tr>
    </w:tbl>
    <w:p w14:paraId="24E302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p>
    <w:p w14:paraId="33F529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5F402B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3BE2E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0A3867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30DB43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66AA0B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249352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42C908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3557D6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05D217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67E19B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551E6F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ascii="Arial" w:hAnsi="Arial" w:cs="Arial"/>
          <w:highlight w:val="none"/>
        </w:rPr>
      </w:pPr>
    </w:p>
    <w:p w14:paraId="0BB1F7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hint="default" w:ascii="Arial" w:hAnsi="Arial" w:cs="Arial"/>
          <w:highlight w:val="none"/>
        </w:rPr>
      </w:pPr>
    </w:p>
    <w:p w14:paraId="4563B4A3">
      <w:pPr>
        <w:rPr>
          <w:rFonts w:hint="default" w:ascii="Arial" w:hAnsi="Arial" w:cs="Arial"/>
          <w:highlight w:val="none"/>
        </w:rPr>
        <w:sectPr>
          <w:headerReference r:id="rId6" w:type="default"/>
          <w:footerReference r:id="rId7" w:type="default"/>
          <w:pgSz w:w="11906" w:h="16838"/>
          <w:pgMar w:top="1440" w:right="1800" w:bottom="1440" w:left="1800" w:header="708" w:footer="708" w:gutter="0"/>
          <w:cols w:space="708" w:num="1"/>
          <w:docGrid w:linePitch="360" w:charSpace="0"/>
        </w:sectPr>
      </w:pPr>
      <w:r>
        <w:rPr>
          <w:rFonts w:hint="default" w:ascii="Arial" w:hAnsi="Arial" w:cs="Arial"/>
          <w:highlight w:val="none"/>
        </w:rPr>
        <w:br w:type="page"/>
      </w:r>
    </w:p>
    <w:p w14:paraId="65D10CEB">
      <w:pPr>
        <w:pStyle w:val="2"/>
        <w:spacing w:line="480" w:lineRule="auto"/>
        <w:jc w:val="center"/>
        <w:rPr>
          <w:rFonts w:hint="default" w:ascii="Arial" w:hAnsi="Arial" w:cs="Arial"/>
          <w:highlight w:val="none"/>
        </w:rPr>
      </w:pPr>
      <w:bookmarkStart w:id="7" w:name="_Toc228890764"/>
      <w:bookmarkStart w:id="8" w:name="_Toc27684"/>
      <w:r>
        <w:rPr>
          <w:rFonts w:hint="default" w:ascii="Arial" w:hAnsi="Arial" w:cs="Arial"/>
          <w:highlight w:val="none"/>
        </w:rPr>
        <w:t>CHAPTER 1: INTRODUCTION AND BACKGROUND</w:t>
      </w:r>
      <w:bookmarkEnd w:id="7"/>
      <w:bookmarkEnd w:id="8"/>
    </w:p>
    <w:p w14:paraId="59406017">
      <w:pPr>
        <w:pStyle w:val="3"/>
        <w:spacing w:line="480" w:lineRule="auto"/>
        <w:ind w:left="0"/>
        <w:rPr>
          <w:rFonts w:hint="default" w:ascii="Arial" w:hAnsi="Arial" w:cs="Arial"/>
          <w:highlight w:val="none"/>
        </w:rPr>
      </w:pPr>
      <w:bookmarkStart w:id="9" w:name="_Toc228890765"/>
      <w:bookmarkStart w:id="10" w:name="_Toc24223"/>
      <w:r>
        <w:rPr>
          <w:rFonts w:hint="default" w:ascii="Arial" w:hAnsi="Arial" w:cs="Arial"/>
          <w:highlight w:val="none"/>
        </w:rPr>
        <w:t>1.1 Introduction to the Topic</w:t>
      </w:r>
      <w:bookmarkEnd w:id="9"/>
      <w:bookmarkEnd w:id="10"/>
    </w:p>
    <w:p w14:paraId="15B3326B">
      <w:pPr>
        <w:pStyle w:val="17"/>
        <w:spacing w:before="0" w:beforeAutospacing="0" w:after="0" w:afterAutospacing="0"/>
        <w:rPr>
          <w:rFonts w:hint="default" w:ascii="Arial" w:hAnsi="Arial" w:cs="Arial"/>
          <w:highlight w:val="none"/>
        </w:rPr>
      </w:pPr>
      <w:r>
        <w:rPr>
          <w:rFonts w:hint="default" w:ascii="Arial" w:hAnsi="Arial" w:cs="Arial"/>
          <w:highlight w:val="none"/>
        </w:rPr>
        <w:t>Cardiovascular Disease, or CVD, is known as one of the main causes of mortality and morbidity in the world, while representing specific issues of public health in the UK (Di Cesare et al., 2024; Global Burden of Cardiovascular Diseases and Risks 2023 Collaborators, 2025). CVD specifically refers to the class of diseases which affect the blood vessels or heart, which are developed because of the combination of behavioural, environmental, and socio-economic risk factors (World Heart Federation, 2024). According to the World Health Organisation (2025), a total of 19.8 million people died due to CVD within the year 2022, which represents about 32% of deaths globally and among all of these deaths, about 85% were because of stroke and heart attack. </w:t>
      </w:r>
    </w:p>
    <w:p w14:paraId="16A1E11B">
      <w:pPr>
        <w:pStyle w:val="17"/>
        <w:spacing w:before="0" w:beforeAutospacing="0" w:after="0" w:afterAutospacing="0"/>
        <w:rPr>
          <w:rFonts w:hint="default" w:ascii="Arial" w:hAnsi="Arial" w:cs="Arial"/>
          <w:highlight w:val="none"/>
        </w:rPr>
      </w:pPr>
    </w:p>
    <w:p w14:paraId="5B457F0E">
      <w:pPr>
        <w:pStyle w:val="17"/>
        <w:spacing w:before="0" w:beforeAutospacing="0" w:after="0" w:afterAutospacing="0"/>
        <w:rPr>
          <w:rFonts w:hint="default" w:ascii="Arial" w:hAnsi="Arial" w:cs="Arial"/>
          <w:highlight w:val="none"/>
          <w:lang w:bidi="en-GB"/>
        </w:rPr>
      </w:pPr>
      <w:r>
        <w:rPr>
          <w:rFonts w:hint="default" w:ascii="Arial" w:hAnsi="Arial" w:cs="Arial"/>
          <w:highlight w:val="none"/>
        </w:rPr>
        <w:t>In public health research, the importance of different lifestyle behaviours for identifying the outcomes related to cardiovascular health has been emphasised. Furthermore, according to Limbachia et al. (2022), the burden of CVD in South Asians is at a high level, and to manage the condition, the use of lifestyle interventions helps the most. The development of this research has focused on the overall understanding of all the modifiable lifestyle behaviours which influence CVD health among South Asian adults. All the findings are expected to significantly contribute to public health knowledge while supporting the prevention strategies that are created to manage CVD risks. </w:t>
      </w:r>
      <w:r>
        <w:rPr>
          <w:rFonts w:hint="default" w:ascii="Arial" w:hAnsi="Arial" w:cs="Arial"/>
          <w:highlight w:val="none"/>
          <w:lang w:bidi="en-GB"/>
        </w:rPr>
        <w:t>Understanding how lifestyle-related cardiovascular risks affect South Asian adults in the UK is essential for informing targeted and culturally sensitive public health strategies aimed at reducing health inequalities.</w:t>
      </w:r>
    </w:p>
    <w:p w14:paraId="14282969">
      <w:pPr>
        <w:pStyle w:val="17"/>
        <w:spacing w:before="0" w:beforeAutospacing="0" w:after="0" w:afterAutospacing="0"/>
        <w:rPr>
          <w:rFonts w:hint="default" w:ascii="Arial" w:hAnsi="Arial" w:cs="Arial"/>
          <w:highlight w:val="none"/>
        </w:rPr>
      </w:pPr>
    </w:p>
    <w:p w14:paraId="3DD44887">
      <w:pPr>
        <w:pStyle w:val="3"/>
        <w:numPr>
          <w:ilvl w:val="1"/>
          <w:numId w:val="1"/>
        </w:numPr>
        <w:spacing w:line="480" w:lineRule="auto"/>
        <w:rPr>
          <w:rFonts w:hint="default" w:ascii="Arial" w:hAnsi="Arial" w:cs="Arial"/>
          <w:highlight w:val="none"/>
        </w:rPr>
      </w:pPr>
      <w:bookmarkStart w:id="11" w:name="_Toc228890766"/>
      <w:bookmarkStart w:id="12" w:name="_Toc26857"/>
      <w:r>
        <w:rPr>
          <w:rFonts w:hint="default" w:ascii="Arial" w:hAnsi="Arial" w:cs="Arial"/>
          <w:highlight w:val="none"/>
        </w:rPr>
        <w:t>Background and Current Context</w:t>
      </w:r>
      <w:bookmarkEnd w:id="11"/>
      <w:bookmarkEnd w:id="12"/>
    </w:p>
    <w:p w14:paraId="5D5B4C20">
      <w:pPr>
        <w:pStyle w:val="4"/>
        <w:spacing w:line="480" w:lineRule="auto"/>
        <w:rPr>
          <w:rFonts w:hint="default" w:ascii="Arial" w:hAnsi="Arial" w:cs="Arial"/>
          <w:sz w:val="24"/>
          <w:szCs w:val="24"/>
          <w:highlight w:val="none"/>
        </w:rPr>
      </w:pPr>
      <w:bookmarkStart w:id="13" w:name="_Toc228890767"/>
      <w:bookmarkStart w:id="14" w:name="_Toc21385"/>
      <w:r>
        <w:rPr>
          <w:rFonts w:hint="default" w:ascii="Arial" w:hAnsi="Arial" w:cs="Arial"/>
          <w:sz w:val="24"/>
          <w:szCs w:val="24"/>
          <w:highlight w:val="none"/>
        </w:rPr>
        <w:t>1.2.1 CVD Burden in the UK</w:t>
      </w:r>
      <w:bookmarkEnd w:id="13"/>
      <w:bookmarkEnd w:id="14"/>
    </w:p>
    <w:p w14:paraId="12844118">
      <w:pPr>
        <w:pStyle w:val="17"/>
        <w:spacing w:before="0" w:beforeAutospacing="0" w:after="0" w:afterAutospacing="0"/>
        <w:rPr>
          <w:rFonts w:hint="default" w:ascii="Arial" w:hAnsi="Arial" w:cs="Arial"/>
          <w:highlight w:val="none"/>
          <w:lang w:bidi="en-GB"/>
        </w:rPr>
      </w:pPr>
      <w:r>
        <w:rPr>
          <w:rFonts w:hint="default" w:ascii="Arial" w:hAnsi="Arial" w:cs="Arial"/>
          <w:highlight w:val="none"/>
        </w:rPr>
        <w:t xml:space="preserve">The condition of CVD mainly includes several disorders related to blood vessels and the heart, and it is responsible for the creation of acute events while causing blockage that mainly prevents blood from successfully flowing to the brain or heart (World Health Organisation, 2025). CVD has been identified to be affecting about 7 million people within the UK, while being responsible for 1 in 4 premature deaths in the UK, creating a huge gap in the standard life expectancy (NHS England, 2025). </w:t>
      </w:r>
      <w:r>
        <w:rPr>
          <w:rFonts w:hint="default" w:ascii="Arial" w:hAnsi="Arial" w:cs="Arial"/>
          <w:highlight w:val="none"/>
          <w:lang w:bidi="en-GB"/>
        </w:rPr>
        <w:t>This is significant for public health because it increases pressure on healthcare systems, reduces workforce productivity, and highlights the urgent need for effective prevention and early intervention strategies.</w:t>
      </w:r>
    </w:p>
    <w:p w14:paraId="76C1E48C">
      <w:pPr>
        <w:pStyle w:val="17"/>
        <w:spacing w:before="0" w:beforeAutospacing="0" w:after="0" w:afterAutospacing="0"/>
        <w:rPr>
          <w:rFonts w:hint="default" w:ascii="Arial" w:hAnsi="Arial" w:cs="Arial"/>
          <w:highlight w:val="none"/>
          <w:lang w:bidi="en-GB"/>
        </w:rPr>
      </w:pPr>
    </w:p>
    <w:p w14:paraId="0769BCDC">
      <w:pPr>
        <w:pStyle w:val="4"/>
        <w:spacing w:line="480" w:lineRule="auto"/>
        <w:rPr>
          <w:rFonts w:hint="default" w:ascii="Arial" w:hAnsi="Arial" w:cs="Arial"/>
          <w:sz w:val="24"/>
          <w:szCs w:val="24"/>
          <w:highlight w:val="none"/>
        </w:rPr>
      </w:pPr>
      <w:bookmarkStart w:id="15" w:name="_Toc228890768"/>
      <w:bookmarkStart w:id="16" w:name="_Toc11044"/>
      <w:r>
        <w:rPr>
          <w:rFonts w:hint="default" w:ascii="Arial" w:hAnsi="Arial" w:cs="Arial"/>
          <w:sz w:val="24"/>
          <w:szCs w:val="24"/>
          <w:highlight w:val="none"/>
        </w:rPr>
        <w:t>1.2.2 Higher Risk Among South Asian Adults</w:t>
      </w:r>
      <w:bookmarkEnd w:id="15"/>
      <w:bookmarkEnd w:id="16"/>
    </w:p>
    <w:p w14:paraId="7E7EE9E8">
      <w:pPr>
        <w:pStyle w:val="17"/>
        <w:spacing w:before="0" w:beforeAutospacing="0" w:after="0" w:afterAutospacing="0"/>
        <w:rPr>
          <w:rFonts w:hint="default" w:ascii="Arial" w:hAnsi="Arial" w:cs="Arial"/>
          <w:highlight w:val="none"/>
        </w:rPr>
      </w:pPr>
    </w:p>
    <w:p w14:paraId="65E06D01">
      <w:pPr>
        <w:pStyle w:val="17"/>
        <w:spacing w:before="0" w:beforeAutospacing="0" w:after="0" w:afterAutospacing="0"/>
        <w:rPr>
          <w:rFonts w:hint="default" w:ascii="Arial" w:hAnsi="Arial" w:cs="Arial"/>
          <w:highlight w:val="none"/>
        </w:rPr>
      </w:pPr>
      <w:r>
        <w:rPr>
          <w:rFonts w:hint="default" w:ascii="Arial" w:hAnsi="Arial" w:cs="Arial"/>
          <w:highlight w:val="none"/>
        </w:rPr>
        <w:t>Moreover, as discussed by Mehta (2024), UK South Asians, mainly men, have a two-fold increased risk of having health conditions compared to white European men, and it is the same within South Asian women as well. Even after the improvements within the strategies of prevention and medical treatments, CVD remains one of the major issues of public health among South Asians living in the UK.</w:t>
      </w:r>
      <w:r>
        <w:rPr>
          <w:rFonts w:hint="default" w:ascii="Arial" w:hAnsi="Arial" w:cs="Arial"/>
          <w:highlight w:val="none"/>
          <w:lang w:bidi="en-GB"/>
        </w:rPr>
        <w:t>This highlights a persistent ethnic health inequality that requires targeted and culturally sensitive approaches to reduce risk.</w:t>
      </w:r>
    </w:p>
    <w:p w14:paraId="6DC2A5CA">
      <w:pPr>
        <w:pStyle w:val="17"/>
        <w:spacing w:before="0" w:beforeAutospacing="0" w:after="0" w:afterAutospacing="0"/>
        <w:rPr>
          <w:rFonts w:hint="default" w:ascii="Arial" w:hAnsi="Arial" w:cs="Arial"/>
          <w:highlight w:val="none"/>
        </w:rPr>
      </w:pPr>
    </w:p>
    <w:p w14:paraId="5EBBB87B">
      <w:pPr>
        <w:pStyle w:val="4"/>
        <w:numPr>
          <w:ilvl w:val="2"/>
          <w:numId w:val="2"/>
        </w:numPr>
        <w:spacing w:line="480" w:lineRule="auto"/>
        <w:rPr>
          <w:rFonts w:hint="default" w:ascii="Arial" w:hAnsi="Arial" w:cs="Arial"/>
          <w:sz w:val="24"/>
          <w:szCs w:val="24"/>
          <w:highlight w:val="none"/>
        </w:rPr>
      </w:pPr>
      <w:bookmarkStart w:id="17" w:name="_Toc228890769"/>
      <w:bookmarkStart w:id="18" w:name="_Toc529"/>
      <w:r>
        <w:rPr>
          <w:rFonts w:hint="default" w:ascii="Arial" w:hAnsi="Arial" w:cs="Arial"/>
          <w:sz w:val="24"/>
          <w:szCs w:val="24"/>
          <w:highlight w:val="none"/>
        </w:rPr>
        <w:t>Lifestyle Risk Factors</w:t>
      </w:r>
      <w:bookmarkEnd w:id="17"/>
      <w:bookmarkEnd w:id="18"/>
    </w:p>
    <w:p w14:paraId="62A13B6C">
      <w:pPr>
        <w:pStyle w:val="17"/>
        <w:spacing w:before="0" w:beforeAutospacing="0" w:after="0" w:afterAutospacing="0"/>
        <w:rPr>
          <w:rFonts w:hint="default" w:ascii="Arial" w:hAnsi="Arial" w:cs="Arial"/>
          <w:highlight w:val="none"/>
        </w:rPr>
      </w:pPr>
      <w:r>
        <w:rPr>
          <w:rFonts w:hint="default" w:ascii="Arial" w:hAnsi="Arial" w:cs="Arial"/>
          <w:highlight w:val="none"/>
        </w:rPr>
        <w:t>In the case of CVD, lifestyle factors further play an important role in the progression and development of CVD. As per Jafari et al. (2023), some of the main health determinants of CVD are obesity, smoking, alcohol consumption, unhealthy diet, and stress. Moreover, as per Mozaffarian (2016), the consumption of a diet that has an increased level of cholesterol and saturated fat is considered to be one of the main reasons for CHD, while total fat becomes the ultimate cause associated with obesity. Additionally, physical inactivity has also been identified to be aligned with increased risk of CVD and heart diseases, followed by metabolic disorders and strokes. It has also been acknowledged by the World Health Organisation (2024) that, through doing physical activity regularly, several mental and physical health benefits can be achieved, and it also helps in preventing diseases like CVD, diabetes, and many more. Furthermore, smoking has been identified as a major risk factor which contributes to the development of CVD through damaging blood vessels and increasing blood pressure as well. </w:t>
      </w:r>
    </w:p>
    <w:p w14:paraId="6668E848">
      <w:pPr>
        <w:pStyle w:val="17"/>
        <w:spacing w:before="0" w:beforeAutospacing="0" w:after="0" w:afterAutospacing="0"/>
        <w:rPr>
          <w:rFonts w:hint="default" w:ascii="Arial" w:hAnsi="Arial" w:cs="Arial"/>
          <w:highlight w:val="none"/>
        </w:rPr>
      </w:pPr>
    </w:p>
    <w:p w14:paraId="5E7177EC">
      <w:pPr>
        <w:pStyle w:val="17"/>
        <w:spacing w:before="0" w:beforeAutospacing="0" w:after="0" w:afterAutospacing="0"/>
        <w:rPr>
          <w:rFonts w:hint="default" w:ascii="Arial" w:hAnsi="Arial" w:cs="Arial"/>
          <w:highlight w:val="none"/>
        </w:rPr>
      </w:pPr>
      <w:r>
        <w:rPr>
          <w:rFonts w:hint="default" w:ascii="Arial" w:hAnsi="Arial" w:cs="Arial"/>
          <w:highlight w:val="none"/>
        </w:rPr>
        <w:t>According to the Centres for Disease Control and Prevention (2024), quitting smoking can help protect people from death and cardiovascular diseases while making improvements in the levels of good cholesterol as well. </w:t>
      </w:r>
    </w:p>
    <w:p w14:paraId="421282D5">
      <w:pPr>
        <w:pStyle w:val="17"/>
        <w:spacing w:before="0" w:beforeAutospacing="0" w:after="0" w:afterAutospacing="0"/>
        <w:rPr>
          <w:rFonts w:hint="default" w:ascii="Arial" w:hAnsi="Arial" w:cs="Arial"/>
          <w:highlight w:val="none"/>
        </w:rPr>
      </w:pPr>
    </w:p>
    <w:p w14:paraId="2943CB91">
      <w:pPr>
        <w:pStyle w:val="17"/>
        <w:spacing w:before="0" w:beforeAutospacing="0" w:after="0" w:afterAutospacing="0"/>
        <w:rPr>
          <w:rFonts w:hint="default" w:ascii="Arial" w:hAnsi="Arial" w:cs="Arial"/>
          <w:highlight w:val="none"/>
          <w:lang w:val="en-IN"/>
        </w:rPr>
      </w:pPr>
      <w:r>
        <w:rPr>
          <w:rFonts w:hint="default" w:ascii="Arial" w:hAnsi="Arial" w:cs="Arial"/>
          <w:highlight w:val="none"/>
        </w:rPr>
        <w:t>Exposure to second-hand smoke, which develops from the burning tobacco products such as cigars, cigarettes, hookahs, and pipes, within work or at home, enhances their risk of developing heart diseases by about 25%–30% (Centres for Disease Control and Prevention, 2024). Along with smoking, increased levels of alcohol consumption can also enhance the levels of blood pressure while contributing to the complications related to the heart. As discussed by Kivimäki and Steptoe (2018), while comparing childhood and adulthood stress, it has been identified that there are several risk factors related to adulthood stress, which are high blood pressure, smoking, and increased serum cholesterol levels. </w:t>
      </w:r>
      <w:r>
        <w:rPr>
          <w:rFonts w:hint="default" w:ascii="Arial" w:hAnsi="Arial" w:cs="Arial"/>
          <w:highlight w:val="none"/>
          <w:lang w:val="en-IN"/>
        </w:rPr>
        <w:t>These lifestyle factors collectively increase cardiovascular risk, and their combined effects can significantly worsen health outcomes if not addressed through preventive measures.</w:t>
      </w:r>
    </w:p>
    <w:p w14:paraId="0F4ABF64">
      <w:pPr>
        <w:pStyle w:val="17"/>
        <w:spacing w:before="0" w:beforeAutospacing="0" w:after="0" w:afterAutospacing="0"/>
        <w:rPr>
          <w:rFonts w:hint="default" w:ascii="Arial" w:hAnsi="Arial" w:cs="Arial"/>
          <w:highlight w:val="none"/>
          <w:lang w:val="en-IN"/>
        </w:rPr>
      </w:pPr>
    </w:p>
    <w:p w14:paraId="28E54C79">
      <w:pPr>
        <w:pStyle w:val="4"/>
        <w:spacing w:line="480" w:lineRule="auto"/>
        <w:rPr>
          <w:rFonts w:hint="default" w:ascii="Arial" w:hAnsi="Arial" w:cs="Arial"/>
          <w:sz w:val="24"/>
          <w:szCs w:val="24"/>
          <w:highlight w:val="none"/>
          <w:lang w:val="en-IN"/>
        </w:rPr>
      </w:pPr>
      <w:bookmarkStart w:id="19" w:name="_Toc228890770"/>
      <w:bookmarkStart w:id="20" w:name="_Toc14206"/>
      <w:r>
        <w:rPr>
          <w:rFonts w:hint="default" w:ascii="Arial" w:hAnsi="Arial" w:cs="Arial"/>
          <w:sz w:val="24"/>
          <w:szCs w:val="24"/>
          <w:highlight w:val="none"/>
          <w:lang w:val="en-IN"/>
        </w:rPr>
        <w:t>1.2.4 Cultural and Socioeconomic Influences</w:t>
      </w:r>
      <w:bookmarkEnd w:id="19"/>
      <w:bookmarkEnd w:id="20"/>
    </w:p>
    <w:p w14:paraId="262CB1CB">
      <w:pPr>
        <w:pStyle w:val="17"/>
        <w:spacing w:before="0" w:beforeAutospacing="0" w:after="0" w:afterAutospacing="0"/>
        <w:rPr>
          <w:rFonts w:hint="default" w:ascii="Arial" w:hAnsi="Arial" w:cs="Arial"/>
          <w:highlight w:val="none"/>
        </w:rPr>
      </w:pPr>
      <w:r>
        <w:rPr>
          <w:rFonts w:hint="default" w:ascii="Arial" w:hAnsi="Arial" w:cs="Arial"/>
          <w:highlight w:val="none"/>
        </w:rPr>
        <w:t>In the UK, among ethnic disparities, the outcomes of cardiovascular health have been identified to be well documented. South Asian communities, including Pakistani, Indian, Sri Lankan, and Bangladeshi, suffer from inequalities within the UK, which increase their health concerns as well (Raleigh, 2023). It has also been identified that South Asians develop the condition of CVD earlier than any other kind of ethnic group. According to Raleigh (2023), different types of cultural traditions and behavioural aspects, followed by other characteristics within ethnic groups, have also been some of the major determinants of poor health conditions among South Asians in the UK. Additionally, having different methods of cooking in the cuisine of South Asia, which include the inclusion of frying foods within ghee or oil, often increases the intake of dietary fat among individuals as well. </w:t>
      </w:r>
    </w:p>
    <w:p w14:paraId="1BAD8A32">
      <w:pPr>
        <w:pStyle w:val="17"/>
        <w:spacing w:before="0" w:beforeAutospacing="0" w:after="0" w:afterAutospacing="0"/>
        <w:rPr>
          <w:rFonts w:hint="default" w:ascii="Arial" w:hAnsi="Arial" w:cs="Arial"/>
          <w:highlight w:val="none"/>
        </w:rPr>
      </w:pPr>
    </w:p>
    <w:p w14:paraId="6B9B64A5">
      <w:pPr>
        <w:pStyle w:val="17"/>
        <w:spacing w:before="0" w:beforeAutospacing="0" w:after="0" w:afterAutospacing="0"/>
        <w:rPr>
          <w:rFonts w:hint="default" w:ascii="Arial" w:hAnsi="Arial" w:cs="Arial"/>
          <w:highlight w:val="none"/>
        </w:rPr>
      </w:pPr>
      <w:r>
        <w:rPr>
          <w:rFonts w:hint="default" w:ascii="Arial" w:hAnsi="Arial" w:cs="Arial"/>
          <w:highlight w:val="none"/>
        </w:rPr>
        <w:t>Furthermore, as per UKBiobank (2025), it has also been acknowledged that because of the presence of type 2 diabetes among South Asian adults in the UK, the chances of developing CVD among them are higher. Additionally, physical inactivity among the South Asian populations has also been identified as a major risk associated with cardiovascular health. According to Bhatnagar et al. (2016), physical activity level among South Asians who are within the age group of 55 years and older has been identified to be lower than that of the other ethnic groups; however, among women who are 16 to 34 years, there is the presence of a normal physical activity level. Different types of occupational patterns and cultural norms, followed by limited access to exercise opportunities, often contribute to decreased participation of individuals in physical activities as well. The presence of sedentary lifestyles has also been acknowledged to be the leading factor of metabolic disorders like CVD and obesity, while being linked to the condition of cardiovascular disease. </w:t>
      </w:r>
    </w:p>
    <w:p w14:paraId="43710EE5">
      <w:pPr>
        <w:pStyle w:val="17"/>
        <w:spacing w:before="0" w:beforeAutospacing="0" w:after="0" w:afterAutospacing="0"/>
        <w:rPr>
          <w:rFonts w:hint="default" w:ascii="Arial" w:hAnsi="Arial" w:cs="Arial"/>
          <w:highlight w:val="none"/>
        </w:rPr>
      </w:pPr>
    </w:p>
    <w:p w14:paraId="635531E5">
      <w:pPr>
        <w:pStyle w:val="4"/>
        <w:spacing w:line="480" w:lineRule="auto"/>
        <w:rPr>
          <w:rFonts w:hint="default" w:ascii="Arial" w:hAnsi="Arial" w:cs="Arial"/>
          <w:sz w:val="24"/>
          <w:szCs w:val="24"/>
          <w:highlight w:val="none"/>
        </w:rPr>
      </w:pPr>
      <w:bookmarkStart w:id="21" w:name="_Toc228890771"/>
      <w:bookmarkStart w:id="22" w:name="_Toc11848"/>
      <w:r>
        <w:rPr>
          <w:rFonts w:hint="default" w:ascii="Arial" w:hAnsi="Arial" w:cs="Arial"/>
          <w:sz w:val="24"/>
          <w:szCs w:val="24"/>
          <w:highlight w:val="none"/>
        </w:rPr>
        <w:t>1.2.5 Current Public Health Response</w:t>
      </w:r>
      <w:bookmarkEnd w:id="21"/>
      <w:bookmarkEnd w:id="22"/>
    </w:p>
    <w:p w14:paraId="5667FBB3">
      <w:pPr>
        <w:pStyle w:val="17"/>
        <w:spacing w:before="0" w:beforeAutospacing="0" w:after="0" w:afterAutospacing="0"/>
        <w:rPr>
          <w:rFonts w:hint="default" w:ascii="Arial" w:hAnsi="Arial" w:cs="Arial"/>
          <w:highlight w:val="none"/>
        </w:rPr>
      </w:pPr>
    </w:p>
    <w:p w14:paraId="6E2FF63D">
      <w:pPr>
        <w:pStyle w:val="17"/>
        <w:spacing w:before="0" w:beforeAutospacing="0" w:after="0" w:afterAutospacing="0"/>
        <w:rPr>
          <w:rFonts w:hint="default" w:ascii="Arial" w:hAnsi="Arial" w:cs="Arial"/>
          <w:highlight w:val="none"/>
          <w:lang w:bidi="en-GB"/>
        </w:rPr>
      </w:pPr>
      <w:r>
        <w:rPr>
          <w:rFonts w:hint="default" w:ascii="Arial" w:hAnsi="Arial" w:cs="Arial"/>
          <w:highlight w:val="none"/>
        </w:rPr>
        <w:t>All the current policies of public health within the UK have been identified to manage the ethnic inequalities associated with all the health outcomes among South Asian individuals. According to NHS England (2025), the Long-Term Plan of the NHS mainly planned to prevent more than 150,000 cases of heart attacks, dementia, and strokes by the year 2029 while outlining the importance of community and voluntary sectors as well. There are several other initiatives which have also been targeted to successfully promote healthier lifestyle choices, along with reducing the risks of cardiovascular disease among the population who are at higher risk. Overall, by focusing on all the identified evidence, this research further focuses on contributing to a better understanding of the risk patterns associated with CVD in the selected population, along with supporting the targeted strategies of prevention as well. </w:t>
      </w:r>
      <w:r>
        <w:rPr>
          <w:rFonts w:hint="default" w:ascii="Arial" w:hAnsi="Arial" w:cs="Arial"/>
          <w:highlight w:val="none"/>
          <w:lang w:bidi="en-GB"/>
        </w:rPr>
        <w:t>This will help in developing more effective, inclusive, and culturally sensitive public health interventions for South Asian communities in the UK.</w:t>
      </w:r>
    </w:p>
    <w:p w14:paraId="69989C2F">
      <w:pPr>
        <w:pStyle w:val="17"/>
        <w:spacing w:before="0" w:beforeAutospacing="0" w:after="0" w:afterAutospacing="0"/>
        <w:rPr>
          <w:rFonts w:hint="default" w:ascii="Arial" w:hAnsi="Arial" w:cs="Arial"/>
          <w:highlight w:val="none"/>
          <w:lang w:bidi="en-GB"/>
        </w:rPr>
      </w:pPr>
    </w:p>
    <w:p w14:paraId="61900104">
      <w:pPr>
        <w:pStyle w:val="3"/>
        <w:numPr>
          <w:ilvl w:val="1"/>
          <w:numId w:val="2"/>
        </w:numPr>
        <w:spacing w:line="480" w:lineRule="auto"/>
        <w:rPr>
          <w:rFonts w:hint="default" w:ascii="Arial" w:hAnsi="Arial" w:cs="Arial"/>
          <w:highlight w:val="none"/>
        </w:rPr>
      </w:pPr>
      <w:bookmarkStart w:id="23" w:name="_Toc29611"/>
      <w:r>
        <w:rPr>
          <w:rFonts w:hint="default" w:ascii="Arial" w:hAnsi="Arial" w:cs="Arial"/>
          <w:highlight w:val="none"/>
        </w:rPr>
        <w:t>Rationale for Research or Problem Statement</w:t>
      </w:r>
      <w:bookmarkEnd w:id="23"/>
    </w:p>
    <w:p w14:paraId="302EADD8">
      <w:pPr>
        <w:pStyle w:val="17"/>
        <w:spacing w:before="0" w:beforeAutospacing="0" w:after="0" w:afterAutospacing="0"/>
        <w:rPr>
          <w:rFonts w:hint="default" w:ascii="Arial" w:hAnsi="Arial" w:cs="Arial"/>
          <w:color w:val="222222"/>
          <w:szCs w:val="22"/>
          <w:highlight w:val="none"/>
        </w:rPr>
      </w:pPr>
      <w:r>
        <w:rPr>
          <w:rFonts w:hint="default" w:ascii="Arial" w:hAnsi="Arial" w:cs="Arial"/>
          <w:highlight w:val="none"/>
        </w:rPr>
        <w:t>CVD is a continuous major risk to public health in the UK, and mainly in all the ethnic minority populations who are South Asians. Studies like Limbachia et al. (2022) and Palaniappan et al. (2018) have also indicated that South Asians specifically experience an increased rate of CVD and also develop the related conditions at a very young age, while comparing with the general population. . </w:t>
      </w:r>
      <w:r>
        <w:rPr>
          <w:rFonts w:hint="default" w:ascii="Arial" w:hAnsi="Arial" w:cs="Arial"/>
          <w:color w:val="222222"/>
          <w:szCs w:val="22"/>
          <w:highlight w:val="none"/>
        </w:rPr>
        <w:t>However, there is a limited amount of research for evaluating the interactions of lifestyle behaviours with the cultural practices, family expectations, migration experiences, and also socio-economic barriers among all the South Asian adults who are living within the UK.</w:t>
      </w:r>
    </w:p>
    <w:p w14:paraId="7E70F2F4">
      <w:pPr>
        <w:pStyle w:val="17"/>
        <w:spacing w:before="0" w:beforeAutospacing="0" w:after="0" w:afterAutospacing="0"/>
        <w:rPr>
          <w:rFonts w:hint="default" w:ascii="Arial" w:hAnsi="Arial" w:cs="Arial"/>
          <w:highlight w:val="none"/>
        </w:rPr>
      </w:pPr>
    </w:p>
    <w:p w14:paraId="09CFFE0E">
      <w:pPr>
        <w:pStyle w:val="17"/>
        <w:spacing w:before="0" w:beforeAutospacing="0" w:after="0" w:afterAutospacing="0"/>
        <w:rPr>
          <w:rFonts w:hint="default" w:ascii="Arial" w:hAnsi="Arial" w:cs="Arial"/>
          <w:color w:val="222222"/>
          <w:szCs w:val="22"/>
          <w:highlight w:val="none"/>
        </w:rPr>
      </w:pPr>
      <w:r>
        <w:rPr>
          <w:rFonts w:hint="default" w:ascii="Arial" w:hAnsi="Arial" w:cs="Arial"/>
          <w:highlight w:val="none"/>
        </w:rPr>
        <w:t xml:space="preserve">The overall purpose of this research is to evaluate the effects of all the modifiable lifestyle factors in influencing CVD health outcomes within the South Asian adults living within the UK. However, the scope of this research is limited only to South Asian adults who are between 25 and 65 years and are living within the UK, while focusing on all the lifestyle determinants. </w:t>
      </w:r>
      <w:r>
        <w:rPr>
          <w:rFonts w:hint="default" w:ascii="Arial" w:hAnsi="Arial" w:cs="Arial"/>
          <w:color w:val="222222"/>
          <w:szCs w:val="22"/>
          <w:highlight w:val="none"/>
        </w:rPr>
        <w:t>Although the already existing articles recognise the growing risks of cardiovascular disease within the South Asian populations, less attention has been given to the overall influence of migration-related and cultural tradition-based adjustments.</w:t>
      </w:r>
    </w:p>
    <w:p w14:paraId="10481263">
      <w:pPr>
        <w:pStyle w:val="17"/>
        <w:spacing w:before="0" w:beforeAutospacing="0" w:after="0" w:afterAutospacing="0"/>
        <w:rPr>
          <w:rFonts w:hint="default" w:ascii="Arial" w:hAnsi="Arial" w:cs="Arial"/>
          <w:highlight w:val="none"/>
        </w:rPr>
      </w:pPr>
    </w:p>
    <w:p w14:paraId="3E3A9BD6">
      <w:pPr>
        <w:pStyle w:val="3"/>
        <w:numPr>
          <w:ilvl w:val="1"/>
          <w:numId w:val="2"/>
        </w:numPr>
        <w:tabs>
          <w:tab w:val="left" w:pos="5445"/>
        </w:tabs>
        <w:spacing w:line="480" w:lineRule="auto"/>
        <w:rPr>
          <w:rFonts w:hint="default" w:ascii="Arial" w:hAnsi="Arial" w:cs="Arial"/>
          <w:highlight w:val="none"/>
        </w:rPr>
      </w:pPr>
      <w:bookmarkStart w:id="24" w:name="_Toc6505"/>
      <w:r>
        <w:rPr>
          <w:rFonts w:hint="default" w:ascii="Arial" w:hAnsi="Arial" w:cs="Arial"/>
          <w:highlight w:val="none"/>
        </w:rPr>
        <w:t>Research Question</w:t>
      </w:r>
      <w:bookmarkEnd w:id="24"/>
      <w:r>
        <w:rPr>
          <w:rFonts w:hint="default" w:ascii="Arial" w:hAnsi="Arial" w:cs="Arial"/>
          <w:highlight w:val="none"/>
        </w:rPr>
        <w:tab/>
      </w:r>
    </w:p>
    <w:p w14:paraId="673A2900">
      <w:pPr>
        <w:pStyle w:val="17"/>
        <w:spacing w:before="0" w:beforeAutospacing="0" w:after="0" w:afterAutospacing="0"/>
        <w:rPr>
          <w:rFonts w:hint="default" w:ascii="Arial" w:hAnsi="Arial" w:cs="Arial"/>
          <w:highlight w:val="none"/>
        </w:rPr>
      </w:pPr>
      <w:r>
        <w:rPr>
          <w:rFonts w:hint="default" w:ascii="Arial" w:hAnsi="Arial" w:cs="Arial"/>
          <w:highlight w:val="none"/>
        </w:rPr>
        <w:t>How do modifiable lifestyle factors influence cardiovascular disease risk among South Asian adults aged 25–65 years living in the UK?</w:t>
      </w:r>
    </w:p>
    <w:p w14:paraId="76D16D98">
      <w:pPr>
        <w:pStyle w:val="17"/>
        <w:spacing w:before="0" w:beforeAutospacing="0" w:after="0" w:afterAutospacing="0"/>
        <w:rPr>
          <w:rFonts w:hint="default" w:ascii="Arial" w:hAnsi="Arial" w:cs="Arial"/>
          <w:highlight w:val="none"/>
        </w:rPr>
      </w:pPr>
    </w:p>
    <w:p w14:paraId="5E9D7EF9">
      <w:pPr>
        <w:pStyle w:val="3"/>
        <w:numPr>
          <w:ilvl w:val="1"/>
          <w:numId w:val="2"/>
        </w:numPr>
        <w:spacing w:line="480" w:lineRule="auto"/>
        <w:rPr>
          <w:rFonts w:hint="default" w:ascii="Arial" w:hAnsi="Arial" w:cs="Arial"/>
          <w:highlight w:val="none"/>
        </w:rPr>
      </w:pPr>
      <w:bookmarkStart w:id="25" w:name="_Toc11500"/>
      <w:r>
        <w:rPr>
          <w:rFonts w:hint="default" w:ascii="Arial" w:hAnsi="Arial" w:cs="Arial"/>
          <w:highlight w:val="none"/>
        </w:rPr>
        <w:t>Research Aim</w:t>
      </w:r>
      <w:bookmarkEnd w:id="25"/>
    </w:p>
    <w:p w14:paraId="6C11035C">
      <w:pPr>
        <w:pStyle w:val="17"/>
        <w:spacing w:before="0" w:beforeAutospacing="0" w:after="0" w:afterAutospacing="0"/>
        <w:rPr>
          <w:rFonts w:hint="default" w:ascii="Arial" w:hAnsi="Arial" w:cs="Arial"/>
          <w:highlight w:val="none"/>
        </w:rPr>
      </w:pPr>
      <w:r>
        <w:rPr>
          <w:rFonts w:hint="default" w:ascii="Arial" w:hAnsi="Arial" w:cs="Arial"/>
          <w:highlight w:val="none"/>
        </w:rPr>
        <w:t>This particular research aims to examine the influence of modifiable lifestyle factors on cardiovascular health outcomes among South Asian adults aged 25–65 years living in the UK. The particular study will also focus on identifying trends of various lifestyle risks, prevention opportunities, and supporting culturally viable strategies of preventing cardiovascular disease among such populations.</w:t>
      </w:r>
    </w:p>
    <w:p w14:paraId="73411222">
      <w:pPr>
        <w:pStyle w:val="17"/>
        <w:spacing w:before="0" w:beforeAutospacing="0" w:after="0" w:afterAutospacing="0"/>
        <w:rPr>
          <w:rFonts w:hint="default" w:ascii="Arial" w:hAnsi="Arial" w:cs="Arial"/>
          <w:highlight w:val="none"/>
        </w:rPr>
      </w:pPr>
    </w:p>
    <w:p w14:paraId="165B36B3">
      <w:pPr>
        <w:pStyle w:val="3"/>
        <w:numPr>
          <w:ilvl w:val="1"/>
          <w:numId w:val="2"/>
        </w:numPr>
        <w:spacing w:line="480" w:lineRule="auto"/>
        <w:rPr>
          <w:rFonts w:hint="default" w:ascii="Arial" w:hAnsi="Arial" w:cs="Arial"/>
          <w:highlight w:val="none"/>
        </w:rPr>
      </w:pPr>
      <w:bookmarkStart w:id="26" w:name="_Toc28895"/>
      <w:r>
        <w:rPr>
          <w:rFonts w:hint="default" w:ascii="Arial" w:hAnsi="Arial" w:cs="Arial"/>
          <w:highlight w:val="none"/>
        </w:rPr>
        <w:t>Research Objectives</w:t>
      </w:r>
      <w:bookmarkEnd w:id="26"/>
    </w:p>
    <w:p w14:paraId="116B0158">
      <w:pPr>
        <w:pStyle w:val="30"/>
        <w:numPr>
          <w:ilvl w:val="0"/>
          <w:numId w:val="3"/>
        </w:numPr>
        <w:rPr>
          <w:rFonts w:hint="default" w:ascii="Arial" w:hAnsi="Arial" w:cs="Arial"/>
          <w:highlight w:val="none"/>
        </w:rPr>
      </w:pPr>
      <w:r>
        <w:rPr>
          <w:rFonts w:hint="default" w:ascii="Arial" w:hAnsi="Arial" w:cs="Arial"/>
          <w:highlight w:val="none"/>
        </w:rPr>
        <w:t>To examine how lifestyle factors such as diet, physical activity, smoking, alcohol consumption, and stress influence cardiovascular health outcomes and result in South Asian adults.</w:t>
      </w:r>
    </w:p>
    <w:p w14:paraId="511F4085">
      <w:pPr>
        <w:pStyle w:val="30"/>
        <w:numPr>
          <w:ilvl w:val="0"/>
          <w:numId w:val="3"/>
        </w:numPr>
        <w:rPr>
          <w:rFonts w:hint="default" w:ascii="Arial" w:hAnsi="Arial" w:cs="Arial"/>
          <w:highlight w:val="none"/>
        </w:rPr>
      </w:pPr>
      <w:r>
        <w:rPr>
          <w:rFonts w:hint="default" w:ascii="Arial" w:hAnsi="Arial" w:cs="Arial"/>
          <w:highlight w:val="none"/>
        </w:rPr>
        <w:t>To analyse how migration, cultural practices, and socioeconomic conditions impact lifestyle behaviours related to cardiovascular health risks within this population.</w:t>
      </w:r>
    </w:p>
    <w:p w14:paraId="36FB06F5">
      <w:pPr>
        <w:pStyle w:val="17"/>
        <w:numPr>
          <w:ilvl w:val="0"/>
          <w:numId w:val="3"/>
        </w:numPr>
        <w:spacing w:before="0" w:beforeAutospacing="0" w:after="0" w:afterAutospacing="0"/>
        <w:rPr>
          <w:rFonts w:hint="default" w:ascii="Arial" w:hAnsi="Arial" w:cs="Arial"/>
          <w:highlight w:val="none"/>
        </w:rPr>
      </w:pPr>
      <w:r>
        <w:rPr>
          <w:rFonts w:hint="default" w:ascii="Arial" w:hAnsi="Arial" w:cs="Arial"/>
          <w:highlight w:val="none"/>
        </w:rPr>
        <w:t>To critically review existing literature to identify any kinds of gaps and offer evidence-based recommendations, particularly for future research, public health interventions, and policy initiatives aimed at improving cardiovascular health among the South Asian community.</w:t>
      </w:r>
    </w:p>
    <w:p w14:paraId="52F08378">
      <w:pPr>
        <w:pStyle w:val="17"/>
        <w:spacing w:before="0" w:beforeAutospacing="0" w:after="0" w:afterAutospacing="0"/>
        <w:rPr>
          <w:rFonts w:hint="default" w:ascii="Arial" w:hAnsi="Arial" w:cs="Arial"/>
          <w:highlight w:val="none"/>
        </w:rPr>
      </w:pPr>
    </w:p>
    <w:p w14:paraId="76658585">
      <w:pPr>
        <w:pStyle w:val="3"/>
        <w:numPr>
          <w:ilvl w:val="1"/>
          <w:numId w:val="2"/>
        </w:numPr>
        <w:spacing w:line="480" w:lineRule="auto"/>
        <w:rPr>
          <w:rFonts w:hint="default" w:ascii="Arial" w:hAnsi="Arial" w:cs="Arial"/>
          <w:highlight w:val="none"/>
        </w:rPr>
      </w:pPr>
      <w:bookmarkStart w:id="27" w:name="_Toc17278"/>
      <w:r>
        <w:rPr>
          <w:rFonts w:hint="default" w:ascii="Arial" w:hAnsi="Arial" w:cs="Arial"/>
          <w:highlight w:val="none"/>
        </w:rPr>
        <w:t>Chapter summary</w:t>
      </w:r>
      <w:bookmarkEnd w:id="27"/>
    </w:p>
    <w:p w14:paraId="4F64DE07">
      <w:pPr>
        <w:pStyle w:val="17"/>
        <w:spacing w:before="0" w:beforeAutospacing="0" w:after="0" w:afterAutospacing="0"/>
        <w:rPr>
          <w:rFonts w:hint="default" w:ascii="Arial" w:hAnsi="Arial" w:cs="Arial"/>
          <w:highlight w:val="none"/>
        </w:rPr>
      </w:pPr>
      <w:r>
        <w:rPr>
          <w:rFonts w:hint="default" w:ascii="Arial" w:hAnsi="Arial" w:cs="Arial"/>
          <w:highlight w:val="none"/>
        </w:rPr>
        <w:t>This chapter has successfully introduced the topic of this research while highlighting the overall importance related to the evaluation of lifestyle factors that influence CVD health within South Asian adults who are in the UK. The research has also provided in-depth background information about CVD and all the other lifestyle determinants, along with ethical disparities associated with health outcomes. A structured representation of a proper rationale, objectives, aim, and question for this research has been done in this chapter. The next chapter will now focus on the evaluation of already existing articles which are related to the research topic.</w:t>
      </w:r>
    </w:p>
    <w:p w14:paraId="6BA6A123">
      <w:pPr>
        <w:rPr>
          <w:rFonts w:hint="default" w:ascii="Arial" w:hAnsi="Arial" w:cs="Arial"/>
          <w:highlight w:val="none"/>
        </w:rPr>
        <w:sectPr>
          <w:pgSz w:w="11906" w:h="16838"/>
          <w:pgMar w:top="1440" w:right="1440" w:bottom="1440" w:left="1440" w:header="708" w:footer="708" w:gutter="0"/>
          <w:cols w:space="708" w:num="1"/>
          <w:docGrid w:linePitch="360" w:charSpace="0"/>
        </w:sectPr>
      </w:pPr>
    </w:p>
    <w:p w14:paraId="41924341">
      <w:pPr>
        <w:pStyle w:val="2"/>
        <w:bidi w:val="0"/>
        <w:spacing w:line="480" w:lineRule="auto"/>
        <w:rPr>
          <w:rFonts w:hint="default"/>
          <w:lang w:val="en-US"/>
        </w:rPr>
      </w:pPr>
      <w:bookmarkStart w:id="28" w:name="_Toc25197"/>
      <w:bookmarkStart w:id="29" w:name="_Toc228890778"/>
      <w:r>
        <w:rPr>
          <w:rFonts w:hint="default"/>
          <w:lang w:val="en-US"/>
        </w:rPr>
        <w:t>CHAPTER 2: LITERATURE REVIEW</w:t>
      </w:r>
      <w:bookmarkEnd w:id="28"/>
    </w:p>
    <w:p w14:paraId="4A8BB39C">
      <w:pPr>
        <w:pStyle w:val="3"/>
        <w:spacing w:line="480" w:lineRule="auto"/>
        <w:ind w:left="0"/>
        <w:rPr>
          <w:rFonts w:hint="default" w:ascii="Arial" w:hAnsi="Arial" w:cs="Arial"/>
          <w:highlight w:val="none"/>
        </w:rPr>
      </w:pPr>
      <w:bookmarkStart w:id="30" w:name="_Toc10924"/>
      <w:r>
        <w:rPr>
          <w:rFonts w:hint="default" w:ascii="Arial" w:hAnsi="Arial" w:cs="Arial"/>
          <w:highlight w:val="none"/>
        </w:rPr>
        <w:t>2.1 Introduction to Literature Review</w:t>
      </w:r>
      <w:bookmarkEnd w:id="29"/>
      <w:bookmarkEnd w:id="30"/>
    </w:p>
    <w:p w14:paraId="6C7631A0">
      <w:pPr>
        <w:widowControl/>
        <w:autoSpaceDE/>
        <w:autoSpaceDN/>
        <w:rPr>
          <w:rFonts w:hint="default" w:ascii="Arial" w:hAnsi="Arial" w:cs="Arial"/>
          <w:highlight w:val="none"/>
        </w:rPr>
      </w:pPr>
      <w:r>
        <w:rPr>
          <w:rFonts w:hint="default" w:ascii="Arial" w:hAnsi="Arial" w:cs="Arial"/>
          <w:highlight w:val="none"/>
        </w:rPr>
        <w:t>The chapter is a literature review of the available academic publications on cardiovascular disease (CVD) and the application of lifestyle behaviours among South Asian adults. It deals with such urgent questions as the prevalence and risk of CVD in South Asian populations, the role that modifiable lifestyle factors play in cardiovascular health, and how socio-cultural and migration-related determinants shape lifestyle behaviour. The chapter also discusses the preventive and health promotion interventions that are currently in place to assist in reducing cardiovascular risk. Through a critical analysis of existing literature, the chapter is able to identify the major gaps in the knowledge.In addition, this chapter aims to critically evaluate existing evidence, identify patterns and inconsistencies, compare findings across studies, and justify the need for the current systematic literature review.</w:t>
      </w:r>
    </w:p>
    <w:p w14:paraId="0D5AABAF">
      <w:pPr>
        <w:widowControl/>
        <w:autoSpaceDE/>
        <w:autoSpaceDN/>
        <w:rPr>
          <w:rFonts w:hint="default" w:ascii="Arial" w:hAnsi="Arial" w:cs="Arial"/>
          <w:highlight w:val="none"/>
        </w:rPr>
      </w:pPr>
    </w:p>
    <w:p w14:paraId="3F772FEA">
      <w:pPr>
        <w:pStyle w:val="3"/>
        <w:spacing w:line="480" w:lineRule="auto"/>
        <w:ind w:left="0"/>
        <w:rPr>
          <w:rFonts w:hint="default" w:ascii="Arial" w:hAnsi="Arial" w:cs="Arial"/>
          <w:highlight w:val="none"/>
        </w:rPr>
      </w:pPr>
      <w:bookmarkStart w:id="31" w:name="_Toc228890779"/>
      <w:bookmarkStart w:id="32" w:name="_Toc26233"/>
      <w:r>
        <w:rPr>
          <w:rFonts w:hint="default" w:ascii="Arial" w:hAnsi="Arial" w:cs="Arial"/>
          <w:highlight w:val="none"/>
        </w:rPr>
        <w:t>2.2 Review of Existing Evidence: Literature review</w:t>
      </w:r>
      <w:bookmarkEnd w:id="31"/>
      <w:bookmarkEnd w:id="32"/>
    </w:p>
    <w:p w14:paraId="7AE60785">
      <w:pPr>
        <w:pStyle w:val="4"/>
        <w:spacing w:line="480" w:lineRule="auto"/>
        <w:ind w:left="0"/>
        <w:rPr>
          <w:rFonts w:hint="default" w:ascii="Arial" w:hAnsi="Arial" w:cs="Arial"/>
          <w:sz w:val="24"/>
          <w:szCs w:val="24"/>
          <w:highlight w:val="none"/>
        </w:rPr>
      </w:pPr>
      <w:bookmarkStart w:id="33" w:name="_Toc228890780"/>
      <w:bookmarkStart w:id="34" w:name="_Toc10854"/>
      <w:r>
        <w:rPr>
          <w:rFonts w:hint="default" w:ascii="Arial" w:hAnsi="Arial" w:cs="Arial"/>
          <w:sz w:val="24"/>
          <w:szCs w:val="24"/>
          <w:highlight w:val="none"/>
        </w:rPr>
        <w:t>2.2.1 Overview of Cardiovascular Disease and Risk among South Asian Populations</w:t>
      </w:r>
      <w:bookmarkEnd w:id="33"/>
      <w:bookmarkEnd w:id="34"/>
    </w:p>
    <w:p w14:paraId="65BB6C08">
      <w:pPr>
        <w:widowControl/>
        <w:autoSpaceDE/>
        <w:autoSpaceDN/>
        <w:rPr>
          <w:rFonts w:hint="default" w:ascii="Arial" w:hAnsi="Arial" w:cs="Arial"/>
          <w:highlight w:val="none"/>
        </w:rPr>
      </w:pPr>
      <w:r>
        <w:rPr>
          <w:rFonts w:hint="default" w:ascii="Arial" w:hAnsi="Arial" w:cs="Arial"/>
          <w:highlight w:val="none"/>
        </w:rPr>
        <w:t>This section focuses particularly on South Asian adults living in the UK; however, where regional South Asian evidence is used, it is applied to provide contextual understanding while acknowledging that migrant experiences and risk patterns in the UK may differ due to environmental, social, and healthcare-related factors.CVD (cardiovascular disease) is one of the main health problems of the South Asian communities, and research has revealed that there is a disproportionately high burdenof cardiovascular disease among all ethnic groups. Volgmanet al. (2018) assembled epidemiological and clinical data in a scientific statement to examine atherosclerotic cardiovascular disease (ASCVD) in South Asians. According to the authors, based on a narrative review design, which consolidated observations of many observational and clinical studies, the rate of cardiovascular disease mortality among South Asians is higher than among other Asians and non-Hispanic Whites. They indicate that this heightened risk can be attributed in large part to an increased percentage of already existing cardio-metabolic risk factors and those that are related to insulin resistance, and not to special biological processes of South Asians. Despite the fact that the review provides a handy clinical summary, it is based on the prior studies, which restrict the possibility of building definite causal links.</w:t>
      </w:r>
    </w:p>
    <w:p w14:paraId="622C4C57">
      <w:pPr>
        <w:widowControl/>
        <w:autoSpaceDE/>
        <w:autoSpaceDN/>
        <w:rPr>
          <w:rFonts w:hint="default" w:ascii="Arial" w:hAnsi="Arial" w:cs="Arial"/>
          <w:highlight w:val="none"/>
        </w:rPr>
      </w:pPr>
    </w:p>
    <w:p w14:paraId="587992DA">
      <w:pPr>
        <w:widowControl/>
        <w:autoSpaceDE/>
        <w:autoSpaceDN/>
        <w:rPr>
          <w:rFonts w:hint="default" w:ascii="Arial" w:hAnsi="Arial" w:cs="Arial"/>
          <w:highlight w:val="none"/>
        </w:rPr>
      </w:pPr>
      <w:r>
        <w:rPr>
          <w:rFonts w:hint="default" w:ascii="Arial" w:hAnsi="Arial" w:cs="Arial"/>
          <w:highlight w:val="none"/>
        </w:rPr>
        <w:t>Similarly, Raheem et al. (2022) studied the cardiovascular disease burden in South Asia by implementing the ecological analysis on the Global Burden of Disease data over a number of decades. Their approach explored the trends in the prevalence, mortality, and disability-adjusted life years of the disease at the population level. The authors report that the cardiovascular disease burden has been continuously growing in the area, with ischemic heart disease and stroke being the primary factors. Unlike Volgman et al. (2018), who are much more concerned with clinical risk factors among population groups of migrants, Raheem et al. (2022) offer a more comprehensive regional picture. However, large data groups across the globe enhance reliability and the ecological strategy limits the opportunities for assessing personal determinants of cardiovascular risks.While this evidence is useful, its applicability to UK-based South Asian adults is limited due to differences in healthcare systems, lifestyle environments, and migration-related experiences.</w:t>
      </w:r>
    </w:p>
    <w:p w14:paraId="4B038897">
      <w:pPr>
        <w:widowControl/>
        <w:autoSpaceDE/>
        <w:autoSpaceDN/>
        <w:rPr>
          <w:rFonts w:hint="default" w:ascii="Arial" w:hAnsi="Arial" w:cs="Arial"/>
          <w:highlight w:val="none"/>
        </w:rPr>
      </w:pPr>
    </w:p>
    <w:p w14:paraId="619BE910">
      <w:pPr>
        <w:rPr>
          <w:rFonts w:hint="default" w:ascii="Arial" w:hAnsi="Arial" w:cs="Arial"/>
          <w:highlight w:val="none"/>
        </w:rPr>
      </w:pPr>
      <w:r>
        <w:rPr>
          <w:rFonts w:hint="default" w:ascii="Arial" w:hAnsi="Arial" w:cs="Arial"/>
          <w:highlight w:val="none"/>
        </w:rPr>
        <w:t>More recent studies have focused on social and structural determinants, in addition to biomedical explanations. Javed et al. (2022) used the social determinants of health framework in a conceptual review to identify ways through which racial and ethnic disparities in cardiovascular outcomes can be elucidated. According to them, the structural inequalities, including socioeconomic disadvantage, access to health services, and neighbourhood, contribute significantly to augmented cardiovascular risk among the minorities. Along this perception, Hossain et al. (2025) have conducted a systematic review with PRISMA and have discovered that discrimination is a novel aspect in the description of cardiovascular disparities in Asian communities.</w:t>
      </w:r>
    </w:p>
    <w:p w14:paraId="3548ED58">
      <w:pPr>
        <w:rPr>
          <w:rFonts w:hint="default" w:ascii="Arial" w:hAnsi="Arial" w:cs="Arial"/>
          <w:highlight w:val="none"/>
        </w:rPr>
      </w:pPr>
    </w:p>
    <w:p w14:paraId="49C61D56">
      <w:pPr>
        <w:rPr>
          <w:rFonts w:hint="default" w:ascii="Arial" w:hAnsi="Arial" w:cs="Arial"/>
          <w:highlight w:val="none"/>
        </w:rPr>
      </w:pPr>
      <w:r>
        <w:rPr>
          <w:rFonts w:hint="default" w:ascii="Arial" w:hAnsi="Arial" w:cs="Arial"/>
          <w:highlight w:val="none"/>
        </w:rPr>
        <w:t>Muncan (2018) offers a public health lens, and the aspects that are access barriers, i.e., low health literacy, language barriers, and limited access to healthcare. As demonstrated in this research paper, community-based interventions and culturally relevant healthcare practises are important as compared to disease-specific research. Comprehensively, it has been constantly demonstrated that South Asians are disproportionately burdened with cardiovascular diseases. These disparities may be attributed not just to biomedical risk factors but also to social determinants; there is a need for combined research and prevention.This reinforces the importance of examining these factors specifically within the UK South Asian context.</w:t>
      </w:r>
    </w:p>
    <w:p w14:paraId="50605A50">
      <w:pPr>
        <w:rPr>
          <w:rFonts w:hint="default" w:ascii="Arial" w:hAnsi="Arial" w:cs="Arial"/>
          <w:highlight w:val="none"/>
        </w:rPr>
      </w:pPr>
    </w:p>
    <w:p w14:paraId="589A98C2">
      <w:pPr>
        <w:pStyle w:val="4"/>
        <w:spacing w:line="480" w:lineRule="auto"/>
        <w:ind w:left="0"/>
        <w:rPr>
          <w:rFonts w:hint="default" w:ascii="Arial" w:hAnsi="Arial" w:cs="Arial"/>
          <w:sz w:val="24"/>
          <w:szCs w:val="24"/>
          <w:highlight w:val="none"/>
        </w:rPr>
      </w:pPr>
      <w:bookmarkStart w:id="35" w:name="_Toc228890781"/>
      <w:bookmarkStart w:id="36" w:name="_Toc6604"/>
      <w:r>
        <w:rPr>
          <w:rFonts w:hint="default" w:ascii="Arial" w:hAnsi="Arial" w:cs="Arial"/>
          <w:sz w:val="24"/>
          <w:szCs w:val="24"/>
          <w:highlight w:val="none"/>
        </w:rPr>
        <w:t>2.2.2</w:t>
      </w:r>
      <w:r>
        <w:rPr>
          <w:rFonts w:hint="default" w:cs="Arial"/>
          <w:sz w:val="24"/>
          <w:szCs w:val="24"/>
          <w:highlight w:val="none"/>
          <w:lang w:val="en-US"/>
        </w:rPr>
        <w:t xml:space="preserve"> </w:t>
      </w:r>
      <w:r>
        <w:rPr>
          <w:rFonts w:hint="default" w:ascii="Arial" w:hAnsi="Arial" w:cs="Arial"/>
          <w:sz w:val="24"/>
          <w:szCs w:val="24"/>
          <w:highlight w:val="none"/>
        </w:rPr>
        <w:t xml:space="preserve"> Influence of Modifiable Lifestyle Factors on Cardiovascular Health</w:t>
      </w:r>
      <w:bookmarkEnd w:id="35"/>
      <w:bookmarkEnd w:id="36"/>
    </w:p>
    <w:p w14:paraId="3DE31E79">
      <w:pPr>
        <w:rPr>
          <w:rFonts w:hint="default" w:ascii="Arial" w:hAnsi="Arial" w:cs="Arial"/>
          <w:highlight w:val="none"/>
        </w:rPr>
      </w:pPr>
      <w:r>
        <w:rPr>
          <w:rFonts w:hint="default" w:ascii="Arial" w:hAnsi="Arial" w:cs="Arial"/>
          <w:highlight w:val="none"/>
        </w:rPr>
        <w:t>Among the key contributors to cardiovascular health outcomes are the changes in lifestyle behaviour. Some of the behaviours that lead to cardiovascular disease (CVD) are physical inactivity, smoking, alcohol consumption and poor diet. Lacombe et al. (2019) conducted a longitudinal study to investigate the interaction between physical activity and other behavioural risk factors, by systematically reviewing longitudinal studies, using databases of MEDLINE, EMBASE and Cochrane Register. They stated that individuals who do daily exercise and other healthy behaviours are less vulnerable to CVD and death, but since they had to report on their own behaviour, there is a possibility of reporting bias.</w:t>
      </w:r>
    </w:p>
    <w:p w14:paraId="4D14D32F">
      <w:pPr>
        <w:rPr>
          <w:rFonts w:hint="default" w:ascii="Arial" w:hAnsi="Arial" w:cs="Arial"/>
          <w:highlight w:val="none"/>
        </w:rPr>
      </w:pPr>
    </w:p>
    <w:p w14:paraId="32F69A00">
      <w:pPr>
        <w:rPr>
          <w:rFonts w:hint="default" w:ascii="Arial" w:hAnsi="Arial" w:cs="Arial"/>
          <w:highlight w:val="none"/>
        </w:rPr>
      </w:pPr>
      <w:r>
        <w:rPr>
          <w:rFonts w:hint="default" w:ascii="Arial" w:hAnsi="Arial" w:cs="Arial"/>
          <w:highlight w:val="none"/>
        </w:rPr>
        <w:t>Similarly, Kaminsky et al. (2021) observe that in preventing cardiovascular diseases, it is critical to adopt diverse healthy lifestyle behaviours. In their argument, the authors use a narrative review of clinical and epidemiological studies that regular exercise, healthy diet, smoking cessation and sufficient sleep have an effect on the improvement of cardiovascular outcomes by enhancing cardio-respiratory fitness and reducing the conventional risk factors. Compared to Lacombe et al. (2019), who focus on the interaction between the different types of behaviour, Kaminsky et al. (2021) pay greater attention to clinical prevention strategies and the role of healthcare professionals in the promotion of lifestyle change. However, there may be a lack of transparency in the methods because of the lack of a systematic selection of research, as in systematic reviews, which is an intrinsic characteristic of the narrative review design.</w:t>
      </w:r>
    </w:p>
    <w:p w14:paraId="397EC95E">
      <w:pPr>
        <w:rPr>
          <w:rFonts w:hint="default" w:ascii="Arial" w:hAnsi="Arial" w:cs="Arial"/>
          <w:highlight w:val="none"/>
        </w:rPr>
      </w:pPr>
    </w:p>
    <w:p w14:paraId="4FFFED0B">
      <w:pPr>
        <w:rPr>
          <w:rFonts w:hint="default" w:ascii="Arial" w:hAnsi="Arial" w:cs="Arial"/>
          <w:highlight w:val="none"/>
        </w:rPr>
      </w:pPr>
      <w:r>
        <w:rPr>
          <w:rFonts w:hint="default" w:ascii="Arial" w:hAnsi="Arial" w:cs="Arial"/>
          <w:highlight w:val="none"/>
        </w:rPr>
        <w:t>Ng et al. (2020), on the other hand, studied the relationship between lifestyle behaviour and the development of chronic illnesses using a longitudinal cohort study that compared the population survey with administrative health records. Their critical thinking attitude shows that the historical occurrence of such chronic diseases as heart disease and stroke has been associated with unhealthy behaviours, which are smoking, poor dieting and physical exercise. The causal interpretation of the methodology of cohort is more adequate than the past methods of causal interpretation, based on reviews, and the risk is that the study has been confined by self-reported lifestyle information.</w:t>
      </w:r>
    </w:p>
    <w:p w14:paraId="2835AD4B">
      <w:pPr>
        <w:rPr>
          <w:rFonts w:hint="default" w:ascii="Arial" w:hAnsi="Arial" w:cs="Arial"/>
          <w:highlight w:val="none"/>
        </w:rPr>
      </w:pPr>
    </w:p>
    <w:p w14:paraId="2E45D81C">
      <w:pPr>
        <w:rPr>
          <w:rFonts w:hint="default" w:ascii="Arial" w:hAnsi="Arial" w:cs="Arial"/>
          <w:highlight w:val="none"/>
        </w:rPr>
      </w:pPr>
      <w:r>
        <w:rPr>
          <w:rFonts w:hint="default" w:ascii="Arial" w:hAnsi="Arial" w:cs="Arial"/>
          <w:highlight w:val="none"/>
        </w:rPr>
        <w:t>Besides, the article by Oliéet al. (2024) provides an epidemiological study of behavioural cardiovascular risk factors using population-wide data. Their discussion exposes the widespread occurrence of unhealthy lifestyles such as sedentary lifestyles, poor diet and smoking. Though this population perspective validates the findings of Ng et al. (2020) by reading at the individual level, the descriptive design does not give any conclusion on causality.</w:t>
      </w:r>
    </w:p>
    <w:p w14:paraId="4880770C">
      <w:pPr>
        <w:rPr>
          <w:rFonts w:hint="default" w:ascii="Arial" w:hAnsi="Arial" w:cs="Arial"/>
          <w:highlight w:val="none"/>
        </w:rPr>
      </w:pPr>
      <w:r>
        <w:rPr>
          <w:rFonts w:hint="default" w:ascii="Arial" w:hAnsi="Arial" w:cs="Arial"/>
          <w:highlight w:val="none"/>
        </w:rPr>
        <w:t>Altogether, these studies all demonstrate the power of lifestyle behaviours that are changeable in the health of the heart. This evidence can be particularly relevant to adult South Asian residents of the UK since dietary habits and physical lack of activity may predispose against cardiovascular risks by virtue of the cultural context, and attempts to incorporate certain lifestyle interventions are crucial.</w:t>
      </w:r>
    </w:p>
    <w:p w14:paraId="0363EF24">
      <w:pPr>
        <w:rPr>
          <w:rFonts w:hint="default" w:ascii="Arial" w:hAnsi="Arial" w:cs="Arial"/>
          <w:highlight w:val="none"/>
        </w:rPr>
      </w:pPr>
    </w:p>
    <w:p w14:paraId="5FB8F494">
      <w:pPr>
        <w:pStyle w:val="4"/>
        <w:spacing w:line="480" w:lineRule="auto"/>
        <w:rPr>
          <w:rFonts w:hint="default" w:ascii="Arial" w:hAnsi="Arial" w:cs="Arial"/>
          <w:sz w:val="24"/>
          <w:szCs w:val="24"/>
          <w:highlight w:val="none"/>
        </w:rPr>
      </w:pPr>
      <w:bookmarkStart w:id="37" w:name="_Toc228890782"/>
      <w:bookmarkStart w:id="38" w:name="_Toc30341"/>
      <w:r>
        <w:rPr>
          <w:rFonts w:hint="default" w:ascii="Arial" w:hAnsi="Arial" w:cs="Arial"/>
          <w:sz w:val="24"/>
          <w:szCs w:val="24"/>
          <w:highlight w:val="none"/>
        </w:rPr>
        <w:t>2.2.3 Socio-Cultural and Migration-Related Determinants of Lifestyle Behaviours</w:t>
      </w:r>
      <w:bookmarkEnd w:id="37"/>
      <w:bookmarkEnd w:id="38"/>
    </w:p>
    <w:p w14:paraId="558BBF4F">
      <w:pPr>
        <w:widowControl/>
        <w:autoSpaceDE/>
        <w:autoSpaceDN/>
        <w:rPr>
          <w:rFonts w:hint="default" w:ascii="Arial" w:hAnsi="Arial" w:cs="Arial"/>
          <w:highlight w:val="none"/>
        </w:rPr>
      </w:pPr>
      <w:r>
        <w:rPr>
          <w:rFonts w:hint="default" w:ascii="Arial" w:hAnsi="Arial" w:cs="Arial"/>
          <w:highlight w:val="none"/>
        </w:rPr>
        <w:t>This section focuses on how socio-cultural and migration-related determinants specifically influence South Asian adults in the UK, while acknowledging that evidence from broader migrant or European populations may not fully represent this group.Migration-related and socio-cultural factors play a major role in determining lifestyle behaviours that lead to cardiovascular health outcomes of South Asian adults residing in the UK. The literature available indicates that migration, cultural norms and social environments determine behaviours including physical activity, dietary patterns and health practises.</w:t>
      </w:r>
    </w:p>
    <w:p w14:paraId="6D3728F7">
      <w:pPr>
        <w:widowControl/>
        <w:autoSpaceDE/>
        <w:autoSpaceDN/>
        <w:rPr>
          <w:rFonts w:hint="default" w:ascii="Arial" w:hAnsi="Arial" w:cs="Arial"/>
          <w:highlight w:val="none"/>
        </w:rPr>
      </w:pPr>
    </w:p>
    <w:p w14:paraId="782B81D0">
      <w:pPr>
        <w:widowControl/>
        <w:autoSpaceDE/>
        <w:autoSpaceDN/>
        <w:rPr>
          <w:rFonts w:hint="default" w:ascii="Arial" w:hAnsi="Arial" w:cs="Arial"/>
          <w:highlight w:val="none"/>
        </w:rPr>
      </w:pPr>
      <w:r>
        <w:rPr>
          <w:rFonts w:hint="default" w:ascii="Arial" w:hAnsi="Arial" w:cs="Arial"/>
          <w:highlight w:val="none"/>
        </w:rPr>
        <w:t>The systematic mapping review by Langøienet al. (2017) considered the impact of factors on physical activities and sedentary behaviour in ethnic minorities in Europe. Based on six databases, the research synthesised studies and came up with a variety of determinants of these parameters, such as social and cultural environment, psychosocial factors, and migration context. The results show that cultural dictates, gender roles and inaccessibility of supportive environments tend to lower involvement in physical activities among minorities. The knowledge can be specifically applied to South Asian populations in the UK, where cultural values intervene with interest in exercise, namely in terms of gender and modesty. The main advantage of this research is the fact that it has synthesised multiple approaches into one, but the broad scope of the research on various ethnic groups did not allow conclusive findings on South Asians.Therefore, its direct applicability to UK South Asian adults is limited.</w:t>
      </w:r>
    </w:p>
    <w:p w14:paraId="382012F5">
      <w:pPr>
        <w:widowControl/>
        <w:autoSpaceDE/>
        <w:autoSpaceDN/>
        <w:rPr>
          <w:rFonts w:hint="default" w:ascii="Arial" w:hAnsi="Arial" w:cs="Arial"/>
          <w:highlight w:val="none"/>
        </w:rPr>
      </w:pPr>
    </w:p>
    <w:p w14:paraId="4184075D">
      <w:pPr>
        <w:widowControl/>
        <w:autoSpaceDE/>
        <w:autoSpaceDN/>
        <w:rPr>
          <w:rFonts w:hint="default" w:ascii="Arial" w:hAnsi="Arial" w:cs="Arial"/>
          <w:highlight w:val="none"/>
        </w:rPr>
      </w:pPr>
      <w:r>
        <w:rPr>
          <w:rFonts w:hint="default" w:ascii="Arial" w:hAnsi="Arial" w:cs="Arial"/>
          <w:highlight w:val="none"/>
        </w:rPr>
        <w:t>Equally, Alidu and Grunfeld (2017) applied a systematic literature review to examine the effects of acculturation on the health behaviours and obesity of migrants in high-income nations. Their results indicate that migration and increased length of stay may trigger the development of unhealthy eating patterns and sedentary lifestyles, which cause weight gain and cardiovascular vulnerability. Compared to Langøienet al. (2017), who also pay more attention to the environmental and social factors hindering physical activity, Alidu and Grunfeld (2017) are more interested in behavioural shifts related to the cultural adjustment. However, their review is limited by a high number of cross-sectional studies, which cannot be used to establish long-term behavioural changes.In addition, the general migrant focus reduces its specificity to South Asian populations in the UK.</w:t>
      </w:r>
    </w:p>
    <w:p w14:paraId="011B43C5">
      <w:pPr>
        <w:widowControl/>
        <w:autoSpaceDE/>
        <w:autoSpaceDN/>
        <w:rPr>
          <w:rFonts w:hint="default" w:ascii="Arial" w:hAnsi="Arial" w:cs="Arial"/>
          <w:highlight w:val="none"/>
        </w:rPr>
      </w:pPr>
    </w:p>
    <w:p w14:paraId="0E038CE6">
      <w:pPr>
        <w:widowControl/>
        <w:autoSpaceDE/>
        <w:autoSpaceDN/>
        <w:rPr>
          <w:rFonts w:hint="default" w:ascii="Arial" w:hAnsi="Arial" w:cs="Arial"/>
          <w:highlight w:val="none"/>
        </w:rPr>
      </w:pPr>
      <w:r>
        <w:rPr>
          <w:rFonts w:hint="default" w:ascii="Arial" w:hAnsi="Arial" w:cs="Arial"/>
          <w:highlight w:val="none"/>
        </w:rPr>
        <w:t>The review of literature presented by Kandula et al. (2017) is quite extensive since the authors focus on sociocultural factors affecting lifestyle behaviours in South Asian immigrants. The authors point out that cultural beliefs, family responsibilities and customary eating habits have a very powerful influence on health behaviours. Indicatively, carbs and low awareness of preventive health practices can increase cardiometabolic risks. Kandula et al. (2017) have more culturally specific information applicable to the South Asian population compared to Alidu and Grunfeld (2017), who have a broader focus on migration. Nevertheless, the review is mostly based on the literature without giving new empirical information.</w:t>
      </w:r>
    </w:p>
    <w:p w14:paraId="39410D1A">
      <w:pPr>
        <w:widowControl/>
        <w:autoSpaceDE/>
        <w:autoSpaceDN/>
        <w:rPr>
          <w:rFonts w:hint="default" w:ascii="Arial" w:hAnsi="Arial" w:cs="Arial"/>
          <w:highlight w:val="none"/>
        </w:rPr>
      </w:pPr>
    </w:p>
    <w:p w14:paraId="0FA0709C">
      <w:pPr>
        <w:widowControl/>
        <w:autoSpaceDE/>
        <w:autoSpaceDN/>
        <w:rPr>
          <w:rFonts w:hint="default" w:ascii="Arial" w:hAnsi="Arial" w:cs="Arial"/>
          <w:highlight w:val="none"/>
        </w:rPr>
      </w:pPr>
      <w:r>
        <w:rPr>
          <w:rFonts w:hint="default" w:ascii="Arial" w:hAnsi="Arial" w:cs="Arial"/>
          <w:highlight w:val="none"/>
        </w:rPr>
        <w:t>Moreover, the review of the articles on migrant health by Rosenthal et al. (2022) focused on the role of migration-related stress, socioeconomic issues and healthcare barriers in enhancing the risk of cardiovascular outcomes. The authors suggest that the psychological stress and environmental modification that occur after immigration may facilitate unhealthy behaviour and metabolic disorders. This view is supplementary to that of Kandula et al. (2017) because it points to the structural barriers, but the review is rather descriptive.</w:t>
      </w:r>
    </w:p>
    <w:p w14:paraId="190CB77D">
      <w:pPr>
        <w:widowControl/>
        <w:autoSpaceDE/>
        <w:autoSpaceDN/>
        <w:rPr>
          <w:rFonts w:hint="default" w:ascii="Arial" w:hAnsi="Arial" w:cs="Arial"/>
          <w:highlight w:val="none"/>
        </w:rPr>
      </w:pPr>
    </w:p>
    <w:p w14:paraId="17E7ED56">
      <w:pPr>
        <w:widowControl/>
        <w:autoSpaceDE/>
        <w:autoSpaceDN/>
        <w:rPr>
          <w:rFonts w:hint="default" w:ascii="Arial" w:hAnsi="Arial" w:cs="Arial"/>
          <w:highlight w:val="none"/>
        </w:rPr>
      </w:pPr>
      <w:r>
        <w:rPr>
          <w:rFonts w:hint="default" w:ascii="Arial" w:hAnsi="Arial" w:cs="Arial"/>
          <w:highlight w:val="none"/>
        </w:rPr>
        <w:t xml:space="preserve">Moreover, as per </w:t>
      </w:r>
      <w:r>
        <w:rPr>
          <w:rStyle w:val="35"/>
          <w:rFonts w:hint="default" w:ascii="Arial" w:hAnsi="Arial" w:cs="Arial"/>
          <w:highlight w:val="none"/>
        </w:rPr>
        <w:t>Latif</w:t>
      </w:r>
      <w:r>
        <w:rPr>
          <w:rFonts w:hint="default" w:ascii="Arial" w:hAnsi="Arial" w:cs="Arial"/>
          <w:highlight w:val="none"/>
        </w:rPr>
        <w:t xml:space="preserve"> et al. (2016), cost-effective solutions such as educational video interventions are required for managing CVD, which is one of the common causes of death within the UK. Culturally sensitive interventions in public health are therefore necessary to ensure that these complicated determinants are dealt with and healthier behavioural patterns are encouraged among South Asian adults in the UK.</w:t>
      </w:r>
    </w:p>
    <w:p w14:paraId="3788B530">
      <w:pPr>
        <w:widowControl/>
        <w:autoSpaceDE/>
        <w:autoSpaceDN/>
        <w:rPr>
          <w:rFonts w:hint="default" w:ascii="Arial" w:hAnsi="Arial" w:cs="Arial"/>
          <w:highlight w:val="none"/>
        </w:rPr>
      </w:pPr>
    </w:p>
    <w:p w14:paraId="7E3D8E5C">
      <w:pPr>
        <w:pStyle w:val="4"/>
        <w:spacing w:line="480" w:lineRule="auto"/>
        <w:ind w:left="0"/>
        <w:rPr>
          <w:rFonts w:hint="default" w:ascii="Arial" w:hAnsi="Arial" w:cs="Arial"/>
          <w:sz w:val="24"/>
          <w:szCs w:val="24"/>
          <w:highlight w:val="none"/>
        </w:rPr>
      </w:pPr>
      <w:bookmarkStart w:id="39" w:name="_Toc228890783"/>
      <w:bookmarkStart w:id="40" w:name="_Toc2634"/>
      <w:r>
        <w:rPr>
          <w:rFonts w:hint="default" w:ascii="Arial" w:hAnsi="Arial" w:cs="Arial"/>
          <w:sz w:val="24"/>
          <w:szCs w:val="24"/>
          <w:highlight w:val="none"/>
        </w:rPr>
        <w:t>2.2.4 Cardiovascular Disease Prevention and Health Promotion Strategies</w:t>
      </w:r>
      <w:bookmarkEnd w:id="39"/>
      <w:bookmarkEnd w:id="40"/>
    </w:p>
    <w:p w14:paraId="1A8B4900">
      <w:pPr>
        <w:widowControl/>
        <w:autoSpaceDE/>
        <w:autoSpaceDN/>
        <w:rPr>
          <w:rFonts w:hint="default" w:ascii="Arial" w:hAnsi="Arial" w:cs="Arial"/>
          <w:highlight w:val="none"/>
        </w:rPr>
      </w:pPr>
      <w:r>
        <w:rPr>
          <w:rFonts w:hint="default" w:ascii="Arial" w:hAnsi="Arial" w:cs="Arial"/>
          <w:highlight w:val="none"/>
        </w:rPr>
        <w:t>This section focuses specifically on prevention strategies and health promotion interventions rather than repeating general lifestyle risk factors.Health promotion and CVD prevention strategies are some of the important components related to the interventions of public health, which mainly aim to decrease the global burden associated with mortality and morbidity of CVD. According to Limbachia et al. (2022), the provisioning of proper lifestyle interventions helps in making improvements within the profiles of blood lipid and blood pressure among South Asian adults, mainly those who are suffering from CVD or have a high risk of developing CVD. Moreover, as discussed by Komi et al. (2024), the inclusion of proper digital technologies associated with health and better stakeholder engagement, followed by a well-organised policy alignment, can also help in strengthening the models of community-based health promotion. According to Brangan et al. (2019), NHS programmes further aim to decrease CVD morbidity within England while aiming to make improvements in uptake, including the community workers as part of the telephonic patients in communities as well. The use of proper initiatives related to public health also further helps in the modification of lifestyle determinants, while the detection of early healthcare management approaches can make improvements in the cardiovascular outcomes as well. </w:t>
      </w:r>
    </w:p>
    <w:p w14:paraId="6C7C35ED">
      <w:pPr>
        <w:widowControl/>
        <w:autoSpaceDE/>
        <w:autoSpaceDN/>
        <w:rPr>
          <w:rFonts w:hint="default" w:ascii="Arial" w:hAnsi="Arial" w:cs="Arial"/>
          <w:highlight w:val="none"/>
        </w:rPr>
      </w:pPr>
    </w:p>
    <w:p w14:paraId="742DB663">
      <w:pPr>
        <w:widowControl/>
        <w:autoSpaceDE/>
        <w:autoSpaceDN/>
        <w:rPr>
          <w:rFonts w:hint="default" w:ascii="Arial" w:hAnsi="Arial" w:cs="Arial"/>
          <w:highlight w:val="none"/>
        </w:rPr>
      </w:pPr>
      <w:r>
        <w:rPr>
          <w:rFonts w:hint="default" w:ascii="Arial" w:hAnsi="Arial" w:cs="Arial"/>
          <w:highlight w:val="none"/>
        </w:rPr>
        <w:t>One of the most useful strategies for the prevention of CVD has been recognised to be the promotion of all the behaviours associated with a healthy lifestyle. According to Kaminsky et al. (2022), doing exercise regularly, including habits of healthy eating, incorporating adequate sleep while controlling smoking, can help in influencing the risk factors related to CVD. It has also been identified that through the inclusion of a heart-healthy diet and proper physical activity, the weight of the individuals can also be managed, which is an essential factor to manage CVD as well. The overall changes in lifestyle behaviours also further help in increasing blood pressure levels, along with managing the levels of cholesterol. </w:t>
      </w:r>
    </w:p>
    <w:p w14:paraId="18BAE662">
      <w:pPr>
        <w:widowControl/>
        <w:autoSpaceDE/>
        <w:autoSpaceDN/>
        <w:rPr>
          <w:rFonts w:hint="default" w:ascii="Arial" w:hAnsi="Arial" w:cs="Arial"/>
          <w:highlight w:val="none"/>
        </w:rPr>
      </w:pPr>
    </w:p>
    <w:p w14:paraId="5524FF2A">
      <w:pPr>
        <w:widowControl/>
        <w:autoSpaceDE/>
        <w:autoSpaceDN/>
        <w:rPr>
          <w:rFonts w:hint="default" w:ascii="Arial" w:hAnsi="Arial" w:cs="Arial"/>
          <w:highlight w:val="none"/>
        </w:rPr>
      </w:pPr>
      <w:r>
        <w:rPr>
          <w:rFonts w:hint="default" w:ascii="Arial" w:hAnsi="Arial" w:cs="Arial"/>
          <w:highlight w:val="none"/>
        </w:rPr>
        <w:t>Furthermore, as per Haber et al. (2025), the inclusion of primary prevention strategies such as DASH or ‘Dietary Approaches to Stop Hypertension’ and also the use of ‘Mediterranean Diet’ or MD can help in decreasing the chances of developing CVD, along with the rate of mortality among individuals suffering from CVD. Moreover, focusing on all the guidelines related to public health for the dietary approaches, like the inclusion of more fruits and vegetables in the diet, can also help in managing CVD. The inclusion of increased physical activity can also help in managing cardiovascular health. As per Nystoriak and Bhatnagar (2018), doing physical activity regularly can help in managing cardiovascular health while also targeting the decrease in the rate of mortality due to CVD. This research by Nystoriak and Bhatnagar (2018) has also identified that physically active individuals have decreased levels of blood pressure along with a higher level of insulin sensitivity, followed by a favourable profile of plasma lipoprotein as well.  </w:t>
      </w:r>
    </w:p>
    <w:p w14:paraId="075DC5A1">
      <w:pPr>
        <w:widowControl/>
        <w:autoSpaceDE/>
        <w:autoSpaceDN/>
        <w:rPr>
          <w:rFonts w:hint="default" w:ascii="Arial" w:hAnsi="Arial" w:cs="Arial"/>
          <w:highlight w:val="none"/>
        </w:rPr>
      </w:pPr>
    </w:p>
    <w:p w14:paraId="33735D06">
      <w:pPr>
        <w:widowControl/>
        <w:autoSpaceDE/>
        <w:autoSpaceDN/>
        <w:rPr>
          <w:rFonts w:hint="default" w:ascii="Arial" w:hAnsi="Arial" w:cs="Arial"/>
          <w:highlight w:val="none"/>
        </w:rPr>
      </w:pPr>
      <w:r>
        <w:rPr>
          <w:rFonts w:hint="default" w:ascii="Arial" w:hAnsi="Arial" w:cs="Arial"/>
          <w:highlight w:val="none"/>
        </w:rPr>
        <w:t>Overall, the prevention of CVD has been identified as requiring a structured approach which includes several lifestyle modification approaches along with the promotion of community-based interventions and early detection. All of the identified strategies also help in making improvements within the health outcomes of the population, followed by managing their living standards as well. These interventions highlight the importance of structured, community-based, and policy-driven approaches in reducing cardiovascular risk, particularly among high-risk populations such as South Asian adults in the UK.</w:t>
      </w:r>
    </w:p>
    <w:p w14:paraId="6BC4771C">
      <w:pPr>
        <w:widowControl/>
        <w:autoSpaceDE/>
        <w:autoSpaceDN/>
        <w:rPr>
          <w:rFonts w:hint="default" w:ascii="Arial" w:hAnsi="Arial" w:cs="Arial"/>
          <w:highlight w:val="none"/>
        </w:rPr>
      </w:pPr>
    </w:p>
    <w:p w14:paraId="6C4AF701">
      <w:pPr>
        <w:pStyle w:val="4"/>
        <w:spacing w:line="480" w:lineRule="auto"/>
        <w:ind w:left="0"/>
        <w:rPr>
          <w:rFonts w:hint="default" w:ascii="Arial" w:hAnsi="Arial" w:cs="Arial"/>
          <w:sz w:val="24"/>
          <w:szCs w:val="24"/>
          <w:highlight w:val="none"/>
        </w:rPr>
      </w:pPr>
      <w:bookmarkStart w:id="41" w:name="_Toc228890784"/>
      <w:bookmarkStart w:id="42" w:name="_Toc4382"/>
      <w:r>
        <w:rPr>
          <w:rFonts w:hint="default" w:ascii="Arial" w:hAnsi="Arial" w:cs="Arial"/>
          <w:sz w:val="24"/>
          <w:szCs w:val="24"/>
          <w:highlight w:val="none"/>
        </w:rPr>
        <w:t>2.2.5 Literature Gaps</w:t>
      </w:r>
      <w:bookmarkEnd w:id="41"/>
      <w:bookmarkEnd w:id="42"/>
    </w:p>
    <w:p w14:paraId="12F2D02F">
      <w:pPr>
        <w:widowControl/>
        <w:autoSpaceDE/>
        <w:autoSpaceDN/>
        <w:rPr>
          <w:rFonts w:hint="default" w:ascii="Arial" w:hAnsi="Arial" w:cs="Arial"/>
          <w:b/>
          <w:bCs/>
          <w:i/>
          <w:iCs/>
          <w:highlight w:val="none"/>
        </w:rPr>
      </w:pPr>
      <w:r>
        <w:rPr>
          <w:rFonts w:hint="default" w:ascii="Arial" w:hAnsi="Arial" w:cs="Arial"/>
          <w:b/>
          <w:bCs/>
          <w:i/>
          <w:iCs/>
          <w:highlight w:val="none"/>
        </w:rPr>
        <w:t>Population Gap: limited UK-based South Asian adult evidence</w:t>
      </w:r>
    </w:p>
    <w:p w14:paraId="0829676E">
      <w:pPr>
        <w:widowControl/>
        <w:autoSpaceDE/>
        <w:autoSpaceDN/>
        <w:rPr>
          <w:rFonts w:hint="default" w:ascii="Arial" w:hAnsi="Arial" w:cs="Arial"/>
          <w:b/>
          <w:bCs/>
          <w:i/>
          <w:iCs/>
          <w:highlight w:val="none"/>
        </w:rPr>
      </w:pPr>
    </w:p>
    <w:p w14:paraId="37719DF6">
      <w:pPr>
        <w:widowControl/>
        <w:autoSpaceDE/>
        <w:autoSpaceDN/>
        <w:rPr>
          <w:rFonts w:hint="default" w:ascii="Arial" w:hAnsi="Arial" w:cs="Arial"/>
          <w:highlight w:val="none"/>
        </w:rPr>
      </w:pPr>
      <w:r>
        <w:rPr>
          <w:rFonts w:hint="default" w:ascii="Arial" w:hAnsi="Arial" w:cs="Arial"/>
          <w:highlight w:val="none"/>
        </w:rPr>
        <w:t xml:space="preserve">Despite useful information available in the existing literature on cardiovascular disease and related lifestyle behaviours, there are a number of gaps that can be spotted in the literature. To start with, most of the studies regarding cardiovascular risk among South Asians are based on the population that resides in South Asia, as opposed to the immigrant community in the United Kingdom, which restricts the contextual comprehension of migration on health outcomes (Raheem et al., 2022). </w:t>
      </w:r>
    </w:p>
    <w:p w14:paraId="1CC5A649">
      <w:pPr>
        <w:widowControl/>
        <w:autoSpaceDE/>
        <w:autoSpaceDN/>
        <w:rPr>
          <w:rFonts w:hint="default" w:ascii="Arial" w:hAnsi="Arial" w:cs="Arial"/>
          <w:highlight w:val="none"/>
        </w:rPr>
      </w:pPr>
    </w:p>
    <w:p w14:paraId="6588EFAC">
      <w:pPr>
        <w:widowControl/>
        <w:autoSpaceDE/>
        <w:autoSpaceDN/>
        <w:rPr>
          <w:rFonts w:hint="default" w:ascii="Arial" w:hAnsi="Arial" w:cs="Arial"/>
          <w:b/>
          <w:bCs/>
          <w:i/>
          <w:iCs/>
          <w:highlight w:val="none"/>
        </w:rPr>
      </w:pPr>
      <w:r>
        <w:rPr>
          <w:rFonts w:hint="default" w:ascii="Arial" w:hAnsi="Arial" w:cs="Arial"/>
          <w:b/>
          <w:bCs/>
          <w:i/>
          <w:iCs/>
          <w:highlight w:val="none"/>
        </w:rPr>
        <w:t>Conceptual Gap: limited focus on lifestyle behaviours shaped by culture and migration</w:t>
      </w:r>
    </w:p>
    <w:p w14:paraId="515F7951">
      <w:pPr>
        <w:widowControl/>
        <w:autoSpaceDE/>
        <w:autoSpaceDN/>
        <w:rPr>
          <w:rFonts w:hint="default" w:ascii="Arial" w:hAnsi="Arial" w:cs="Arial"/>
          <w:highlight w:val="none"/>
        </w:rPr>
      </w:pPr>
    </w:p>
    <w:p w14:paraId="56BDFE7A">
      <w:pPr>
        <w:widowControl/>
        <w:autoSpaceDE/>
        <w:autoSpaceDN/>
        <w:rPr>
          <w:rFonts w:hint="default" w:ascii="Arial" w:hAnsi="Arial" w:cs="Arial"/>
          <w:highlight w:val="none"/>
        </w:rPr>
      </w:pPr>
      <w:r>
        <w:rPr>
          <w:rFonts w:hint="default" w:ascii="Arial" w:hAnsi="Arial" w:cs="Arial"/>
          <w:highlight w:val="none"/>
        </w:rPr>
        <w:t xml:space="preserve">Also, most studies focus on biomedical risk factors, including diabetes and hypertension, and pay relatively less focus to lifestyle behaviours that are informed by cultural and social settings (Volgman et al., 2018). </w:t>
      </w:r>
    </w:p>
    <w:p w14:paraId="51D8774B">
      <w:pPr>
        <w:widowControl/>
        <w:autoSpaceDE/>
        <w:autoSpaceDN/>
        <w:rPr>
          <w:rFonts w:hint="default" w:ascii="Arial" w:hAnsi="Arial" w:cs="Arial"/>
          <w:highlight w:val="none"/>
        </w:rPr>
      </w:pPr>
    </w:p>
    <w:p w14:paraId="78656470">
      <w:pPr>
        <w:widowControl/>
        <w:autoSpaceDE/>
        <w:autoSpaceDN/>
        <w:rPr>
          <w:rFonts w:hint="default" w:ascii="Arial" w:hAnsi="Arial" w:cs="Arial"/>
          <w:b/>
          <w:bCs/>
          <w:i/>
          <w:iCs/>
          <w:highlight w:val="none"/>
        </w:rPr>
      </w:pPr>
      <w:r>
        <w:rPr>
          <w:rFonts w:hint="default" w:ascii="Arial" w:hAnsi="Arial" w:cs="Arial"/>
          <w:b/>
          <w:bCs/>
          <w:i/>
          <w:iCs/>
          <w:highlight w:val="none"/>
        </w:rPr>
        <w:t>Methodological Gap: reliance on cross-sectional/descriptive research</w:t>
      </w:r>
    </w:p>
    <w:p w14:paraId="64CB27FA">
      <w:pPr>
        <w:widowControl/>
        <w:autoSpaceDE/>
        <w:autoSpaceDN/>
        <w:rPr>
          <w:rFonts w:hint="default" w:ascii="Arial" w:hAnsi="Arial" w:cs="Arial"/>
          <w:highlight w:val="none"/>
        </w:rPr>
      </w:pPr>
    </w:p>
    <w:p w14:paraId="60C9956F">
      <w:pPr>
        <w:widowControl/>
        <w:autoSpaceDE/>
        <w:autoSpaceDN/>
        <w:rPr>
          <w:rFonts w:hint="default" w:ascii="Arial" w:hAnsi="Arial" w:cs="Arial"/>
          <w:highlight w:val="none"/>
        </w:rPr>
      </w:pPr>
      <w:r>
        <w:rPr>
          <w:rFonts w:hint="default" w:ascii="Arial" w:hAnsi="Arial" w:cs="Arial"/>
          <w:highlight w:val="none"/>
        </w:rPr>
        <w:t xml:space="preserve">The other weakness is in regard to methodological approaches. Some of the reviews are based on cross-sectional or descriptive studies and, as such, they do not enable researchers to determine causal links between lifestyle behaviours and cardiovascular outcomes (Alidu and Grunfeld, 2017). </w:t>
      </w:r>
    </w:p>
    <w:p w14:paraId="3076A794">
      <w:pPr>
        <w:widowControl/>
        <w:autoSpaceDE/>
        <w:autoSpaceDN/>
        <w:rPr>
          <w:rFonts w:hint="default" w:ascii="Arial" w:hAnsi="Arial" w:cs="Arial"/>
          <w:highlight w:val="none"/>
        </w:rPr>
      </w:pPr>
    </w:p>
    <w:p w14:paraId="5307B3F4">
      <w:pPr>
        <w:widowControl/>
        <w:autoSpaceDE/>
        <w:autoSpaceDN/>
        <w:rPr>
          <w:rFonts w:hint="default" w:ascii="Arial" w:hAnsi="Arial" w:cs="Arial"/>
          <w:b/>
          <w:bCs/>
          <w:i/>
          <w:iCs/>
          <w:highlight w:val="none"/>
        </w:rPr>
      </w:pPr>
      <w:r>
        <w:rPr>
          <w:rFonts w:hint="default" w:ascii="Arial" w:hAnsi="Arial" w:cs="Arial"/>
          <w:b/>
          <w:bCs/>
          <w:i/>
          <w:iCs/>
          <w:highlight w:val="none"/>
        </w:rPr>
        <w:t>Ethnic Subgroup Gap: South Asian groups are often treated as one category</w:t>
      </w:r>
    </w:p>
    <w:p w14:paraId="698F73A6">
      <w:pPr>
        <w:widowControl/>
        <w:autoSpaceDE/>
        <w:autoSpaceDN/>
        <w:rPr>
          <w:rFonts w:hint="default" w:ascii="Arial" w:hAnsi="Arial" w:cs="Arial"/>
          <w:b/>
          <w:bCs/>
          <w:i/>
          <w:iCs/>
          <w:highlight w:val="none"/>
        </w:rPr>
      </w:pPr>
    </w:p>
    <w:p w14:paraId="3F54A99B">
      <w:pPr>
        <w:widowControl/>
        <w:autoSpaceDE/>
        <w:autoSpaceDN/>
        <w:rPr>
          <w:rFonts w:hint="default" w:ascii="Arial" w:hAnsi="Arial" w:cs="Arial"/>
          <w:highlight w:val="none"/>
        </w:rPr>
      </w:pPr>
      <w:r>
        <w:rPr>
          <w:rFonts w:hint="default" w:ascii="Arial" w:hAnsi="Arial" w:cs="Arial"/>
          <w:highlight w:val="none"/>
        </w:rPr>
        <w:t>In addition, ethnic minority studies in Europe tend to homogenise different groups, which could miss the distinct cultural traditions and eating habits of the South Asian people (Langøienet al., 2017). Migration-related stress, socioeconomic barriers, and lack of healthcare access are also noted to have an effect, but there is a lack of empirical research investigating the interaction of these factors in relation to lifestyle behaviours (Rosenthal et al., 2022). The proposed gaps may be filled with culturally specific and contextually based research to enhance the knowledge on cardiovascular risk among South Asians residing in the UK.</w:t>
      </w:r>
    </w:p>
    <w:p w14:paraId="69AFA697">
      <w:pPr>
        <w:widowControl/>
        <w:autoSpaceDE/>
        <w:autoSpaceDN/>
        <w:rPr>
          <w:rFonts w:hint="default" w:ascii="Arial" w:hAnsi="Arial" w:cs="Arial"/>
          <w:highlight w:val="none"/>
        </w:rPr>
      </w:pPr>
    </w:p>
    <w:p w14:paraId="2DFB7447">
      <w:pPr>
        <w:widowControl/>
        <w:autoSpaceDE/>
        <w:autoSpaceDN/>
        <w:rPr>
          <w:rFonts w:hint="default" w:ascii="Arial" w:hAnsi="Arial" w:cs="Arial"/>
          <w:highlight w:val="none"/>
        </w:rPr>
      </w:pPr>
    </w:p>
    <w:p w14:paraId="3A30D6D1">
      <w:pPr>
        <w:pStyle w:val="3"/>
        <w:spacing w:line="480" w:lineRule="auto"/>
        <w:ind w:left="0"/>
        <w:rPr>
          <w:rFonts w:hint="default" w:ascii="Arial" w:hAnsi="Arial" w:cs="Arial"/>
          <w:highlight w:val="none"/>
        </w:rPr>
      </w:pPr>
      <w:bookmarkStart w:id="43" w:name="_Toc228890785"/>
      <w:bookmarkStart w:id="44" w:name="_Toc13930"/>
      <w:r>
        <w:rPr>
          <w:rFonts w:hint="default" w:ascii="Arial" w:hAnsi="Arial" w:cs="Arial"/>
          <w:highlight w:val="none"/>
        </w:rPr>
        <w:t>2.3 Chapter Summary</w:t>
      </w:r>
      <w:bookmarkEnd w:id="43"/>
      <w:bookmarkEnd w:id="44"/>
    </w:p>
    <w:p w14:paraId="7EADEC29">
      <w:pPr>
        <w:rPr>
          <w:rFonts w:hint="default" w:ascii="Arial" w:hAnsi="Arial" w:cs="Arial"/>
          <w:highlight w:val="none"/>
        </w:rPr>
      </w:pPr>
      <w:r>
        <w:rPr>
          <w:rFonts w:hint="default" w:ascii="Arial" w:hAnsi="Arial" w:cs="Arial"/>
          <w:highlight w:val="none"/>
        </w:rPr>
        <w:t>The chapter provided a critical review of literature that was related to cardiovascular disease among the South Asian populations and discussed the role of lifestyle behaviours, socio-cultural determinants and prevention strategies. These findings show that a complex of behavioural, biological and social factors causes South Asians to be burdened by cardiovascular disease more. Some research gaps were also identified in the chapter, especially those of culturally specific lifestyle determinants and migrant health conditions in the UK. Chapter 3 then describes the research methodology applied in this study, including the research design, data collection methods and data analytical approach</w:t>
      </w:r>
    </w:p>
    <w:p w14:paraId="7149D1BC">
      <w:pPr>
        <w:rPr>
          <w:rFonts w:hint="default" w:ascii="Arial" w:hAnsi="Arial" w:cs="Arial"/>
          <w:highlight w:val="none"/>
        </w:rPr>
      </w:pPr>
    </w:p>
    <w:p w14:paraId="3800086B">
      <w:pPr>
        <w:rPr>
          <w:rFonts w:hint="default" w:ascii="Arial" w:hAnsi="Arial" w:cs="Arial"/>
          <w:highlight w:val="none"/>
        </w:rPr>
      </w:pPr>
    </w:p>
    <w:p w14:paraId="744FB2BB">
      <w:pPr>
        <w:rPr>
          <w:rFonts w:hint="default" w:ascii="Arial" w:hAnsi="Arial" w:cs="Arial"/>
          <w:highlight w:val="none"/>
        </w:rPr>
      </w:pPr>
    </w:p>
    <w:p w14:paraId="3088A32D">
      <w:pPr>
        <w:rPr>
          <w:rFonts w:hint="default" w:ascii="Arial" w:hAnsi="Arial" w:cs="Arial"/>
          <w:highlight w:val="none"/>
        </w:rPr>
      </w:pPr>
    </w:p>
    <w:p w14:paraId="04E8B6EA">
      <w:pPr>
        <w:spacing w:line="240" w:lineRule="auto"/>
        <w:jc w:val="left"/>
        <w:rPr>
          <w:rFonts w:hint="default" w:ascii="Arial" w:hAnsi="Arial" w:cs="Arial"/>
          <w:b/>
          <w:sz w:val="28"/>
          <w:szCs w:val="32"/>
          <w:highlight w:val="none"/>
        </w:rPr>
      </w:pPr>
      <w:bookmarkStart w:id="45" w:name="_Toc224729957"/>
      <w:r>
        <w:rPr>
          <w:rFonts w:hint="default" w:ascii="Arial" w:hAnsi="Arial" w:cs="Arial"/>
          <w:highlight w:val="none"/>
        </w:rPr>
        <w:br w:type="page"/>
      </w:r>
    </w:p>
    <w:bookmarkEnd w:id="45"/>
    <w:p w14:paraId="6EBDE002">
      <w:pPr>
        <w:pStyle w:val="2"/>
        <w:spacing w:line="480" w:lineRule="auto"/>
        <w:jc w:val="center"/>
        <w:rPr>
          <w:rFonts w:hint="default" w:ascii="Arial" w:hAnsi="Arial" w:cs="Arial"/>
          <w:highlight w:val="none"/>
        </w:rPr>
      </w:pPr>
      <w:bookmarkStart w:id="46" w:name="_Toc228890786"/>
      <w:bookmarkStart w:id="47" w:name="_Toc22682"/>
      <w:r>
        <w:rPr>
          <w:rFonts w:hint="default" w:ascii="Arial" w:hAnsi="Arial" w:cs="Arial"/>
          <w:highlight w:val="none"/>
        </w:rPr>
        <w:t>CHAPTER 3: METHODOLOGY</w:t>
      </w:r>
      <w:bookmarkEnd w:id="46"/>
      <w:bookmarkEnd w:id="47"/>
    </w:p>
    <w:p w14:paraId="289145EB">
      <w:pPr>
        <w:pStyle w:val="3"/>
        <w:spacing w:line="480" w:lineRule="auto"/>
        <w:ind w:left="0"/>
        <w:rPr>
          <w:rFonts w:hint="default" w:ascii="Arial" w:hAnsi="Arial" w:cs="Arial"/>
          <w:highlight w:val="none"/>
        </w:rPr>
      </w:pPr>
      <w:bookmarkStart w:id="48" w:name="_p3sfiqlttytp" w:colFirst="0" w:colLast="0"/>
      <w:bookmarkEnd w:id="48"/>
      <w:bookmarkStart w:id="49" w:name="_Toc228890787"/>
      <w:bookmarkStart w:id="50" w:name="_Toc224731380"/>
      <w:bookmarkStart w:id="51" w:name="_Toc15741"/>
      <w:r>
        <w:rPr>
          <w:rFonts w:hint="default" w:ascii="Arial" w:hAnsi="Arial" w:cs="Arial"/>
          <w:highlight w:val="none"/>
        </w:rPr>
        <w:t>3.1 Introduction to Chapter</w:t>
      </w:r>
      <w:bookmarkEnd w:id="49"/>
      <w:bookmarkEnd w:id="50"/>
      <w:bookmarkEnd w:id="51"/>
    </w:p>
    <w:p w14:paraId="68341133">
      <w:pPr>
        <w:rPr>
          <w:rFonts w:hint="default" w:ascii="Arial" w:hAnsi="Arial" w:cs="Arial"/>
          <w:highlight w:val="none"/>
        </w:rPr>
      </w:pPr>
      <w:r>
        <w:rPr>
          <w:rFonts w:hint="default" w:ascii="Arial" w:hAnsi="Arial" w:cs="Arial"/>
          <w:highlight w:val="none"/>
        </w:rPr>
        <w:t xml:space="preserve">The development of this chapter mainly outlines a structured methodological framework that has been adopted systematically for evaluating the lifestyle factors that influence cardiovascular health within South Asian adults who live in the UK. It also explains the significant use of SLR or ‘Systematic Literature Review ' as the main method of research, while justifying the method’s suitability to address the research question. This chapter further includes a well-organised search strategy along with the PEO framework, followed by identifying the use of search terms and specific Boolean operators, keywords, article selection criteria, and databases. </w:t>
      </w:r>
    </w:p>
    <w:p w14:paraId="3084C0A6">
      <w:pPr>
        <w:rPr>
          <w:rFonts w:hint="default" w:ascii="Arial" w:hAnsi="Arial" w:cs="Arial"/>
          <w:highlight w:val="none"/>
        </w:rPr>
      </w:pPr>
    </w:p>
    <w:p w14:paraId="1A12AA24">
      <w:pPr>
        <w:pStyle w:val="3"/>
        <w:spacing w:line="480" w:lineRule="auto"/>
        <w:ind w:left="0"/>
        <w:rPr>
          <w:rFonts w:hint="default" w:ascii="Arial" w:hAnsi="Arial" w:cs="Arial"/>
          <w:highlight w:val="none"/>
        </w:rPr>
      </w:pPr>
      <w:bookmarkStart w:id="52" w:name="_6s9831o80rqi" w:colFirst="0" w:colLast="0"/>
      <w:bookmarkEnd w:id="52"/>
      <w:bookmarkStart w:id="53" w:name="_Toc224731381"/>
      <w:bookmarkStart w:id="54" w:name="_Toc228890788"/>
      <w:bookmarkStart w:id="55" w:name="_Toc26479"/>
      <w:r>
        <w:rPr>
          <w:rFonts w:hint="default" w:ascii="Arial" w:hAnsi="Arial" w:cs="Arial"/>
          <w:highlight w:val="none"/>
        </w:rPr>
        <w:t>3.2 Systematic Literature Review (SLR)</w:t>
      </w:r>
      <w:bookmarkEnd w:id="53"/>
      <w:bookmarkEnd w:id="54"/>
      <w:bookmarkEnd w:id="55"/>
    </w:p>
    <w:p w14:paraId="3DC8FE19">
      <w:pPr>
        <w:pStyle w:val="4"/>
        <w:spacing w:line="480" w:lineRule="auto"/>
        <w:rPr>
          <w:rFonts w:hint="default" w:ascii="Arial" w:hAnsi="Arial" w:cs="Arial"/>
          <w:highlight w:val="none"/>
        </w:rPr>
      </w:pPr>
      <w:bookmarkStart w:id="56" w:name="_Toc228890789"/>
      <w:bookmarkStart w:id="57" w:name="_Toc28409"/>
      <w:r>
        <w:rPr>
          <w:rFonts w:hint="default" w:ascii="Arial" w:hAnsi="Arial" w:cs="Arial"/>
          <w:sz w:val="24"/>
          <w:szCs w:val="24"/>
          <w:highlight w:val="none"/>
        </w:rPr>
        <w:t>3.2.1 Definition and purpose of SLR</w:t>
      </w:r>
      <w:bookmarkEnd w:id="56"/>
      <w:bookmarkEnd w:id="57"/>
    </w:p>
    <w:p w14:paraId="62C8D51B">
      <w:pPr>
        <w:rPr>
          <w:rFonts w:hint="default" w:ascii="Arial" w:hAnsi="Arial" w:cs="Arial"/>
          <w:highlight w:val="none"/>
        </w:rPr>
      </w:pPr>
      <w:r>
        <w:rPr>
          <w:rFonts w:hint="default" w:ascii="Arial" w:hAnsi="Arial" w:cs="Arial"/>
          <w:highlight w:val="none"/>
        </w:rPr>
        <w:t>The main purpose of SLRs is to determine all the available papers that are related to the research topic and include primary data which are then extracted, analysed and synthesised to develop deeper understanding (Van Dinter et al., 2021; Mengist et al., 2020). In this topic, an SLR would be appropriate since research evidence on the topic of lifestyle and cardiovascular health among South Asian adults in the UK is scattered across studies on diet, physical activity, obesity, smoking and cultural behaviours. Contrary to the traditional forms of review-narrative reviews-the SLRs are based on a rigorous and replicable process that minimizes bias and enhances reliability.</w:t>
      </w:r>
    </w:p>
    <w:p w14:paraId="4DA44659">
      <w:pPr>
        <w:rPr>
          <w:rFonts w:hint="default" w:ascii="Arial" w:hAnsi="Arial" w:cs="Arial"/>
          <w:highlight w:val="none"/>
        </w:rPr>
      </w:pPr>
    </w:p>
    <w:p w14:paraId="4EB8EBA6">
      <w:pPr>
        <w:pStyle w:val="4"/>
        <w:spacing w:line="480" w:lineRule="auto"/>
        <w:rPr>
          <w:rFonts w:hint="default" w:ascii="Arial" w:hAnsi="Arial" w:cs="Arial"/>
          <w:sz w:val="24"/>
          <w:szCs w:val="24"/>
          <w:highlight w:val="none"/>
        </w:rPr>
      </w:pPr>
      <w:bookmarkStart w:id="58" w:name="_Toc228890790"/>
      <w:bookmarkStart w:id="59" w:name="_Toc23207"/>
      <w:r>
        <w:rPr>
          <w:rFonts w:hint="default" w:ascii="Arial" w:hAnsi="Arial" w:cs="Arial"/>
          <w:sz w:val="24"/>
          <w:szCs w:val="24"/>
          <w:highlight w:val="none"/>
        </w:rPr>
        <w:t>3.2.2 Steps for achieving comprehensive conduction of SLR</w:t>
      </w:r>
      <w:bookmarkEnd w:id="58"/>
      <w:bookmarkEnd w:id="59"/>
    </w:p>
    <w:p w14:paraId="27350C08">
      <w:pPr>
        <w:rPr>
          <w:rFonts w:hint="default" w:ascii="Arial" w:hAnsi="Arial" w:cs="Arial"/>
          <w:highlight w:val="none"/>
        </w:rPr>
      </w:pPr>
      <w:r>
        <w:rPr>
          <w:rFonts w:hint="default" w:ascii="Arial" w:hAnsi="Arial" w:cs="Arial"/>
          <w:highlight w:val="none"/>
        </w:rPr>
        <w:t xml:space="preserve">Some of the main stages of SLR include first defining the question of the research, then developing a particular search strategy, followed by identifying all the relevant studies (Pati and Lorusso, 2018; </w:t>
      </w:r>
      <w:r>
        <w:rPr>
          <w:rFonts w:hint="default" w:ascii="Arial" w:hAnsi="Arial" w:cs="Arial"/>
          <w:highlight w:val="none"/>
          <w:lang w:val="en-IN"/>
        </w:rPr>
        <w:t xml:space="preserve">Carrera-Rivera et al., 2022; </w:t>
      </w:r>
      <w:r>
        <w:rPr>
          <w:rFonts w:hint="default" w:ascii="Arial" w:hAnsi="Arial" w:cs="Arial"/>
          <w:highlight w:val="none"/>
        </w:rPr>
        <w:t xml:space="preserve">Kumar, 2023). Some other stages of SLR include screening the articles while focusing on the eligibility criteria and then extracting data and appraising the included studies' quality through proper appraisal tools. </w:t>
      </w:r>
    </w:p>
    <w:p w14:paraId="391B68BF">
      <w:pPr>
        <w:rPr>
          <w:rFonts w:hint="default" w:ascii="Arial" w:hAnsi="Arial" w:cs="Arial"/>
          <w:highlight w:val="none"/>
        </w:rPr>
      </w:pPr>
    </w:p>
    <w:p w14:paraId="6B8E390E">
      <w:pPr>
        <w:rPr>
          <w:rFonts w:hint="default" w:ascii="Arial" w:hAnsi="Arial" w:cs="Arial"/>
          <w:highlight w:val="none"/>
        </w:rPr>
      </w:pPr>
      <w:r>
        <w:rPr>
          <w:rFonts w:hint="default" w:ascii="Arial" w:hAnsi="Arial" w:cs="Arial"/>
          <w:highlight w:val="none"/>
        </w:rPr>
        <w:t xml:space="preserve">The main purpose of SLR within this research is to successfully provide an evidence-based and comprehensive understanding of the effectiveness related to modifiable factors of lifestyle behaviours that affect the cardio-vascular health of South Asian adults who live within the UK. Moreover, specific challenges related to lifestyle behaviours and other socio-cultural aspects have also been identified in the literature review chapter. Based on this SLR, further develop a better understanding of the use of specific findings, which also supports the evaluation of specific gaps, patterns, and also the implications related to public health practices. </w:t>
      </w:r>
    </w:p>
    <w:p w14:paraId="4A2FCDD7">
      <w:pPr>
        <w:jc w:val="left"/>
        <w:rPr>
          <w:rFonts w:hint="default" w:ascii="Arial" w:hAnsi="Arial" w:cs="Arial"/>
          <w:highlight w:val="none"/>
        </w:rPr>
      </w:pPr>
      <w:bookmarkStart w:id="60" w:name="_c36vxhnzpc" w:colFirst="0" w:colLast="0"/>
      <w:bookmarkEnd w:id="60"/>
      <w:bookmarkStart w:id="61" w:name="_Toc224731382"/>
    </w:p>
    <w:p w14:paraId="26F87F68">
      <w:pPr>
        <w:pStyle w:val="3"/>
        <w:spacing w:line="480" w:lineRule="auto"/>
        <w:ind w:left="0"/>
        <w:rPr>
          <w:rFonts w:hint="default" w:ascii="Arial" w:hAnsi="Arial" w:cs="Arial"/>
          <w:highlight w:val="none"/>
        </w:rPr>
      </w:pPr>
      <w:bookmarkStart w:id="62" w:name="_Toc228890791"/>
      <w:bookmarkStart w:id="63" w:name="_Toc6509"/>
      <w:r>
        <w:rPr>
          <w:rFonts w:hint="default" w:ascii="Arial" w:hAnsi="Arial" w:cs="Arial"/>
          <w:highlight w:val="none"/>
        </w:rPr>
        <w:t>3.3 Search Strategy</w:t>
      </w:r>
      <w:bookmarkEnd w:id="61"/>
      <w:bookmarkEnd w:id="62"/>
      <w:bookmarkEnd w:id="63"/>
    </w:p>
    <w:p w14:paraId="7BC09BB7">
      <w:pPr>
        <w:pStyle w:val="4"/>
        <w:spacing w:line="480" w:lineRule="auto"/>
        <w:rPr>
          <w:rFonts w:hint="default" w:ascii="Arial" w:hAnsi="Arial" w:cs="Arial"/>
          <w:sz w:val="24"/>
          <w:szCs w:val="24"/>
          <w:highlight w:val="none"/>
          <w:lang w:val="en-US"/>
        </w:rPr>
      </w:pPr>
      <w:bookmarkStart w:id="64" w:name="_Toc228890792"/>
      <w:bookmarkStart w:id="65" w:name="_Toc32154"/>
      <w:r>
        <w:rPr>
          <w:rFonts w:hint="default" w:ascii="Arial" w:hAnsi="Arial" w:cs="Arial"/>
          <w:sz w:val="24"/>
          <w:szCs w:val="24"/>
          <w:highlight w:val="none"/>
        </w:rPr>
        <w:t>3.3.1 Definition of search strategy</w:t>
      </w:r>
      <w:bookmarkEnd w:id="64"/>
      <w:bookmarkEnd w:id="65"/>
    </w:p>
    <w:p w14:paraId="2722C31A">
      <w:pPr>
        <w:rPr>
          <w:rFonts w:hint="default" w:ascii="Arial" w:hAnsi="Arial" w:cs="Arial"/>
          <w:highlight w:val="none"/>
        </w:rPr>
      </w:pPr>
      <w:r>
        <w:rPr>
          <w:rFonts w:hint="default" w:ascii="Arial" w:hAnsi="Arial" w:cs="Arial"/>
          <w:highlight w:val="none"/>
        </w:rPr>
        <w:t>A particular search strategy mainly refers to an organised and systematic approach that is used for locating relevant literature that addresses the identified research question. According to MacFarlane et al. (2022), a proper search strategy of SLR involves the identification of relevant articles while screening them, analysing proper evidence and then synthesising them.</w:t>
      </w:r>
    </w:p>
    <w:p w14:paraId="7BA38D97">
      <w:pPr>
        <w:rPr>
          <w:rFonts w:hint="default" w:ascii="Arial" w:hAnsi="Arial" w:cs="Arial"/>
          <w:highlight w:val="none"/>
        </w:rPr>
      </w:pPr>
    </w:p>
    <w:p w14:paraId="44C87606">
      <w:pPr>
        <w:pStyle w:val="3"/>
        <w:spacing w:line="480" w:lineRule="auto"/>
        <w:ind w:left="0"/>
        <w:rPr>
          <w:rFonts w:hint="default" w:ascii="Arial" w:hAnsi="Arial" w:cs="Arial"/>
          <w:highlight w:val="none"/>
        </w:rPr>
      </w:pPr>
      <w:bookmarkStart w:id="66" w:name="_Toc228890793"/>
      <w:bookmarkStart w:id="67" w:name="_Toc15817"/>
      <w:r>
        <w:rPr>
          <w:rFonts w:hint="default" w:ascii="Arial" w:hAnsi="Arial" w:cs="Arial"/>
          <w:highlight w:val="none"/>
        </w:rPr>
        <w:t>3.3.2 Process of a comprehensive search and time limit</w:t>
      </w:r>
      <w:bookmarkEnd w:id="66"/>
      <w:bookmarkEnd w:id="67"/>
    </w:p>
    <w:p w14:paraId="59649B3F">
      <w:pPr>
        <w:rPr>
          <w:rFonts w:hint="default" w:ascii="Arial" w:hAnsi="Arial" w:cs="Arial"/>
          <w:highlight w:val="none"/>
        </w:rPr>
      </w:pPr>
      <w:r>
        <w:rPr>
          <w:rFonts w:hint="default" w:ascii="Arial" w:hAnsi="Arial" w:cs="Arial"/>
          <w:highlight w:val="none"/>
        </w:rPr>
        <w:t xml:space="preserve">Within this research, the inclusion of a structured search strategy was mainly developed to ensure the inclusion of all relevant articles that identify specific factors of lifestyle and the health of the heart among South Asian adults in the UK. The use of the PEO or ‘Population, Exposure, Outcome’ framework was mainly adopted in this research as it is really suitable for any kind of observational and public health research. </w:t>
      </w:r>
    </w:p>
    <w:p w14:paraId="03A49C47">
      <w:pPr>
        <w:rPr>
          <w:rFonts w:hint="default" w:ascii="Arial" w:hAnsi="Arial" w:cs="Arial"/>
          <w:highlight w:val="none"/>
        </w:rPr>
      </w:pPr>
    </w:p>
    <w:p w14:paraId="5D0C01D8">
      <w:pPr>
        <w:rPr>
          <w:rFonts w:hint="default" w:ascii="Arial" w:hAnsi="Arial" w:cs="Arial"/>
          <w:highlight w:val="none"/>
        </w:rPr>
      </w:pPr>
      <w:r>
        <w:rPr>
          <w:rFonts w:hint="default" w:ascii="Arial" w:hAnsi="Arial" w:cs="Arial"/>
          <w:highlight w:val="none"/>
        </w:rPr>
        <w:t xml:space="preserve">According to Aboagye et al. (2021) and </w:t>
      </w:r>
      <w:r>
        <w:rPr>
          <w:rFonts w:hint="default" w:ascii="Arial" w:hAnsi="Arial" w:cs="Arial"/>
          <w:highlight w:val="none"/>
          <w:lang w:val="en-IN"/>
        </w:rPr>
        <w:t>Capili (2020)</w:t>
      </w:r>
      <w:r>
        <w:rPr>
          <w:rFonts w:hint="default" w:ascii="Arial" w:hAnsi="Arial" w:cs="Arial"/>
          <w:highlight w:val="none"/>
        </w:rPr>
        <w:t xml:space="preserve">, the PEO framework helps in identifying a proper population along with exposure to particular characteristics while indicating the identification of proper outcomes related to the publication performances. In this research, based on the framework, a structured relevance and comprehensiveness have been developed while focusing on the selection of proper articles from the time period 2006 to 2026. </w:t>
      </w:r>
    </w:p>
    <w:p w14:paraId="30AFA232">
      <w:pPr>
        <w:rPr>
          <w:rFonts w:hint="default" w:ascii="Arial" w:hAnsi="Arial" w:cs="Arial"/>
          <w:highlight w:val="none"/>
        </w:rPr>
      </w:pPr>
    </w:p>
    <w:p w14:paraId="1A2E3AC4">
      <w:pPr>
        <w:pStyle w:val="3"/>
        <w:spacing w:line="480" w:lineRule="auto"/>
        <w:ind w:left="0"/>
        <w:rPr>
          <w:rFonts w:hint="default" w:ascii="Arial" w:hAnsi="Arial" w:cs="Arial"/>
          <w:highlight w:val="none"/>
        </w:rPr>
      </w:pPr>
      <w:bookmarkStart w:id="68" w:name="_4elte1r8pflo" w:colFirst="0" w:colLast="0"/>
      <w:bookmarkEnd w:id="68"/>
      <w:bookmarkStart w:id="69" w:name="_Toc228890794"/>
      <w:bookmarkStart w:id="70" w:name="_Toc224731383"/>
      <w:bookmarkStart w:id="71" w:name="_Toc3208"/>
      <w:r>
        <w:rPr>
          <w:rFonts w:hint="default" w:ascii="Arial" w:hAnsi="Arial" w:cs="Arial"/>
          <w:highlight w:val="none"/>
        </w:rPr>
        <w:t>3.4 Search Terms</w:t>
      </w:r>
      <w:bookmarkEnd w:id="69"/>
      <w:bookmarkEnd w:id="70"/>
      <w:bookmarkEnd w:id="71"/>
    </w:p>
    <w:p w14:paraId="71A3C104">
      <w:pPr>
        <w:pStyle w:val="4"/>
        <w:spacing w:line="480" w:lineRule="auto"/>
        <w:rPr>
          <w:rFonts w:hint="default" w:ascii="Arial" w:hAnsi="Arial" w:cs="Arial"/>
          <w:sz w:val="24"/>
          <w:szCs w:val="24"/>
          <w:highlight w:val="none"/>
        </w:rPr>
      </w:pPr>
      <w:bookmarkStart w:id="72" w:name="_Toc228890795"/>
      <w:bookmarkStart w:id="73" w:name="_Toc12823"/>
      <w:r>
        <w:rPr>
          <w:rFonts w:hint="default" w:ascii="Arial" w:hAnsi="Arial" w:cs="Arial"/>
          <w:sz w:val="24"/>
          <w:szCs w:val="24"/>
          <w:highlight w:val="none"/>
        </w:rPr>
        <w:t>3.4.1 Definition and importance of search terms</w:t>
      </w:r>
      <w:bookmarkEnd w:id="72"/>
      <w:bookmarkEnd w:id="73"/>
    </w:p>
    <w:p w14:paraId="3230B0AA">
      <w:pPr>
        <w:rPr>
          <w:rFonts w:hint="default" w:ascii="Arial" w:hAnsi="Arial" w:cs="Arial"/>
          <w:highlight w:val="none"/>
        </w:rPr>
      </w:pPr>
      <w:r>
        <w:rPr>
          <w:rFonts w:hint="default" w:ascii="Arial" w:hAnsi="Arial" w:cs="Arial"/>
          <w:highlight w:val="none"/>
        </w:rPr>
        <w:t xml:space="preserve">Search terms within SLR are mainly known as the use of proper keywords and synonyms along with variations that are derived from specific research questions (Gusenbauer and Haddaway, 2020; </w:t>
      </w:r>
      <w:r>
        <w:rPr>
          <w:rFonts w:hint="default" w:ascii="Arial" w:hAnsi="Arial" w:cs="Arial"/>
          <w:highlight w:val="none"/>
          <w:lang w:val="en-IN"/>
        </w:rPr>
        <w:t>Bramer, 2018</w:t>
      </w:r>
      <w:r>
        <w:rPr>
          <w:rFonts w:hint="default" w:ascii="Arial" w:hAnsi="Arial" w:cs="Arial"/>
          <w:highlight w:val="none"/>
        </w:rPr>
        <w:t xml:space="preserve">). The selection of proper search terms is important for ensuring a structured focus on the literature search strategy. Useful search terms also help in capturing the relevant articles while decreasing the likelihood of missing any kind of main evidence as well. </w:t>
      </w:r>
    </w:p>
    <w:p w14:paraId="10F62721">
      <w:pPr>
        <w:rPr>
          <w:rFonts w:hint="default" w:ascii="Arial" w:hAnsi="Arial" w:cs="Arial"/>
          <w:highlight w:val="none"/>
        </w:rPr>
      </w:pPr>
    </w:p>
    <w:p w14:paraId="32B9668D">
      <w:pPr>
        <w:pStyle w:val="4"/>
        <w:spacing w:line="480" w:lineRule="auto"/>
        <w:rPr>
          <w:rFonts w:hint="default" w:ascii="Arial" w:hAnsi="Arial" w:cs="Arial"/>
          <w:sz w:val="24"/>
          <w:szCs w:val="24"/>
          <w:highlight w:val="none"/>
        </w:rPr>
      </w:pPr>
      <w:bookmarkStart w:id="74" w:name="_Toc228890796"/>
      <w:bookmarkStart w:id="75" w:name="_Toc3318"/>
      <w:r>
        <w:rPr>
          <w:rFonts w:hint="default" w:ascii="Arial" w:hAnsi="Arial" w:cs="Arial"/>
          <w:sz w:val="24"/>
          <w:szCs w:val="24"/>
          <w:highlight w:val="none"/>
        </w:rPr>
        <w:t>3.4.2 Importance of using synonyms in searching</w:t>
      </w:r>
      <w:bookmarkEnd w:id="74"/>
      <w:bookmarkEnd w:id="75"/>
    </w:p>
    <w:p w14:paraId="0DA0088A">
      <w:pPr>
        <w:rPr>
          <w:rFonts w:hint="default" w:ascii="Arial" w:hAnsi="Arial" w:cs="Arial"/>
          <w:highlight w:val="none"/>
        </w:rPr>
      </w:pPr>
      <w:r>
        <w:rPr>
          <w:rFonts w:hint="default" w:ascii="Arial" w:hAnsi="Arial" w:cs="Arial"/>
          <w:highlight w:val="none"/>
        </w:rPr>
        <w:t xml:space="preserve">Moreover, the use of proper synonyms is important within systematic searches as it helps in acknowledging specific terminology for describing proper concepts. For example, in this research, the use of the term ‘cardiovascular disease’ can also be referred to as the term ‘CVD’ or ‘heart disease’. Therefore, combining all the synonyms further increases the level of sensitivity of the overall search while ensuring a better coverage of all the relevant articles. </w:t>
      </w:r>
    </w:p>
    <w:p w14:paraId="4F745D64">
      <w:pPr>
        <w:rPr>
          <w:rFonts w:hint="default" w:ascii="Arial" w:hAnsi="Arial" w:cs="Arial"/>
          <w:highlight w:val="none"/>
        </w:rPr>
      </w:pPr>
    </w:p>
    <w:p w14:paraId="427BB77E">
      <w:pPr>
        <w:pStyle w:val="4"/>
        <w:spacing w:line="480" w:lineRule="auto"/>
        <w:rPr>
          <w:rFonts w:hint="default" w:ascii="Arial" w:hAnsi="Arial" w:cs="Arial"/>
          <w:sz w:val="24"/>
          <w:szCs w:val="24"/>
          <w:highlight w:val="none"/>
        </w:rPr>
      </w:pPr>
      <w:bookmarkStart w:id="76" w:name="_Toc228890797"/>
      <w:bookmarkStart w:id="77" w:name="_Toc22241"/>
      <w:r>
        <w:rPr>
          <w:rFonts w:hint="default" w:ascii="Arial" w:hAnsi="Arial" w:cs="Arial"/>
          <w:sz w:val="24"/>
          <w:szCs w:val="24"/>
          <w:highlight w:val="none"/>
        </w:rPr>
        <w:t>3.4.3 Explanation of the PEO framework and the process of using it for search</w:t>
      </w:r>
      <w:bookmarkEnd w:id="76"/>
      <w:bookmarkEnd w:id="77"/>
    </w:p>
    <w:p w14:paraId="1F3B412E">
      <w:pPr>
        <w:rPr>
          <w:rFonts w:hint="default" w:ascii="Arial" w:hAnsi="Arial" w:cs="Arial"/>
          <w:highlight w:val="none"/>
        </w:rPr>
      </w:pPr>
      <w:r>
        <w:rPr>
          <w:rFonts w:hint="default" w:ascii="Arial" w:hAnsi="Arial" w:cs="Arial"/>
          <w:highlight w:val="none"/>
        </w:rPr>
        <w:t xml:space="preserve">The following PEO framework has helped in guiding the overall development of all the search terms in this research. </w:t>
      </w:r>
    </w:p>
    <w:p w14:paraId="0364EB37">
      <w:pPr>
        <w:pStyle w:val="9"/>
        <w:spacing w:line="360" w:lineRule="auto"/>
        <w:jc w:val="center"/>
        <w:rPr>
          <w:rFonts w:hint="default" w:ascii="Arial" w:hAnsi="Arial" w:cs="Arial"/>
          <w:sz w:val="24"/>
          <w:szCs w:val="24"/>
          <w:highlight w:val="none"/>
        </w:rPr>
      </w:pPr>
      <w:bookmarkStart w:id="78" w:name="_Toc227582463"/>
      <w:bookmarkStart w:id="79" w:name="_Toc227582452"/>
      <w:r>
        <w:rPr>
          <w:rFonts w:hint="default" w:ascii="Arial" w:hAnsi="Arial" w:cs="Arial"/>
          <w:color w:val="auto"/>
          <w:sz w:val="24"/>
          <w:szCs w:val="24"/>
          <w:highlight w:val="none"/>
        </w:rPr>
        <w:t xml:space="preserve">Table </w:t>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SEQ Table \* ARABIC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1</w:t>
      </w:r>
      <w:r>
        <w:rPr>
          <w:rFonts w:hint="default" w:ascii="Arial" w:hAnsi="Arial" w:cs="Arial"/>
          <w:color w:val="auto"/>
          <w:sz w:val="24"/>
          <w:szCs w:val="24"/>
          <w:highlight w:val="none"/>
        </w:rPr>
        <w:fldChar w:fldCharType="end"/>
      </w:r>
      <w:bookmarkStart w:id="80" w:name="_Toc7958"/>
      <w:r>
        <w:rPr>
          <w:rFonts w:hint="default" w:ascii="Arial" w:hAnsi="Arial" w:cs="Arial"/>
          <w:color w:val="auto"/>
          <w:sz w:val="24"/>
          <w:szCs w:val="24"/>
          <w:highlight w:val="none"/>
        </w:rPr>
        <w:t>: PEO Framework</w:t>
      </w:r>
      <w:bookmarkEnd w:id="78"/>
      <w:bookmarkEnd w:id="79"/>
      <w:bookmarkEnd w:id="80"/>
    </w:p>
    <w:tbl>
      <w:tblPr>
        <w:tblStyle w:val="6"/>
        <w:tblW w:w="914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700"/>
        <w:gridCol w:w="7445"/>
      </w:tblGrid>
      <w:tr w14:paraId="656F21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15" w:hRule="atLeast"/>
          <w:tblHeader/>
        </w:trPr>
        <w:tc>
          <w:tcPr>
            <w:tcW w:w="17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F404479">
            <w:pPr>
              <w:pStyle w:val="39"/>
              <w:spacing w:line="360" w:lineRule="auto"/>
              <w:jc w:val="center"/>
              <w:rPr>
                <w:rFonts w:hint="default" w:ascii="Arial" w:hAnsi="Arial" w:cs="Arial"/>
                <w:highlight w:val="none"/>
              </w:rPr>
            </w:pPr>
            <w:r>
              <w:rPr>
                <w:rFonts w:hint="default" w:ascii="Arial" w:hAnsi="Arial" w:cs="Arial"/>
                <w:highlight w:val="none"/>
              </w:rPr>
              <w:t>Component</w:t>
            </w:r>
          </w:p>
        </w:tc>
        <w:tc>
          <w:tcPr>
            <w:tcW w:w="74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8FA9BB">
            <w:pPr>
              <w:pStyle w:val="39"/>
              <w:spacing w:line="360" w:lineRule="auto"/>
              <w:jc w:val="center"/>
              <w:rPr>
                <w:rFonts w:hint="default" w:ascii="Arial" w:hAnsi="Arial" w:cs="Arial"/>
                <w:highlight w:val="none"/>
              </w:rPr>
            </w:pPr>
            <w:r>
              <w:rPr>
                <w:rFonts w:hint="default" w:ascii="Arial" w:hAnsi="Arial" w:cs="Arial"/>
                <w:highlight w:val="none"/>
              </w:rPr>
              <w:t>Description</w:t>
            </w:r>
          </w:p>
        </w:tc>
      </w:tr>
      <w:tr w14:paraId="1AF9C3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0" w:hRule="atLeast"/>
          <w:tblHeader/>
        </w:trPr>
        <w:tc>
          <w:tcPr>
            <w:tcW w:w="17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35BAEE6">
            <w:pPr>
              <w:pStyle w:val="39"/>
              <w:spacing w:line="360" w:lineRule="auto"/>
              <w:rPr>
                <w:rFonts w:hint="default" w:ascii="Arial" w:hAnsi="Arial" w:cs="Arial"/>
                <w:highlight w:val="none"/>
              </w:rPr>
            </w:pPr>
            <w:r>
              <w:rPr>
                <w:rFonts w:hint="default" w:ascii="Arial" w:hAnsi="Arial" w:cs="Arial"/>
                <w:highlight w:val="none"/>
              </w:rPr>
              <w:t>Population (P)</w:t>
            </w:r>
          </w:p>
        </w:tc>
        <w:tc>
          <w:tcPr>
            <w:tcW w:w="74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51AA2A">
            <w:pPr>
              <w:pStyle w:val="39"/>
              <w:spacing w:line="360" w:lineRule="auto"/>
              <w:rPr>
                <w:rFonts w:hint="default" w:ascii="Arial" w:hAnsi="Arial" w:cs="Arial"/>
                <w:highlight w:val="none"/>
              </w:rPr>
            </w:pPr>
            <w:r>
              <w:rPr>
                <w:rFonts w:hint="default" w:ascii="Arial" w:hAnsi="Arial" w:cs="Arial"/>
                <w:highlight w:val="none"/>
              </w:rPr>
              <w:t>South Asian adults (25-65 years), Indian, Pakistani, Bangladeshi, Sri Lankan</w:t>
            </w:r>
          </w:p>
        </w:tc>
      </w:tr>
      <w:tr w14:paraId="1D5026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0" w:hRule="atLeast"/>
          <w:tblHeader/>
        </w:trPr>
        <w:tc>
          <w:tcPr>
            <w:tcW w:w="17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ACB394F">
            <w:pPr>
              <w:pStyle w:val="39"/>
              <w:spacing w:line="360" w:lineRule="auto"/>
              <w:rPr>
                <w:rFonts w:hint="default" w:ascii="Arial" w:hAnsi="Arial" w:cs="Arial"/>
                <w:highlight w:val="none"/>
              </w:rPr>
            </w:pPr>
            <w:r>
              <w:rPr>
                <w:rFonts w:hint="default" w:ascii="Arial" w:hAnsi="Arial" w:cs="Arial"/>
                <w:highlight w:val="none"/>
              </w:rPr>
              <w:t>Exposure (E)</w:t>
            </w:r>
          </w:p>
        </w:tc>
        <w:tc>
          <w:tcPr>
            <w:tcW w:w="74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162908C">
            <w:pPr>
              <w:pStyle w:val="39"/>
              <w:spacing w:line="360" w:lineRule="auto"/>
              <w:rPr>
                <w:rFonts w:hint="default" w:ascii="Arial" w:hAnsi="Arial" w:cs="Arial"/>
                <w:highlight w:val="none"/>
              </w:rPr>
            </w:pPr>
            <w:r>
              <w:rPr>
                <w:rFonts w:hint="default" w:ascii="Arial" w:hAnsi="Arial" w:cs="Arial"/>
                <w:highlight w:val="none"/>
              </w:rPr>
              <w:t>Lifestyle factors, diet, physical activity, smoking, alcohol consumption, and stress</w:t>
            </w:r>
          </w:p>
        </w:tc>
      </w:tr>
      <w:tr w14:paraId="7EB2F0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515" w:hRule="atLeast"/>
          <w:tblHeader/>
        </w:trPr>
        <w:tc>
          <w:tcPr>
            <w:tcW w:w="17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6E77557">
            <w:pPr>
              <w:pStyle w:val="39"/>
              <w:spacing w:line="360" w:lineRule="auto"/>
              <w:rPr>
                <w:rFonts w:hint="default" w:ascii="Arial" w:hAnsi="Arial" w:cs="Arial"/>
                <w:highlight w:val="none"/>
              </w:rPr>
            </w:pPr>
            <w:r>
              <w:rPr>
                <w:rFonts w:hint="default" w:ascii="Arial" w:hAnsi="Arial" w:cs="Arial"/>
                <w:highlight w:val="none"/>
              </w:rPr>
              <w:t>Outcome (O)</w:t>
            </w:r>
          </w:p>
        </w:tc>
        <w:tc>
          <w:tcPr>
            <w:tcW w:w="74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8D4594">
            <w:pPr>
              <w:pStyle w:val="39"/>
              <w:spacing w:line="360" w:lineRule="auto"/>
              <w:rPr>
                <w:rFonts w:hint="default" w:ascii="Arial" w:hAnsi="Arial" w:cs="Arial"/>
                <w:highlight w:val="none"/>
              </w:rPr>
            </w:pPr>
            <w:r>
              <w:rPr>
                <w:rFonts w:hint="default" w:ascii="Arial" w:hAnsi="Arial" w:cs="Arial"/>
                <w:highlight w:val="none"/>
              </w:rPr>
              <w:t>Cardiovascular disease, heart disease, cardiovascular health, CVD risk</w:t>
            </w:r>
          </w:p>
        </w:tc>
      </w:tr>
    </w:tbl>
    <w:p w14:paraId="5CEF20F6">
      <w:pPr>
        <w:rPr>
          <w:rFonts w:hint="default" w:ascii="Arial" w:hAnsi="Arial" w:cs="Arial"/>
          <w:highlight w:val="none"/>
        </w:rPr>
      </w:pPr>
    </w:p>
    <w:p w14:paraId="1A8E2E5D">
      <w:pPr>
        <w:rPr>
          <w:rFonts w:hint="default" w:ascii="Arial" w:hAnsi="Arial" w:cs="Arial"/>
          <w:highlight w:val="none"/>
        </w:rPr>
      </w:pPr>
      <w:r>
        <w:rPr>
          <w:rFonts w:hint="default" w:ascii="Arial" w:hAnsi="Arial" w:cs="Arial"/>
          <w:highlight w:val="none"/>
        </w:rPr>
        <w:t xml:space="preserve">While focusing on the above framework, the research question that guided the overall search was ‘How do modifiable lifestyle factors influence cardiovascular disease risk among South Asian adults aged 25–65 years living in the UK?’ </w:t>
      </w:r>
    </w:p>
    <w:p w14:paraId="01236A2E">
      <w:pPr>
        <w:rPr>
          <w:rFonts w:hint="default" w:ascii="Arial" w:hAnsi="Arial" w:cs="Arial"/>
          <w:highlight w:val="none"/>
        </w:rPr>
      </w:pPr>
    </w:p>
    <w:p w14:paraId="5B95719C">
      <w:pPr>
        <w:rPr>
          <w:rFonts w:hint="default" w:ascii="Arial" w:hAnsi="Arial" w:cs="Arial"/>
          <w:highlight w:val="none"/>
        </w:rPr>
      </w:pPr>
      <w:bookmarkStart w:id="81" w:name="_Hlk132031932"/>
      <w:r>
        <w:rPr>
          <w:rFonts w:hint="default" w:ascii="Arial" w:hAnsi="Arial" w:cs="Arial"/>
          <w:highlight w:val="none"/>
        </w:rPr>
        <w:t xml:space="preserve">The search strategy also includes the use of particular ‘Boolean Operators’ which are AND, NOT, and OR. As per Atkinson and Cipriani (2018) and </w:t>
      </w:r>
      <w:r>
        <w:rPr>
          <w:rFonts w:hint="default" w:ascii="Arial" w:hAnsi="Arial" w:cs="Arial"/>
          <w:highlight w:val="none"/>
          <w:lang w:val="en-IN"/>
        </w:rPr>
        <w:t>Alharbi and Stevenson (2020)</w:t>
      </w:r>
      <w:r>
        <w:rPr>
          <w:rFonts w:hint="default" w:ascii="Arial" w:hAnsi="Arial" w:cs="Arial"/>
          <w:highlight w:val="none"/>
        </w:rPr>
        <w:t xml:space="preserve">, these operators help in refining the search queries along with programming the conditions through excluding or combining specific keywords. </w:t>
      </w:r>
      <w:r>
        <w:rPr>
          <w:rFonts w:hint="default" w:ascii="Arial" w:hAnsi="Arial" w:cs="Arial"/>
          <w:color w:val="222222"/>
          <w:highlight w:val="none"/>
        </w:rPr>
        <w:t xml:space="preserve">The use of the operator ‘AND’ AND ‘OR’ mainly helps in combining the concepts associated with research questions like exposure, population, context, and outcome. </w:t>
      </w:r>
      <w:r>
        <w:rPr>
          <w:rFonts w:hint="default" w:ascii="Arial" w:hAnsi="Arial" w:cs="Arial"/>
          <w:highlight w:val="none"/>
        </w:rPr>
        <w:t>With the use of these operators and proper keywords, in-depth search terms have been developed below.</w:t>
      </w:r>
    </w:p>
    <w:p w14:paraId="070D1917">
      <w:pPr>
        <w:rPr>
          <w:rFonts w:hint="default" w:ascii="Arial" w:hAnsi="Arial" w:cs="Arial"/>
          <w:highlight w:val="none"/>
        </w:rPr>
      </w:pPr>
    </w:p>
    <w:p w14:paraId="2796CA59">
      <w:pPr>
        <w:pStyle w:val="9"/>
        <w:spacing w:line="360" w:lineRule="auto"/>
        <w:jc w:val="center"/>
        <w:rPr>
          <w:rFonts w:hint="default" w:ascii="Arial" w:hAnsi="Arial" w:cs="Arial"/>
          <w:sz w:val="24"/>
          <w:szCs w:val="24"/>
          <w:highlight w:val="none"/>
        </w:rPr>
      </w:pPr>
      <w:r>
        <w:rPr>
          <w:rFonts w:hint="default" w:ascii="Arial" w:hAnsi="Arial" w:cs="Arial"/>
          <w:color w:val="auto"/>
          <w:sz w:val="24"/>
          <w:szCs w:val="24"/>
          <w:highlight w:val="none"/>
        </w:rPr>
        <w:t xml:space="preserve">Table </w:t>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SEQ Table \* ARABIC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2</w:t>
      </w:r>
      <w:r>
        <w:rPr>
          <w:rFonts w:hint="default" w:ascii="Arial" w:hAnsi="Arial" w:cs="Arial"/>
          <w:color w:val="auto"/>
          <w:sz w:val="24"/>
          <w:szCs w:val="24"/>
          <w:highlight w:val="none"/>
        </w:rPr>
        <w:fldChar w:fldCharType="end"/>
      </w:r>
      <w:bookmarkStart w:id="82" w:name="_Toc22779"/>
      <w:r>
        <w:rPr>
          <w:rFonts w:hint="default" w:ascii="Arial" w:hAnsi="Arial" w:cs="Arial"/>
          <w:color w:val="auto"/>
          <w:sz w:val="24"/>
          <w:szCs w:val="24"/>
          <w:highlight w:val="none"/>
        </w:rPr>
        <w:t>: Search Terms Examples</w:t>
      </w:r>
      <w:bookmarkEnd w:id="82"/>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4"/>
        <w:gridCol w:w="6436"/>
        <w:gridCol w:w="1452"/>
      </w:tblGrid>
      <w:tr w14:paraId="783D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F3466FC">
            <w:pPr>
              <w:widowControl/>
              <w:autoSpaceDE/>
              <w:autoSpaceDN/>
              <w:rPr>
                <w:rFonts w:hint="default" w:ascii="Arial" w:hAnsi="Arial" w:cs="Arial"/>
                <w:highlight w:val="none"/>
              </w:rPr>
            </w:pPr>
            <w:bookmarkStart w:id="83" w:name="_Toc227582453"/>
            <w:bookmarkStart w:id="84" w:name="_Toc227582464"/>
            <w:r>
              <w:rPr>
                <w:rFonts w:hint="default" w:ascii="Arial" w:hAnsi="Arial" w:cs="Arial"/>
                <w:highlight w:val="none"/>
              </w:rPr>
              <w:t>Component</w:t>
            </w:r>
          </w:p>
        </w:tc>
        <w:tc>
          <w:tcPr>
            <w:tcW w:w="0" w:type="auto"/>
          </w:tcPr>
          <w:p w14:paraId="685F87F1">
            <w:pPr>
              <w:widowControl/>
              <w:autoSpaceDE/>
              <w:autoSpaceDN/>
              <w:rPr>
                <w:rFonts w:hint="default" w:ascii="Arial" w:hAnsi="Arial" w:cs="Arial"/>
                <w:highlight w:val="none"/>
              </w:rPr>
            </w:pPr>
            <w:r>
              <w:rPr>
                <w:rFonts w:hint="default" w:ascii="Arial" w:hAnsi="Arial" w:cs="Arial"/>
                <w:highlight w:val="none"/>
              </w:rPr>
              <w:t>Search Terms / Keywords</w:t>
            </w:r>
          </w:p>
        </w:tc>
        <w:tc>
          <w:tcPr>
            <w:tcW w:w="0" w:type="auto"/>
          </w:tcPr>
          <w:p w14:paraId="33EF23CF">
            <w:pPr>
              <w:widowControl/>
              <w:autoSpaceDE/>
              <w:autoSpaceDN/>
              <w:rPr>
                <w:rFonts w:hint="default" w:ascii="Arial" w:hAnsi="Arial" w:cs="Arial"/>
                <w:highlight w:val="none"/>
              </w:rPr>
            </w:pPr>
            <w:r>
              <w:rPr>
                <w:rFonts w:hint="default" w:ascii="Arial" w:hAnsi="Arial" w:cs="Arial"/>
                <w:highlight w:val="none"/>
              </w:rPr>
              <w:t>Boolean Operator</w:t>
            </w:r>
          </w:p>
        </w:tc>
      </w:tr>
      <w:tr w14:paraId="0BCC7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C89BC9F">
            <w:pPr>
              <w:widowControl/>
              <w:autoSpaceDE/>
              <w:autoSpaceDN/>
              <w:rPr>
                <w:rFonts w:hint="default" w:ascii="Arial" w:hAnsi="Arial" w:cs="Arial"/>
                <w:highlight w:val="none"/>
              </w:rPr>
            </w:pPr>
            <w:r>
              <w:rPr>
                <w:rFonts w:hint="default" w:ascii="Arial" w:hAnsi="Arial" w:cs="Arial"/>
                <w:highlight w:val="none"/>
              </w:rPr>
              <w:t>Population</w:t>
            </w:r>
          </w:p>
        </w:tc>
        <w:tc>
          <w:tcPr>
            <w:tcW w:w="0" w:type="auto"/>
          </w:tcPr>
          <w:p w14:paraId="7B16220F">
            <w:pPr>
              <w:widowControl/>
              <w:autoSpaceDE/>
              <w:autoSpaceDN/>
              <w:rPr>
                <w:rFonts w:hint="default" w:ascii="Arial" w:hAnsi="Arial" w:cs="Arial"/>
                <w:highlight w:val="none"/>
              </w:rPr>
            </w:pPr>
            <w:r>
              <w:rPr>
                <w:rFonts w:hint="default" w:ascii="Arial" w:hAnsi="Arial" w:cs="Arial"/>
                <w:highlight w:val="none"/>
              </w:rPr>
              <w:t>“South Asian” OR Indian OR Pakistani OR Bangladeshi OR Sri Lankan</w:t>
            </w:r>
          </w:p>
        </w:tc>
        <w:tc>
          <w:tcPr>
            <w:tcW w:w="0" w:type="auto"/>
          </w:tcPr>
          <w:p w14:paraId="1B2594DC">
            <w:pPr>
              <w:widowControl/>
              <w:autoSpaceDE/>
              <w:autoSpaceDN/>
              <w:rPr>
                <w:rFonts w:hint="default" w:ascii="Arial" w:hAnsi="Arial" w:cs="Arial"/>
                <w:highlight w:val="none"/>
              </w:rPr>
            </w:pPr>
            <w:r>
              <w:rPr>
                <w:rFonts w:hint="default" w:ascii="Arial" w:hAnsi="Arial" w:cs="Arial"/>
                <w:highlight w:val="none"/>
              </w:rPr>
              <w:t>OR</w:t>
            </w:r>
          </w:p>
        </w:tc>
      </w:tr>
      <w:tr w14:paraId="5F93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DCBE2DD">
            <w:pPr>
              <w:widowControl/>
              <w:autoSpaceDE/>
              <w:autoSpaceDN/>
              <w:rPr>
                <w:rFonts w:hint="default" w:ascii="Arial" w:hAnsi="Arial" w:cs="Arial"/>
                <w:highlight w:val="none"/>
              </w:rPr>
            </w:pPr>
            <w:r>
              <w:rPr>
                <w:rFonts w:hint="default" w:ascii="Arial" w:hAnsi="Arial" w:cs="Arial"/>
                <w:highlight w:val="none"/>
              </w:rPr>
              <w:t>Location</w:t>
            </w:r>
          </w:p>
        </w:tc>
        <w:tc>
          <w:tcPr>
            <w:tcW w:w="0" w:type="auto"/>
          </w:tcPr>
          <w:p w14:paraId="51CB10C6">
            <w:pPr>
              <w:widowControl/>
              <w:autoSpaceDE/>
              <w:autoSpaceDN/>
              <w:rPr>
                <w:rFonts w:hint="default" w:ascii="Arial" w:hAnsi="Arial" w:cs="Arial"/>
                <w:highlight w:val="none"/>
              </w:rPr>
            </w:pPr>
            <w:r>
              <w:rPr>
                <w:rFonts w:hint="default" w:ascii="Arial" w:hAnsi="Arial" w:cs="Arial"/>
                <w:highlight w:val="none"/>
              </w:rPr>
              <w:t>“United Kingdom” OR UK OR Britain OR England</w:t>
            </w:r>
          </w:p>
        </w:tc>
        <w:tc>
          <w:tcPr>
            <w:tcW w:w="0" w:type="auto"/>
          </w:tcPr>
          <w:p w14:paraId="764F699F">
            <w:pPr>
              <w:widowControl/>
              <w:autoSpaceDE/>
              <w:autoSpaceDN/>
              <w:rPr>
                <w:rFonts w:hint="default" w:ascii="Arial" w:hAnsi="Arial" w:cs="Arial"/>
                <w:highlight w:val="none"/>
              </w:rPr>
            </w:pPr>
            <w:r>
              <w:rPr>
                <w:rFonts w:hint="default" w:ascii="Arial" w:hAnsi="Arial" w:cs="Arial"/>
                <w:highlight w:val="none"/>
              </w:rPr>
              <w:t>OR</w:t>
            </w:r>
          </w:p>
        </w:tc>
      </w:tr>
      <w:tr w14:paraId="6DD8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A4FF2A6">
            <w:pPr>
              <w:widowControl/>
              <w:autoSpaceDE/>
              <w:autoSpaceDN/>
              <w:rPr>
                <w:rFonts w:hint="default" w:ascii="Arial" w:hAnsi="Arial" w:cs="Arial"/>
                <w:highlight w:val="none"/>
              </w:rPr>
            </w:pPr>
            <w:r>
              <w:rPr>
                <w:rFonts w:hint="default" w:ascii="Arial" w:hAnsi="Arial" w:cs="Arial"/>
                <w:highlight w:val="none"/>
              </w:rPr>
              <w:t>Exposure</w:t>
            </w:r>
          </w:p>
        </w:tc>
        <w:tc>
          <w:tcPr>
            <w:tcW w:w="0" w:type="auto"/>
          </w:tcPr>
          <w:p w14:paraId="781CB60C">
            <w:pPr>
              <w:widowControl/>
              <w:autoSpaceDE/>
              <w:autoSpaceDN/>
              <w:rPr>
                <w:rFonts w:hint="default" w:ascii="Arial" w:hAnsi="Arial" w:cs="Arial"/>
                <w:highlight w:val="none"/>
              </w:rPr>
            </w:pPr>
            <w:r>
              <w:rPr>
                <w:rFonts w:hint="default" w:ascii="Arial" w:hAnsi="Arial" w:cs="Arial"/>
                <w:highlight w:val="none"/>
              </w:rPr>
              <w:t>“lifestyle factors” AND diet AND “physical activity” AND smoking AND alcohol AND stress AND obesity AND “sedentary behaviour”</w:t>
            </w:r>
          </w:p>
        </w:tc>
        <w:tc>
          <w:tcPr>
            <w:tcW w:w="0" w:type="auto"/>
          </w:tcPr>
          <w:p w14:paraId="0080F235">
            <w:pPr>
              <w:widowControl/>
              <w:autoSpaceDE/>
              <w:autoSpaceDN/>
              <w:rPr>
                <w:rFonts w:hint="default" w:ascii="Arial" w:hAnsi="Arial" w:cs="Arial"/>
                <w:highlight w:val="none"/>
              </w:rPr>
            </w:pPr>
            <w:r>
              <w:rPr>
                <w:rFonts w:hint="default" w:ascii="Arial" w:hAnsi="Arial" w:cs="Arial"/>
                <w:highlight w:val="none"/>
              </w:rPr>
              <w:t>AND</w:t>
            </w:r>
          </w:p>
        </w:tc>
      </w:tr>
      <w:tr w14:paraId="34920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29BA18A8">
            <w:pPr>
              <w:widowControl/>
              <w:autoSpaceDE/>
              <w:autoSpaceDN/>
              <w:rPr>
                <w:rFonts w:hint="default" w:ascii="Arial" w:hAnsi="Arial" w:cs="Arial"/>
                <w:highlight w:val="none"/>
              </w:rPr>
            </w:pPr>
            <w:r>
              <w:rPr>
                <w:rFonts w:hint="default" w:ascii="Arial" w:hAnsi="Arial" w:cs="Arial"/>
                <w:highlight w:val="none"/>
              </w:rPr>
              <w:t>Outcome</w:t>
            </w:r>
          </w:p>
        </w:tc>
        <w:tc>
          <w:tcPr>
            <w:tcW w:w="0" w:type="auto"/>
          </w:tcPr>
          <w:p w14:paraId="6350BA86">
            <w:pPr>
              <w:widowControl/>
              <w:autoSpaceDE/>
              <w:autoSpaceDN/>
              <w:rPr>
                <w:rFonts w:hint="default" w:ascii="Arial" w:hAnsi="Arial" w:cs="Arial"/>
                <w:highlight w:val="none"/>
              </w:rPr>
            </w:pPr>
            <w:r>
              <w:rPr>
                <w:rFonts w:hint="default" w:ascii="Arial" w:hAnsi="Arial" w:cs="Arial"/>
                <w:highlight w:val="none"/>
              </w:rPr>
              <w:t>“cardiovascular disease” OR “heart disease” OR CVD OR “cardiovascular health” OR “coronary heart disease” OR hypertension</w:t>
            </w:r>
          </w:p>
        </w:tc>
        <w:tc>
          <w:tcPr>
            <w:tcW w:w="0" w:type="auto"/>
          </w:tcPr>
          <w:p w14:paraId="2B108A30">
            <w:pPr>
              <w:widowControl/>
              <w:autoSpaceDE/>
              <w:autoSpaceDN/>
              <w:rPr>
                <w:rFonts w:hint="default" w:ascii="Arial" w:hAnsi="Arial" w:cs="Arial"/>
                <w:highlight w:val="none"/>
              </w:rPr>
            </w:pPr>
            <w:r>
              <w:rPr>
                <w:rFonts w:hint="default" w:ascii="Arial" w:hAnsi="Arial" w:cs="Arial"/>
                <w:highlight w:val="none"/>
              </w:rPr>
              <w:t>OR</w:t>
            </w:r>
          </w:p>
        </w:tc>
      </w:tr>
    </w:tbl>
    <w:p w14:paraId="62620232">
      <w:pPr>
        <w:pStyle w:val="9"/>
        <w:spacing w:line="360" w:lineRule="auto"/>
        <w:jc w:val="center"/>
        <w:rPr>
          <w:rFonts w:hint="default" w:ascii="Arial" w:hAnsi="Arial" w:cs="Arial"/>
          <w:color w:val="auto"/>
          <w:highlight w:val="none"/>
        </w:rPr>
      </w:pPr>
    </w:p>
    <w:bookmarkEnd w:id="83"/>
    <w:bookmarkEnd w:id="84"/>
    <w:p w14:paraId="0EAF44E2">
      <w:pPr>
        <w:rPr>
          <w:rFonts w:hint="default" w:ascii="Arial" w:hAnsi="Arial" w:cs="Arial"/>
          <w:highlight w:val="none"/>
        </w:rPr>
      </w:pPr>
      <w:r>
        <w:rPr>
          <w:rFonts w:hint="default" w:ascii="Arial" w:hAnsi="Arial" w:cs="Arial"/>
          <w:highlight w:val="none"/>
        </w:rPr>
        <w:t xml:space="preserve">Overall, the use of all the ‘Boolean Operators’ has helped in showcasing the inclusion of proper synonyms based on the whole concept of this research while ensuring the provisioning of refined search terms. The structured approach has also helped in increasing both specificity and sensitivity of the whole search strategy. </w:t>
      </w:r>
    </w:p>
    <w:p w14:paraId="74F25310">
      <w:pPr>
        <w:rPr>
          <w:rFonts w:hint="default" w:ascii="Arial" w:hAnsi="Arial" w:cs="Arial"/>
          <w:highlight w:val="none"/>
        </w:rPr>
      </w:pPr>
    </w:p>
    <w:p w14:paraId="5C59E68B">
      <w:pPr>
        <w:pStyle w:val="3"/>
        <w:spacing w:line="480" w:lineRule="auto"/>
        <w:ind w:left="0"/>
        <w:rPr>
          <w:rFonts w:hint="default" w:ascii="Arial" w:hAnsi="Arial" w:cs="Arial"/>
          <w:highlight w:val="none"/>
        </w:rPr>
      </w:pPr>
      <w:bookmarkStart w:id="85" w:name="_29mp6n4jb9xb" w:colFirst="0" w:colLast="0"/>
      <w:bookmarkEnd w:id="85"/>
      <w:bookmarkStart w:id="86" w:name="_Toc224731384"/>
      <w:bookmarkStart w:id="87" w:name="_Toc228890798"/>
      <w:bookmarkStart w:id="88" w:name="_Toc29179"/>
      <w:r>
        <w:rPr>
          <w:rFonts w:hint="default" w:ascii="Arial" w:hAnsi="Arial" w:cs="Arial"/>
          <w:highlight w:val="none"/>
        </w:rPr>
        <w:t>3.5 Keywords</w:t>
      </w:r>
      <w:bookmarkEnd w:id="86"/>
      <w:bookmarkEnd w:id="87"/>
      <w:bookmarkEnd w:id="88"/>
    </w:p>
    <w:p w14:paraId="7641EAB9">
      <w:pPr>
        <w:pStyle w:val="4"/>
        <w:spacing w:line="480" w:lineRule="auto"/>
        <w:rPr>
          <w:rFonts w:hint="default" w:ascii="Arial" w:hAnsi="Arial" w:cs="Arial"/>
          <w:sz w:val="24"/>
          <w:szCs w:val="24"/>
          <w:highlight w:val="none"/>
        </w:rPr>
      </w:pPr>
      <w:bookmarkStart w:id="89" w:name="_Toc228890799"/>
      <w:bookmarkStart w:id="90" w:name="_Toc23760"/>
      <w:r>
        <w:rPr>
          <w:rFonts w:hint="default" w:ascii="Arial" w:hAnsi="Arial" w:cs="Arial"/>
          <w:sz w:val="24"/>
          <w:szCs w:val="24"/>
          <w:highlight w:val="none"/>
        </w:rPr>
        <w:t>3.5.1 Definition of keywords and importance of using those for the searching process</w:t>
      </w:r>
      <w:bookmarkEnd w:id="89"/>
      <w:bookmarkEnd w:id="90"/>
    </w:p>
    <w:p w14:paraId="59D6BAA9">
      <w:pPr>
        <w:rPr>
          <w:rFonts w:hint="default" w:ascii="Arial" w:hAnsi="Arial" w:cs="Arial"/>
          <w:highlight w:val="none"/>
        </w:rPr>
      </w:pPr>
      <w:r>
        <w:rPr>
          <w:rFonts w:hint="default" w:ascii="Arial" w:hAnsi="Arial" w:cs="Arial"/>
          <w:highlight w:val="none"/>
        </w:rPr>
        <w:t>Keywords are known as the specific terms that are used to represent the main concepts related to the topic of the research. These are also important for retrieving proper literature from some of the selected databases. They not only help in gathering proper search results but also help in making improvements within the overall process of search.</w:t>
      </w:r>
    </w:p>
    <w:p w14:paraId="1DC3BE30">
      <w:pPr>
        <w:rPr>
          <w:rFonts w:hint="default" w:ascii="Arial" w:hAnsi="Arial" w:cs="Arial"/>
          <w:highlight w:val="none"/>
        </w:rPr>
      </w:pPr>
    </w:p>
    <w:p w14:paraId="7963F447">
      <w:pPr>
        <w:pStyle w:val="3"/>
        <w:spacing w:line="480" w:lineRule="auto"/>
        <w:ind w:left="0"/>
        <w:rPr>
          <w:rFonts w:hint="default" w:ascii="Arial" w:hAnsi="Arial" w:cs="Arial"/>
          <w:highlight w:val="none"/>
        </w:rPr>
      </w:pPr>
      <w:bookmarkStart w:id="91" w:name="_Toc228890800"/>
      <w:bookmarkStart w:id="92" w:name="_Toc13274"/>
      <w:r>
        <w:rPr>
          <w:rFonts w:hint="default" w:ascii="Arial" w:hAnsi="Arial" w:cs="Arial"/>
          <w:highlight w:val="none"/>
        </w:rPr>
        <w:t>3.5.2 Main keywords used in this study for search</w:t>
      </w:r>
      <w:bookmarkEnd w:id="91"/>
      <w:bookmarkEnd w:id="92"/>
    </w:p>
    <w:p w14:paraId="0A9F3484">
      <w:pPr>
        <w:rPr>
          <w:rFonts w:hint="default" w:ascii="Arial" w:hAnsi="Arial" w:cs="Arial"/>
          <w:highlight w:val="none"/>
        </w:rPr>
      </w:pPr>
    </w:p>
    <w:p w14:paraId="18AE7503">
      <w:pPr>
        <w:rPr>
          <w:rFonts w:hint="default" w:ascii="Arial" w:hAnsi="Arial" w:cs="Arial"/>
          <w:highlight w:val="none"/>
        </w:rPr>
      </w:pPr>
      <w:r>
        <w:rPr>
          <w:rFonts w:hint="default" w:ascii="Arial" w:hAnsi="Arial" w:cs="Arial"/>
          <w:highlight w:val="none"/>
        </w:rPr>
        <w:t>The main keywords used in this study were ‘South Asian adults’, ‘cardiovascular disease’, ‘cardiovascular health’ and ‘lifestyle factors’. Additional related keywords included ‘Indian’, ‘Pakistani’, ‘Bangladeshi’, ‘Sri Lankan’, ‘UK’, ‘United Kingdom’, ‘coronary heart disease’, ‘stroke’, ‘hypertension’, ‘diet’, ‘physical activity’, ‘physical inactivity’, ‘obesity’, ‘smoking’, ‘alcohol’, ‘stress’ and ‘sedentary behaviour’. These keywords were combined using Boolean operators, where OR was used for similar terms and AND was used to connect the population, exposure and outcome concepts.</w:t>
      </w:r>
    </w:p>
    <w:p w14:paraId="77CBAB62">
      <w:pPr>
        <w:rPr>
          <w:rFonts w:hint="default" w:ascii="Arial" w:hAnsi="Arial" w:cs="Arial"/>
          <w:highlight w:val="none"/>
        </w:rPr>
      </w:pPr>
    </w:p>
    <w:p w14:paraId="11A74339">
      <w:pPr>
        <w:pStyle w:val="3"/>
        <w:spacing w:line="480" w:lineRule="auto"/>
        <w:ind w:left="0"/>
        <w:rPr>
          <w:rFonts w:hint="default" w:ascii="Arial" w:hAnsi="Arial" w:cs="Arial"/>
          <w:highlight w:val="none"/>
        </w:rPr>
      </w:pPr>
      <w:bookmarkStart w:id="93" w:name="_Toc224731385"/>
      <w:bookmarkStart w:id="94" w:name="_Toc228890801"/>
      <w:bookmarkStart w:id="95" w:name="_Toc17486"/>
      <w:r>
        <w:rPr>
          <w:rFonts w:hint="default" w:ascii="Arial" w:hAnsi="Arial" w:cs="Arial"/>
          <w:highlight w:val="none"/>
        </w:rPr>
        <w:t>3.6 Databases</w:t>
      </w:r>
      <w:bookmarkEnd w:id="93"/>
      <w:bookmarkEnd w:id="94"/>
      <w:bookmarkEnd w:id="95"/>
    </w:p>
    <w:p w14:paraId="70F4C4C9">
      <w:pPr>
        <w:pStyle w:val="4"/>
        <w:spacing w:line="480" w:lineRule="auto"/>
        <w:rPr>
          <w:rFonts w:hint="default" w:ascii="Arial" w:hAnsi="Arial" w:cs="Arial"/>
          <w:sz w:val="24"/>
          <w:szCs w:val="24"/>
          <w:highlight w:val="none"/>
        </w:rPr>
      </w:pPr>
      <w:bookmarkStart w:id="96" w:name="_Toc228890802"/>
      <w:bookmarkStart w:id="97" w:name="_Toc32166"/>
      <w:r>
        <w:rPr>
          <w:rFonts w:hint="default" w:ascii="Arial" w:hAnsi="Arial" w:cs="Arial"/>
          <w:sz w:val="24"/>
          <w:szCs w:val="24"/>
          <w:highlight w:val="none"/>
        </w:rPr>
        <w:t>3.6.1 Process of searching for information</w:t>
      </w:r>
      <w:bookmarkEnd w:id="96"/>
      <w:bookmarkEnd w:id="97"/>
    </w:p>
    <w:p w14:paraId="792E36AC">
      <w:pPr>
        <w:rPr>
          <w:rFonts w:hint="default" w:ascii="Arial" w:hAnsi="Arial" w:cs="Arial"/>
          <w:highlight w:val="none"/>
        </w:rPr>
      </w:pPr>
      <w:r>
        <w:rPr>
          <w:rFonts w:hint="default" w:ascii="Arial" w:hAnsi="Arial" w:cs="Arial"/>
          <w:highlight w:val="none"/>
        </w:rPr>
        <w:t>The use of the above selected keywords for searching and including the research articles to complete this dissertation has been progressing while using some significant databases, which acted as the source of credible, reliable, and quality research resources.</w:t>
      </w:r>
    </w:p>
    <w:p w14:paraId="7CF454CC">
      <w:pPr>
        <w:rPr>
          <w:rFonts w:hint="default" w:ascii="Arial" w:hAnsi="Arial" w:cs="Arial"/>
          <w:highlight w:val="none"/>
        </w:rPr>
      </w:pPr>
    </w:p>
    <w:p w14:paraId="1D10BA30">
      <w:pPr>
        <w:pStyle w:val="4"/>
        <w:spacing w:line="480" w:lineRule="auto"/>
        <w:rPr>
          <w:rFonts w:hint="default" w:ascii="Arial" w:hAnsi="Arial" w:cs="Arial"/>
          <w:sz w:val="24"/>
          <w:szCs w:val="24"/>
          <w:highlight w:val="none"/>
        </w:rPr>
      </w:pPr>
      <w:bookmarkStart w:id="98" w:name="_Toc228890803"/>
      <w:bookmarkStart w:id="99" w:name="_Toc20275"/>
      <w:r>
        <w:rPr>
          <w:rFonts w:hint="default" w:ascii="Arial" w:hAnsi="Arial" w:cs="Arial"/>
          <w:sz w:val="24"/>
          <w:szCs w:val="24"/>
          <w:highlight w:val="none"/>
        </w:rPr>
        <w:t>3.6.2 Importance of using multiple databases</w:t>
      </w:r>
      <w:bookmarkEnd w:id="98"/>
      <w:bookmarkEnd w:id="99"/>
    </w:p>
    <w:p w14:paraId="25C391D0">
      <w:pPr>
        <w:rPr>
          <w:rFonts w:hint="default" w:ascii="Arial" w:hAnsi="Arial" w:cs="Arial"/>
          <w:highlight w:val="none"/>
        </w:rPr>
      </w:pPr>
      <w:r>
        <w:rPr>
          <w:rFonts w:hint="default" w:ascii="Arial" w:hAnsi="Arial" w:cs="Arial"/>
          <w:highlight w:val="none"/>
        </w:rPr>
        <w:t>The use of multiple databases mainly increases the reliability and comprehensiveness of the SLR while capturing better insights from the relevant articles. It also helped in decreasing all the publication biases while ensuring the presence of diversity in the perspectives. </w:t>
      </w:r>
    </w:p>
    <w:p w14:paraId="5ABDB240">
      <w:pPr>
        <w:rPr>
          <w:rFonts w:hint="default" w:ascii="Arial" w:hAnsi="Arial" w:cs="Arial"/>
          <w:highlight w:val="none"/>
        </w:rPr>
      </w:pPr>
    </w:p>
    <w:bookmarkEnd w:id="81"/>
    <w:p w14:paraId="62C7D6F6">
      <w:pPr>
        <w:pStyle w:val="4"/>
        <w:spacing w:line="480" w:lineRule="auto"/>
        <w:rPr>
          <w:rFonts w:hint="default" w:ascii="Arial" w:hAnsi="Arial" w:cs="Arial"/>
          <w:sz w:val="24"/>
          <w:szCs w:val="24"/>
          <w:highlight w:val="none"/>
        </w:rPr>
      </w:pPr>
      <w:bookmarkStart w:id="100" w:name="_Toc228890804"/>
      <w:bookmarkStart w:id="101" w:name="_Toc26813"/>
      <w:bookmarkStart w:id="102" w:name="_Toc224731386"/>
      <w:r>
        <w:rPr>
          <w:rFonts w:hint="default" w:ascii="Arial" w:hAnsi="Arial" w:cs="Arial"/>
          <w:sz w:val="24"/>
          <w:szCs w:val="24"/>
          <w:highlight w:val="none"/>
        </w:rPr>
        <w:t>3.6.3 Databases searched for conducting the particular study</w:t>
      </w:r>
      <w:bookmarkEnd w:id="100"/>
      <w:bookmarkEnd w:id="101"/>
    </w:p>
    <w:p w14:paraId="278E8F35">
      <w:pPr>
        <w:rPr>
          <w:rFonts w:hint="default" w:ascii="Arial" w:hAnsi="Arial" w:cs="Arial"/>
          <w:highlight w:val="none"/>
        </w:rPr>
      </w:pPr>
      <w:r>
        <w:rPr>
          <w:rFonts w:hint="default" w:ascii="Arial" w:hAnsi="Arial" w:cs="Arial"/>
          <w:highlight w:val="none"/>
        </w:rPr>
        <w:t xml:space="preserve">To complete the current dissertation, only three major academic databases were selected such as Web of Science, PubMed and ScienceDirect. These databases were selected as they contain access to a great variety of credible peer-reviewed articles concerning cardiovascular health, lifestyle factors and South Asian populations. However, </w:t>
      </w:r>
      <w:r>
        <w:rPr>
          <w:rFonts w:hint="default" w:ascii="Arial" w:hAnsi="Arial" w:cs="Arial"/>
          <w:color w:val="222222"/>
          <w:highlight w:val="none"/>
        </w:rPr>
        <w:t xml:space="preserve">the relevant studies within other databases like Scopus, PsycINFO, and CINAHL may not be further captured within the overall process of research. </w:t>
      </w:r>
      <w:r>
        <w:rPr>
          <w:rFonts w:hint="default" w:ascii="Arial" w:hAnsi="Arial" w:cs="Arial"/>
          <w:highlight w:val="none"/>
        </w:rPr>
        <w:t>The reason why PubMed was chosen is because it has good biomedical, as well as clinical and public health literature with regards to cardiovascular disease and lifestyle related risk factors. The use of Web of Science was due to its ability to cover multidisciplinary peer-reviewed studies and aid in identifying high-quality research in areas of health, social science and public health. ScienceDirect was added as it offers useful studies within the health, clinical, behavioural and social science disciplines, which are useful towards understanding the lifestyle and cardiovascular health in South Asian adults in the UK.</w:t>
      </w:r>
    </w:p>
    <w:p w14:paraId="2318B70D">
      <w:pPr>
        <w:pStyle w:val="3"/>
        <w:spacing w:line="480" w:lineRule="auto"/>
        <w:ind w:left="0"/>
        <w:rPr>
          <w:rFonts w:hint="default" w:ascii="Arial" w:hAnsi="Arial" w:cs="Arial"/>
          <w:highlight w:val="none"/>
        </w:rPr>
      </w:pPr>
      <w:bookmarkStart w:id="103" w:name="_Toc7355"/>
      <w:r>
        <w:rPr>
          <w:rFonts w:hint="default" w:ascii="Arial" w:hAnsi="Arial" w:cs="Arial"/>
          <w:highlight w:val="none"/>
        </w:rPr>
        <w:t>3.7 Inclusion/Exclusion Criteria</w:t>
      </w:r>
      <w:bookmarkEnd w:id="102"/>
      <w:bookmarkEnd w:id="103"/>
    </w:p>
    <w:p w14:paraId="06333C8D">
      <w:pPr>
        <w:rPr>
          <w:rFonts w:hint="default" w:ascii="Arial" w:hAnsi="Arial" w:cs="Arial"/>
          <w:highlight w:val="none"/>
        </w:rPr>
      </w:pPr>
      <w:r>
        <w:rPr>
          <w:rFonts w:hint="default" w:ascii="Arial" w:hAnsi="Arial" w:cs="Arial"/>
          <w:highlight w:val="none"/>
        </w:rPr>
        <w:t>After the selection of the significant research databases, there was a need to establish the sets of criteria for ensuring the inclusion of only the significant research articles within this systematic review development process, alongside excluding the articles that do not ensure the quality of this research. Therefore, this indicates the standardised utilisation of inclusion and exclusion criteria for establishing a systematic review. The process of redefining these inclusion and exclusion criteria can help in offering proper guidance to the scientific research team for ensuring the appropriate answering of the research questions and drawing a proper conclusion. </w:t>
      </w:r>
    </w:p>
    <w:p w14:paraId="76A6A3FE">
      <w:pPr>
        <w:pStyle w:val="4"/>
        <w:spacing w:line="480" w:lineRule="auto"/>
        <w:ind w:left="0"/>
        <w:rPr>
          <w:rFonts w:hint="default" w:ascii="Arial" w:hAnsi="Arial" w:cs="Arial"/>
          <w:sz w:val="24"/>
          <w:szCs w:val="24"/>
          <w:highlight w:val="none"/>
        </w:rPr>
      </w:pPr>
      <w:bookmarkStart w:id="104" w:name="_Toc224731387"/>
      <w:bookmarkStart w:id="105" w:name="_Toc15708"/>
      <w:r>
        <w:rPr>
          <w:rFonts w:hint="default" w:ascii="Arial" w:hAnsi="Arial" w:cs="Arial"/>
          <w:sz w:val="24"/>
          <w:szCs w:val="24"/>
          <w:highlight w:val="none"/>
        </w:rPr>
        <w:t>3.7.1 Inclusion Criteria</w:t>
      </w:r>
      <w:bookmarkEnd w:id="104"/>
      <w:bookmarkEnd w:id="105"/>
    </w:p>
    <w:p w14:paraId="71EE3F02">
      <w:pPr>
        <w:rPr>
          <w:rFonts w:hint="default" w:ascii="Arial" w:hAnsi="Arial" w:cs="Arial"/>
          <w:highlight w:val="none"/>
        </w:rPr>
      </w:pPr>
      <w:bookmarkStart w:id="106" w:name="_Hlk132024744"/>
      <w:r>
        <w:rPr>
          <w:rFonts w:hint="default" w:ascii="Arial" w:hAnsi="Arial" w:cs="Arial"/>
          <w:highlight w:val="none"/>
        </w:rPr>
        <w:t>The current section offers a brief idea of the inclusion criteria that have been chosen to select the research articles for completing this research.</w:t>
      </w:r>
    </w:p>
    <w:p w14:paraId="2F6C6482">
      <w:pPr>
        <w:rPr>
          <w:rFonts w:hint="default" w:ascii="Arial" w:hAnsi="Arial" w:cs="Arial"/>
          <w:highlight w:val="none"/>
        </w:rPr>
      </w:pPr>
    </w:p>
    <w:p w14:paraId="74F993ED">
      <w:pPr>
        <w:pStyle w:val="9"/>
        <w:spacing w:line="360" w:lineRule="auto"/>
        <w:jc w:val="center"/>
        <w:rPr>
          <w:rFonts w:hint="default" w:ascii="Arial" w:hAnsi="Arial" w:cs="Arial"/>
          <w:sz w:val="24"/>
          <w:szCs w:val="24"/>
          <w:highlight w:val="none"/>
        </w:rPr>
      </w:pPr>
      <w:bookmarkStart w:id="107" w:name="_Toc227582454"/>
      <w:bookmarkStart w:id="108" w:name="_Toc227582465"/>
      <w:r>
        <w:rPr>
          <w:rFonts w:hint="default" w:ascii="Arial" w:hAnsi="Arial" w:cs="Arial"/>
          <w:color w:val="auto"/>
          <w:sz w:val="24"/>
          <w:szCs w:val="24"/>
          <w:highlight w:val="none"/>
        </w:rPr>
        <w:t xml:space="preserve">Table </w:t>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SEQ Table \* ARABIC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3</w:t>
      </w:r>
      <w:r>
        <w:rPr>
          <w:rFonts w:hint="default" w:ascii="Arial" w:hAnsi="Arial" w:cs="Arial"/>
          <w:color w:val="auto"/>
          <w:sz w:val="24"/>
          <w:szCs w:val="24"/>
          <w:highlight w:val="none"/>
        </w:rPr>
        <w:fldChar w:fldCharType="end"/>
      </w:r>
      <w:bookmarkStart w:id="109" w:name="_Toc966"/>
      <w:r>
        <w:rPr>
          <w:rFonts w:hint="default" w:ascii="Arial" w:hAnsi="Arial" w:cs="Arial"/>
          <w:color w:val="auto"/>
          <w:sz w:val="24"/>
          <w:szCs w:val="24"/>
          <w:highlight w:val="none"/>
        </w:rPr>
        <w:t>: Inclusion Criteria</w:t>
      </w:r>
      <w:bookmarkEnd w:id="107"/>
      <w:bookmarkEnd w:id="108"/>
      <w:bookmarkEnd w:id="109"/>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5"/>
        <w:gridCol w:w="7057"/>
      </w:tblGrid>
      <w:tr w14:paraId="411A3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5BF413C1">
            <w:pPr>
              <w:widowControl/>
              <w:autoSpaceDE/>
              <w:autoSpaceDN/>
              <w:rPr>
                <w:rFonts w:hint="default" w:ascii="Arial" w:hAnsi="Arial" w:cs="Arial"/>
                <w:highlight w:val="none"/>
              </w:rPr>
            </w:pPr>
            <w:r>
              <w:rPr>
                <w:rFonts w:hint="default" w:ascii="Arial" w:hAnsi="Arial" w:cs="Arial"/>
                <w:highlight w:val="none"/>
              </w:rPr>
              <w:t>Criteria Category</w:t>
            </w:r>
          </w:p>
        </w:tc>
        <w:tc>
          <w:tcPr>
            <w:tcW w:w="3818" w:type="pct"/>
          </w:tcPr>
          <w:p w14:paraId="3DA6BFD6">
            <w:pPr>
              <w:widowControl/>
              <w:autoSpaceDE/>
              <w:autoSpaceDN/>
              <w:rPr>
                <w:rFonts w:hint="default" w:ascii="Arial" w:hAnsi="Arial" w:cs="Arial"/>
                <w:highlight w:val="none"/>
              </w:rPr>
            </w:pPr>
            <w:r>
              <w:rPr>
                <w:rFonts w:hint="default" w:ascii="Arial" w:hAnsi="Arial" w:cs="Arial"/>
                <w:highlight w:val="none"/>
              </w:rPr>
              <w:t>Details</w:t>
            </w:r>
          </w:p>
        </w:tc>
      </w:tr>
      <w:tr w14:paraId="03D1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26BEB8E7">
            <w:pPr>
              <w:widowControl/>
              <w:autoSpaceDE/>
              <w:autoSpaceDN/>
              <w:rPr>
                <w:rFonts w:hint="default" w:ascii="Arial" w:hAnsi="Arial" w:cs="Arial"/>
                <w:highlight w:val="none"/>
              </w:rPr>
            </w:pPr>
            <w:r>
              <w:rPr>
                <w:rFonts w:hint="default" w:ascii="Arial" w:hAnsi="Arial" w:cs="Arial"/>
                <w:highlight w:val="none"/>
              </w:rPr>
              <w:t>Study Type</w:t>
            </w:r>
          </w:p>
        </w:tc>
        <w:tc>
          <w:tcPr>
            <w:tcW w:w="3818" w:type="pct"/>
          </w:tcPr>
          <w:p w14:paraId="7DC82F76">
            <w:pPr>
              <w:widowControl/>
              <w:autoSpaceDE/>
              <w:autoSpaceDN/>
              <w:rPr>
                <w:rFonts w:hint="default" w:ascii="Arial" w:hAnsi="Arial" w:cs="Arial"/>
                <w:highlight w:val="none"/>
              </w:rPr>
            </w:pPr>
            <w:r>
              <w:rPr>
                <w:rFonts w:hint="default" w:ascii="Arial" w:hAnsi="Arial" w:cs="Arial"/>
                <w:highlight w:val="none"/>
              </w:rPr>
              <w:t>Peer-reviewed qualitative studies or mixed method studies</w:t>
            </w:r>
          </w:p>
        </w:tc>
      </w:tr>
      <w:tr w14:paraId="37B0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1E2F1F65">
            <w:pPr>
              <w:widowControl/>
              <w:autoSpaceDE/>
              <w:autoSpaceDN/>
              <w:rPr>
                <w:rFonts w:hint="default" w:ascii="Arial" w:hAnsi="Arial" w:cs="Arial"/>
                <w:highlight w:val="none"/>
              </w:rPr>
            </w:pPr>
            <w:r>
              <w:rPr>
                <w:rFonts w:hint="default" w:ascii="Arial" w:hAnsi="Arial" w:cs="Arial"/>
                <w:highlight w:val="none"/>
              </w:rPr>
              <w:t>Publication Period</w:t>
            </w:r>
          </w:p>
        </w:tc>
        <w:tc>
          <w:tcPr>
            <w:tcW w:w="3818" w:type="pct"/>
          </w:tcPr>
          <w:p w14:paraId="10D432DF">
            <w:pPr>
              <w:widowControl/>
              <w:autoSpaceDE/>
              <w:autoSpaceDN/>
              <w:rPr>
                <w:rFonts w:hint="default" w:ascii="Arial" w:hAnsi="Arial" w:cs="Arial"/>
                <w:highlight w:val="none"/>
              </w:rPr>
            </w:pPr>
            <w:r>
              <w:rPr>
                <w:rFonts w:hint="default" w:ascii="Arial" w:hAnsi="Arial" w:cs="Arial"/>
                <w:highlight w:val="none"/>
              </w:rPr>
              <w:t>Studies published between 2006 and 2026</w:t>
            </w:r>
          </w:p>
        </w:tc>
      </w:tr>
      <w:tr w14:paraId="57FDB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015DEF23">
            <w:pPr>
              <w:widowControl/>
              <w:autoSpaceDE/>
              <w:autoSpaceDN/>
              <w:rPr>
                <w:rFonts w:hint="default" w:ascii="Arial" w:hAnsi="Arial" w:cs="Arial"/>
                <w:highlight w:val="none"/>
              </w:rPr>
            </w:pPr>
            <w:r>
              <w:rPr>
                <w:rFonts w:hint="default" w:ascii="Arial" w:hAnsi="Arial" w:cs="Arial"/>
                <w:highlight w:val="none"/>
              </w:rPr>
              <w:t>Population</w:t>
            </w:r>
          </w:p>
        </w:tc>
        <w:tc>
          <w:tcPr>
            <w:tcW w:w="3818" w:type="pct"/>
          </w:tcPr>
          <w:p w14:paraId="0BABC6FE">
            <w:pPr>
              <w:widowControl/>
              <w:autoSpaceDE/>
              <w:autoSpaceDN/>
              <w:rPr>
                <w:rFonts w:hint="default" w:ascii="Arial" w:hAnsi="Arial" w:cs="Arial"/>
                <w:highlight w:val="none"/>
              </w:rPr>
            </w:pPr>
            <w:r>
              <w:rPr>
                <w:rFonts w:hint="default" w:ascii="Arial" w:hAnsi="Arial" w:cs="Arial"/>
                <w:highlight w:val="none"/>
              </w:rPr>
              <w:t xml:space="preserve">South Asian adults aged 25–65 years living in the UK </w:t>
            </w:r>
            <w:r>
              <w:rPr>
                <w:rFonts w:hint="default" w:ascii="Arial" w:hAnsi="Arial" w:cs="Arial"/>
                <w:color w:val="222222"/>
                <w:highlight w:val="none"/>
              </w:rPr>
              <w:t>(This particular age range for 25 to 65 years was selected as it helps in capturing the adults who are within a working age and also allows the examination for lifestyle-associated cardiovascular risks during and before the age period when the risk of CVD increases).</w:t>
            </w:r>
          </w:p>
        </w:tc>
      </w:tr>
      <w:tr w14:paraId="58D5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3B708639">
            <w:pPr>
              <w:widowControl/>
              <w:autoSpaceDE/>
              <w:autoSpaceDN/>
              <w:rPr>
                <w:rFonts w:hint="default" w:ascii="Arial" w:hAnsi="Arial" w:cs="Arial"/>
                <w:highlight w:val="none"/>
              </w:rPr>
            </w:pPr>
            <w:r>
              <w:rPr>
                <w:rFonts w:hint="default" w:ascii="Arial" w:hAnsi="Arial" w:cs="Arial"/>
                <w:highlight w:val="none"/>
              </w:rPr>
              <w:t>Language</w:t>
            </w:r>
          </w:p>
        </w:tc>
        <w:tc>
          <w:tcPr>
            <w:tcW w:w="3818" w:type="pct"/>
          </w:tcPr>
          <w:p w14:paraId="66DA1E9C">
            <w:pPr>
              <w:widowControl/>
              <w:autoSpaceDE/>
              <w:autoSpaceDN/>
              <w:rPr>
                <w:rFonts w:hint="default" w:ascii="Arial" w:hAnsi="Arial" w:cs="Arial"/>
                <w:highlight w:val="none"/>
              </w:rPr>
            </w:pPr>
            <w:r>
              <w:rPr>
                <w:rFonts w:hint="default" w:ascii="Arial" w:hAnsi="Arial" w:cs="Arial"/>
                <w:highlight w:val="none"/>
              </w:rPr>
              <w:t>Articles published in English only</w:t>
            </w:r>
          </w:p>
        </w:tc>
      </w:tr>
      <w:tr w14:paraId="387B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037B1132">
            <w:pPr>
              <w:widowControl/>
              <w:autoSpaceDE/>
              <w:autoSpaceDN/>
              <w:rPr>
                <w:rFonts w:hint="default" w:ascii="Arial" w:hAnsi="Arial" w:cs="Arial"/>
                <w:highlight w:val="none"/>
              </w:rPr>
            </w:pPr>
            <w:r>
              <w:rPr>
                <w:rFonts w:hint="default" w:ascii="Arial" w:hAnsi="Arial" w:cs="Arial"/>
                <w:highlight w:val="none"/>
              </w:rPr>
              <w:t>Focus Area</w:t>
            </w:r>
          </w:p>
        </w:tc>
        <w:tc>
          <w:tcPr>
            <w:tcW w:w="3818" w:type="pct"/>
          </w:tcPr>
          <w:p w14:paraId="234F68FB">
            <w:pPr>
              <w:widowControl/>
              <w:autoSpaceDE/>
              <w:autoSpaceDN/>
              <w:rPr>
                <w:rFonts w:hint="default" w:ascii="Arial" w:hAnsi="Arial" w:cs="Arial"/>
                <w:highlight w:val="none"/>
              </w:rPr>
            </w:pPr>
            <w:r>
              <w:rPr>
                <w:rFonts w:hint="default" w:ascii="Arial" w:hAnsi="Arial" w:cs="Arial"/>
                <w:highlight w:val="none"/>
              </w:rPr>
              <w:t>Modifiable lifestyle factors affecting cardiovascular disease, including diet, physical activity, smoking, alcohol consumption, and stress</w:t>
            </w:r>
          </w:p>
        </w:tc>
      </w:tr>
      <w:tr w14:paraId="7C68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pct"/>
          </w:tcPr>
          <w:p w14:paraId="6A56048C">
            <w:pPr>
              <w:widowControl/>
              <w:autoSpaceDE/>
              <w:autoSpaceDN/>
              <w:rPr>
                <w:rFonts w:hint="default" w:ascii="Arial" w:hAnsi="Arial" w:cs="Arial"/>
                <w:highlight w:val="none"/>
              </w:rPr>
            </w:pPr>
            <w:r>
              <w:rPr>
                <w:rFonts w:hint="default" w:ascii="Arial" w:hAnsi="Arial" w:cs="Arial"/>
                <w:highlight w:val="none"/>
              </w:rPr>
              <w:t>Lifestyle Factors</w:t>
            </w:r>
          </w:p>
        </w:tc>
        <w:tc>
          <w:tcPr>
            <w:tcW w:w="3818" w:type="pct"/>
          </w:tcPr>
          <w:p w14:paraId="00F970CA">
            <w:pPr>
              <w:widowControl/>
              <w:autoSpaceDE/>
              <w:autoSpaceDN/>
              <w:rPr>
                <w:rFonts w:hint="default" w:ascii="Arial" w:hAnsi="Arial" w:cs="Arial"/>
                <w:highlight w:val="none"/>
              </w:rPr>
            </w:pPr>
            <w:r>
              <w:rPr>
                <w:rFonts w:hint="default" w:ascii="Arial" w:hAnsi="Arial" w:cs="Arial"/>
                <w:highlight w:val="none"/>
              </w:rPr>
              <w:t>Diet, physical activity, smoking, alcohol consumption, stress, obesity, and sedentary behaviour</w:t>
            </w:r>
          </w:p>
        </w:tc>
      </w:tr>
      <w:bookmarkEnd w:id="106"/>
    </w:tbl>
    <w:p w14:paraId="46A53C8F">
      <w:pPr>
        <w:bidi w:val="0"/>
        <w:rPr>
          <w:rFonts w:hint="default"/>
          <w:highlight w:val="none"/>
        </w:rPr>
      </w:pPr>
      <w:bookmarkStart w:id="110" w:name="_Toc224731388"/>
    </w:p>
    <w:p w14:paraId="4FDC271D">
      <w:pPr>
        <w:pStyle w:val="4"/>
        <w:spacing w:line="480" w:lineRule="auto"/>
        <w:rPr>
          <w:rFonts w:hint="default" w:ascii="Arial" w:hAnsi="Arial" w:cs="Arial"/>
          <w:sz w:val="24"/>
          <w:szCs w:val="24"/>
          <w:highlight w:val="none"/>
        </w:rPr>
      </w:pPr>
      <w:bookmarkStart w:id="111" w:name="_Toc10846"/>
      <w:r>
        <w:rPr>
          <w:rFonts w:hint="default" w:ascii="Arial" w:hAnsi="Arial" w:cs="Arial"/>
          <w:sz w:val="24"/>
          <w:szCs w:val="24"/>
          <w:highlight w:val="none"/>
        </w:rPr>
        <w:t>3.7.2 Exclusion Criteria</w:t>
      </w:r>
      <w:bookmarkEnd w:id="110"/>
      <w:bookmarkEnd w:id="111"/>
    </w:p>
    <w:p w14:paraId="4BD57055">
      <w:pPr>
        <w:rPr>
          <w:rFonts w:hint="default" w:ascii="Arial" w:hAnsi="Arial" w:cs="Arial"/>
          <w:color w:val="222222"/>
          <w:highlight w:val="none"/>
        </w:rPr>
      </w:pPr>
      <w:r>
        <w:rPr>
          <w:rFonts w:hint="default" w:ascii="Arial" w:hAnsi="Arial" w:cs="Arial"/>
          <w:color w:val="222222"/>
          <w:highlight w:val="none"/>
        </w:rPr>
        <w:t>This section represents the exclusion criteria which were used to remove all the articles that were completely irrelevant to this review.</w:t>
      </w:r>
    </w:p>
    <w:p w14:paraId="7B92435B">
      <w:pPr>
        <w:pStyle w:val="9"/>
        <w:spacing w:line="360" w:lineRule="auto"/>
        <w:jc w:val="center"/>
        <w:rPr>
          <w:rFonts w:hint="default" w:ascii="Arial" w:hAnsi="Arial" w:cs="Arial"/>
          <w:color w:val="222222"/>
          <w:sz w:val="24"/>
          <w:szCs w:val="24"/>
          <w:highlight w:val="none"/>
        </w:rPr>
      </w:pPr>
      <w:bookmarkStart w:id="112" w:name="_Toc227582455"/>
      <w:bookmarkStart w:id="113" w:name="_Toc227582466"/>
      <w:r>
        <w:rPr>
          <w:rFonts w:hint="default" w:ascii="Arial" w:hAnsi="Arial" w:cs="Arial"/>
          <w:color w:val="auto"/>
          <w:sz w:val="24"/>
          <w:szCs w:val="24"/>
          <w:highlight w:val="none"/>
        </w:rPr>
        <w:t xml:space="preserve">Table </w:t>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SEQ Table \* ARABIC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4</w:t>
      </w:r>
      <w:r>
        <w:rPr>
          <w:rFonts w:hint="default" w:ascii="Arial" w:hAnsi="Arial" w:cs="Arial"/>
          <w:color w:val="auto"/>
          <w:sz w:val="24"/>
          <w:szCs w:val="24"/>
          <w:highlight w:val="none"/>
        </w:rPr>
        <w:fldChar w:fldCharType="end"/>
      </w:r>
      <w:bookmarkStart w:id="114" w:name="_Toc17165"/>
      <w:r>
        <w:rPr>
          <w:rFonts w:hint="default" w:ascii="Arial" w:hAnsi="Arial" w:cs="Arial"/>
          <w:color w:val="auto"/>
          <w:sz w:val="24"/>
          <w:szCs w:val="24"/>
          <w:highlight w:val="none"/>
        </w:rPr>
        <w:t>: Exclusion Criteria</w:t>
      </w:r>
      <w:bookmarkEnd w:id="112"/>
      <w:bookmarkEnd w:id="113"/>
      <w:bookmarkEnd w:id="114"/>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1"/>
        <w:gridCol w:w="6641"/>
      </w:tblGrid>
      <w:tr w14:paraId="3AD65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56433CD4">
            <w:pPr>
              <w:widowControl/>
              <w:autoSpaceDE/>
              <w:autoSpaceDN/>
              <w:jc w:val="center"/>
              <w:rPr>
                <w:rFonts w:hint="default" w:ascii="Arial" w:hAnsi="Arial" w:cs="Arial"/>
                <w:highlight w:val="none"/>
              </w:rPr>
            </w:pPr>
            <w:r>
              <w:rPr>
                <w:rFonts w:hint="default" w:ascii="Arial" w:hAnsi="Arial" w:cs="Arial"/>
                <w:highlight w:val="none"/>
              </w:rPr>
              <w:t>Criteria Category</w:t>
            </w:r>
          </w:p>
        </w:tc>
        <w:tc>
          <w:tcPr>
            <w:tcW w:w="3593" w:type="pct"/>
          </w:tcPr>
          <w:p w14:paraId="6C816396">
            <w:pPr>
              <w:widowControl/>
              <w:autoSpaceDE/>
              <w:autoSpaceDN/>
              <w:jc w:val="center"/>
              <w:rPr>
                <w:rFonts w:hint="default" w:ascii="Arial" w:hAnsi="Arial" w:cs="Arial"/>
                <w:highlight w:val="none"/>
              </w:rPr>
            </w:pPr>
            <w:r>
              <w:rPr>
                <w:rFonts w:hint="default" w:ascii="Arial" w:hAnsi="Arial" w:cs="Arial"/>
                <w:highlight w:val="none"/>
              </w:rPr>
              <w:t>Details</w:t>
            </w:r>
          </w:p>
        </w:tc>
      </w:tr>
      <w:tr w14:paraId="042F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4B0C0281">
            <w:pPr>
              <w:widowControl/>
              <w:autoSpaceDE/>
              <w:autoSpaceDN/>
              <w:jc w:val="center"/>
              <w:rPr>
                <w:rFonts w:hint="default" w:ascii="Arial" w:hAnsi="Arial" w:cs="Arial"/>
                <w:highlight w:val="none"/>
              </w:rPr>
            </w:pPr>
            <w:r>
              <w:rPr>
                <w:rFonts w:hint="default" w:ascii="Arial" w:hAnsi="Arial" w:cs="Arial"/>
                <w:highlight w:val="none"/>
              </w:rPr>
              <w:t>Publication Period</w:t>
            </w:r>
          </w:p>
        </w:tc>
        <w:tc>
          <w:tcPr>
            <w:tcW w:w="3593" w:type="pct"/>
          </w:tcPr>
          <w:p w14:paraId="26C8E615">
            <w:pPr>
              <w:widowControl/>
              <w:autoSpaceDE/>
              <w:autoSpaceDN/>
              <w:jc w:val="center"/>
              <w:rPr>
                <w:rFonts w:hint="default" w:ascii="Arial" w:hAnsi="Arial" w:cs="Arial"/>
                <w:highlight w:val="none"/>
              </w:rPr>
            </w:pPr>
            <w:r>
              <w:rPr>
                <w:rFonts w:hint="default" w:ascii="Arial" w:hAnsi="Arial" w:cs="Arial"/>
                <w:highlight w:val="none"/>
              </w:rPr>
              <w:t>Studies published before 2006</w:t>
            </w:r>
          </w:p>
        </w:tc>
      </w:tr>
      <w:tr w14:paraId="087D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2C0BAC08">
            <w:pPr>
              <w:widowControl/>
              <w:autoSpaceDE/>
              <w:autoSpaceDN/>
              <w:jc w:val="center"/>
              <w:rPr>
                <w:rFonts w:hint="default" w:ascii="Arial" w:hAnsi="Arial" w:cs="Arial"/>
                <w:highlight w:val="none"/>
              </w:rPr>
            </w:pPr>
            <w:r>
              <w:rPr>
                <w:rFonts w:hint="default" w:ascii="Arial" w:hAnsi="Arial" w:cs="Arial"/>
                <w:highlight w:val="none"/>
              </w:rPr>
              <w:t>Language</w:t>
            </w:r>
          </w:p>
        </w:tc>
        <w:tc>
          <w:tcPr>
            <w:tcW w:w="3593" w:type="pct"/>
          </w:tcPr>
          <w:p w14:paraId="56D37005">
            <w:pPr>
              <w:widowControl/>
              <w:autoSpaceDE/>
              <w:autoSpaceDN/>
              <w:jc w:val="center"/>
              <w:rPr>
                <w:rFonts w:hint="default" w:ascii="Arial" w:hAnsi="Arial" w:cs="Arial"/>
                <w:highlight w:val="none"/>
              </w:rPr>
            </w:pPr>
            <w:r>
              <w:rPr>
                <w:rFonts w:hint="default" w:ascii="Arial" w:hAnsi="Arial" w:cs="Arial"/>
                <w:highlight w:val="none"/>
              </w:rPr>
              <w:t>Articles not available in English</w:t>
            </w:r>
          </w:p>
        </w:tc>
      </w:tr>
      <w:tr w14:paraId="73162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489C6DEB">
            <w:pPr>
              <w:widowControl/>
              <w:autoSpaceDE/>
              <w:autoSpaceDN/>
              <w:jc w:val="center"/>
              <w:rPr>
                <w:rFonts w:hint="default" w:ascii="Arial" w:hAnsi="Arial" w:cs="Arial"/>
                <w:highlight w:val="none"/>
              </w:rPr>
            </w:pPr>
            <w:r>
              <w:rPr>
                <w:rFonts w:hint="default" w:ascii="Arial" w:hAnsi="Arial" w:cs="Arial"/>
                <w:highlight w:val="none"/>
              </w:rPr>
              <w:t>Population</w:t>
            </w:r>
          </w:p>
        </w:tc>
        <w:tc>
          <w:tcPr>
            <w:tcW w:w="3593" w:type="pct"/>
          </w:tcPr>
          <w:p w14:paraId="3431BC6B">
            <w:pPr>
              <w:widowControl/>
              <w:autoSpaceDE/>
              <w:autoSpaceDN/>
              <w:jc w:val="center"/>
              <w:rPr>
                <w:rFonts w:hint="default" w:ascii="Arial" w:hAnsi="Arial" w:cs="Arial"/>
                <w:highlight w:val="none"/>
              </w:rPr>
            </w:pPr>
            <w:r>
              <w:rPr>
                <w:rFonts w:hint="default" w:ascii="Arial" w:hAnsi="Arial" w:cs="Arial"/>
                <w:highlight w:val="none"/>
              </w:rPr>
              <w:t>Non-South Asian populations</w:t>
            </w:r>
          </w:p>
        </w:tc>
      </w:tr>
      <w:tr w14:paraId="74C86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349D92B4">
            <w:pPr>
              <w:widowControl/>
              <w:autoSpaceDE/>
              <w:autoSpaceDN/>
              <w:jc w:val="center"/>
              <w:rPr>
                <w:rFonts w:hint="default" w:ascii="Arial" w:hAnsi="Arial" w:cs="Arial"/>
                <w:highlight w:val="none"/>
              </w:rPr>
            </w:pPr>
            <w:r>
              <w:rPr>
                <w:rFonts w:hint="default" w:ascii="Arial" w:hAnsi="Arial" w:cs="Arial"/>
                <w:highlight w:val="none"/>
              </w:rPr>
              <w:t>Geographical Scope</w:t>
            </w:r>
          </w:p>
        </w:tc>
        <w:tc>
          <w:tcPr>
            <w:tcW w:w="3593" w:type="pct"/>
          </w:tcPr>
          <w:p w14:paraId="1C11DFEE">
            <w:pPr>
              <w:widowControl/>
              <w:autoSpaceDE/>
              <w:autoSpaceDN/>
              <w:jc w:val="center"/>
              <w:rPr>
                <w:rFonts w:hint="default" w:ascii="Arial" w:hAnsi="Arial" w:cs="Arial"/>
                <w:highlight w:val="none"/>
              </w:rPr>
            </w:pPr>
            <w:r>
              <w:rPr>
                <w:rFonts w:hint="default" w:ascii="Arial" w:hAnsi="Arial" w:cs="Arial"/>
                <w:highlight w:val="none"/>
              </w:rPr>
              <w:t>Studies conducted outside the UK</w:t>
            </w:r>
          </w:p>
        </w:tc>
      </w:tr>
      <w:tr w14:paraId="766D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481BB343">
            <w:pPr>
              <w:widowControl/>
              <w:autoSpaceDE/>
              <w:autoSpaceDN/>
              <w:jc w:val="center"/>
              <w:rPr>
                <w:rFonts w:hint="default" w:ascii="Arial" w:hAnsi="Arial" w:cs="Arial"/>
                <w:highlight w:val="none"/>
              </w:rPr>
            </w:pPr>
            <w:r>
              <w:rPr>
                <w:rFonts w:hint="default" w:ascii="Arial" w:hAnsi="Arial" w:cs="Arial"/>
                <w:highlight w:val="none"/>
              </w:rPr>
              <w:t>Focus Area</w:t>
            </w:r>
          </w:p>
        </w:tc>
        <w:tc>
          <w:tcPr>
            <w:tcW w:w="3593" w:type="pct"/>
          </w:tcPr>
          <w:p w14:paraId="69B8ED20">
            <w:pPr>
              <w:widowControl/>
              <w:autoSpaceDE/>
              <w:autoSpaceDN/>
              <w:jc w:val="center"/>
              <w:rPr>
                <w:rFonts w:hint="default" w:ascii="Arial" w:hAnsi="Arial" w:cs="Arial"/>
                <w:highlight w:val="none"/>
              </w:rPr>
            </w:pPr>
            <w:r>
              <w:rPr>
                <w:rFonts w:hint="default" w:ascii="Arial" w:hAnsi="Arial" w:cs="Arial"/>
                <w:highlight w:val="none"/>
              </w:rPr>
              <w:t>Studies not addressing lifestyle-related CVD risk factors.</w:t>
            </w:r>
          </w:p>
        </w:tc>
      </w:tr>
      <w:tr w14:paraId="5004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pct"/>
          </w:tcPr>
          <w:p w14:paraId="6E1EEB25">
            <w:pPr>
              <w:widowControl/>
              <w:autoSpaceDE/>
              <w:autoSpaceDN/>
              <w:jc w:val="center"/>
              <w:rPr>
                <w:rFonts w:hint="default" w:ascii="Arial" w:hAnsi="Arial" w:cs="Arial"/>
                <w:highlight w:val="none"/>
              </w:rPr>
            </w:pPr>
            <w:r>
              <w:rPr>
                <w:rFonts w:hint="default" w:ascii="Arial" w:hAnsi="Arial" w:cs="Arial"/>
                <w:highlight w:val="none"/>
              </w:rPr>
              <w:t>Study focus</w:t>
            </w:r>
          </w:p>
        </w:tc>
        <w:tc>
          <w:tcPr>
            <w:tcW w:w="3593" w:type="pct"/>
          </w:tcPr>
          <w:p w14:paraId="332FE8D9">
            <w:pPr>
              <w:widowControl/>
              <w:autoSpaceDE/>
              <w:autoSpaceDN/>
              <w:jc w:val="center"/>
              <w:rPr>
                <w:rFonts w:hint="default" w:ascii="Arial" w:hAnsi="Arial" w:cs="Arial"/>
                <w:highlight w:val="none"/>
              </w:rPr>
            </w:pPr>
            <w:r>
              <w:rPr>
                <w:rFonts w:hint="default" w:ascii="Arial" w:hAnsi="Arial" w:cs="Arial"/>
                <w:highlight w:val="none"/>
              </w:rPr>
              <w:t>Purely genetic or clinical studies without a lifestyle focus</w:t>
            </w:r>
          </w:p>
        </w:tc>
      </w:tr>
    </w:tbl>
    <w:p w14:paraId="6B50A216">
      <w:pPr>
        <w:bidi w:val="0"/>
        <w:rPr>
          <w:rFonts w:hint="default"/>
          <w:highlight w:val="none"/>
        </w:rPr>
      </w:pPr>
      <w:bookmarkStart w:id="115" w:name="_Toc224731389"/>
    </w:p>
    <w:p w14:paraId="068B9DDA">
      <w:pPr>
        <w:pStyle w:val="3"/>
        <w:spacing w:line="480" w:lineRule="auto"/>
        <w:ind w:left="0"/>
        <w:rPr>
          <w:rFonts w:hint="default" w:ascii="Arial" w:hAnsi="Arial" w:cs="Arial"/>
          <w:highlight w:val="none"/>
        </w:rPr>
      </w:pPr>
      <w:bookmarkStart w:id="116" w:name="_Toc10396"/>
      <w:r>
        <w:rPr>
          <w:rFonts w:hint="default" w:ascii="Arial" w:hAnsi="Arial" w:cs="Arial"/>
          <w:highlight w:val="none"/>
        </w:rPr>
        <w:t>3.8 Search Results</w:t>
      </w:r>
      <w:bookmarkEnd w:id="115"/>
      <w:bookmarkEnd w:id="116"/>
    </w:p>
    <w:p w14:paraId="353361C1">
      <w:pPr>
        <w:rPr>
          <w:rFonts w:hint="default" w:ascii="Arial" w:hAnsi="Arial" w:cs="Arial"/>
          <w:highlight w:val="none"/>
        </w:rPr>
      </w:pPr>
      <w:r>
        <w:rPr>
          <w:rFonts w:hint="default" w:ascii="Arial" w:hAnsi="Arial" w:cs="Arial"/>
          <w:highlight w:val="none"/>
        </w:rPr>
        <w:t>After identifying the inclusion and exclusion criteria to select the research articles for completing the current dissertation, specific processes have been followed for the inclusion of the articles. To demonstrate the step-by-step processes of including the final articles for completing this dissertation, a discussion has been initiated below, which helped in the process of understanding the overall literature search steps and the literature search results. </w:t>
      </w:r>
    </w:p>
    <w:p w14:paraId="783A4779">
      <w:pPr>
        <w:rPr>
          <w:rFonts w:hint="default" w:ascii="Arial" w:hAnsi="Arial" w:cs="Arial"/>
          <w:highlight w:val="none"/>
        </w:rPr>
      </w:pPr>
    </w:p>
    <w:p w14:paraId="0F39ED60">
      <w:pPr>
        <w:rPr>
          <w:rFonts w:hint="default" w:ascii="Arial" w:hAnsi="Arial" w:cs="Arial"/>
          <w:highlight w:val="none"/>
        </w:rPr>
      </w:pPr>
      <w:r>
        <w:rPr>
          <w:rFonts w:hint="default" w:ascii="Arial" w:hAnsi="Arial" w:cs="Arial"/>
          <w:highlight w:val="none"/>
        </w:rPr>
        <w:t xml:space="preserve">In this context, it could be stated that the literature search process for the current dissertation has been completed by using a PRISMA framework, which is a renowned tool used while completing systematic reviews and meta-analyses. This tool helps in offering a step-by-step idea of the literature search and literature inclusion process within academic research for ensuring the validity and reliability of the total research (Rethlefsen and Page,2022; </w:t>
      </w:r>
      <w:r>
        <w:rPr>
          <w:rFonts w:hint="default" w:ascii="Arial" w:hAnsi="Arial" w:cs="Arial"/>
          <w:highlight w:val="none"/>
          <w:lang w:val="en-IN"/>
        </w:rPr>
        <w:t>Page et al., 2021; Sohrabi et al., 2021</w:t>
      </w:r>
      <w:r>
        <w:rPr>
          <w:rFonts w:hint="default" w:ascii="Arial" w:hAnsi="Arial" w:cs="Arial"/>
          <w:highlight w:val="none"/>
        </w:rPr>
        <w:t>). Therefore, the image below demonstrates the use of this PRISMA guideline for the current dissertation. </w:t>
      </w:r>
    </w:p>
    <w:p w14:paraId="3C54418F">
      <w:pPr>
        <w:rPr>
          <w:rFonts w:hint="default" w:ascii="Arial" w:hAnsi="Arial" w:cs="Arial"/>
          <w:highlight w:val="none"/>
        </w:rPr>
      </w:pPr>
    </w:p>
    <w:p w14:paraId="0763E1F2">
      <w:pPr>
        <w:pStyle w:val="8"/>
        <w:jc w:val="center"/>
        <w:rPr>
          <w:rFonts w:hint="default" w:ascii="Arial" w:hAnsi="Arial" w:cs="Arial"/>
          <w:highlight w:val="none"/>
        </w:rPr>
      </w:pPr>
      <w:r>
        <w:rPr>
          <w:rFonts w:hint="default" w:ascii="Arial" w:hAnsi="Arial" w:cs="Arial"/>
          <w:highlight w:val="none"/>
          <w:lang w:val="en-US" w:eastAsia="en-US" w:bidi="ar-SA"/>
        </w:rPr>
        <w:drawing>
          <wp:inline distT="0" distB="0" distL="0" distR="0">
            <wp:extent cx="5112385" cy="5267325"/>
            <wp:effectExtent l="0" t="0" r="0" b="0"/>
            <wp:docPr id="129403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31089" name="Picture 1"/>
                    <pic:cNvPicPr>
                      <a:picLocks noChangeAspect="1"/>
                    </pic:cNvPicPr>
                  </pic:nvPicPr>
                  <pic:blipFill>
                    <a:blip r:embed="rId10"/>
                    <a:stretch>
                      <a:fillRect/>
                    </a:stretch>
                  </pic:blipFill>
                  <pic:spPr>
                    <a:xfrm>
                      <a:off x="0" y="0"/>
                      <a:ext cx="5129856" cy="5284784"/>
                    </a:xfrm>
                    <a:prstGeom prst="rect">
                      <a:avLst/>
                    </a:prstGeom>
                  </pic:spPr>
                </pic:pic>
              </a:graphicData>
            </a:graphic>
          </wp:inline>
        </w:drawing>
      </w:r>
    </w:p>
    <w:p w14:paraId="1DDFAFF9">
      <w:pPr>
        <w:pStyle w:val="9"/>
        <w:spacing w:line="360" w:lineRule="auto"/>
        <w:jc w:val="center"/>
        <w:rPr>
          <w:rFonts w:hint="default" w:ascii="Arial" w:hAnsi="Arial" w:cs="Arial"/>
          <w:color w:val="auto"/>
          <w:sz w:val="24"/>
          <w:szCs w:val="24"/>
          <w:highlight w:val="none"/>
        </w:rPr>
      </w:pPr>
      <w:r>
        <w:rPr>
          <w:rFonts w:hint="default" w:ascii="Arial" w:hAnsi="Arial" w:cs="Arial"/>
          <w:color w:val="auto"/>
          <w:sz w:val="24"/>
          <w:szCs w:val="24"/>
          <w:highlight w:val="none"/>
        </w:rPr>
        <w:t xml:space="preserve">Figure </w:t>
      </w:r>
      <w:r>
        <w:rPr>
          <w:rFonts w:hint="default" w:ascii="Arial" w:hAnsi="Arial" w:cs="Arial"/>
          <w:color w:val="auto"/>
          <w:sz w:val="24"/>
          <w:szCs w:val="24"/>
          <w:highlight w:val="none"/>
        </w:rPr>
        <w:fldChar w:fldCharType="begin"/>
      </w:r>
      <w:r>
        <w:rPr>
          <w:rFonts w:hint="default" w:ascii="Arial" w:hAnsi="Arial" w:cs="Arial"/>
          <w:color w:val="auto"/>
          <w:sz w:val="24"/>
          <w:szCs w:val="24"/>
          <w:highlight w:val="none"/>
        </w:rPr>
        <w:instrText xml:space="preserve"> SEQ Figure \* ARABIC </w:instrText>
      </w:r>
      <w:r>
        <w:rPr>
          <w:rFonts w:hint="default" w:ascii="Arial" w:hAnsi="Arial" w:cs="Arial"/>
          <w:color w:val="auto"/>
          <w:sz w:val="24"/>
          <w:szCs w:val="24"/>
          <w:highlight w:val="none"/>
        </w:rPr>
        <w:fldChar w:fldCharType="separate"/>
      </w:r>
      <w:r>
        <w:rPr>
          <w:rFonts w:hint="default" w:ascii="Arial" w:hAnsi="Arial" w:cs="Arial"/>
          <w:color w:val="auto"/>
          <w:sz w:val="24"/>
          <w:szCs w:val="24"/>
          <w:highlight w:val="none"/>
        </w:rPr>
        <w:t>1</w:t>
      </w:r>
      <w:r>
        <w:rPr>
          <w:rFonts w:hint="default" w:ascii="Arial" w:hAnsi="Arial" w:cs="Arial"/>
          <w:color w:val="auto"/>
          <w:sz w:val="24"/>
          <w:szCs w:val="24"/>
          <w:highlight w:val="none"/>
        </w:rPr>
        <w:fldChar w:fldCharType="end"/>
      </w:r>
      <w:bookmarkStart w:id="117" w:name="_Toc3714"/>
      <w:r>
        <w:rPr>
          <w:rFonts w:hint="default" w:ascii="Arial" w:hAnsi="Arial" w:cs="Arial"/>
          <w:color w:val="auto"/>
          <w:sz w:val="24"/>
          <w:szCs w:val="24"/>
          <w:highlight w:val="none"/>
        </w:rPr>
        <w:t>: PRISMA Table</w:t>
      </w:r>
      <w:bookmarkEnd w:id="117"/>
    </w:p>
    <w:p w14:paraId="296E99A2">
      <w:pPr>
        <w:pStyle w:val="39"/>
        <w:spacing w:line="360" w:lineRule="auto"/>
        <w:jc w:val="center"/>
        <w:rPr>
          <w:rFonts w:hint="default" w:ascii="Arial" w:hAnsi="Arial" w:cs="Arial"/>
          <w:sz w:val="24"/>
          <w:szCs w:val="24"/>
          <w:highlight w:val="none"/>
        </w:rPr>
      </w:pPr>
      <w:r>
        <w:rPr>
          <w:rFonts w:hint="default" w:ascii="Arial" w:hAnsi="Arial" w:cs="Arial"/>
          <w:sz w:val="24"/>
          <w:szCs w:val="24"/>
          <w:highlight w:val="none"/>
        </w:rPr>
        <w:t>(Source- Self-created)</w:t>
      </w:r>
    </w:p>
    <w:p w14:paraId="13089BD8">
      <w:pPr>
        <w:rPr>
          <w:rFonts w:hint="default" w:ascii="Arial" w:hAnsi="Arial" w:cs="Arial"/>
          <w:color w:val="222222"/>
          <w:highlight w:val="none"/>
        </w:rPr>
      </w:pPr>
      <w:r>
        <w:rPr>
          <w:rFonts w:hint="default" w:ascii="Arial" w:hAnsi="Arial" w:cs="Arial"/>
          <w:highlight w:val="none"/>
        </w:rPr>
        <w:t xml:space="preserve">From the above PRISMA table, it could be noticed that initially 3 major databases have been utilised for selecting the research articles, where from PubMed initially 128 records have been identified, followed by 96 records from the database Web of Science and 182 records from the database ScienceDirect. Therefore, the total number of initial records that have been identified from these databases is 406. After this initial identification, around 200 records were removed as these were duplicates. After this removal, the remaining 206 records went through the initial screening process, and after the screening of the abstracts, 144 records were excluded. Therefore, the second stage of the screening process included only the remaining 62 research articles. </w:t>
      </w:r>
      <w:r>
        <w:rPr>
          <w:rFonts w:hint="default" w:ascii="Arial" w:hAnsi="Arial" w:cs="Arial"/>
          <w:color w:val="222222"/>
          <w:highlight w:val="none"/>
        </w:rPr>
        <w:t>Of these, 37 were excluded because they were not primary research articles. 25 articles were assessed for eligibility, and 15 were excluded because they did not match the target population or focus. Therefore, 10 studies were included in the final review.</w:t>
      </w:r>
    </w:p>
    <w:p w14:paraId="28462833">
      <w:pPr>
        <w:rPr>
          <w:rFonts w:hint="default" w:ascii="Arial" w:hAnsi="Arial" w:cs="Arial"/>
          <w:highlight w:val="none"/>
        </w:rPr>
      </w:pPr>
    </w:p>
    <w:p w14:paraId="3EEF550B">
      <w:pPr>
        <w:pStyle w:val="3"/>
        <w:spacing w:line="480" w:lineRule="auto"/>
        <w:ind w:left="0"/>
        <w:rPr>
          <w:rFonts w:hint="default" w:ascii="Arial" w:hAnsi="Arial" w:cs="Arial"/>
          <w:highlight w:val="none"/>
        </w:rPr>
      </w:pPr>
      <w:bookmarkStart w:id="118" w:name="_Toc224731390"/>
      <w:bookmarkStart w:id="119" w:name="_Toc2114"/>
      <w:r>
        <w:rPr>
          <w:rFonts w:hint="default" w:ascii="Arial" w:hAnsi="Arial" w:cs="Arial"/>
          <w:highlight w:val="none"/>
        </w:rPr>
        <w:t>3.9 Ethical Considerations</w:t>
      </w:r>
      <w:bookmarkEnd w:id="118"/>
      <w:bookmarkEnd w:id="119"/>
    </w:p>
    <w:p w14:paraId="7FFC31A4">
      <w:pPr>
        <w:widowControl/>
        <w:autoSpaceDE/>
        <w:autoSpaceDN/>
        <w:spacing w:line="360" w:lineRule="auto"/>
        <w:rPr>
          <w:rFonts w:hint="default" w:ascii="Arial" w:hAnsi="Arial" w:eastAsia="Times New Roman" w:cs="Arial"/>
          <w:sz w:val="22"/>
          <w:szCs w:val="22"/>
          <w:highlight w:val="none"/>
          <w:lang w:val="en-US" w:eastAsia="en-US" w:bidi="ar-SA"/>
        </w:rPr>
      </w:pPr>
      <w:bookmarkStart w:id="120" w:name="_Toc224731391"/>
      <w:r>
        <w:rPr>
          <w:rFonts w:hint="default" w:ascii="Arial" w:hAnsi="Arial" w:eastAsia="Times New Roman" w:cs="Arial"/>
          <w:sz w:val="22"/>
          <w:szCs w:val="22"/>
          <w:highlight w:val="none"/>
          <w:lang w:val="en-US" w:eastAsia="en-US" w:bidi="ar-SA"/>
        </w:rPr>
        <w:t>This is secondary research using a Systematic Literature Review (SLR) approach. There was no need of any formal ethical approval because no primary data were collected. Nevertheless, it is important to uphold high ethical standards to guarantee the credibility, transparency and integrity of the research. In this regard, the ethical aspects were mainly concerned with the appropriate use of secondary data. All the sources utilised in the review were obtained from credible academic databases, which implies that they are trustworthy and valid. Providing proper in-text citations and the full reference list helped in avoiding plagiarism. </w:t>
      </w:r>
    </w:p>
    <w:p w14:paraId="42FD36BD">
      <w:pPr>
        <w:widowControl/>
        <w:autoSpaceDE/>
        <w:autoSpaceDN/>
        <w:spacing w:line="360" w:lineRule="auto"/>
        <w:rPr>
          <w:rFonts w:hint="default" w:ascii="Arial" w:hAnsi="Arial" w:eastAsia="Times New Roman" w:cs="Arial"/>
          <w:sz w:val="22"/>
          <w:szCs w:val="22"/>
          <w:highlight w:val="none"/>
          <w:lang w:val="en-US" w:eastAsia="en-US" w:bidi="ar-SA"/>
        </w:rPr>
      </w:pPr>
    </w:p>
    <w:p w14:paraId="2C51CBFF">
      <w:pPr>
        <w:widowControl/>
        <w:autoSpaceDE/>
        <w:autoSpaceDN/>
        <w:rPr>
          <w:rFonts w:hint="default" w:ascii="Arial" w:hAnsi="Arial" w:eastAsia="Times New Roman" w:cs="Arial"/>
          <w:sz w:val="22"/>
          <w:szCs w:val="22"/>
          <w:highlight w:val="none"/>
          <w:lang w:val="en-US" w:eastAsia="en-US" w:bidi="ar-SA"/>
        </w:rPr>
      </w:pPr>
      <w:r>
        <w:rPr>
          <w:rFonts w:hint="default" w:ascii="Arial" w:hAnsi="Arial" w:eastAsia="Times New Roman" w:cs="Arial"/>
          <w:sz w:val="22"/>
          <w:szCs w:val="22"/>
          <w:highlight w:val="none"/>
          <w:lang w:val="en-US" w:eastAsia="en-US" w:bidi="ar-SA"/>
        </w:rPr>
        <w:t> Ethical standards related ot transparency and academic honesty were also followed as part of the research strategy. Moreover, the exclusion and inclusion criteria and the data analysis methods were represented clearly in this research. The PRISMA procedure ensured accurate reporting of search results, and inclusion and exclusion decisions were presented transparently to minimise bias. Moreover, the results of the chosen articles were reflected in a balanced manner, without altering their sense or applying only beneficial evidence to prove only one point of view. Each of the studies included was cited in accordance with the reference style to refer to the work of earlier researchers.</w:t>
      </w:r>
    </w:p>
    <w:p w14:paraId="603086B6">
      <w:pPr>
        <w:widowControl/>
        <w:autoSpaceDE/>
        <w:autoSpaceDN/>
        <w:rPr>
          <w:rFonts w:hint="default" w:ascii="Arial" w:hAnsi="Arial" w:eastAsia="Times New Roman" w:cs="Arial"/>
          <w:sz w:val="24"/>
          <w:szCs w:val="24"/>
          <w:highlight w:val="none"/>
          <w:lang w:val="en-US" w:eastAsia="en-US" w:bidi="ar-SA"/>
        </w:rPr>
      </w:pPr>
    </w:p>
    <w:p w14:paraId="30AB4077">
      <w:pPr>
        <w:pStyle w:val="3"/>
        <w:spacing w:line="480" w:lineRule="auto"/>
        <w:ind w:left="0"/>
        <w:rPr>
          <w:rFonts w:hint="default" w:ascii="Arial" w:hAnsi="Arial" w:cs="Arial"/>
          <w:highlight w:val="none"/>
        </w:rPr>
      </w:pPr>
      <w:bookmarkStart w:id="121" w:name="_Toc7068"/>
      <w:r>
        <w:rPr>
          <w:rFonts w:hint="default" w:ascii="Arial" w:hAnsi="Arial" w:cs="Arial"/>
          <w:highlight w:val="none"/>
        </w:rPr>
        <w:t>3.10 Chapter Summary</w:t>
      </w:r>
      <w:bookmarkEnd w:id="120"/>
      <w:bookmarkEnd w:id="121"/>
    </w:p>
    <w:p w14:paraId="3F57FB25">
      <w:pPr>
        <w:rPr>
          <w:rFonts w:hint="default" w:ascii="Arial" w:hAnsi="Arial" w:cs="Arial"/>
          <w:highlight w:val="none"/>
        </w:rPr>
      </w:pPr>
      <w:r>
        <w:rPr>
          <w:rFonts w:hint="default" w:ascii="Arial" w:hAnsi="Arial" w:cs="Arial"/>
          <w:highlight w:val="none"/>
        </w:rPr>
        <w:t>To conclude this chapter, it could be stated that there has been a step-by-step discussion of the processes used for selecting the research articles and establishing the systematic review. The following chapter helped in offering a discussion on the extraction of the research data and the evaluation of that data set to further answer the research questions.</w:t>
      </w:r>
    </w:p>
    <w:p w14:paraId="2D4AA13F">
      <w:pPr>
        <w:rPr>
          <w:rFonts w:hint="default" w:ascii="Arial" w:hAnsi="Arial" w:cs="Arial"/>
          <w:highlight w:val="none"/>
        </w:rPr>
        <w:sectPr>
          <w:pgSz w:w="11906" w:h="16838"/>
          <w:pgMar w:top="1440" w:right="1440" w:bottom="1440" w:left="1440" w:header="708" w:footer="708" w:gutter="0"/>
          <w:cols w:space="708" w:num="1"/>
          <w:docGrid w:linePitch="360" w:charSpace="0"/>
        </w:sectPr>
      </w:pPr>
    </w:p>
    <w:p w14:paraId="0429B07E">
      <w:pPr>
        <w:pStyle w:val="2"/>
        <w:spacing w:line="480" w:lineRule="auto"/>
        <w:ind w:left="0"/>
        <w:jc w:val="center"/>
        <w:rPr>
          <w:rFonts w:hint="default" w:ascii="Arial" w:hAnsi="Arial" w:cs="Arial"/>
          <w:highlight w:val="none"/>
        </w:rPr>
      </w:pPr>
      <w:bookmarkStart w:id="122" w:name="_Toc18014"/>
      <w:r>
        <w:rPr>
          <w:rFonts w:hint="default" w:ascii="Arial" w:hAnsi="Arial" w:cs="Arial"/>
          <w:highlight w:val="none"/>
        </w:rPr>
        <w:t>CHAPTER 4: DATA EXTRACTION AND EVALUATION</w:t>
      </w:r>
      <w:bookmarkEnd w:id="122"/>
    </w:p>
    <w:p w14:paraId="0F5AF48F">
      <w:pPr>
        <w:pStyle w:val="3"/>
        <w:spacing w:line="480" w:lineRule="auto"/>
        <w:ind w:left="0"/>
        <w:rPr>
          <w:rFonts w:hint="default" w:ascii="Arial" w:hAnsi="Arial" w:cs="Arial"/>
          <w:highlight w:val="none"/>
        </w:rPr>
      </w:pPr>
      <w:bookmarkStart w:id="123" w:name="_Toc25757"/>
      <w:r>
        <w:rPr>
          <w:rFonts w:hint="default" w:ascii="Arial" w:hAnsi="Arial" w:cs="Arial"/>
          <w:highlight w:val="none"/>
        </w:rPr>
        <w:t xml:space="preserve">4.1 Introduction </w:t>
      </w:r>
      <w:bookmarkStart w:id="124" w:name="_Hlk132652789"/>
      <w:r>
        <w:rPr>
          <w:rFonts w:hint="default" w:ascii="Arial" w:hAnsi="Arial" w:cs="Arial"/>
          <w:highlight w:val="none"/>
        </w:rPr>
        <w:t>to Chapter</w:t>
      </w:r>
      <w:bookmarkEnd w:id="123"/>
      <w:bookmarkEnd w:id="124"/>
    </w:p>
    <w:p w14:paraId="0391E052">
      <w:pPr>
        <w:rPr>
          <w:rFonts w:hint="default" w:ascii="Arial" w:hAnsi="Arial" w:cs="Arial"/>
          <w:highlight w:val="none"/>
        </w:rPr>
      </w:pPr>
      <w:r>
        <w:rPr>
          <w:rFonts w:hint="default" w:ascii="Arial" w:hAnsi="Arial" w:cs="Arial"/>
          <w:highlight w:val="none"/>
        </w:rPr>
        <w:t>This chapter will provide the systematic data extraction and critical evaluation of primary studies that will be included in this review. It defines the relevance of the information gathered and collected through the use of a pre-designed data extraction form and assesses the methodological quality of the included studies using an appropriate critical appraisal tool. This chapter aims to evaluate the reliability, validity and the overall rigour of the evidence to make the findings robust. As the inclusion criteria of this review were limited to qualitative research, the chapter primarily analyses qualitative research articles. The results of the appraisal process are summarised and discussed with references to the strengths, weaknesses, and potential biases of the included studies as a background to the synthesis in the next chapter.</w:t>
      </w:r>
    </w:p>
    <w:p w14:paraId="0E57527A">
      <w:pPr>
        <w:rPr>
          <w:rFonts w:hint="default" w:ascii="Arial" w:hAnsi="Arial" w:cs="Arial"/>
          <w:highlight w:val="none"/>
        </w:rPr>
      </w:pPr>
    </w:p>
    <w:p w14:paraId="096FE85F">
      <w:pPr>
        <w:pStyle w:val="3"/>
        <w:spacing w:line="480" w:lineRule="auto"/>
        <w:ind w:left="0"/>
        <w:rPr>
          <w:rFonts w:hint="default" w:ascii="Arial" w:hAnsi="Arial" w:cs="Arial"/>
          <w:highlight w:val="none"/>
        </w:rPr>
      </w:pPr>
      <w:bookmarkStart w:id="125" w:name="_Toc1922"/>
      <w:bookmarkStart w:id="126" w:name="_Hlk132652592"/>
      <w:r>
        <w:rPr>
          <w:rFonts w:hint="default" w:ascii="Arial" w:hAnsi="Arial" w:cs="Arial"/>
          <w:highlight w:val="none"/>
        </w:rPr>
        <w:t>4.2 Data Extraction</w:t>
      </w:r>
      <w:bookmarkEnd w:id="125"/>
    </w:p>
    <w:bookmarkEnd w:id="126"/>
    <w:p w14:paraId="3BAA5AF3">
      <w:pPr>
        <w:rPr>
          <w:rFonts w:hint="default" w:ascii="Arial" w:hAnsi="Arial" w:cs="Arial"/>
          <w:highlight w:val="none"/>
        </w:rPr>
      </w:pPr>
      <w:r>
        <w:rPr>
          <w:rFonts w:hint="default" w:ascii="Arial" w:hAnsi="Arial" w:cs="Arial"/>
          <w:highlight w:val="none"/>
        </w:rPr>
        <w:t>Data extraction refers to the process of identifying, collecting and reporting on the relevant information of the sampled studies (Afifi et al., 2023). To guarantee consistency and accuracy in the review process, a structured data extraction form was developed in this review. The extraction of key information of each of the chosen studies, as well as ensuring that all significant variables were taken into consideration in the present work, was done with the help of the pre-designed table.</w:t>
      </w:r>
    </w:p>
    <w:p w14:paraId="1170009C">
      <w:pPr>
        <w:rPr>
          <w:rFonts w:hint="default" w:ascii="Arial" w:hAnsi="Arial" w:cs="Arial"/>
          <w:highlight w:val="none"/>
        </w:rPr>
      </w:pPr>
    </w:p>
    <w:p w14:paraId="10D41C78">
      <w:pPr>
        <w:rPr>
          <w:rFonts w:hint="default" w:ascii="Arial" w:hAnsi="Arial" w:cs="Arial"/>
          <w:highlight w:val="none"/>
        </w:rPr>
      </w:pPr>
      <w:r>
        <w:rPr>
          <w:rFonts w:hint="default" w:ascii="Arial" w:hAnsi="Arial" w:cs="Arial"/>
          <w:highlight w:val="none"/>
        </w:rPr>
        <w:t>The information extracted was as follows: author(s), year of publication, study location, study design, type of participants, sample size, follow-up period, cardiovascular disease (CVD) measurements, findings, analytical procedures, confounding factors, and important findings. This order assisted in the clear and systematic presentation of the studies, starting with the general study information and moving on to the findings and analysis.</w:t>
      </w:r>
    </w:p>
    <w:p w14:paraId="3454D91F">
      <w:pPr>
        <w:rPr>
          <w:rFonts w:hint="default" w:ascii="Arial" w:hAnsi="Arial" w:cs="Arial"/>
          <w:highlight w:val="none"/>
        </w:rPr>
      </w:pPr>
    </w:p>
    <w:p w14:paraId="361A5693">
      <w:pPr>
        <w:rPr>
          <w:rFonts w:hint="default" w:ascii="Arial" w:hAnsi="Arial" w:cs="Arial"/>
          <w:highlight w:val="none"/>
        </w:rPr>
      </w:pPr>
      <w:r>
        <w:rPr>
          <w:rFonts w:hint="default" w:ascii="Arial" w:hAnsi="Arial" w:cs="Arial"/>
          <w:highlight w:val="none"/>
        </w:rPr>
        <w:t>This methodology allowed the results to be compared effectively and identify patterns, similarities, and differences in the results. The complete data extraction table is provided in Appendix 1.</w:t>
      </w:r>
    </w:p>
    <w:p w14:paraId="1D8934F7">
      <w:pPr>
        <w:rPr>
          <w:rFonts w:hint="default" w:ascii="Arial" w:hAnsi="Arial" w:cs="Arial"/>
          <w:highlight w:val="none"/>
        </w:rPr>
      </w:pPr>
    </w:p>
    <w:p w14:paraId="5AF0581D">
      <w:pPr>
        <w:rPr>
          <w:rFonts w:hint="default" w:ascii="Arial" w:hAnsi="Arial" w:cs="Arial"/>
          <w:highlight w:val="none"/>
        </w:rPr>
      </w:pPr>
    </w:p>
    <w:p w14:paraId="78E10EDF">
      <w:pPr>
        <w:rPr>
          <w:rFonts w:hint="default" w:ascii="Arial" w:hAnsi="Arial" w:cs="Arial"/>
          <w:highlight w:val="none"/>
        </w:rPr>
      </w:pPr>
    </w:p>
    <w:p w14:paraId="6C34AA13">
      <w:pPr>
        <w:rPr>
          <w:rFonts w:hint="default" w:ascii="Arial" w:hAnsi="Arial" w:cs="Arial"/>
          <w:highlight w:val="none"/>
        </w:rPr>
      </w:pPr>
    </w:p>
    <w:p w14:paraId="3AF9A67A">
      <w:pPr>
        <w:pStyle w:val="3"/>
        <w:spacing w:line="480" w:lineRule="auto"/>
        <w:ind w:left="0"/>
        <w:rPr>
          <w:rFonts w:hint="default" w:ascii="Arial" w:hAnsi="Arial" w:cs="Arial"/>
          <w:highlight w:val="none"/>
        </w:rPr>
      </w:pPr>
      <w:bookmarkStart w:id="127" w:name="_Toc119400988"/>
      <w:bookmarkStart w:id="128" w:name="_Toc23130"/>
      <w:r>
        <w:rPr>
          <w:rFonts w:hint="default" w:ascii="Arial" w:hAnsi="Arial" w:cs="Arial"/>
          <w:highlight w:val="none"/>
        </w:rPr>
        <w:t>4.3 Brief Introduction to Critical Appraisal and Paper Quality Assessment</w:t>
      </w:r>
      <w:bookmarkEnd w:id="127"/>
      <w:bookmarkEnd w:id="128"/>
    </w:p>
    <w:p w14:paraId="76CA4DCB">
      <w:pPr>
        <w:rPr>
          <w:rFonts w:hint="default" w:ascii="Arial" w:hAnsi="Arial" w:cs="Arial"/>
          <w:highlight w:val="none"/>
        </w:rPr>
      </w:pPr>
      <w:r>
        <w:rPr>
          <w:rFonts w:hint="default" w:ascii="Arial" w:hAnsi="Arial" w:cs="Arial"/>
          <w:highlight w:val="none"/>
        </w:rPr>
        <w:t xml:space="preserve">Critical appraisal mainly refers to the process of reviewing research studies in order to determine their validity, reliability, and relevance to a given research question (Tod et al., 2022; </w:t>
      </w:r>
      <w:r>
        <w:rPr>
          <w:rFonts w:hint="default" w:ascii="Arial" w:hAnsi="Arial" w:cs="Arial"/>
          <w:highlight w:val="none"/>
          <w:lang w:val="en-IN"/>
        </w:rPr>
        <w:t>Santhanam et al., 2025; Downes et al., 2016</w:t>
      </w:r>
      <w:r>
        <w:rPr>
          <w:rFonts w:hint="default" w:ascii="Arial" w:hAnsi="Arial" w:cs="Arial"/>
          <w:highlight w:val="none"/>
        </w:rPr>
        <w:t xml:space="preserve">). It particularly entails scrutiny of the quality of methodology, possible bias and the general credibility of the evidence provided. The process is essential in systematic reviews as it helps determine whether the findings of a study can be trusted and applied in practice. </w:t>
      </w:r>
    </w:p>
    <w:p w14:paraId="464987CB">
      <w:pPr>
        <w:rPr>
          <w:rFonts w:hint="default" w:ascii="Arial" w:hAnsi="Arial" w:cs="Arial"/>
          <w:highlight w:val="none"/>
        </w:rPr>
      </w:pPr>
    </w:p>
    <w:p w14:paraId="4A174ACC">
      <w:pPr>
        <w:rPr>
          <w:rFonts w:hint="default" w:ascii="Arial" w:hAnsi="Arial" w:cs="Arial"/>
          <w:highlight w:val="none"/>
        </w:rPr>
      </w:pPr>
      <w:r>
        <w:rPr>
          <w:rFonts w:hint="default" w:ascii="Arial" w:hAnsi="Arial" w:cs="Arial"/>
          <w:highlight w:val="none"/>
        </w:rPr>
        <w:t xml:space="preserve">Research appraisal is very important since not every research paper is of good quality (Shaheen et al., 2023). Studies that are poorly designed can give misleading results that can influence the general conclusion of a review. The critical evaluation of every study will help researchers to effectively detect strengths, limitations and biasing areas, so that only high-quality evidence is included in the final synthesis. </w:t>
      </w:r>
    </w:p>
    <w:p w14:paraId="1682678C">
      <w:pPr>
        <w:rPr>
          <w:rFonts w:hint="default" w:ascii="Arial" w:hAnsi="Arial" w:cs="Arial"/>
          <w:highlight w:val="none"/>
        </w:rPr>
      </w:pPr>
    </w:p>
    <w:p w14:paraId="7A9D5D3B">
      <w:pPr>
        <w:rPr>
          <w:rFonts w:hint="default" w:ascii="Arial" w:hAnsi="Arial" w:cs="Arial"/>
          <w:highlight w:val="none"/>
        </w:rPr>
      </w:pPr>
      <w:r>
        <w:rPr>
          <w:rFonts w:hint="default" w:ascii="Arial" w:hAnsi="Arial" w:cs="Arial"/>
          <w:highlight w:val="none"/>
        </w:rPr>
        <w:t>Moreover, critical appraisal will foster as well as promote transparency and rigour in a study to facilitate much more evidence-based decision-making processes and increase confidence in the review findings.</w:t>
      </w:r>
    </w:p>
    <w:p w14:paraId="44216CB0">
      <w:pPr>
        <w:rPr>
          <w:rFonts w:hint="default" w:ascii="Arial" w:hAnsi="Arial" w:cs="Arial"/>
          <w:highlight w:val="none"/>
        </w:rPr>
      </w:pPr>
    </w:p>
    <w:p w14:paraId="6EC547F7">
      <w:pPr>
        <w:pStyle w:val="3"/>
        <w:spacing w:line="480" w:lineRule="auto"/>
        <w:ind w:left="0"/>
        <w:rPr>
          <w:rFonts w:hint="default" w:ascii="Arial" w:hAnsi="Arial" w:cs="Arial"/>
          <w:highlight w:val="none"/>
        </w:rPr>
      </w:pPr>
      <w:bookmarkStart w:id="129" w:name="_Toc20967"/>
      <w:r>
        <w:rPr>
          <w:rFonts w:hint="default" w:ascii="Arial" w:hAnsi="Arial" w:cs="Arial"/>
          <w:highlight w:val="none"/>
        </w:rPr>
        <w:t>4.4 Critical Appraisal Tools</w:t>
      </w:r>
      <w:bookmarkEnd w:id="129"/>
    </w:p>
    <w:p w14:paraId="054C8984">
      <w:pPr>
        <w:pStyle w:val="17"/>
        <w:spacing w:before="0" w:beforeAutospacing="0" w:after="0" w:afterAutospacing="0"/>
        <w:rPr>
          <w:rFonts w:hint="default" w:ascii="Arial" w:hAnsi="Arial" w:cs="Arial"/>
          <w:highlight w:val="none"/>
        </w:rPr>
      </w:pPr>
      <w:r>
        <w:rPr>
          <w:rFonts w:hint="default" w:ascii="Arial" w:hAnsi="Arial" w:cs="Arial"/>
          <w:highlight w:val="none"/>
        </w:rPr>
        <w:t>Tools of critical appraisal are primarily known as structured frameworks used for systematically evaluating the credibility and quality of research articles. According to CASP (2024), critical appraisal facilitates the systematic assessment of the relevance and trustworthiness of the results in all published papers. The selection of the correct tool of appraisal is important, as the use of different tools is mainly designed for different types of study designs. Overall, the use of proper tools also helps in ensuring the process of appraisal, which is further tailored based on the characteristics of the studies, further making improvements in the accuracy levels.</w:t>
      </w:r>
    </w:p>
    <w:p w14:paraId="1698BBD3">
      <w:pPr>
        <w:pStyle w:val="17"/>
        <w:spacing w:before="0" w:beforeAutospacing="0" w:after="0" w:afterAutospacing="0"/>
        <w:rPr>
          <w:rFonts w:hint="default" w:ascii="Arial" w:hAnsi="Arial" w:cs="Arial"/>
          <w:highlight w:val="none"/>
        </w:rPr>
      </w:pPr>
    </w:p>
    <w:p w14:paraId="64444274">
      <w:pPr>
        <w:pStyle w:val="17"/>
        <w:spacing w:before="0" w:beforeAutospacing="0" w:after="0" w:afterAutospacing="0"/>
        <w:rPr>
          <w:rFonts w:hint="default" w:ascii="Arial" w:hAnsi="Arial" w:cs="Arial"/>
          <w:highlight w:val="none"/>
        </w:rPr>
      </w:pPr>
      <w:r>
        <w:rPr>
          <w:rFonts w:hint="default" w:ascii="Arial" w:hAnsi="Arial" w:cs="Arial"/>
          <w:highlight w:val="none"/>
        </w:rPr>
        <w:t>The main elements of the critical appraisal tools are the design of the research, the methods of sampling, the processes of data collection, the ethical considerations, the techniques of data analysis, and the clarity of the findings. According to CASP (2024) and Long et al. (2020), the CASP tools include several useful checklists that help in reading the research properly while delivering appropriate training as well. The selection of the correct tool of appraisal helps in increasing the level of credibility of all the articles while ensuring transparency and consistency in the evaluation of the studies. </w:t>
      </w:r>
    </w:p>
    <w:p w14:paraId="4FE37256">
      <w:pPr>
        <w:pStyle w:val="17"/>
        <w:spacing w:before="0" w:beforeAutospacing="0" w:after="0" w:afterAutospacing="0"/>
        <w:rPr>
          <w:rFonts w:hint="default" w:ascii="Arial" w:hAnsi="Arial" w:cs="Arial"/>
          <w:highlight w:val="none"/>
        </w:rPr>
      </w:pPr>
    </w:p>
    <w:p w14:paraId="6C560841">
      <w:pPr>
        <w:rPr>
          <w:rFonts w:hint="default" w:ascii="Arial" w:hAnsi="Arial" w:cs="Arial"/>
          <w:highlight w:val="none"/>
        </w:rPr>
      </w:pPr>
      <w:r>
        <w:rPr>
          <w:rFonts w:hint="default" w:ascii="Arial" w:hAnsi="Arial" w:cs="Arial"/>
          <w:highlight w:val="none"/>
        </w:rPr>
        <w:t>However, since this review also included mixed-methods studies, the MMAT was additionally applied. MMAT is specifically designed to evaluate the methodological quality of studies integrating both qualitative and quantitative components. According to Makabe et al. (2022), MMAT enables simultaneous appraisal of qualitative, quantitative, and mixed-methods elements within a single framework, making it particularly suitable for systematic reviews containing diverse research designs. The tool assesses the appropriateness of methodological integration, interpretation of results, and coherence between qualitative and quantitative findings. Therefore, the combined use of CASP and MMAT enhanced the rigour, transparency, and comprehensiveness of the critical appraisal process in this review</w:t>
      </w:r>
    </w:p>
    <w:p w14:paraId="29B64123">
      <w:pPr>
        <w:rPr>
          <w:rFonts w:hint="default" w:ascii="Arial" w:hAnsi="Arial" w:cs="Arial"/>
          <w:highlight w:val="none"/>
        </w:rPr>
      </w:pPr>
      <w:r>
        <w:rPr>
          <w:rFonts w:hint="default" w:ascii="Arial" w:hAnsi="Arial" w:cs="Arial"/>
          <w:highlight w:val="none"/>
        </w:rPr>
        <w:t>. </w:t>
      </w:r>
    </w:p>
    <w:p w14:paraId="481B06EF">
      <w:pPr>
        <w:pStyle w:val="3"/>
        <w:spacing w:line="480" w:lineRule="auto"/>
        <w:ind w:left="0"/>
        <w:rPr>
          <w:rFonts w:hint="default" w:ascii="Arial" w:hAnsi="Arial" w:cs="Arial"/>
          <w:highlight w:val="none"/>
        </w:rPr>
      </w:pPr>
      <w:bookmarkStart w:id="130" w:name="_Toc29425"/>
      <w:r>
        <w:rPr>
          <w:rFonts w:hint="default" w:ascii="Arial" w:hAnsi="Arial" w:cs="Arial"/>
          <w:highlight w:val="none"/>
        </w:rPr>
        <w:t>4.5 Evaluation of Qualitative Studies using CASP Tool</w:t>
      </w:r>
      <w:bookmarkEnd w:id="130"/>
    </w:p>
    <w:p w14:paraId="6A35FE77">
      <w:pPr>
        <w:rPr>
          <w:rFonts w:hint="default" w:ascii="Arial" w:hAnsi="Arial" w:cs="Arial"/>
          <w:highlight w:val="none"/>
        </w:rPr>
      </w:pPr>
      <w:r>
        <w:rPr>
          <w:rFonts w:hint="default" w:ascii="Arial" w:hAnsi="Arial" w:cs="Arial"/>
          <w:highlight w:val="none"/>
        </w:rPr>
        <w:t>The current section of this dissertation offers a critical evaluation of the selected qualitative studies by using a CASP qualitative checklist. Here, the utilisation of this checklist was essential for assessing the methodological rigour of these selected research articles for completing this systematic review, alongside understanding the overall credibility of these articles, followed by the contribution of these reports in understanding the insights related to the cardiovascular disease experiences and associated perceptions among the South Asian population group residing in the United Kingdom [Referred to Appendix 2 and 3].</w:t>
      </w:r>
    </w:p>
    <w:p w14:paraId="583FCD3E">
      <w:pPr>
        <w:rPr>
          <w:rFonts w:hint="default" w:ascii="Arial" w:hAnsi="Arial" w:cs="Arial"/>
          <w:highlight w:val="none"/>
        </w:rPr>
      </w:pPr>
    </w:p>
    <w:p w14:paraId="00188409">
      <w:pPr>
        <w:rPr>
          <w:rFonts w:hint="default" w:ascii="Arial" w:hAnsi="Arial" w:cs="Arial"/>
          <w:b/>
          <w:bCs/>
          <w:highlight w:val="none"/>
        </w:rPr>
      </w:pPr>
      <w:r>
        <w:rPr>
          <w:rFonts w:hint="default" w:ascii="Arial" w:hAnsi="Arial" w:cs="Arial"/>
          <w:b/>
          <w:bCs/>
          <w:highlight w:val="none"/>
        </w:rPr>
        <w:t>CASP Tool strengths</w:t>
      </w:r>
    </w:p>
    <w:p w14:paraId="478E0E9B">
      <w:pPr>
        <w:rPr>
          <w:rFonts w:hint="default" w:ascii="Arial" w:hAnsi="Arial" w:cs="Arial"/>
          <w:b/>
          <w:bCs/>
          <w:highlight w:val="none"/>
        </w:rPr>
      </w:pPr>
    </w:p>
    <w:p w14:paraId="2FD33923">
      <w:pPr>
        <w:rPr>
          <w:rFonts w:hint="default" w:ascii="Arial" w:hAnsi="Arial" w:cs="Arial"/>
          <w:highlight w:val="none"/>
        </w:rPr>
      </w:pPr>
      <w:r>
        <w:rPr>
          <w:rFonts w:hint="default" w:ascii="Arial" w:hAnsi="Arial" w:cs="Arial"/>
          <w:highlight w:val="none"/>
        </w:rPr>
        <w:t>The CASP tool can be useful as it gives a clear and structured framework on how to assess qualitative studies. It assists the researcher in evaluating such important aspects of the research as research aims, methodology, recruitment, data collection, ethical issues, data analysis and value of the research. This enhances uniformity in the appraisal procedure and facilitates a clearer evaluation of the quality of the studies.</w:t>
      </w:r>
    </w:p>
    <w:p w14:paraId="5543B93F">
      <w:pPr>
        <w:rPr>
          <w:rFonts w:hint="default" w:ascii="Arial" w:hAnsi="Arial" w:cs="Arial"/>
          <w:highlight w:val="none"/>
        </w:rPr>
      </w:pPr>
    </w:p>
    <w:p w14:paraId="2226954F">
      <w:pPr>
        <w:rPr>
          <w:rFonts w:hint="default" w:ascii="Arial" w:hAnsi="Arial" w:cs="Arial"/>
          <w:b/>
          <w:bCs/>
          <w:highlight w:val="none"/>
        </w:rPr>
      </w:pPr>
      <w:r>
        <w:rPr>
          <w:rFonts w:hint="default" w:ascii="Arial" w:hAnsi="Arial" w:cs="Arial"/>
          <w:b/>
          <w:bCs/>
          <w:highlight w:val="none"/>
        </w:rPr>
        <w:t>Limitations of the CASP Tool</w:t>
      </w:r>
    </w:p>
    <w:p w14:paraId="3D3AAEFF">
      <w:pPr>
        <w:rPr>
          <w:rFonts w:hint="default" w:ascii="Arial" w:hAnsi="Arial" w:cs="Arial"/>
          <w:highlight w:val="none"/>
        </w:rPr>
      </w:pPr>
    </w:p>
    <w:p w14:paraId="0F58486D">
      <w:pPr>
        <w:rPr>
          <w:rFonts w:hint="default" w:ascii="Arial" w:hAnsi="Arial" w:cs="Arial"/>
          <w:highlight w:val="none"/>
        </w:rPr>
      </w:pPr>
      <w:r>
        <w:rPr>
          <w:rFonts w:hint="default" w:ascii="Arial" w:hAnsi="Arial" w:cs="Arial"/>
          <w:highlight w:val="none"/>
        </w:rPr>
        <w:t>Nonetheless, there are also several limitations to the CASP tool. It does not offer a numerical scoring system which can make comparison between studies more subjective. Certain questions in the checklists will also be dependent on the interpretation of the researcher particularly in cases where a study does not explicitly report on reflexivity or ethical approval. Thus, the tool is beneficial yet still needs special consideration in the process of appraisal.</w:t>
      </w:r>
    </w:p>
    <w:p w14:paraId="48DF44A1">
      <w:pPr>
        <w:rPr>
          <w:rFonts w:hint="default" w:ascii="Arial" w:hAnsi="Arial" w:cs="Arial"/>
          <w:highlight w:val="none"/>
        </w:rPr>
      </w:pPr>
    </w:p>
    <w:p w14:paraId="3858B5D2">
      <w:pPr>
        <w:rPr>
          <w:rFonts w:hint="default" w:ascii="Arial" w:hAnsi="Arial" w:cs="Arial"/>
          <w:b/>
          <w:bCs/>
          <w:highlight w:val="none"/>
        </w:rPr>
      </w:pPr>
      <w:r>
        <w:rPr>
          <w:rFonts w:hint="default" w:ascii="Arial" w:hAnsi="Arial" w:cs="Arial"/>
          <w:b/>
          <w:bCs/>
          <w:highlight w:val="none"/>
        </w:rPr>
        <w:t>Critical Evaluation of the Selected Articles</w:t>
      </w:r>
    </w:p>
    <w:p w14:paraId="3E441141">
      <w:pPr>
        <w:rPr>
          <w:rFonts w:hint="default" w:ascii="Arial" w:hAnsi="Arial" w:cs="Arial"/>
          <w:b/>
          <w:bCs/>
          <w:highlight w:val="none"/>
        </w:rPr>
      </w:pPr>
    </w:p>
    <w:p w14:paraId="5456CDE4">
      <w:pPr>
        <w:rPr>
          <w:rFonts w:hint="default" w:ascii="Arial" w:hAnsi="Arial" w:cs="Arial"/>
          <w:highlight w:val="none"/>
        </w:rPr>
      </w:pPr>
      <w:r>
        <w:rPr>
          <w:rFonts w:hint="default" w:ascii="Arial" w:hAnsi="Arial" w:cs="Arial"/>
          <w:highlight w:val="none"/>
        </w:rPr>
        <w:t>In this section, the critical appraisal of the chosen qualitative studies is presented by using the first five criteria of the CASP qualitative checklist. The discussion of the studies is made in separate and alphabetical order to make the appraisal more organised and clearer. The first five CASP areas which will be taken into account in this case are: clear statement of research aims, appropriateness of qualitative methodology, suitability of research design, recruitment strategy, and data collection. This method aids in assessing whether an individual study was methodologically appropriate to include it into the systematic literature review as well as whether the evidence generated by the particular study could be deemed as reliable and relevant to the current topic of research. The discussion on the first five selected studies, including Bhattacharyya et al. (2016) to Dilla et al. (2020), is presented in the characteristics table in Appendix 1 and the CASP checklist in Appendix 2 and 3</w:t>
      </w:r>
    </w:p>
    <w:p w14:paraId="21259785">
      <w:pPr>
        <w:rPr>
          <w:rFonts w:hint="default" w:ascii="Arial" w:hAnsi="Arial" w:cs="Arial"/>
          <w:highlight w:val="none"/>
        </w:rPr>
      </w:pPr>
    </w:p>
    <w:p w14:paraId="3A328E2D">
      <w:pPr>
        <w:rPr>
          <w:rFonts w:hint="default" w:ascii="Arial" w:hAnsi="Arial" w:cs="Arial"/>
          <w:b/>
          <w:bCs/>
          <w:highlight w:val="none"/>
        </w:rPr>
      </w:pPr>
      <w:r>
        <w:rPr>
          <w:rFonts w:hint="default" w:ascii="Arial" w:hAnsi="Arial" w:cs="Arial"/>
          <w:b/>
          <w:bCs/>
          <w:highlight w:val="none"/>
        </w:rPr>
        <w:t>Bhattacharyya et al. (2016)</w:t>
      </w:r>
    </w:p>
    <w:p w14:paraId="40852B6A">
      <w:pPr>
        <w:rPr>
          <w:rFonts w:hint="default" w:ascii="Arial" w:hAnsi="Arial" w:cs="Arial"/>
          <w:highlight w:val="none"/>
        </w:rPr>
      </w:pPr>
    </w:p>
    <w:p w14:paraId="4FDF5DE5">
      <w:pPr>
        <w:rPr>
          <w:rFonts w:hint="default" w:ascii="Arial" w:hAnsi="Arial" w:cs="Arial"/>
          <w:highlight w:val="none"/>
        </w:rPr>
      </w:pPr>
      <w:r>
        <w:rPr>
          <w:rFonts w:hint="default" w:ascii="Arial" w:hAnsi="Arial" w:cs="Arial"/>
          <w:highlight w:val="none"/>
        </w:rPr>
        <w:t>In the study by Bhattacharyya et al. (2016), the aim of the study was clearly mentioned, as the research focused on understanding the psychological impact experienced by South Asian and White British cardiac patients after a cardiac event. This objective was applicable to the present review since psychological reactions like anxiety, depressions and low moods are capable of affecting lifestyle behaviours and post cardiovascular disease recovery. The qualitative research methodology was suitable since the study was designed to investigate personal experiences, feelings and adaptation following cardiac illness, which could not be well informed by the use of quantitative methods of research alone. The research design also worked well because thematic analysis enabled the researchers to determine noteworthy trends in the perceptions and experiences of the participants. The recruitment strategy was suitable in that the participants were cardiac patients and this was directly related to the research problem. The sample consisted of South Asian and White British, which additionally made it possible to compare the results across ethnic groups. The data collection method was appropriate since it collected in-depth information on post-cardiac experiences, psychological adaptation and the role of the socioeconomic factors including employment and income.</w:t>
      </w:r>
    </w:p>
    <w:p w14:paraId="0E711374">
      <w:pPr>
        <w:rPr>
          <w:rFonts w:hint="default" w:ascii="Arial" w:hAnsi="Arial" w:cs="Arial"/>
          <w:highlight w:val="none"/>
        </w:rPr>
      </w:pPr>
    </w:p>
    <w:p w14:paraId="4721F29B">
      <w:pPr>
        <w:rPr>
          <w:rFonts w:hint="default" w:ascii="Arial" w:hAnsi="Arial" w:cs="Arial"/>
          <w:highlight w:val="none"/>
        </w:rPr>
      </w:pPr>
    </w:p>
    <w:p w14:paraId="7C650B08">
      <w:pPr>
        <w:rPr>
          <w:rFonts w:hint="default" w:ascii="Arial" w:hAnsi="Arial" w:cs="Arial"/>
          <w:b/>
          <w:bCs/>
          <w:highlight w:val="none"/>
        </w:rPr>
      </w:pPr>
      <w:r>
        <w:rPr>
          <w:rFonts w:hint="default" w:ascii="Arial" w:hAnsi="Arial" w:cs="Arial"/>
          <w:b/>
          <w:bCs/>
          <w:highlight w:val="none"/>
        </w:rPr>
        <w:t>Cross-Bardell et al. (2015)</w:t>
      </w:r>
    </w:p>
    <w:p w14:paraId="4B65333B">
      <w:pPr>
        <w:rPr>
          <w:rFonts w:hint="default" w:ascii="Arial" w:hAnsi="Arial" w:cs="Arial"/>
          <w:highlight w:val="none"/>
        </w:rPr>
      </w:pPr>
    </w:p>
    <w:p w14:paraId="046B4C0F">
      <w:pPr>
        <w:rPr>
          <w:rFonts w:hint="default" w:ascii="Arial" w:hAnsi="Arial" w:cs="Arial"/>
          <w:highlight w:val="none"/>
        </w:rPr>
      </w:pPr>
      <w:r>
        <w:rPr>
          <w:rFonts w:hint="default" w:ascii="Arial" w:hAnsi="Arial" w:cs="Arial"/>
          <w:highlight w:val="none"/>
        </w:rPr>
        <w:t>In the article by Cross-Bardell et al. (2015), the purpose was clearly outlined since the study examined the barriers and facilitators to lifestyle change among South Asian people, families and professionals in the East Midlands. This objective was directly associated with the present review as one of the primary issues in the prevention of cardiovascular diseases is the changes in lifestyle. The qualitative methodology used was appropriate since diet, physical activity and lifestyle behaviours are highly affected by cultural, family and social factors. Qualitative approach assisted the researchers in learning about these issues on a deeper level. The research design was also suitable since thematic analysis helped to identify common themes concerning cultural eating habits, time constraints, cost constraints and walking as a viable exercise. The recruitment strategy was good since the study involved various participant groups such as individuals, families and professionals. This assisted in generating a more valuable data and enabled the problem to be perceived through multiple perspectives. The data collection was also appropriate since it answered the research question clearly and used useful evidence to support the research question.</w:t>
      </w:r>
    </w:p>
    <w:p w14:paraId="235184F6">
      <w:pPr>
        <w:rPr>
          <w:rFonts w:hint="default" w:ascii="Arial" w:hAnsi="Arial" w:cs="Arial"/>
          <w:highlight w:val="none"/>
        </w:rPr>
      </w:pPr>
    </w:p>
    <w:p w14:paraId="09669CF9">
      <w:pPr>
        <w:rPr>
          <w:rFonts w:hint="default" w:ascii="Arial" w:hAnsi="Arial" w:cs="Arial"/>
          <w:b/>
          <w:bCs/>
          <w:highlight w:val="none"/>
        </w:rPr>
      </w:pPr>
      <w:r>
        <w:rPr>
          <w:rFonts w:hint="default" w:ascii="Arial" w:hAnsi="Arial" w:cs="Arial"/>
          <w:b/>
          <w:bCs/>
          <w:highlight w:val="none"/>
        </w:rPr>
        <w:t>Darr et al. (2008)</w:t>
      </w:r>
    </w:p>
    <w:p w14:paraId="40A0BA7F">
      <w:pPr>
        <w:rPr>
          <w:rFonts w:hint="default" w:ascii="Arial" w:hAnsi="Arial" w:cs="Arial"/>
          <w:highlight w:val="none"/>
        </w:rPr>
      </w:pPr>
    </w:p>
    <w:p w14:paraId="711F8342">
      <w:pPr>
        <w:rPr>
          <w:rFonts w:hint="default" w:ascii="Arial" w:hAnsi="Arial" w:cs="Arial"/>
          <w:highlight w:val="none"/>
        </w:rPr>
      </w:pPr>
      <w:r>
        <w:rPr>
          <w:rFonts w:hint="default" w:ascii="Arial" w:hAnsi="Arial" w:cs="Arial"/>
          <w:highlight w:val="none"/>
        </w:rPr>
        <w:t>In the Darr et al. (2008) study, the aim of the research was clearly stated since the study involved exploring the illness beliefs and lifestyle change among South Asian and European patients with coronary heart disease. This was an appropriate aim since perceptions of disease causes and prevention can have a strong impact on health behaviour once diagnosed with a disease. The qualitative methodology was suitable since the research was based on the understanding of the participants, their perceptions and explanations of coronary heart disease. Such subjective experiences can only be discussed using qualitative enquiry. The research design was also appropriate as framework analysis was employed, which was helpful in comparing the findings across South Asian and European participants and between age groups. The study adopted a proper recruitment strategy since the study involved the participants who had experienced coronary heart disease first hand. This rendered the sample pertinent to the research question. Data collection was used to address the research issue by examining the misconceptions regarding coronary heart disease, challenges in changing diet and smoking behaviour. The research was useful as it demonstrated that, though the South Asian participants had difficulties with the changes in their diet, they had a higher chance of quitting smoking.</w:t>
      </w:r>
    </w:p>
    <w:p w14:paraId="60FB751C">
      <w:pPr>
        <w:rPr>
          <w:rFonts w:hint="default" w:ascii="Arial" w:hAnsi="Arial" w:cs="Arial"/>
          <w:highlight w:val="none"/>
        </w:rPr>
      </w:pPr>
    </w:p>
    <w:p w14:paraId="29C89002">
      <w:pPr>
        <w:rPr>
          <w:rFonts w:hint="default" w:ascii="Arial" w:hAnsi="Arial" w:cs="Arial"/>
          <w:b/>
          <w:bCs/>
          <w:highlight w:val="none"/>
        </w:rPr>
      </w:pPr>
      <w:r>
        <w:rPr>
          <w:rFonts w:hint="default" w:ascii="Arial" w:hAnsi="Arial" w:cs="Arial"/>
          <w:b/>
          <w:bCs/>
          <w:highlight w:val="none"/>
        </w:rPr>
        <w:t>Deshmukh et al. (2025) studies should be give alphabetically or year wise</w:t>
      </w:r>
    </w:p>
    <w:p w14:paraId="0E497898">
      <w:pPr>
        <w:rPr>
          <w:rFonts w:hint="default" w:ascii="Arial" w:hAnsi="Arial" w:cs="Arial"/>
          <w:highlight w:val="none"/>
        </w:rPr>
      </w:pPr>
    </w:p>
    <w:p w14:paraId="33A406DB">
      <w:pPr>
        <w:rPr>
          <w:rFonts w:hint="default" w:ascii="Arial" w:hAnsi="Arial" w:cs="Arial"/>
          <w:highlight w:val="none"/>
        </w:rPr>
      </w:pPr>
      <w:r>
        <w:rPr>
          <w:rFonts w:hint="default" w:ascii="Arial" w:hAnsi="Arial" w:cs="Arial"/>
          <w:highlight w:val="none"/>
        </w:rPr>
        <w:t>In the study conducted by Deshmukh et al. (2025), the purpose was well indicated since the research was on the knowledge and behaviour of physical activity among South Asian adults in Birmingham. The current review found this aim important since physical inactivity is one of the key modifiable lifestyle factors that are associated with cardiovascular disease. The qualitative methodology was appropriate since the study investigated awareness, barriers and motivators associated with physical activity. These problems are personal, social and cultural in meaning and best explored using qualitative approaches. The research design was suitable, and the thematic analysis aided the researchers in establishing patterns regarding gender, social factors and physical activity understanding. The recruitment approach was mainly suitable since the research involved South Asian adults that were pertinent to the subject matter. It was however a small sample with only 15 participants, which could be a limitation to extrapolate the results. The research problem was addressed by data collection which revealed that the participants had good general awareness on physical activity but poor awareness of formal activity guidelines as well as limited knowledge on resistance training.</w:t>
      </w:r>
    </w:p>
    <w:p w14:paraId="36A7DCC5">
      <w:pPr>
        <w:rPr>
          <w:rFonts w:hint="default" w:ascii="Arial" w:hAnsi="Arial" w:cs="Arial"/>
          <w:highlight w:val="none"/>
        </w:rPr>
      </w:pPr>
    </w:p>
    <w:p w14:paraId="60CD49E8">
      <w:pPr>
        <w:rPr>
          <w:rFonts w:hint="default" w:ascii="Arial" w:hAnsi="Arial" w:cs="Arial"/>
          <w:b/>
          <w:bCs/>
          <w:highlight w:val="none"/>
        </w:rPr>
      </w:pPr>
      <w:r>
        <w:rPr>
          <w:rFonts w:hint="default" w:ascii="Arial" w:hAnsi="Arial" w:cs="Arial"/>
          <w:b/>
          <w:bCs/>
          <w:highlight w:val="none"/>
        </w:rPr>
        <w:t>Dilla et al. (2020)</w:t>
      </w:r>
    </w:p>
    <w:p w14:paraId="3E99290A">
      <w:pPr>
        <w:rPr>
          <w:rFonts w:hint="default" w:ascii="Arial" w:hAnsi="Arial" w:cs="Arial"/>
          <w:highlight w:val="none"/>
        </w:rPr>
      </w:pPr>
    </w:p>
    <w:p w14:paraId="14C843B8">
      <w:pPr>
        <w:rPr>
          <w:rFonts w:hint="default" w:ascii="Arial" w:hAnsi="Arial" w:cs="Arial"/>
          <w:highlight w:val="none"/>
        </w:rPr>
      </w:pPr>
      <w:r>
        <w:rPr>
          <w:rFonts w:hint="default" w:ascii="Arial" w:hAnsi="Arial" w:cs="Arial"/>
          <w:highlight w:val="none"/>
        </w:rPr>
        <w:t>In the research article by Dilla et al. (2020), the objective was expressed in the form of the attention to the choice of lifestyle changes among South Asian patients with myocardial infarction. The purpose was relevant as behaviour change following myocardial infarction is crucial in terms of secondary prevention of cardiovascular disease. The qualitative approach methodology suited well since the research question was how patients decide to change lifestyles in the family and cultural settings. This research design was appropriate since the grounded theory was adopted, and it would be ideal in cases where the objective is to build a deeper understanding of processes involved in decision-making. The recruitment strategy, though, was not quite clear in the CASP checklist, which makes it somewhat uncertain how the participants were selected. It was also noted that data collection was not clear which limits the ability to determine whether the data collection process was able to address the research issue fully. Nevertheless, the research yielded practical results, demonstrating that family priorities and cultural harmony can be used to supersede individual health choices following myocardial infarction.</w:t>
      </w:r>
    </w:p>
    <w:p w14:paraId="61DAB093">
      <w:pPr>
        <w:rPr>
          <w:rFonts w:hint="default" w:ascii="Arial" w:hAnsi="Arial" w:cs="Arial"/>
          <w:highlight w:val="none"/>
        </w:rPr>
      </w:pPr>
    </w:p>
    <w:p w14:paraId="3BD07D7E">
      <w:pPr>
        <w:rPr>
          <w:rFonts w:hint="default" w:ascii="Arial" w:hAnsi="Arial" w:cs="Arial"/>
          <w:highlight w:val="none"/>
        </w:rPr>
      </w:pPr>
    </w:p>
    <w:p w14:paraId="1DB4E33A">
      <w:pPr>
        <w:rPr>
          <w:rFonts w:hint="default" w:ascii="Arial" w:hAnsi="Arial" w:cs="Arial"/>
          <w:b/>
          <w:bCs/>
          <w:highlight w:val="none"/>
        </w:rPr>
      </w:pPr>
      <w:r>
        <w:rPr>
          <w:rFonts w:hint="default" w:ascii="Arial" w:hAnsi="Arial" w:cs="Arial"/>
          <w:b/>
          <w:bCs/>
          <w:highlight w:val="none"/>
        </w:rPr>
        <w:t>Eastwood et al. (2013)</w:t>
      </w:r>
    </w:p>
    <w:p w14:paraId="3F7DEA28">
      <w:pPr>
        <w:rPr>
          <w:rFonts w:hint="default" w:ascii="Arial" w:hAnsi="Arial" w:cs="Arial"/>
          <w:highlight w:val="none"/>
        </w:rPr>
      </w:pPr>
    </w:p>
    <w:p w14:paraId="5C8CE250">
      <w:pPr>
        <w:rPr>
          <w:rFonts w:hint="default" w:ascii="Arial" w:hAnsi="Arial" w:cs="Arial"/>
          <w:highlight w:val="none"/>
        </w:rPr>
      </w:pPr>
      <w:r>
        <w:rPr>
          <w:rFonts w:hint="default" w:ascii="Arial" w:hAnsi="Arial" w:cs="Arial"/>
          <w:highlight w:val="none"/>
        </w:rPr>
        <w:t>In the study by Eastwood et al. (2013) the aim of the study was well-defined due to the fact that the research was focused on the participation in the risk assessment of CVD among the members of the community and groups of stakeholders in London. This purpose was applicable to the present review since early intervention with cardiovascular risk evaluation can have an impact on lifestyle consciousness, prevention and behaviour change amongst South Asian adults. The qualitative approach was suitable since the research was based on the community experiences, perceptions, barriers to participation and engagement in CVD risk assessment. These questions are directly connected to the social context and thus would be appropriate to a qualitative enquiry. The research design was also suitable since the thematic analysis aided in identifying recurrent patterns in the perceptions of the subjects. The recruitment plan was appropriate as the members of the community and stakeholders who had a direct relationship with the research issue were included. Data collection also touched on the research topic, as it demonstrated that access was enhanced in community settings, although privacy issues and lack of follow-up were also key factors.</w:t>
      </w:r>
    </w:p>
    <w:p w14:paraId="23D2F27A">
      <w:pPr>
        <w:rPr>
          <w:rFonts w:hint="default" w:ascii="Arial" w:hAnsi="Arial" w:cs="Arial"/>
          <w:highlight w:val="none"/>
        </w:rPr>
      </w:pPr>
    </w:p>
    <w:p w14:paraId="6EACFCDF">
      <w:pPr>
        <w:rPr>
          <w:rFonts w:hint="default" w:ascii="Arial" w:hAnsi="Arial" w:cs="Arial"/>
          <w:b/>
          <w:bCs/>
          <w:highlight w:val="none"/>
        </w:rPr>
      </w:pPr>
      <w:r>
        <w:rPr>
          <w:rFonts w:hint="default" w:ascii="Arial" w:hAnsi="Arial" w:cs="Arial"/>
          <w:b/>
          <w:bCs/>
          <w:highlight w:val="none"/>
        </w:rPr>
        <w:t>Fowokan et al. (2020)</w:t>
      </w:r>
    </w:p>
    <w:p w14:paraId="7D6DECF2">
      <w:pPr>
        <w:rPr>
          <w:rFonts w:hint="default" w:ascii="Arial" w:hAnsi="Arial" w:cs="Arial"/>
          <w:highlight w:val="none"/>
        </w:rPr>
      </w:pPr>
    </w:p>
    <w:p w14:paraId="7D27FC84">
      <w:pPr>
        <w:rPr>
          <w:rFonts w:hint="default" w:ascii="Arial" w:hAnsi="Arial" w:cs="Arial"/>
          <w:highlight w:val="none"/>
        </w:rPr>
      </w:pPr>
      <w:r>
        <w:rPr>
          <w:rFonts w:hint="default" w:ascii="Arial" w:hAnsi="Arial" w:cs="Arial"/>
          <w:highlight w:val="none"/>
        </w:rPr>
        <w:t>In the article by Fowokan et al. (2020), the purpose was also stated since the research was focused on understanding knowledge of the risk of CVD, the diet and physical activity among the South Asian children and parents. Despite the fact that the population involved children and parents, the research nevertheless was able to offer relevant evidence towards the understanding of family and cultural factors and their influence on cardiovascular health behaviours. The qualitative methodology was suitable since the research was researching on knowledge, attitudes and behaviour in a family environment. Using a qualitative approach was appropriate because it enabled the researchers to examine the reasons as to why knowledge of cardiovascular risk does not necessarily translate to healthy behaviour. The research design was appropriate, as thematic analysis helped to identify the behaviour and knowledge gap. The recruitment plan was appropriate since child-parent dyads were used to examine the influence of the family on diet and activity practices. Data collection also responded to the research problem by demonstrating that participants were well informed about CVD risk but had a problem in transferring this information into daily lifestyle behaviour.</w:t>
      </w:r>
    </w:p>
    <w:p w14:paraId="48112D23">
      <w:pPr>
        <w:rPr>
          <w:rFonts w:hint="default" w:ascii="Arial" w:hAnsi="Arial" w:cs="Arial"/>
          <w:highlight w:val="none"/>
        </w:rPr>
      </w:pPr>
    </w:p>
    <w:p w14:paraId="7B769D01">
      <w:pPr>
        <w:rPr>
          <w:rFonts w:hint="default" w:ascii="Arial" w:hAnsi="Arial" w:cs="Arial"/>
          <w:highlight w:val="none"/>
        </w:rPr>
      </w:pPr>
    </w:p>
    <w:p w14:paraId="23DC09F4">
      <w:pPr>
        <w:rPr>
          <w:rFonts w:hint="default" w:ascii="Arial" w:hAnsi="Arial" w:cs="Arial"/>
          <w:highlight w:val="none"/>
        </w:rPr>
      </w:pPr>
    </w:p>
    <w:p w14:paraId="55FD7A8B">
      <w:pPr>
        <w:rPr>
          <w:rFonts w:hint="default" w:ascii="Arial" w:hAnsi="Arial" w:cs="Arial"/>
          <w:b/>
          <w:bCs/>
          <w:highlight w:val="none"/>
        </w:rPr>
      </w:pPr>
      <w:r>
        <w:rPr>
          <w:rFonts w:hint="default" w:ascii="Arial" w:hAnsi="Arial" w:cs="Arial"/>
          <w:b/>
          <w:bCs/>
          <w:highlight w:val="none"/>
        </w:rPr>
        <w:t>Jepson et al. (2012)</w:t>
      </w:r>
    </w:p>
    <w:p w14:paraId="785316BC">
      <w:pPr>
        <w:rPr>
          <w:rFonts w:hint="default" w:ascii="Arial" w:hAnsi="Arial" w:cs="Arial"/>
          <w:highlight w:val="none"/>
        </w:rPr>
      </w:pPr>
    </w:p>
    <w:p w14:paraId="269C2E3F">
      <w:pPr>
        <w:rPr>
          <w:rFonts w:hint="default" w:ascii="Arial" w:hAnsi="Arial" w:cs="Arial"/>
          <w:highlight w:val="none"/>
        </w:rPr>
      </w:pPr>
      <w:r>
        <w:rPr>
          <w:rFonts w:hint="default" w:ascii="Arial" w:hAnsi="Arial" w:cs="Arial"/>
          <w:highlight w:val="none"/>
        </w:rPr>
        <w:t>The aim of the study by Jepson et al. (2012) was well defined since the study examined the behaviours of physical activity among South Asian adults and key informants in Scotland. This purpose was directly associated with the ongoing review since physical activity is one of the key lifestyle factors which influence the risk of cardiovascular disease. The qualitative research design was suitable in the sense that the research investigated the motivators, facilitators, cultural expectations and social influences related to physical activity. The design of the research was appropriate, since the thematic analysis aided in establishing the prevalent trends in the data. The recruitment strategy was also suitable since the study involved South Asian adults and key informants, so that the depth of understanding was enhanced. Data collection helped to answer the research problem by examining the social support, external motivation and role models as valuable facilitators of activity. The results proved useful as they revealed that physical activity behaviour is not necessarily an individual decision, but it is influenced by broader social and cultural determinants.</w:t>
      </w:r>
    </w:p>
    <w:p w14:paraId="50A6FBC8">
      <w:pPr>
        <w:rPr>
          <w:rFonts w:hint="default" w:ascii="Arial" w:hAnsi="Arial" w:cs="Arial"/>
          <w:highlight w:val="none"/>
        </w:rPr>
      </w:pPr>
    </w:p>
    <w:p w14:paraId="3115F9C7">
      <w:pPr>
        <w:rPr>
          <w:rFonts w:hint="default" w:ascii="Arial" w:hAnsi="Arial" w:cs="Arial"/>
          <w:b/>
          <w:bCs/>
          <w:highlight w:val="none"/>
        </w:rPr>
      </w:pPr>
      <w:r>
        <w:rPr>
          <w:rFonts w:hint="default" w:ascii="Arial" w:hAnsi="Arial" w:cs="Arial"/>
          <w:b/>
          <w:bCs/>
          <w:highlight w:val="none"/>
        </w:rPr>
        <w:t>Singh et al. (2025)</w:t>
      </w:r>
    </w:p>
    <w:p w14:paraId="331C2421">
      <w:pPr>
        <w:rPr>
          <w:rFonts w:hint="default" w:ascii="Arial" w:hAnsi="Arial" w:cs="Arial"/>
          <w:highlight w:val="none"/>
        </w:rPr>
      </w:pPr>
    </w:p>
    <w:p w14:paraId="59A2E1D9">
      <w:pPr>
        <w:rPr>
          <w:rFonts w:hint="default" w:ascii="Arial" w:hAnsi="Arial" w:cs="Arial"/>
          <w:highlight w:val="none"/>
        </w:rPr>
      </w:pPr>
      <w:r>
        <w:rPr>
          <w:rFonts w:hint="default" w:ascii="Arial" w:hAnsi="Arial" w:cs="Arial"/>
          <w:highlight w:val="none"/>
        </w:rPr>
        <w:t>In a study by Singh et al. (2025), the purpose was clearly stated since the study involved knowledge of alcohol and CVD among South Asian healthcare students in Birmingham. This objective was applicable to the present review as alcohol intake is one of the changeable lifestyle variables that can have an impact on cardiovascular health. The qualitative methodology was suitable as the research involved the exploration of awareness, attitudes, culture conflict and behavioural knowledge regarding alcohol use. The research design was appropriate since thematic analysis was used to determine cultural and age-related factors affecting alcohol-related knowledge. The recruitment plan was broadly suitable since the respondents were South Asian healthcare learners who could offer an insight into not only the cultural attitudes but also the health knowledge. Nevertheless, the sample size was very small (only 10 people), which can limit the broader applicability of the results. Data collection dealt with the research problem by determining a lack of understanding regarding the alcohol-CVD relationship, cultural conflicts with alcohol behaviours and underutilisation of pharmacists in health promotion.</w:t>
      </w:r>
    </w:p>
    <w:p w14:paraId="461A2F58">
      <w:pPr>
        <w:rPr>
          <w:rFonts w:hint="default" w:ascii="Arial" w:hAnsi="Arial" w:cs="Arial"/>
          <w:highlight w:val="none"/>
        </w:rPr>
      </w:pPr>
    </w:p>
    <w:p w14:paraId="2743B570">
      <w:pPr>
        <w:rPr>
          <w:rFonts w:hint="default" w:ascii="Arial" w:hAnsi="Arial" w:cs="Arial"/>
          <w:highlight w:val="none"/>
        </w:rPr>
      </w:pPr>
    </w:p>
    <w:p w14:paraId="71C39DAD">
      <w:pPr>
        <w:rPr>
          <w:rFonts w:hint="default" w:ascii="Arial" w:hAnsi="Arial" w:cs="Arial"/>
          <w:highlight w:val="none"/>
        </w:rPr>
      </w:pPr>
    </w:p>
    <w:p w14:paraId="38ED7131">
      <w:pPr>
        <w:rPr>
          <w:rFonts w:hint="default" w:ascii="Arial" w:hAnsi="Arial" w:cs="Arial"/>
          <w:highlight w:val="none"/>
        </w:rPr>
      </w:pPr>
    </w:p>
    <w:p w14:paraId="416420EE">
      <w:pPr>
        <w:rPr>
          <w:rFonts w:hint="default" w:ascii="Arial" w:hAnsi="Arial" w:cs="Arial"/>
          <w:b/>
          <w:bCs/>
          <w:highlight w:val="none"/>
        </w:rPr>
      </w:pPr>
      <w:r>
        <w:rPr>
          <w:rFonts w:hint="default" w:ascii="Arial" w:hAnsi="Arial" w:cs="Arial"/>
          <w:b/>
          <w:bCs/>
          <w:highlight w:val="none"/>
        </w:rPr>
        <w:t>Critical Evaluation Using MMAT Tool</w:t>
      </w:r>
    </w:p>
    <w:p w14:paraId="7FBF77FC">
      <w:pPr>
        <w:rPr>
          <w:rFonts w:hint="default" w:ascii="Arial" w:hAnsi="Arial" w:cs="Arial"/>
          <w:b/>
          <w:bCs/>
          <w:highlight w:val="none"/>
        </w:rPr>
      </w:pPr>
    </w:p>
    <w:p w14:paraId="2939FA68">
      <w:pPr>
        <w:rPr>
          <w:rFonts w:hint="default" w:ascii="Arial" w:hAnsi="Arial" w:cs="Arial"/>
          <w:b/>
          <w:bCs/>
          <w:highlight w:val="none"/>
        </w:rPr>
      </w:pPr>
      <w:r>
        <w:rPr>
          <w:rFonts w:hint="default" w:ascii="Arial" w:hAnsi="Arial" w:cs="Arial"/>
          <w:b/>
          <w:bCs/>
          <w:highlight w:val="none"/>
        </w:rPr>
        <w:t>Jalal et al. (2018)</w:t>
      </w:r>
    </w:p>
    <w:p w14:paraId="760C8575">
      <w:pPr>
        <w:rPr>
          <w:rFonts w:hint="default" w:ascii="Arial" w:hAnsi="Arial" w:cs="Arial"/>
          <w:b/>
          <w:bCs/>
          <w:highlight w:val="none"/>
        </w:rPr>
      </w:pPr>
    </w:p>
    <w:p w14:paraId="6AC765DB">
      <w:pPr>
        <w:rPr>
          <w:rFonts w:hint="default" w:ascii="Arial" w:hAnsi="Arial" w:cs="Arial"/>
          <w:highlight w:val="none"/>
        </w:rPr>
      </w:pPr>
      <w:r>
        <w:rPr>
          <w:rFonts w:hint="default" w:ascii="Arial" w:hAnsi="Arial" w:cs="Arial"/>
          <w:highlight w:val="none"/>
        </w:rPr>
        <w:t>According to Jalal et al. (2018), the aim of the study was clearly formed, and the study aimed at investigating medication adherence and illness beliefs among patients with CHD who are of South Asian origin and non-South Asian origin. This goal was very appropriate to the focus for the following review, as beliefs about illness and adherence to treatment have the potential to substantially affect the treatment of cardiovascular disease and lifestyle changes. The mixed methods design is used in this study; thus, the methodological quality test is more appropriate to be carried out using MMAT rather than CASP. The study was successful in following MMAT’s criteria for integrating the qualitative and quantitative methods because both the evidence for numerical adherence to standards and the cultural indigenous beliefs were looked at and addressed at the same time to get a full understanding from the study. The qualitative component of the study was appropriate since it addressed participants' perceptions, cultural understanding and beliefs about illness experiences and medicines. The interpretative data analysis method proved to be suitable when it comes to the comparison process of the views coming from the two groups of participants. The use of the appropriate recruitment strategy was also considered proper as the participants were diagnosed cases of coronary heart disease, which directly relates to the study's objectives. Moreover, the data collection method was also deemed suitable for the research question, as it involved medication adherence patterns, beliefs about medicines, and illness perceptions (evaluated across the six months). The results showed that while overall treatment belief was relatively high, treatment adherence tended to decrease in the long term, and cultural treatment beliefs had a significant impact on illness understanding and treatment behaviour. Considering MMAT assessment criteria, overall, the study showed acceptable methodological quality, adequate use of mixed methods and relevance to the aims of the present review.</w:t>
      </w:r>
    </w:p>
    <w:p w14:paraId="2DF90098">
      <w:pPr>
        <w:rPr>
          <w:rFonts w:hint="default" w:ascii="Arial" w:hAnsi="Arial" w:cs="Arial"/>
          <w:highlight w:val="none"/>
        </w:rPr>
      </w:pPr>
    </w:p>
    <w:p w14:paraId="6F33099D">
      <w:pPr>
        <w:pStyle w:val="3"/>
        <w:spacing w:line="480" w:lineRule="auto"/>
        <w:rPr>
          <w:rFonts w:hint="default" w:ascii="Arial" w:hAnsi="Arial" w:cs="Arial"/>
          <w:highlight w:val="none"/>
        </w:rPr>
      </w:pPr>
      <w:bookmarkStart w:id="131" w:name="_Toc12530"/>
      <w:r>
        <w:rPr>
          <w:rFonts w:hint="default" w:ascii="Arial" w:hAnsi="Arial" w:cs="Arial"/>
          <w:highlight w:val="none"/>
        </w:rPr>
        <w:t>4.6 Chapter Summary</w:t>
      </w:r>
      <w:bookmarkEnd w:id="131"/>
    </w:p>
    <w:p w14:paraId="10AD038B">
      <w:pPr>
        <w:rPr>
          <w:rFonts w:hint="default" w:ascii="Arial" w:hAnsi="Arial" w:cs="Arial"/>
          <w:highlight w:val="none"/>
        </w:rPr>
      </w:pPr>
      <w:r>
        <w:rPr>
          <w:rFonts w:hint="default" w:ascii="Arial" w:hAnsi="Arial" w:cs="Arial"/>
          <w:highlight w:val="none"/>
        </w:rPr>
        <w:t>Overall, this chapter provided the systematic extraction and critical appraisal of the data contained in the included studies. An organised data extraction procedure provided conformity and was in line with the research goals. Various critical appraisal tools, including CASP, JBI, and MMAT, were used to assess the quality of different studies. The strengths identified in the appraisal included good research designs and qualitative insights, and weaknesses mainly included small sample sizes, bias tendencies, and weak generalisability. Generally, this particular chapter has made sure that the review is much more informed by only credible and relevant evidence. The following chapter will introduce the synthesis of results and outline the important themes and patterns throughout the studies.</w:t>
      </w:r>
    </w:p>
    <w:p w14:paraId="4B2543CA">
      <w:pPr>
        <w:rPr>
          <w:rFonts w:hint="default" w:ascii="Arial" w:hAnsi="Arial" w:cs="Arial"/>
          <w:highlight w:val="none"/>
        </w:rPr>
      </w:pPr>
    </w:p>
    <w:p w14:paraId="6D869BB3">
      <w:pPr>
        <w:spacing w:line="240" w:lineRule="auto"/>
        <w:jc w:val="left"/>
        <w:rPr>
          <w:rFonts w:hint="default" w:ascii="Arial" w:hAnsi="Arial" w:cs="Arial"/>
          <w:b/>
          <w:sz w:val="28"/>
          <w:szCs w:val="32"/>
          <w:highlight w:val="none"/>
        </w:rPr>
      </w:pPr>
      <w:r>
        <w:rPr>
          <w:rFonts w:hint="default" w:ascii="Arial" w:hAnsi="Arial" w:cs="Arial"/>
          <w:highlight w:val="none"/>
        </w:rPr>
        <w:br w:type="page"/>
      </w:r>
    </w:p>
    <w:p w14:paraId="43A6B13A">
      <w:pPr>
        <w:pStyle w:val="2"/>
        <w:spacing w:line="480" w:lineRule="auto"/>
        <w:jc w:val="center"/>
        <w:rPr>
          <w:rFonts w:hint="default" w:ascii="Arial" w:hAnsi="Arial" w:cs="Arial"/>
          <w:highlight w:val="none"/>
        </w:rPr>
      </w:pPr>
      <w:bookmarkStart w:id="132" w:name="_Toc11010"/>
      <w:r>
        <w:rPr>
          <w:rFonts w:hint="default" w:ascii="Arial" w:hAnsi="Arial" w:cs="Arial"/>
          <w:highlight w:val="none"/>
        </w:rPr>
        <w:t xml:space="preserve">CHAPTER 5: DATA ANALYSIS AND </w:t>
      </w:r>
      <w:bookmarkStart w:id="133" w:name="_Hlk155967668"/>
      <w:r>
        <w:rPr>
          <w:rFonts w:hint="default" w:ascii="Arial" w:hAnsi="Arial" w:cs="Arial"/>
          <w:highlight w:val="none"/>
        </w:rPr>
        <w:t>SYNTHESIS</w:t>
      </w:r>
      <w:bookmarkEnd w:id="132"/>
      <w:bookmarkEnd w:id="133"/>
    </w:p>
    <w:p w14:paraId="6CE9C58D">
      <w:pPr>
        <w:jc w:val="center"/>
        <w:rPr>
          <w:rFonts w:hint="default" w:ascii="Arial" w:hAnsi="Arial" w:cs="Arial"/>
          <w:highlight w:val="none"/>
        </w:rPr>
      </w:pPr>
    </w:p>
    <w:p w14:paraId="5F4C9700">
      <w:pPr>
        <w:pStyle w:val="3"/>
        <w:spacing w:line="480" w:lineRule="auto"/>
        <w:ind w:left="0"/>
        <w:rPr>
          <w:rFonts w:hint="default" w:ascii="Arial" w:hAnsi="Arial" w:cs="Arial"/>
          <w:highlight w:val="none"/>
        </w:rPr>
      </w:pPr>
      <w:bookmarkStart w:id="134" w:name="_Toc6728"/>
      <w:r>
        <w:rPr>
          <w:rFonts w:hint="default" w:ascii="Arial" w:hAnsi="Arial" w:cs="Arial"/>
          <w:highlight w:val="none"/>
        </w:rPr>
        <w:t>5.1 Introduction to Chapter</w:t>
      </w:r>
      <w:bookmarkEnd w:id="134"/>
    </w:p>
    <w:p w14:paraId="1849C0AE">
      <w:pPr>
        <w:rPr>
          <w:rFonts w:hint="default" w:ascii="Arial" w:hAnsi="Arial" w:cs="Arial"/>
          <w:highlight w:val="none"/>
        </w:rPr>
      </w:pPr>
      <w:r>
        <w:rPr>
          <w:rFonts w:hint="default" w:ascii="Arial" w:hAnsi="Arial" w:cs="Arial"/>
          <w:highlight w:val="none"/>
        </w:rPr>
        <w:t>This chapter contains the analysis of the data of the ten studies that were included in the systematic review of the literature. This chapter aims to establish patterns, relationships, and important insights on the role of modifiable lifestyle factors on cardiovascular health in South Asian adults residing in the UK. The data obtained during the selection of the studies have been systematically organised and interpreted with the use of a thematic analysis approach. The chapter defines the analytical framework applied, the nature of the studies included and gives the major themes and sub-themes, which were identified during the synthesis process.</w:t>
      </w:r>
    </w:p>
    <w:p w14:paraId="60719958">
      <w:pPr>
        <w:pStyle w:val="3"/>
        <w:spacing w:line="480" w:lineRule="auto"/>
        <w:ind w:left="0"/>
        <w:rPr>
          <w:rFonts w:hint="default" w:ascii="Arial" w:hAnsi="Arial" w:cs="Arial"/>
          <w:highlight w:val="none"/>
        </w:rPr>
      </w:pPr>
      <w:bookmarkStart w:id="135" w:name="_Toc1790"/>
      <w:r>
        <w:rPr>
          <w:rFonts w:hint="default" w:ascii="Arial" w:hAnsi="Arial" w:cs="Arial"/>
          <w:highlight w:val="none"/>
        </w:rPr>
        <w:t>5.2 Thematic Analysis</w:t>
      </w:r>
      <w:bookmarkEnd w:id="135"/>
    </w:p>
    <w:p w14:paraId="01149F69">
      <w:pPr>
        <w:rPr>
          <w:rFonts w:hint="default" w:ascii="Arial" w:hAnsi="Arial" w:cs="Arial"/>
          <w:highlight w:val="none"/>
        </w:rPr>
      </w:pPr>
      <w:r>
        <w:rPr>
          <w:rFonts w:hint="default" w:ascii="Arial" w:hAnsi="Arial" w:cs="Arial"/>
          <w:highlight w:val="none"/>
        </w:rPr>
        <w:t xml:space="preserve">A qualitative approach to identify, analyse, and report on patterns (themes) in data is thematic analysis (Jowsey et al., 2021; </w:t>
      </w:r>
      <w:r>
        <w:rPr>
          <w:rFonts w:hint="default" w:ascii="Arial" w:hAnsi="Arial" w:cs="Arial"/>
          <w:highlight w:val="none"/>
          <w:lang w:val="en-IN"/>
        </w:rPr>
        <w:t>Kigerand Varpio, 2020</w:t>
      </w:r>
      <w:r>
        <w:rPr>
          <w:rFonts w:hint="default" w:ascii="Arial" w:hAnsi="Arial" w:cs="Arial"/>
          <w:highlight w:val="none"/>
        </w:rPr>
        <w:t xml:space="preserve">). When using a systematic literature review, the process is commonly known as thematic synthesis, wherein the results of several studies are merged to create new knowledge (Ahmed et al., 2025). </w:t>
      </w:r>
      <w:r>
        <w:rPr>
          <w:rFonts w:hint="default" w:ascii="Arial" w:hAnsi="Arial" w:cs="Arial"/>
          <w:color w:val="222222"/>
          <w:highlight w:val="none"/>
        </w:rPr>
        <w:t>Thematic analysis was mainly applied in a systematic way for reviewing all the findings of the selected articles and identifying the patterns associated with lifestyle behaviours, cardiovascular risks within South Asian adults, and cultural influence within the UK. The initial codes were developed from the extracted data, which were further grouped within proper themes and also sub-themes based on the six-phased thematic analysis framework of Braun and Clarke.</w:t>
      </w:r>
    </w:p>
    <w:p w14:paraId="0F343BD7">
      <w:pPr>
        <w:pStyle w:val="3"/>
        <w:spacing w:line="480" w:lineRule="auto"/>
        <w:ind w:left="0"/>
        <w:rPr>
          <w:rFonts w:hint="default" w:ascii="Arial" w:hAnsi="Arial" w:cs="Arial"/>
          <w:highlight w:val="none"/>
        </w:rPr>
      </w:pPr>
      <w:bookmarkStart w:id="136" w:name="_Toc22644"/>
      <w:r>
        <w:rPr>
          <w:rFonts w:hint="default" w:ascii="Arial" w:hAnsi="Arial" w:cs="Arial"/>
          <w:highlight w:val="none"/>
        </w:rPr>
        <w:t>5.3 Data Analysis Tool</w:t>
      </w:r>
      <w:bookmarkEnd w:id="136"/>
    </w:p>
    <w:p w14:paraId="61E85F87">
      <w:pPr>
        <w:rPr>
          <w:rFonts w:hint="default" w:ascii="Arial" w:hAnsi="Arial" w:cs="Arial"/>
          <w:highlight w:val="none"/>
        </w:rPr>
      </w:pPr>
      <w:r>
        <w:rPr>
          <w:rFonts w:hint="default" w:ascii="Arial" w:hAnsi="Arial" w:cs="Arial"/>
          <w:highlight w:val="none"/>
        </w:rPr>
        <w:t>The paper used the six-phase thematic analysis model presented by Braun and Clarke (2006) alongside Braunand Clarke (2024) and Braun and Clarke(2023) to examine and generalise the results of the studies involved in the paper. The model includes familiarisation with data, initial codes generation, theme search, reviewing the themes, naming and defining themes, and report production (Naeem et al., 2023). This method is popular because it is flexible and organised, and allows strict identification of patterns among studies, and increases the credibility and transparency of the analysis.</w:t>
      </w:r>
    </w:p>
    <w:p w14:paraId="2AA59AC5">
      <w:pPr>
        <w:pStyle w:val="3"/>
        <w:spacing w:line="480" w:lineRule="auto"/>
        <w:ind w:left="0"/>
        <w:rPr>
          <w:rFonts w:hint="default" w:ascii="Arial" w:hAnsi="Arial" w:cs="Arial"/>
          <w:highlight w:val="none"/>
        </w:rPr>
      </w:pPr>
      <w:bookmarkStart w:id="137" w:name="_Toc1979"/>
      <w:r>
        <w:rPr>
          <w:rFonts w:hint="default" w:ascii="Arial" w:hAnsi="Arial" w:cs="Arial"/>
          <w:highlight w:val="none"/>
        </w:rPr>
        <w:t>5.4 Characteristics of Identified Studies</w:t>
      </w:r>
      <w:bookmarkEnd w:id="137"/>
    </w:p>
    <w:p w14:paraId="2E2F35C2">
      <w:pPr>
        <w:rPr>
          <w:rFonts w:hint="default" w:ascii="Arial" w:hAnsi="Arial" w:cs="Arial"/>
          <w:highlight w:val="none"/>
        </w:rPr>
      </w:pPr>
      <w:r>
        <w:rPr>
          <w:rFonts w:hint="default" w:ascii="Arial" w:hAnsi="Arial" w:cs="Arial"/>
          <w:highlight w:val="none"/>
        </w:rPr>
        <w:t>All ten studies included in this systematic review were conducted in the United Kingdom, with specific locations including London (Bhattacharyya et al., 2016; Jalal et al., 2018; Eastwood et al., 2013), Birmingham (Deshmukh et al., 2025; Singh et al., 2025), Scotland (Jepson et al., 2012), and the East Midlands (Cross-Bardell et al., 2015), while some studies were conducted across multiple UK sites (Darr et al., 2008; Dilla et al., 2020).</w:t>
      </w:r>
    </w:p>
    <w:p w14:paraId="642E242C">
      <w:pPr>
        <w:rPr>
          <w:rFonts w:hint="default" w:ascii="Arial" w:hAnsi="Arial" w:cs="Arial"/>
          <w:highlight w:val="none"/>
        </w:rPr>
      </w:pPr>
      <w:r>
        <w:rPr>
          <w:rFonts w:hint="default" w:ascii="Arial" w:hAnsi="Arial" w:cs="Arial"/>
          <w:highlight w:val="none"/>
        </w:rPr>
        <w:t>Most of the studies have applied qualitative research designs such as thematic analysis, grounded theory, and framework analysis, with one study applying a mixed-method approach (Jalal et al., 2018). The number of samples was different in the studies, as small qualitative samples (n=10) were used in some of the studies, and more detailed studies were conducted through interviews (n=71).</w:t>
      </w:r>
    </w:p>
    <w:p w14:paraId="592E9DE0">
      <w:pPr>
        <w:rPr>
          <w:rFonts w:hint="default" w:ascii="Arial" w:hAnsi="Arial" w:cs="Arial"/>
          <w:highlight w:val="none"/>
        </w:rPr>
      </w:pPr>
      <w:r>
        <w:rPr>
          <w:rFonts w:hint="default" w:ascii="Arial" w:hAnsi="Arial" w:cs="Arial"/>
          <w:highlight w:val="none"/>
        </w:rPr>
        <w:t>The included studies were based on different areas of cardiovascular health, such as lifestyle behaviours, physical activity, diet, psychological factors and medication adherence of South Asian populations. The specifics of the nature of these studies are outlined in Appendix 1.</w:t>
      </w:r>
    </w:p>
    <w:p w14:paraId="6C6B77CF">
      <w:pPr>
        <w:pStyle w:val="3"/>
        <w:spacing w:line="480" w:lineRule="auto"/>
        <w:ind w:left="0"/>
        <w:rPr>
          <w:rFonts w:hint="default" w:ascii="Arial" w:hAnsi="Arial" w:cs="Arial"/>
          <w:highlight w:val="none"/>
        </w:rPr>
      </w:pPr>
      <w:bookmarkStart w:id="138" w:name="_Toc3999"/>
      <w:r>
        <w:rPr>
          <w:rFonts w:hint="default" w:ascii="Arial" w:hAnsi="Arial" w:cs="Arial"/>
          <w:highlight w:val="none"/>
        </w:rPr>
        <w:t>5.5 Emerging Themes</w:t>
      </w:r>
      <w:bookmarkEnd w:id="138"/>
    </w:p>
    <w:p w14:paraId="5B9D3C64">
      <w:pPr>
        <w:pStyle w:val="9"/>
        <w:spacing w:line="480" w:lineRule="auto"/>
        <w:jc w:val="center"/>
        <w:rPr>
          <w:rFonts w:hint="default"/>
          <w:color w:val="auto"/>
          <w:sz w:val="24"/>
          <w:szCs w:val="24"/>
        </w:rPr>
      </w:pPr>
      <w:r>
        <w:rPr>
          <w:color w:val="auto"/>
          <w:sz w:val="24"/>
          <w:szCs w:val="24"/>
        </w:rPr>
        <w:t xml:space="preserve">Table </w:t>
      </w:r>
      <w:r>
        <w:rPr>
          <w:color w:val="auto"/>
          <w:sz w:val="24"/>
          <w:szCs w:val="24"/>
        </w:rPr>
        <w:fldChar w:fldCharType="begin"/>
      </w:r>
      <w:r>
        <w:rPr>
          <w:color w:val="auto"/>
          <w:sz w:val="24"/>
          <w:szCs w:val="24"/>
        </w:rPr>
        <w:instrText xml:space="preserve"> SEQ Table \* ARABIC </w:instrText>
      </w:r>
      <w:r>
        <w:rPr>
          <w:color w:val="auto"/>
          <w:sz w:val="24"/>
          <w:szCs w:val="24"/>
        </w:rPr>
        <w:fldChar w:fldCharType="separate"/>
      </w:r>
      <w:r>
        <w:rPr>
          <w:color w:val="auto"/>
          <w:sz w:val="24"/>
          <w:szCs w:val="24"/>
        </w:rPr>
        <w:t>5</w:t>
      </w:r>
      <w:r>
        <w:rPr>
          <w:color w:val="auto"/>
          <w:sz w:val="24"/>
          <w:szCs w:val="24"/>
        </w:rPr>
        <w:fldChar w:fldCharType="end"/>
      </w:r>
      <w:bookmarkStart w:id="139" w:name="_Toc11867"/>
      <w:r>
        <w:rPr>
          <w:rFonts w:hint="default"/>
          <w:color w:val="auto"/>
          <w:sz w:val="24"/>
          <w:szCs w:val="24"/>
          <w:lang w:val="en-US"/>
        </w:rPr>
        <w:t xml:space="preserve">: </w:t>
      </w:r>
      <w:r>
        <w:rPr>
          <w:rFonts w:hint="default" w:ascii="Arial" w:hAnsi="Arial" w:cs="Arial"/>
          <w:b/>
          <w:color w:val="auto"/>
          <w:sz w:val="24"/>
          <w:szCs w:val="24"/>
          <w:highlight w:val="none"/>
        </w:rPr>
        <w:t>Themes Identified from Included Studies</w:t>
      </w:r>
      <w:bookmarkEnd w:id="139"/>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7"/>
        <w:gridCol w:w="2751"/>
        <w:gridCol w:w="3464"/>
      </w:tblGrid>
      <w:tr w14:paraId="44E8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E02D71">
            <w:pPr>
              <w:widowControl w:val="0"/>
              <w:autoSpaceDE w:val="0"/>
              <w:autoSpaceDN w:val="0"/>
              <w:rPr>
                <w:rFonts w:hint="default" w:ascii="Arial" w:hAnsi="Arial" w:cs="Arial"/>
                <w:b/>
                <w:bCs/>
                <w:highlight w:val="none"/>
              </w:rPr>
            </w:pPr>
            <w:r>
              <w:rPr>
                <w:rFonts w:hint="default" w:ascii="Arial" w:hAnsi="Arial" w:cs="Arial"/>
                <w:b/>
                <w:bCs/>
                <w:highlight w:val="none"/>
              </w:rPr>
              <w:t>Theme</w:t>
            </w:r>
          </w:p>
        </w:tc>
        <w:tc>
          <w:tcPr>
            <w:tcW w:w="2751" w:type="dxa"/>
          </w:tcPr>
          <w:p w14:paraId="403C41F6">
            <w:pPr>
              <w:widowControl w:val="0"/>
              <w:autoSpaceDE w:val="0"/>
              <w:autoSpaceDN w:val="0"/>
              <w:rPr>
                <w:rFonts w:hint="default" w:ascii="Arial" w:hAnsi="Arial" w:cs="Arial"/>
                <w:b/>
                <w:bCs/>
                <w:highlight w:val="none"/>
              </w:rPr>
            </w:pPr>
            <w:r>
              <w:rPr>
                <w:rFonts w:hint="default" w:ascii="Arial" w:hAnsi="Arial" w:cs="Arial"/>
                <w:b/>
                <w:bCs/>
                <w:highlight w:val="none"/>
              </w:rPr>
              <w:t>Subthemes</w:t>
            </w:r>
          </w:p>
        </w:tc>
        <w:tc>
          <w:tcPr>
            <w:tcW w:w="3464" w:type="dxa"/>
          </w:tcPr>
          <w:p w14:paraId="62BB4239">
            <w:pPr>
              <w:widowControl w:val="0"/>
              <w:autoSpaceDE w:val="0"/>
              <w:autoSpaceDN w:val="0"/>
              <w:rPr>
                <w:rFonts w:hint="default" w:ascii="Arial" w:hAnsi="Arial" w:cs="Arial"/>
                <w:b/>
                <w:bCs/>
                <w:highlight w:val="none"/>
              </w:rPr>
            </w:pPr>
            <w:r>
              <w:rPr>
                <w:rFonts w:hint="default" w:ascii="Arial" w:hAnsi="Arial" w:cs="Arial"/>
                <w:b/>
                <w:bCs/>
                <w:highlight w:val="none"/>
              </w:rPr>
              <w:t>Articles Where Theme Was Extracted</w:t>
            </w:r>
          </w:p>
        </w:tc>
      </w:tr>
      <w:tr w14:paraId="4BC9D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9C85BB">
            <w:pPr>
              <w:widowControl w:val="0"/>
              <w:autoSpaceDE w:val="0"/>
              <w:autoSpaceDN w:val="0"/>
              <w:rPr>
                <w:rFonts w:hint="default" w:ascii="Arial" w:hAnsi="Arial" w:cs="Arial"/>
                <w:highlight w:val="none"/>
              </w:rPr>
            </w:pPr>
            <w:r>
              <w:rPr>
                <w:rFonts w:hint="default" w:ascii="Arial" w:hAnsi="Arial" w:cs="Arial"/>
                <w:b/>
                <w:bCs/>
                <w:highlight w:val="none"/>
              </w:rPr>
              <w:t>1. Lifestyle Behaviours and Cardiovascular Disease Risk</w:t>
            </w:r>
          </w:p>
        </w:tc>
        <w:tc>
          <w:tcPr>
            <w:tcW w:w="2751" w:type="dxa"/>
          </w:tcPr>
          <w:p w14:paraId="69C317F8">
            <w:pPr>
              <w:widowControl w:val="0"/>
              <w:autoSpaceDE w:val="0"/>
              <w:autoSpaceDN w:val="0"/>
              <w:jc w:val="center"/>
              <w:rPr>
                <w:rFonts w:hint="default" w:ascii="Arial" w:hAnsi="Arial" w:cs="Arial"/>
                <w:highlight w:val="none"/>
              </w:rPr>
            </w:pPr>
            <w:r>
              <w:rPr>
                <w:rFonts w:hint="default" w:ascii="Arial" w:hAnsi="Arial" w:cs="Arial"/>
                <w:highlight w:val="none"/>
              </w:rPr>
              <w:t>• Dietary behaviour</w:t>
            </w:r>
          </w:p>
          <w:p w14:paraId="7C7B7868">
            <w:pPr>
              <w:widowControl w:val="0"/>
              <w:autoSpaceDE w:val="0"/>
              <w:autoSpaceDN w:val="0"/>
              <w:jc w:val="center"/>
              <w:rPr>
                <w:rFonts w:hint="default" w:ascii="Arial" w:hAnsi="Arial" w:cs="Arial"/>
                <w:highlight w:val="none"/>
              </w:rPr>
            </w:pPr>
            <w:r>
              <w:rPr>
                <w:rFonts w:hint="default" w:ascii="Arial" w:hAnsi="Arial" w:cs="Arial"/>
                <w:highlight w:val="none"/>
              </w:rPr>
              <w:t>• Physical activity</w:t>
            </w:r>
          </w:p>
          <w:p w14:paraId="27C71C87">
            <w:pPr>
              <w:widowControl w:val="0"/>
              <w:autoSpaceDE w:val="0"/>
              <w:autoSpaceDN w:val="0"/>
              <w:jc w:val="center"/>
              <w:rPr>
                <w:rFonts w:hint="default" w:ascii="Arial" w:hAnsi="Arial" w:cs="Arial"/>
                <w:highlight w:val="none"/>
              </w:rPr>
            </w:pPr>
            <w:r>
              <w:rPr>
                <w:rFonts w:hint="default" w:ascii="Arial" w:hAnsi="Arial" w:cs="Arial"/>
                <w:highlight w:val="none"/>
              </w:rPr>
              <w:t>• Knowledge gaps</w:t>
            </w:r>
          </w:p>
          <w:p w14:paraId="1C9E2C81">
            <w:pPr>
              <w:widowControl w:val="0"/>
              <w:autoSpaceDE w:val="0"/>
              <w:autoSpaceDN w:val="0"/>
              <w:jc w:val="center"/>
              <w:rPr>
                <w:rFonts w:hint="default" w:ascii="Arial" w:hAnsi="Arial" w:cs="Arial"/>
                <w:highlight w:val="none"/>
              </w:rPr>
            </w:pPr>
            <w:r>
              <w:rPr>
                <w:rFonts w:hint="default" w:ascii="Arial" w:hAnsi="Arial" w:cs="Arial"/>
                <w:highlight w:val="none"/>
              </w:rPr>
              <w:t>• Psychological factors</w:t>
            </w:r>
          </w:p>
        </w:tc>
        <w:tc>
          <w:tcPr>
            <w:tcW w:w="3464" w:type="dxa"/>
          </w:tcPr>
          <w:p w14:paraId="7B1E12F2">
            <w:pPr>
              <w:widowControl w:val="0"/>
              <w:autoSpaceDE w:val="0"/>
              <w:autoSpaceDN w:val="0"/>
              <w:rPr>
                <w:rFonts w:hint="default" w:ascii="Arial" w:hAnsi="Arial" w:cs="Arial"/>
                <w:highlight w:val="none"/>
              </w:rPr>
            </w:pPr>
            <w:r>
              <w:rPr>
                <w:rFonts w:hint="default" w:ascii="Arial" w:hAnsi="Arial" w:cs="Arial"/>
                <w:highlight w:val="none"/>
              </w:rPr>
              <w:t>Cross-Bardell et al. (2015); Deshmukh et al. (2025); Fowokan et al. (2020); Bhattacharyya et al. (2016)</w:t>
            </w:r>
          </w:p>
        </w:tc>
      </w:tr>
      <w:tr w14:paraId="09D3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25D8F0">
            <w:pPr>
              <w:widowControl w:val="0"/>
              <w:autoSpaceDE w:val="0"/>
              <w:autoSpaceDN w:val="0"/>
              <w:rPr>
                <w:rFonts w:hint="default" w:ascii="Arial" w:hAnsi="Arial" w:cs="Arial"/>
                <w:highlight w:val="none"/>
              </w:rPr>
            </w:pPr>
            <w:r>
              <w:rPr>
                <w:rFonts w:hint="default" w:ascii="Arial" w:hAnsi="Arial" w:cs="Arial"/>
                <w:b/>
                <w:bCs/>
                <w:highlight w:val="none"/>
              </w:rPr>
              <w:t>2. Cultural, Social, and Migration Influences</w:t>
            </w:r>
          </w:p>
        </w:tc>
        <w:tc>
          <w:tcPr>
            <w:tcW w:w="2751" w:type="dxa"/>
          </w:tcPr>
          <w:p w14:paraId="5C0040B5">
            <w:pPr>
              <w:widowControl w:val="0"/>
              <w:autoSpaceDE w:val="0"/>
              <w:autoSpaceDN w:val="0"/>
              <w:jc w:val="center"/>
              <w:rPr>
                <w:rFonts w:hint="default" w:ascii="Arial" w:hAnsi="Arial" w:cs="Arial"/>
                <w:highlight w:val="none"/>
              </w:rPr>
            </w:pPr>
            <w:r>
              <w:rPr>
                <w:rFonts w:hint="default" w:ascii="Arial" w:hAnsi="Arial" w:cs="Arial"/>
                <w:highlight w:val="none"/>
              </w:rPr>
              <w:t>• Family and social influence</w:t>
            </w:r>
          </w:p>
          <w:p w14:paraId="10BF5193">
            <w:pPr>
              <w:widowControl w:val="0"/>
              <w:autoSpaceDE w:val="0"/>
              <w:autoSpaceDN w:val="0"/>
              <w:jc w:val="center"/>
              <w:rPr>
                <w:rFonts w:hint="default" w:ascii="Arial" w:hAnsi="Arial" w:cs="Arial"/>
                <w:highlight w:val="none"/>
              </w:rPr>
            </w:pPr>
            <w:r>
              <w:rPr>
                <w:rFonts w:hint="default" w:ascii="Arial" w:hAnsi="Arial" w:cs="Arial"/>
                <w:highlight w:val="none"/>
              </w:rPr>
              <w:t>• Cultural beliefs and practices</w:t>
            </w:r>
          </w:p>
          <w:p w14:paraId="16A92482">
            <w:pPr>
              <w:widowControl w:val="0"/>
              <w:autoSpaceDE w:val="0"/>
              <w:autoSpaceDN w:val="0"/>
              <w:jc w:val="center"/>
              <w:rPr>
                <w:rFonts w:hint="default" w:ascii="Arial" w:hAnsi="Arial" w:cs="Arial"/>
                <w:highlight w:val="none"/>
              </w:rPr>
            </w:pPr>
            <w:r>
              <w:rPr>
                <w:rFonts w:hint="default" w:ascii="Arial" w:hAnsi="Arial" w:cs="Arial"/>
                <w:highlight w:val="none"/>
              </w:rPr>
              <w:t>• Social norms and identity</w:t>
            </w:r>
          </w:p>
          <w:p w14:paraId="71EA5A3A">
            <w:pPr>
              <w:widowControl w:val="0"/>
              <w:autoSpaceDE w:val="0"/>
              <w:autoSpaceDN w:val="0"/>
              <w:jc w:val="center"/>
              <w:rPr>
                <w:rFonts w:hint="default" w:ascii="Arial" w:hAnsi="Arial" w:cs="Arial"/>
                <w:highlight w:val="none"/>
              </w:rPr>
            </w:pPr>
            <w:r>
              <w:rPr>
                <w:rFonts w:hint="default" w:ascii="Arial" w:hAnsi="Arial" w:cs="Arial"/>
                <w:highlight w:val="none"/>
              </w:rPr>
              <w:t>• Migration and acculturation</w:t>
            </w:r>
          </w:p>
          <w:p w14:paraId="46945C74">
            <w:pPr>
              <w:widowControl w:val="0"/>
              <w:autoSpaceDE w:val="0"/>
              <w:autoSpaceDN w:val="0"/>
              <w:jc w:val="center"/>
              <w:rPr>
                <w:rFonts w:hint="default" w:ascii="Arial" w:hAnsi="Arial" w:cs="Arial"/>
                <w:highlight w:val="none"/>
              </w:rPr>
            </w:pPr>
            <w:r>
              <w:rPr>
                <w:rFonts w:hint="default" w:ascii="Arial" w:hAnsi="Arial" w:cs="Arial"/>
                <w:highlight w:val="none"/>
              </w:rPr>
              <w:t>• Gender roles and expectations</w:t>
            </w:r>
          </w:p>
        </w:tc>
        <w:tc>
          <w:tcPr>
            <w:tcW w:w="3464" w:type="dxa"/>
          </w:tcPr>
          <w:p w14:paraId="44ABB1DF">
            <w:pPr>
              <w:widowControl w:val="0"/>
              <w:autoSpaceDE w:val="0"/>
              <w:autoSpaceDN w:val="0"/>
              <w:rPr>
                <w:rFonts w:hint="default" w:ascii="Arial" w:hAnsi="Arial" w:cs="Arial"/>
                <w:highlight w:val="none"/>
              </w:rPr>
            </w:pPr>
            <w:r>
              <w:rPr>
                <w:rFonts w:hint="default" w:ascii="Arial" w:hAnsi="Arial" w:cs="Arial"/>
                <w:highlight w:val="none"/>
              </w:rPr>
              <w:t>Dilla et al. (2020); Darr et al. (2008); Jalal et al. (2018); Jepson et al. (2012)</w:t>
            </w:r>
          </w:p>
        </w:tc>
      </w:tr>
      <w:tr w14:paraId="360A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335985">
            <w:pPr>
              <w:widowControl w:val="0"/>
              <w:autoSpaceDE w:val="0"/>
              <w:autoSpaceDN w:val="0"/>
              <w:rPr>
                <w:rFonts w:hint="default" w:ascii="Arial" w:hAnsi="Arial" w:cs="Arial"/>
                <w:highlight w:val="none"/>
              </w:rPr>
            </w:pPr>
            <w:r>
              <w:rPr>
                <w:rFonts w:hint="default" w:ascii="Arial" w:hAnsi="Arial" w:cs="Arial"/>
                <w:b/>
                <w:bCs/>
                <w:highlight w:val="none"/>
              </w:rPr>
              <w:t>3. Barriers, Facilitators, and Prevention Strategies</w:t>
            </w:r>
          </w:p>
        </w:tc>
        <w:tc>
          <w:tcPr>
            <w:tcW w:w="2751" w:type="dxa"/>
          </w:tcPr>
          <w:p w14:paraId="33FDF645">
            <w:pPr>
              <w:widowControl w:val="0"/>
              <w:autoSpaceDE w:val="0"/>
              <w:autoSpaceDN w:val="0"/>
              <w:jc w:val="center"/>
              <w:rPr>
                <w:rFonts w:hint="default" w:ascii="Arial" w:hAnsi="Arial" w:cs="Arial"/>
                <w:highlight w:val="none"/>
              </w:rPr>
            </w:pPr>
            <w:r>
              <w:rPr>
                <w:rFonts w:hint="default" w:ascii="Arial" w:hAnsi="Arial" w:cs="Arial"/>
                <w:highlight w:val="none"/>
              </w:rPr>
              <w:t>• Socioeconomic and structural barriers</w:t>
            </w:r>
          </w:p>
          <w:p w14:paraId="30DD7C53">
            <w:pPr>
              <w:widowControl w:val="0"/>
              <w:autoSpaceDE w:val="0"/>
              <w:autoSpaceDN w:val="0"/>
              <w:jc w:val="center"/>
              <w:rPr>
                <w:rFonts w:hint="default" w:ascii="Arial" w:hAnsi="Arial" w:cs="Arial"/>
                <w:highlight w:val="none"/>
              </w:rPr>
            </w:pPr>
            <w:r>
              <w:rPr>
                <w:rFonts w:hint="default" w:ascii="Arial" w:hAnsi="Arial" w:cs="Arial"/>
                <w:highlight w:val="none"/>
              </w:rPr>
              <w:t>• Cultural and family-related barriers</w:t>
            </w:r>
          </w:p>
          <w:p w14:paraId="3BF74C07">
            <w:pPr>
              <w:widowControl w:val="0"/>
              <w:autoSpaceDE w:val="0"/>
              <w:autoSpaceDN w:val="0"/>
              <w:jc w:val="center"/>
              <w:rPr>
                <w:rFonts w:hint="default" w:ascii="Arial" w:hAnsi="Arial" w:cs="Arial"/>
                <w:highlight w:val="none"/>
              </w:rPr>
            </w:pPr>
            <w:r>
              <w:rPr>
                <w:rFonts w:hint="default" w:ascii="Arial" w:hAnsi="Arial" w:cs="Arial"/>
                <w:highlight w:val="none"/>
              </w:rPr>
              <w:t>• Knowledge and awareness gaps</w:t>
            </w:r>
          </w:p>
          <w:p w14:paraId="192C7426">
            <w:pPr>
              <w:widowControl w:val="0"/>
              <w:autoSpaceDE w:val="0"/>
              <w:autoSpaceDN w:val="0"/>
              <w:jc w:val="center"/>
              <w:rPr>
                <w:rFonts w:hint="default" w:ascii="Arial" w:hAnsi="Arial" w:cs="Arial"/>
                <w:highlight w:val="none"/>
              </w:rPr>
            </w:pPr>
            <w:r>
              <w:rPr>
                <w:rFonts w:hint="default" w:ascii="Arial" w:hAnsi="Arial" w:cs="Arial"/>
                <w:highlight w:val="none"/>
              </w:rPr>
              <w:t xml:space="preserve">• Community and social support </w:t>
            </w:r>
          </w:p>
          <w:p w14:paraId="597093D8">
            <w:pPr>
              <w:widowControl w:val="0"/>
              <w:autoSpaceDE w:val="0"/>
              <w:autoSpaceDN w:val="0"/>
              <w:jc w:val="center"/>
              <w:rPr>
                <w:rFonts w:hint="default" w:ascii="Arial" w:hAnsi="Arial" w:cs="Arial"/>
                <w:highlight w:val="none"/>
              </w:rPr>
            </w:pPr>
            <w:r>
              <w:rPr>
                <w:rFonts w:hint="default" w:ascii="Arial" w:hAnsi="Arial" w:cs="Arial"/>
                <w:highlight w:val="none"/>
              </w:rPr>
              <w:t>• Culturally tailored prevention strategies</w:t>
            </w:r>
          </w:p>
        </w:tc>
        <w:tc>
          <w:tcPr>
            <w:tcW w:w="3464" w:type="dxa"/>
          </w:tcPr>
          <w:p w14:paraId="4EE4AE98">
            <w:pPr>
              <w:widowControl w:val="0"/>
              <w:autoSpaceDE w:val="0"/>
              <w:autoSpaceDN w:val="0"/>
              <w:rPr>
                <w:rFonts w:hint="default" w:ascii="Arial" w:hAnsi="Arial" w:cs="Arial"/>
                <w:highlight w:val="none"/>
              </w:rPr>
            </w:pPr>
            <w:r>
              <w:rPr>
                <w:rFonts w:hint="default" w:ascii="Arial" w:hAnsi="Arial" w:cs="Arial"/>
                <w:highlight w:val="none"/>
              </w:rPr>
              <w:t>Eastwood et al. (2013); Bhattacharyya et al. (2016); Jepson et al. (2012); Singh et al. (2025)</w:t>
            </w:r>
          </w:p>
        </w:tc>
      </w:tr>
    </w:tbl>
    <w:p w14:paraId="58005698">
      <w:pPr>
        <w:rPr>
          <w:rFonts w:hint="default" w:ascii="Arial" w:hAnsi="Arial" w:cs="Arial"/>
          <w:highlight w:val="none"/>
        </w:rPr>
      </w:pPr>
    </w:p>
    <w:p w14:paraId="469EC678">
      <w:pPr>
        <w:pStyle w:val="4"/>
        <w:spacing w:line="480" w:lineRule="auto"/>
        <w:rPr>
          <w:rFonts w:hint="default" w:ascii="Arial" w:hAnsi="Arial" w:cs="Arial"/>
          <w:sz w:val="24"/>
          <w:szCs w:val="24"/>
          <w:highlight w:val="none"/>
        </w:rPr>
      </w:pPr>
      <w:bookmarkStart w:id="140" w:name="_Toc29886"/>
      <w:r>
        <w:rPr>
          <w:rFonts w:hint="default" w:ascii="Arial" w:hAnsi="Arial" w:cs="Arial"/>
          <w:sz w:val="24"/>
          <w:szCs w:val="24"/>
          <w:highlight w:val="none"/>
        </w:rPr>
        <w:t>Theme 1: Lifestyle Behaviours and Cardiovascular Disease Risk</w:t>
      </w:r>
      <w:bookmarkEnd w:id="140"/>
    </w:p>
    <w:p w14:paraId="5430C60E">
      <w:pPr>
        <w:rPr>
          <w:rFonts w:hint="default" w:ascii="Arial" w:hAnsi="Arial" w:cs="Arial"/>
          <w:b/>
          <w:bCs/>
          <w:highlight w:val="none"/>
        </w:rPr>
      </w:pPr>
      <w:r>
        <w:rPr>
          <w:rFonts w:hint="default" w:ascii="Arial" w:hAnsi="Arial" w:cs="Arial"/>
          <w:bCs/>
          <w:highlight w:val="none"/>
        </w:rPr>
        <w:t>As the analysis of the chosen articles reveals, the way of lifestyle behavioural changes is crucial in identifying the risk of cardiovascular disease (CVD) in South Asian adults in the UK (Cross-Bardell et al., 2015; Deshmukh et al., 2025; Fowokan et al., 2020; Bhattacharyya et al., 2016). The interaction of lifestyle behaviours like diet, physical activity, knowledge, and psychological factors with cultural and socioeconomic factors determines the cardiovascular risk among South Asian adults.</w:t>
      </w:r>
    </w:p>
    <w:p w14:paraId="6E2AE678">
      <w:pPr>
        <w:rPr>
          <w:rFonts w:hint="default" w:ascii="Arial" w:hAnsi="Arial" w:cs="Arial"/>
          <w:bCs/>
          <w:highlight w:val="none"/>
        </w:rPr>
      </w:pPr>
      <w:r>
        <w:rPr>
          <w:rFonts w:hint="default" w:ascii="Arial" w:hAnsi="Arial" w:cs="Arial"/>
          <w:bCs/>
          <w:highlight w:val="none"/>
        </w:rPr>
        <w:t>Sub-theme 1. In the sampled literature described regarding diet, physical activity and psychological wellbeing, it was identified that this played a significant role in determining the cardiovascular health outcomes. Remarkably, the findings reveal that there is an intricate interaction between the awareness, behaviour and socio-cultural factors, and all these aspects define the lifestyle practices of this population.</w:t>
      </w:r>
    </w:p>
    <w:p w14:paraId="2AC41152">
      <w:pPr>
        <w:rPr>
          <w:rFonts w:hint="default" w:ascii="Arial" w:hAnsi="Arial" w:cs="Arial"/>
          <w:bCs/>
          <w:highlight w:val="none"/>
        </w:rPr>
      </w:pPr>
    </w:p>
    <w:p w14:paraId="7ED86C32">
      <w:pPr>
        <w:rPr>
          <w:rFonts w:hint="default" w:ascii="Arial" w:hAnsi="Arial" w:cs="Arial"/>
          <w:b/>
          <w:bCs/>
          <w:highlight w:val="none"/>
        </w:rPr>
      </w:pPr>
      <w:r>
        <w:rPr>
          <w:rFonts w:hint="default" w:ascii="Arial" w:hAnsi="Arial" w:cs="Arial"/>
          <w:b/>
          <w:bCs/>
          <w:highlight w:val="none"/>
        </w:rPr>
        <w:t xml:space="preserve">Subtheme 1: Dietary behaviour </w:t>
      </w:r>
    </w:p>
    <w:p w14:paraId="4FBBBBDD">
      <w:pPr>
        <w:rPr>
          <w:rFonts w:hint="default" w:ascii="Arial" w:hAnsi="Arial" w:cs="Arial"/>
          <w:b/>
          <w:bCs/>
          <w:highlight w:val="none"/>
        </w:rPr>
      </w:pPr>
    </w:p>
    <w:p w14:paraId="7022F74E">
      <w:pPr>
        <w:rPr>
          <w:rFonts w:hint="default" w:ascii="Arial" w:hAnsi="Arial" w:cs="Arial"/>
          <w:highlight w:val="none"/>
        </w:rPr>
      </w:pPr>
      <w:r>
        <w:rPr>
          <w:rFonts w:hint="default" w:ascii="Arial" w:hAnsi="Arial" w:cs="Arial"/>
          <w:highlight w:val="none"/>
        </w:rPr>
        <w:t>This subtheme, dietary behaviour, suggests that food habits are an important factor in cardiovascular risk among South Asian adults. Cross-Bardell et al. (2015) found that traditional South Asian food habits that are frequently associated with oil-packed, fried and carbohydrate-laden foods are one of the major obstacles on the way to a healthier diet. The participants emphasized that they would not change the eating habits because traditional meals and cultural food habits were so important to them. Likewise, Darr et al. (2008) have found that South Asian participants who had coronary heart disease experienced a difficult time making dietary changes, in part due to existing food habits and limited knowledge of how diet contributed to heart disease. Fowokan et al. (2020) also demonstrated that cardiovascular risk knowledge did not necessarily lead to healthier eating behaviour, as family and cultural factors continued to influence diet. Thus, the patterns of diet cannot be regarded as the independent decision as they are highly conditioned by the cultural, family and socioeconomic environments. Other than the dietary practices, physical activity behaviours were also found to have a considerable effect on cardiovascular health.</w:t>
      </w:r>
    </w:p>
    <w:p w14:paraId="08766C5E">
      <w:pPr>
        <w:rPr>
          <w:rFonts w:hint="default" w:ascii="Arial" w:hAnsi="Arial" w:cs="Arial"/>
          <w:b/>
          <w:bCs/>
          <w:highlight w:val="none"/>
        </w:rPr>
      </w:pPr>
    </w:p>
    <w:p w14:paraId="2CEC5B5E">
      <w:pPr>
        <w:rPr>
          <w:rFonts w:hint="default" w:ascii="Arial" w:hAnsi="Arial" w:cs="Arial"/>
          <w:b/>
          <w:bCs/>
          <w:highlight w:val="none"/>
        </w:rPr>
      </w:pPr>
    </w:p>
    <w:p w14:paraId="4227FD88">
      <w:pPr>
        <w:rPr>
          <w:rFonts w:hint="default" w:ascii="Arial" w:hAnsi="Arial" w:cs="Arial"/>
          <w:b/>
          <w:bCs/>
          <w:highlight w:val="none"/>
        </w:rPr>
      </w:pPr>
      <w:r>
        <w:rPr>
          <w:rFonts w:hint="default" w:ascii="Arial" w:hAnsi="Arial" w:cs="Arial"/>
          <w:b/>
          <w:bCs/>
          <w:highlight w:val="none"/>
        </w:rPr>
        <w:t>Subtheme 2: Physical activity</w:t>
      </w:r>
    </w:p>
    <w:p w14:paraId="13362AC4">
      <w:pPr>
        <w:rPr>
          <w:rFonts w:hint="default" w:ascii="Arial" w:hAnsi="Arial" w:cs="Arial"/>
          <w:highlight w:val="none"/>
        </w:rPr>
      </w:pPr>
    </w:p>
    <w:p w14:paraId="20136B4F">
      <w:pPr>
        <w:rPr>
          <w:rFonts w:hint="default" w:ascii="Arial" w:hAnsi="Arial" w:cs="Arial"/>
          <w:highlight w:val="none"/>
        </w:rPr>
      </w:pPr>
      <w:r>
        <w:rPr>
          <w:rFonts w:hint="default" w:ascii="Arial" w:hAnsi="Arial" w:cs="Arial"/>
          <w:highlight w:val="none"/>
        </w:rPr>
        <w:t>Deshmukh et al. (2025) discovered that South Asian adults possessed a general understanding of the significance of physical activity, yet their knowledge of recommended guidelines was low, in particular, resistance or strength-based exercises. This is significant since physical exercise aids in preventing cardiovascular diseases by assisting the regulation of weight, blood pressure, glucose levels and overall health of the heart. In a similar manner, Fowokan et al. (2020) have discovered that the participants were aware of cardiovascular risk factors but fail to translate this knowledge into regular healthy behaviours. Walking was also mentioned as a viable and culturally acceptable type of physical activity by Cross-Bardell et al. (2015), specifically when performed together with family or community members. Thus, raising awareness about the importance of increasing physical activity is not sufficient to reduce the risk of cardiovascular disease, unless practical and cultural barriers are addressed.</w:t>
      </w:r>
    </w:p>
    <w:p w14:paraId="240881D4">
      <w:pPr>
        <w:rPr>
          <w:rFonts w:hint="default" w:ascii="Arial" w:hAnsi="Arial" w:cs="Arial"/>
          <w:highlight w:val="none"/>
        </w:rPr>
      </w:pPr>
    </w:p>
    <w:p w14:paraId="75696A78">
      <w:pPr>
        <w:rPr>
          <w:rFonts w:hint="default" w:ascii="Arial" w:hAnsi="Arial" w:cs="Arial"/>
          <w:b/>
          <w:bCs/>
          <w:highlight w:val="none"/>
        </w:rPr>
      </w:pPr>
      <w:r>
        <w:rPr>
          <w:rFonts w:hint="default" w:ascii="Arial" w:hAnsi="Arial" w:cs="Arial"/>
          <w:b/>
          <w:bCs/>
          <w:highlight w:val="none"/>
        </w:rPr>
        <w:t>Subtheme 3: Knowledge and awareness</w:t>
      </w:r>
    </w:p>
    <w:p w14:paraId="6826703B">
      <w:pPr>
        <w:rPr>
          <w:rFonts w:hint="default" w:ascii="Arial" w:hAnsi="Arial" w:cs="Arial"/>
          <w:b/>
          <w:bCs/>
          <w:highlight w:val="none"/>
        </w:rPr>
      </w:pPr>
    </w:p>
    <w:p w14:paraId="25AC8457">
      <w:pPr>
        <w:rPr>
          <w:rFonts w:hint="default" w:ascii="Arial" w:hAnsi="Arial" w:cs="Arial"/>
          <w:highlight w:val="none"/>
        </w:rPr>
      </w:pPr>
      <w:r>
        <w:rPr>
          <w:rFonts w:hint="default" w:ascii="Arial" w:hAnsi="Arial" w:cs="Arial"/>
          <w:highlight w:val="none"/>
        </w:rPr>
        <w:t>Knowledge and awareness were cited as key concerns in all the studies. Deshmukh et al. (2025) demonstrated that the participants had the basic knowledge of the benefits of physical activities, but they did not have the detailed knowledge of the specific recommendations. Another gap mentioned by Fowokan et al. (2020) is knowledge of cardiovascular risk and actual lifestyle behaviour. In a similar manner, Singh et al. (2025) discovered a lack of awareness on the association between alcohol consumption and cardiovascular disease. These results imply that health education must offer clear, practical and culturally pertinent guidelines on lifestyle factors associated with prevention of CVD.</w:t>
      </w:r>
    </w:p>
    <w:p w14:paraId="665DCF93">
      <w:pPr>
        <w:rPr>
          <w:rFonts w:hint="default" w:ascii="Arial" w:hAnsi="Arial" w:cs="Arial"/>
          <w:highlight w:val="none"/>
        </w:rPr>
      </w:pPr>
    </w:p>
    <w:p w14:paraId="37F12FAA">
      <w:pPr>
        <w:rPr>
          <w:rFonts w:hint="default" w:ascii="Arial" w:hAnsi="Arial" w:cs="Arial"/>
          <w:b/>
          <w:bCs/>
          <w:highlight w:val="none"/>
        </w:rPr>
      </w:pPr>
      <w:r>
        <w:rPr>
          <w:rFonts w:hint="default" w:ascii="Arial" w:hAnsi="Arial" w:cs="Arial"/>
          <w:b/>
          <w:bCs/>
          <w:highlight w:val="none"/>
        </w:rPr>
        <w:t>Subtheme 4: Psychological factors</w:t>
      </w:r>
    </w:p>
    <w:p w14:paraId="3ABE70DD">
      <w:pPr>
        <w:rPr>
          <w:rFonts w:hint="default" w:ascii="Arial" w:hAnsi="Arial" w:cs="Arial"/>
          <w:b/>
          <w:bCs/>
          <w:highlight w:val="none"/>
        </w:rPr>
      </w:pPr>
    </w:p>
    <w:p w14:paraId="36FC9B89">
      <w:pPr>
        <w:rPr>
          <w:rFonts w:hint="default" w:ascii="Arial" w:hAnsi="Arial" w:cs="Arial"/>
          <w:highlight w:val="none"/>
        </w:rPr>
      </w:pPr>
      <w:r>
        <w:rPr>
          <w:rFonts w:hint="default" w:ascii="Arial" w:hAnsi="Arial" w:cs="Arial"/>
          <w:highlight w:val="none"/>
        </w:rPr>
        <w:t>Lifestyle behaviours and cardiovascular outcomes were also affected by psychological factors. Bhattacharyya et al. (2016) discovered that anxiety, depression and fear of physical activity were widespread among cardiac patients in recovery and this lowered their confidence to exercise or alter lifestyle habits. Likewise, Fowokan et al. (2020) demonstrated that emotional and family backgrounds influenced the translation of cardiovascular knowledge into healthy behaviour. Thus, psychological health must be taken into account in the CVD prevention programs.</w:t>
      </w:r>
    </w:p>
    <w:p w14:paraId="13E7BB07">
      <w:pPr>
        <w:rPr>
          <w:rFonts w:hint="default" w:ascii="Arial" w:hAnsi="Arial" w:cs="Arial"/>
          <w:highlight w:val="none"/>
        </w:rPr>
      </w:pPr>
      <w:r>
        <w:rPr>
          <w:rFonts w:hint="default" w:ascii="Arial" w:hAnsi="Arial" w:cs="Arial"/>
          <w:highlight w:val="none"/>
        </w:rPr>
        <w:t>Additionally, the interplay of psychological well-being and lifestyle further supports the multidimensionality of cardiovascular risk. Stressed individuals, those who are depressed or anxious, might be less likely to adopt healthy behaviours like exercise or diet change. It is consistent with the results of the study by Fowokan et al. (2020), where social and emotional contexts in family settings acted as barriers to behavioural change in spite of adequate knowledge. Equally, Deshmukh et al. (2025) suggested a lack of motivation and an inability to access credible sources of information to be among the factors that lead to under-engagement in physical activity.</w:t>
      </w:r>
    </w:p>
    <w:p w14:paraId="3BFEB05E">
      <w:pPr>
        <w:rPr>
          <w:rFonts w:hint="default" w:ascii="Arial" w:hAnsi="Arial" w:cs="Arial"/>
          <w:highlight w:val="none"/>
        </w:rPr>
      </w:pPr>
      <w:r>
        <w:rPr>
          <w:rFonts w:hint="default" w:ascii="Arial" w:hAnsi="Arial" w:cs="Arial"/>
          <w:highlight w:val="none"/>
        </w:rPr>
        <w:t>One of the main trends that is becoming clear after the synthesis is the lack of knowledge and behaviour. Although the majority of the studies found that a reasonable level of awareness about the significance of healthy lifestyle practices existed, this was not always accompanied by positive health behaviours. Such a discrepancy could be explained by a complex of cultural norms, socioeconomic limitations, and psychological restraints. As an example, a person might realise that he or she should limit their diet to healthier options, but cannot change the old cultural eating habits or fit the family's tastes. Similarly, the knowledge of the benefits of physical activity does not directly translate into physical exercise because of time, the absence of facilities, or other priorities.</w:t>
      </w:r>
    </w:p>
    <w:p w14:paraId="34C0E229">
      <w:pPr>
        <w:rPr>
          <w:rFonts w:hint="default" w:ascii="Arial" w:hAnsi="Arial" w:cs="Arial"/>
          <w:highlight w:val="none"/>
        </w:rPr>
      </w:pPr>
      <w:r>
        <w:rPr>
          <w:rFonts w:hint="default" w:ascii="Arial" w:hAnsi="Arial" w:cs="Arial"/>
          <w:highlight w:val="none"/>
        </w:rPr>
        <w:t>On the whole, the results of this theme indicate that the relationship between lifestyle behaviours and cardiovascular risk among South Asian adults is a complex interaction of individual, cultural, and structural factors. Although there is a fairly good awareness of the risk factors, there is still limited behaviour change because of a series of barriers. Thus, the interventions to be developed to prevent cardiovascular risk in this population should not be based only on health education but rather on a holistic intervention that should include cultural habits, social interactions, and psychological health.</w:t>
      </w:r>
    </w:p>
    <w:p w14:paraId="66B11AD4">
      <w:pPr>
        <w:pStyle w:val="4"/>
        <w:spacing w:line="480" w:lineRule="auto"/>
        <w:rPr>
          <w:rFonts w:hint="default" w:ascii="Arial" w:hAnsi="Arial" w:cs="Arial"/>
          <w:sz w:val="24"/>
          <w:szCs w:val="24"/>
          <w:highlight w:val="none"/>
        </w:rPr>
      </w:pPr>
      <w:bookmarkStart w:id="141" w:name="_Toc21806"/>
      <w:r>
        <w:rPr>
          <w:rFonts w:hint="default" w:ascii="Arial" w:hAnsi="Arial" w:cs="Arial"/>
          <w:sz w:val="24"/>
          <w:szCs w:val="24"/>
          <w:highlight w:val="none"/>
        </w:rPr>
        <w:t>Theme 2: Cultural, Social, and Migration Influences</w:t>
      </w:r>
      <w:bookmarkEnd w:id="141"/>
    </w:p>
    <w:p w14:paraId="335F3259">
      <w:pPr>
        <w:rPr>
          <w:rFonts w:hint="default" w:ascii="Arial" w:hAnsi="Arial" w:cs="Arial"/>
          <w:highlight w:val="none"/>
        </w:rPr>
      </w:pPr>
      <w:r>
        <w:rPr>
          <w:rFonts w:hint="default" w:ascii="Arial" w:hAnsi="Arial" w:cs="Arial"/>
          <w:highlight w:val="none"/>
        </w:rPr>
        <w:t>Cultural beliefs, family dynamics, social norms, and migration-related factors collectively influence health behaviours and contribute to cardiovascular risk in South Asian communities.The discussions of the studies incorporated indicate that the cultural, social and migration-related issues are important determinants of the impact on lifestyle behaviours and, as a result, the risk of cardiovascular disease (CVD) in South Asian adults residing in the United Kingdom. These forces are present on different levels, such as family structures, cultural beliefs, social norms, and the context in which the migration and adaptation take place. All these factors together lead to the continuation of unhealthy behaviours as well as the difficulties that accompany a shift towards healthier lifestyles.</w:t>
      </w:r>
    </w:p>
    <w:p w14:paraId="65824CDA">
      <w:pPr>
        <w:rPr>
          <w:rFonts w:hint="default" w:ascii="Arial" w:hAnsi="Arial" w:cs="Arial"/>
          <w:highlight w:val="none"/>
        </w:rPr>
      </w:pPr>
    </w:p>
    <w:p w14:paraId="75FEE279">
      <w:pPr>
        <w:rPr>
          <w:rFonts w:hint="default" w:ascii="Arial" w:hAnsi="Arial" w:cs="Arial"/>
          <w:highlight w:val="none"/>
        </w:rPr>
      </w:pPr>
    </w:p>
    <w:p w14:paraId="31F3639C">
      <w:pPr>
        <w:rPr>
          <w:rFonts w:hint="default" w:ascii="Arial" w:hAnsi="Arial" w:cs="Arial"/>
          <w:highlight w:val="none"/>
        </w:rPr>
      </w:pPr>
    </w:p>
    <w:p w14:paraId="661B596B">
      <w:pPr>
        <w:spacing w:line="480" w:lineRule="auto"/>
        <w:rPr>
          <w:rFonts w:hint="default" w:ascii="Arial" w:hAnsi="Arial" w:cs="Arial"/>
          <w:b/>
          <w:bCs/>
          <w:highlight w:val="none"/>
        </w:rPr>
      </w:pPr>
      <w:r>
        <w:rPr>
          <w:rFonts w:hint="default" w:ascii="Arial" w:hAnsi="Arial" w:cs="Arial"/>
          <w:b/>
          <w:bCs/>
          <w:highlight w:val="none"/>
        </w:rPr>
        <w:t>Sub-Theme 1: Family and social influence</w:t>
      </w:r>
    </w:p>
    <w:p w14:paraId="42425CF3">
      <w:pPr>
        <w:rPr>
          <w:rFonts w:hint="default" w:ascii="Arial" w:hAnsi="Arial" w:cs="Arial"/>
          <w:highlight w:val="none"/>
        </w:rPr>
      </w:pPr>
      <w:r>
        <w:rPr>
          <w:rFonts w:hint="default" w:ascii="Arial" w:hAnsi="Arial" w:cs="Arial"/>
          <w:highlight w:val="none"/>
        </w:rPr>
        <w:t>One of the notable observations in the studies is the strong impact of the family and group decision-making on individual health behaviours. Dilla et al. (2020) emphasised the fact that South Asian people usually put family demands foremost in their consideration of health, especially after a cardiac event. The idea of upholding the state of harmony in the family was recognised as one of the main considerations that affect lifestyle choices. The respondents often claimed that the family expectations influenced their food preferences and daily habits, and individual lifestyle changes were hard to make. On the same note, Fowokan et al. (2020) asserted that family dynamics are significant in influencing health behaviours, especially among the youth, where the parental influence is a significant determinant of diet and physical activity behaviours. These results indicate that lifestyle behaviours are not merely personal preferences but are entrenched in family systems and cultures.</w:t>
      </w:r>
    </w:p>
    <w:p w14:paraId="79E81864">
      <w:pPr>
        <w:rPr>
          <w:rFonts w:hint="default" w:ascii="Arial" w:hAnsi="Arial" w:cs="Arial"/>
          <w:highlight w:val="none"/>
        </w:rPr>
      </w:pPr>
    </w:p>
    <w:p w14:paraId="06F4B285">
      <w:pPr>
        <w:spacing w:line="480" w:lineRule="auto"/>
        <w:rPr>
          <w:rFonts w:hint="default" w:ascii="Arial" w:hAnsi="Arial" w:cs="Arial"/>
          <w:b/>
          <w:bCs/>
          <w:highlight w:val="none"/>
        </w:rPr>
      </w:pPr>
      <w:r>
        <w:rPr>
          <w:rFonts w:hint="default" w:ascii="Arial" w:hAnsi="Arial" w:cs="Arial"/>
          <w:b/>
          <w:bCs/>
          <w:highlight w:val="none"/>
        </w:rPr>
        <w:t>Sub-Theme 2: Cultural beliefs and practices</w:t>
      </w:r>
    </w:p>
    <w:p w14:paraId="74713C6E">
      <w:pPr>
        <w:rPr>
          <w:rFonts w:hint="default" w:ascii="Arial" w:hAnsi="Arial" w:cs="Arial"/>
          <w:highlight w:val="none"/>
        </w:rPr>
      </w:pPr>
      <w:r>
        <w:rPr>
          <w:rFonts w:hint="default" w:ascii="Arial" w:hAnsi="Arial" w:cs="Arial"/>
          <w:highlight w:val="none"/>
        </w:rPr>
        <w:t>Besides family influence, cultural beliefs and misconceptions about cardiovascular disease were also identified to have a significant influence on health behaviours. According to Darr et al. (2008), most South Asian patients had misconceptions about the cause of coronary heart disease (CHD), which they often believed was caused by stress or fate, instead of lifestyle changeable factors. This inaccurate perception was a barrier to changing behaviours effectively, especially concerning diet and exercise. Similarly, Jalal et al. (2018) observed that culture and religion affected how patients perceived illness and treatment, as some patients believed it was the will of God. Although these beliefs might offer emotional coping strategies, they may also decrease the perceived significance of preventive behaviours and compliance with medical recommendations. In line with these findings, it is suggested that health beliefs which are culturally embedded can serve as obstacles to effective management of cardiovascular risk.</w:t>
      </w:r>
    </w:p>
    <w:p w14:paraId="4C0C8FF3">
      <w:pPr>
        <w:rPr>
          <w:rFonts w:hint="default" w:ascii="Arial" w:hAnsi="Arial" w:cs="Arial"/>
          <w:highlight w:val="none"/>
        </w:rPr>
      </w:pPr>
    </w:p>
    <w:p w14:paraId="372836EE">
      <w:pPr>
        <w:rPr>
          <w:rFonts w:hint="default" w:ascii="Arial" w:hAnsi="Arial" w:cs="Arial"/>
          <w:b/>
          <w:bCs/>
          <w:highlight w:val="none"/>
        </w:rPr>
      </w:pPr>
      <w:r>
        <w:rPr>
          <w:rFonts w:hint="default" w:ascii="Arial" w:hAnsi="Arial" w:cs="Arial"/>
          <w:b/>
          <w:bCs/>
          <w:highlight w:val="none"/>
        </w:rPr>
        <w:t>Sub-Theme 3: Social norms and identity</w:t>
      </w:r>
    </w:p>
    <w:p w14:paraId="1CD022C1">
      <w:pPr>
        <w:rPr>
          <w:rFonts w:hint="default" w:ascii="Arial" w:hAnsi="Arial" w:cs="Arial"/>
          <w:highlight w:val="none"/>
        </w:rPr>
      </w:pPr>
    </w:p>
    <w:p w14:paraId="4CABCFAD">
      <w:pPr>
        <w:rPr>
          <w:rFonts w:hint="default" w:ascii="Arial" w:hAnsi="Arial" w:cs="Arial"/>
          <w:highlight w:val="none"/>
        </w:rPr>
      </w:pPr>
      <w:r>
        <w:rPr>
          <w:rFonts w:hint="default" w:ascii="Arial" w:hAnsi="Arial" w:cs="Arial"/>
          <w:highlight w:val="none"/>
        </w:rPr>
        <w:t>The social norms and identity were also found to be influential in determining lifestyle behaviours. Jepson et al. (2012) observed that South Asian adults were more inclined to do the physical activity when it was associated with the social interaction, community involvement and enjoyment as opposed to simply personal motivation. Likewise, Dilla et al. (2020) demonstrated that individuals tended to take into account family expectations and cultural harmony in making lifestyle decisions following a cardiac event. Darr et al. (2008) also reported that cultural perceptions of illness were also relevant to the way participants perceived lifestyle change. These results indicate that belonging, identity and social approval are the determinants of health behaviours. Hence, family, peer support and community role model’s interventions should be used to promote a sustainable lifestyle change.</w:t>
      </w:r>
    </w:p>
    <w:p w14:paraId="144FA400">
      <w:pPr>
        <w:rPr>
          <w:rFonts w:hint="default" w:ascii="Arial" w:hAnsi="Arial" w:cs="Arial"/>
          <w:highlight w:val="none"/>
        </w:rPr>
      </w:pPr>
    </w:p>
    <w:p w14:paraId="764AF065">
      <w:pPr>
        <w:rPr>
          <w:rFonts w:hint="default" w:ascii="Arial" w:hAnsi="Arial" w:cs="Arial"/>
          <w:b/>
          <w:bCs/>
          <w:highlight w:val="none"/>
        </w:rPr>
      </w:pPr>
      <w:r>
        <w:rPr>
          <w:rFonts w:hint="default" w:ascii="Arial" w:hAnsi="Arial" w:cs="Arial"/>
          <w:b/>
          <w:bCs/>
          <w:highlight w:val="none"/>
        </w:rPr>
        <w:t>Sub-Theme 4: Migration and acculturation</w:t>
      </w:r>
    </w:p>
    <w:p w14:paraId="33F536A6">
      <w:pPr>
        <w:rPr>
          <w:rFonts w:hint="default" w:ascii="Arial" w:hAnsi="Arial" w:cs="Arial"/>
          <w:b/>
          <w:bCs/>
          <w:highlight w:val="none"/>
        </w:rPr>
      </w:pPr>
    </w:p>
    <w:p w14:paraId="613E3DC4">
      <w:pPr>
        <w:rPr>
          <w:rFonts w:hint="default" w:ascii="Arial" w:hAnsi="Arial" w:cs="Arial"/>
          <w:highlight w:val="none"/>
        </w:rPr>
      </w:pPr>
      <w:r>
        <w:rPr>
          <w:rFonts w:hint="default" w:ascii="Arial" w:hAnsi="Arial" w:cs="Arial"/>
          <w:highlight w:val="none"/>
        </w:rPr>
        <w:t>Included studies do not directly address migration and acculturation, but there was some evidence of tension between traditional cultural practice and healthier lifestyle expectation in South Asian adults in the UK. Cross-Bardell et al. (2015) established that participants had difficulties in balancing their traditional South Asian eating practices with the recommendations to adopt healthier eating habits in the UK context. On the same note, Darr et al. (2008) demonstrated that South Asian patients were misinformed about the coronary heart disease and there were difficulties encountered in changing established dietary behaviours among the patients after diagnosis. According to Jalal et al. (2018), understanding of illness and treatment behaviour over time was also influenced by cultural beliefs. As such, migrant migration as such was not always directly studied, the results however indicate that cultural adaptation plays a role in influencing lifestyle choices, health beliefs and cardiovascular risk management.</w:t>
      </w:r>
    </w:p>
    <w:p w14:paraId="2BD482A3">
      <w:pPr>
        <w:rPr>
          <w:rFonts w:hint="default" w:ascii="Arial" w:hAnsi="Arial" w:cs="Arial"/>
          <w:highlight w:val="none"/>
        </w:rPr>
      </w:pPr>
    </w:p>
    <w:p w14:paraId="12A4796A">
      <w:pPr>
        <w:spacing w:line="480" w:lineRule="auto"/>
        <w:rPr>
          <w:rFonts w:hint="default" w:ascii="Arial" w:hAnsi="Arial" w:cs="Arial"/>
          <w:b/>
          <w:bCs/>
          <w:highlight w:val="none"/>
        </w:rPr>
      </w:pPr>
      <w:r>
        <w:rPr>
          <w:rFonts w:hint="default" w:ascii="Arial" w:hAnsi="Arial" w:cs="Arial"/>
          <w:b/>
          <w:bCs/>
          <w:highlight w:val="none"/>
        </w:rPr>
        <w:t>Sub-Theme 5: Gender roles and expectations</w:t>
      </w:r>
    </w:p>
    <w:p w14:paraId="4AD294F3">
      <w:pPr>
        <w:rPr>
          <w:rFonts w:hint="default" w:ascii="Arial" w:hAnsi="Arial" w:cs="Arial"/>
          <w:highlight w:val="none"/>
        </w:rPr>
      </w:pPr>
      <w:r>
        <w:rPr>
          <w:rFonts w:hint="default" w:ascii="Arial" w:hAnsi="Arial" w:cs="Arial"/>
          <w:highlight w:val="none"/>
        </w:rPr>
        <w:t>Genderroles and social expectations, as well as cultural norms, were found to impact lifestyle behaviours. Jepson et al. (2012) observed that women, especially, were disadvantaged in attempting to engage in physical activities because of cultural requirements touching on modesty, family issues, and inaccessibility of women-only exercise areas. Likewise, Deshmukh et al. (2025) discovered that South Asian women were less aware of resistance training and had extra limitations in terms of time and social roles. Such gender-specific issues demonstrate the necessity of gender-specific intervention, taking into account cultural sensitivities and gender dynamics.</w:t>
      </w:r>
    </w:p>
    <w:p w14:paraId="0BA90606">
      <w:pPr>
        <w:rPr>
          <w:rFonts w:hint="default" w:ascii="Arial" w:hAnsi="Arial" w:cs="Arial"/>
          <w:highlight w:val="none"/>
        </w:rPr>
      </w:pPr>
      <w:r>
        <w:rPr>
          <w:rFonts w:hint="default" w:ascii="Arial" w:hAnsi="Arial" w:cs="Arial"/>
          <w:highlight w:val="none"/>
        </w:rPr>
        <w:t>The other significant aspect that has been discovered in the research is the aspect of social identity and belonging in health behaviour. As clarified by Dilla et al. (2020), individuals were inclined to pay more attention to following the cultural norms rather than the health needs of a person, particularly in those situations when lifestyle change was against the established social behaviour. An example is that failure to consume traditional foods or alter eating habits can be interpreted as abandoning cultural identity, which would cause social discomfort or aversion. This brings about a dilemma of maintaining cultural identity and adoption of healthier behaviours, thereby complicating the reduction of cardiovascular risk.</w:t>
      </w:r>
    </w:p>
    <w:p w14:paraId="6E58BC30">
      <w:pPr>
        <w:rPr>
          <w:rFonts w:hint="default" w:ascii="Arial" w:hAnsi="Arial" w:cs="Arial"/>
          <w:highlight w:val="none"/>
        </w:rPr>
      </w:pPr>
      <w:r>
        <w:rPr>
          <w:rFonts w:hint="default" w:ascii="Arial" w:hAnsi="Arial" w:cs="Arial"/>
          <w:highlight w:val="none"/>
        </w:rPr>
        <w:t>In addition, the influence of cultural beliefs also affects engagement in healthcare and adherence to treatment. Jalal et al. (2018) have found that even though South Asian patients were inclined to think that they had to take medicine, their thought about disease causation and prevention was shaped by cultural discourses. This sometimes resulted in lax adherence to treatment over the course of time. Similarly, the ignorance about the relationship between alcohol use and cardiovascular health was also observed by Singh et al. (2025), in which cultural norms influenced the perception of drinking behaviour. These findings suggest that any health education strategy must address culturally specific beliefs and misconceptions to become effective.</w:t>
      </w:r>
    </w:p>
    <w:p w14:paraId="3DC2D169">
      <w:pPr>
        <w:rPr>
          <w:rFonts w:hint="default" w:ascii="Arial" w:hAnsi="Arial" w:cs="Arial"/>
          <w:highlight w:val="none"/>
        </w:rPr>
      </w:pPr>
    </w:p>
    <w:p w14:paraId="5D387D7D">
      <w:pPr>
        <w:pStyle w:val="4"/>
        <w:spacing w:line="480" w:lineRule="auto"/>
        <w:rPr>
          <w:rFonts w:hint="default" w:ascii="Arial" w:hAnsi="Arial" w:cs="Arial"/>
          <w:sz w:val="24"/>
          <w:szCs w:val="24"/>
          <w:highlight w:val="none"/>
        </w:rPr>
      </w:pPr>
      <w:bookmarkStart w:id="142" w:name="_Toc12777"/>
      <w:r>
        <w:rPr>
          <w:rFonts w:hint="default" w:ascii="Arial" w:hAnsi="Arial" w:cs="Arial"/>
          <w:sz w:val="24"/>
          <w:szCs w:val="24"/>
          <w:highlight w:val="none"/>
        </w:rPr>
        <w:t>Theme 3: Barriers, Facilitators, and Prevention Strategies</w:t>
      </w:r>
      <w:bookmarkEnd w:id="142"/>
    </w:p>
    <w:p w14:paraId="5B330E95">
      <w:pPr>
        <w:rPr>
          <w:rFonts w:hint="default" w:ascii="Arial" w:hAnsi="Arial" w:cs="Arial"/>
          <w:highlight w:val="none"/>
        </w:rPr>
      </w:pPr>
      <w:r>
        <w:rPr>
          <w:rFonts w:hint="default" w:ascii="Arial" w:hAnsi="Arial" w:cs="Arial"/>
          <w:highlight w:val="none"/>
        </w:rPr>
        <w:t>The synthesis of the incorporated studies highlights a set of obstacles and enablers which influence the lifestyle behaviours and, hence, the risk of cardiovascular disease (CVD) in the South Asian adult population in the UK. These determinants consist of individual, social and structural levels of work, and they affect the adherence to healthy behaviours and the effectiveness of preventive actions. The results have indicated that although the obstacles to lifestyle change are significant, certain facilitators can be determined and applied to develop culturally relevant, as well as effective interventions. The barriers include socioeconomic constraints, cultural expectations and knowledge gaps, and the facilitators include community engagement, social support and culturally-specific interventions.</w:t>
      </w:r>
    </w:p>
    <w:p w14:paraId="7919FC6F">
      <w:pPr>
        <w:rPr>
          <w:rFonts w:hint="default" w:ascii="Arial" w:hAnsi="Arial" w:cs="Arial"/>
          <w:highlight w:val="none"/>
        </w:rPr>
      </w:pPr>
    </w:p>
    <w:p w14:paraId="50C352BA">
      <w:pPr>
        <w:spacing w:line="480" w:lineRule="auto"/>
        <w:rPr>
          <w:rFonts w:hint="default" w:ascii="Arial" w:hAnsi="Arial" w:cs="Arial"/>
          <w:b/>
          <w:bCs/>
          <w:highlight w:val="none"/>
        </w:rPr>
      </w:pPr>
      <w:r>
        <w:rPr>
          <w:rFonts w:hint="default" w:ascii="Arial" w:hAnsi="Arial" w:cs="Arial"/>
          <w:b/>
          <w:bCs/>
          <w:highlight w:val="none"/>
        </w:rPr>
        <w:t>Sub-Theme 1: Socioeconomic and structural barriers</w:t>
      </w:r>
    </w:p>
    <w:p w14:paraId="70499949">
      <w:pPr>
        <w:rPr>
          <w:rFonts w:hint="default" w:ascii="Arial" w:hAnsi="Arial" w:cs="Arial"/>
          <w:highlight w:val="none"/>
        </w:rPr>
      </w:pPr>
      <w:r>
        <w:rPr>
          <w:rFonts w:hint="default" w:ascii="Arial" w:hAnsi="Arial" w:cs="Arial"/>
          <w:highlight w:val="none"/>
        </w:rPr>
        <w:t>Among the most evident obstacles discovered in the course of the research, there is the role of socioeconomic factors on health behaviours. Bhattacharyya et al. (2016) discovered that economic factors such as socioeconomic status, employment, and financial limitations were more influential in influencing health outcomes than ethnicity alone. People with low income or unstable jobs tended to have problems in prioritising health-related behaviour, including having a balanced diet or doing regular physical activities. The lack of time due to long hours of work and care also contributed to a lack of lifestyle change. Equally, Cross-Bardell et al. (2015) noted that the biggest impediments to the adoption of healthier dietary habits and more physical activity were cost and time, especially in people residing in deprived localities. These results indicate that socioeconomic inequalities are major contributors to cardiovascular risks as they limit access to resources and opportunities to live a healthy life.</w:t>
      </w:r>
    </w:p>
    <w:p w14:paraId="598D092C">
      <w:pPr>
        <w:rPr>
          <w:rFonts w:hint="default" w:ascii="Arial" w:hAnsi="Arial" w:cs="Arial"/>
          <w:highlight w:val="none"/>
        </w:rPr>
      </w:pPr>
    </w:p>
    <w:p w14:paraId="1F517BD2">
      <w:pPr>
        <w:rPr>
          <w:rFonts w:hint="default" w:ascii="Arial" w:hAnsi="Arial" w:cs="Arial"/>
          <w:highlight w:val="none"/>
        </w:rPr>
      </w:pPr>
    </w:p>
    <w:p w14:paraId="72D3925F">
      <w:pPr>
        <w:rPr>
          <w:rFonts w:hint="default" w:ascii="Arial" w:hAnsi="Arial" w:cs="Arial"/>
          <w:highlight w:val="none"/>
        </w:rPr>
      </w:pPr>
    </w:p>
    <w:p w14:paraId="528A7F0D">
      <w:pPr>
        <w:rPr>
          <w:rFonts w:hint="default" w:ascii="Arial" w:hAnsi="Arial" w:cs="Arial"/>
          <w:b/>
          <w:bCs/>
          <w:highlight w:val="none"/>
        </w:rPr>
      </w:pPr>
      <w:r>
        <w:rPr>
          <w:rFonts w:hint="default" w:ascii="Arial" w:hAnsi="Arial" w:cs="Arial"/>
          <w:b/>
          <w:bCs/>
          <w:highlight w:val="none"/>
        </w:rPr>
        <w:t>Sub-Theme 2: Cultural and family-related barriers</w:t>
      </w:r>
    </w:p>
    <w:p w14:paraId="2639078A">
      <w:pPr>
        <w:rPr>
          <w:rFonts w:hint="default" w:ascii="Arial" w:hAnsi="Arial" w:cs="Arial"/>
          <w:b/>
          <w:bCs/>
          <w:highlight w:val="none"/>
        </w:rPr>
      </w:pPr>
    </w:p>
    <w:p w14:paraId="74E30F99">
      <w:pPr>
        <w:rPr>
          <w:rFonts w:hint="default" w:ascii="Arial" w:hAnsi="Arial" w:cs="Arial"/>
          <w:highlight w:val="none"/>
        </w:rPr>
      </w:pPr>
      <w:r>
        <w:rPr>
          <w:rFonts w:hint="default" w:ascii="Arial" w:hAnsi="Arial" w:cs="Arial"/>
          <w:highlight w:val="none"/>
        </w:rPr>
        <w:t>In addition to socioeconomic barriers, cultural and family-related barriers were also found to be specific barriers to cardiovascular disease prevention. In this theme, it is not only culture as a factor in influencing lifestyle but also how family and cultural needs can make individuals unwilling to adopt healthier behaviours. An example is that Eastwood et al. (2013) found that lifestyle change might be limited by family member resistance, particularly when individuals attempted to change diet or exercise. This becomes a blockage to prevention since South Asian meals are usually prepared and eaten together, and then one individual cannot cut the oil, fat, salt or portion size when the extended family still practices the traditional ways of preparing meals. Equally, Cross-Bardell et al. (2015) demonstrated that healthy dietary change was challenging due to traditional eating habits, time pressure and family routines. Dilla et al. (2020) also established that some people tend to focus on family harmony rather than on own health requirements after myocardial infarction. Hence, prevention interventions must not focus on individuals, but rather include family members and encourage healthier alternatives to mutual cultural habits.</w:t>
      </w:r>
    </w:p>
    <w:p w14:paraId="45DA51F3">
      <w:pPr>
        <w:rPr>
          <w:rFonts w:hint="default" w:ascii="Arial" w:hAnsi="Arial" w:cs="Arial"/>
          <w:highlight w:val="none"/>
        </w:rPr>
      </w:pPr>
    </w:p>
    <w:p w14:paraId="6386AA5F">
      <w:pPr>
        <w:rPr>
          <w:rFonts w:hint="default" w:ascii="Arial" w:hAnsi="Arial" w:cs="Arial"/>
          <w:b/>
          <w:bCs/>
          <w:highlight w:val="none"/>
        </w:rPr>
      </w:pPr>
      <w:r>
        <w:rPr>
          <w:rFonts w:hint="default" w:ascii="Arial" w:hAnsi="Arial" w:cs="Arial"/>
          <w:b/>
          <w:bCs/>
          <w:highlight w:val="none"/>
        </w:rPr>
        <w:t>Sub-Theme 3: Specific knowledge gaps as barriers to prevention</w:t>
      </w:r>
    </w:p>
    <w:p w14:paraId="4042E936">
      <w:pPr>
        <w:rPr>
          <w:rFonts w:hint="default" w:ascii="Arial" w:hAnsi="Arial" w:cs="Arial"/>
          <w:highlight w:val="none"/>
        </w:rPr>
      </w:pPr>
    </w:p>
    <w:p w14:paraId="61F98944">
      <w:pPr>
        <w:rPr>
          <w:rFonts w:hint="default" w:ascii="Arial" w:hAnsi="Arial" w:cs="Arial"/>
          <w:highlight w:val="none"/>
        </w:rPr>
      </w:pPr>
      <w:r>
        <w:rPr>
          <w:rFonts w:hint="default" w:ascii="Arial" w:hAnsi="Arial" w:cs="Arial"/>
          <w:highlight w:val="none"/>
        </w:rPr>
        <w:t>This subtheme is more specific to practical health knowledge gaps becoming barriers to prevention, although this discussion has already been covered in Theme 1 as a part of lifestyle behaviour. General knowledge of cardiovascular health might be in place, but the studies that were included demonstrated that the participants frequently did not have specific knowledge about the particular risk factors and prevention measures. Singh et al. (2025) discovered that there is little awareness of the connection between alcohol intake and cardiovascular disease. This implies that people can still engage in alcohol-related behaviours without necessarily being aware of their cardiovascular effects. On the same note, Deshmukh et al. (2025) discovered a lack of knowledge on physical activity guidelines, especially resistance training, which can hinder the South Asian adult population in adopting a balanced exercising routine. They also found a gap between the knowledge of cardiovascular risk and the practical application of the knowledge in everyday family behaviour (Fowokan et al. 2020). Thus, the problem is not mere ignorance, but absence of clear, practical and culturally-relevant prevention advice.</w:t>
      </w:r>
    </w:p>
    <w:p w14:paraId="3D13EEF0">
      <w:pPr>
        <w:rPr>
          <w:rFonts w:hint="default" w:ascii="Arial" w:hAnsi="Arial" w:cs="Arial"/>
          <w:highlight w:val="none"/>
        </w:rPr>
      </w:pPr>
    </w:p>
    <w:p w14:paraId="40C242FB">
      <w:pPr>
        <w:rPr>
          <w:rFonts w:hint="default" w:ascii="Arial" w:hAnsi="Arial" w:cs="Arial"/>
          <w:highlight w:val="none"/>
        </w:rPr>
      </w:pPr>
      <w:r>
        <w:rPr>
          <w:rFonts w:hint="default" w:ascii="Arial" w:hAnsi="Arial" w:cs="Arial"/>
          <w:highlight w:val="none"/>
        </w:rPr>
        <w:t>One of the helpful methods to overcome these barriers was found to be community-based prevention. Eastwood et al. (2013) demonstrated that, when cardiovascular risk assessment was delivered within familiar community and religious settings, access and engagement among South Asian populations was improved. This implies that the culturally familiar environments can minimize the barriers associated with trust, privacy and accessibility. Thus, prevention models must integrate both pragmatic education and family intervention and community-based intervention to promote long-term lifestyle changes.</w:t>
      </w:r>
    </w:p>
    <w:p w14:paraId="6C46E30D">
      <w:pPr>
        <w:rPr>
          <w:rFonts w:hint="default" w:ascii="Arial" w:hAnsi="Arial" w:cs="Arial"/>
          <w:highlight w:val="none"/>
        </w:rPr>
      </w:pPr>
    </w:p>
    <w:p w14:paraId="77907032">
      <w:pPr>
        <w:spacing w:line="480" w:lineRule="auto"/>
        <w:rPr>
          <w:rFonts w:hint="default" w:ascii="Arial" w:hAnsi="Arial" w:cs="Arial"/>
          <w:b/>
          <w:bCs/>
          <w:highlight w:val="none"/>
        </w:rPr>
      </w:pPr>
      <w:r>
        <w:rPr>
          <w:rFonts w:hint="default" w:ascii="Arial" w:hAnsi="Arial" w:cs="Arial"/>
          <w:b/>
          <w:bCs/>
          <w:highlight w:val="none"/>
        </w:rPr>
        <w:t>Sub-theme 4: Community and social support</w:t>
      </w:r>
    </w:p>
    <w:p w14:paraId="7B2D2645">
      <w:pPr>
        <w:rPr>
          <w:rFonts w:hint="default" w:ascii="Arial" w:hAnsi="Arial" w:cs="Arial"/>
          <w:highlight w:val="none"/>
        </w:rPr>
      </w:pPr>
      <w:r>
        <w:rPr>
          <w:rFonts w:hint="default" w:ascii="Arial" w:hAnsi="Arial" w:cs="Arial"/>
          <w:highlight w:val="none"/>
        </w:rPr>
        <w:t>Role models and social support were also identified as important behaviour change facilitators. Jepson et al. (2012) found that family members, peers or community groups were more likely to influence individuals to engage in physical activity. Other external factors that facilitated the maintenance of engagement in healthy behaviours were social interaction and encouragement. The role models were the other influential individuals who were identified in the community, as far as getting people to adopt healthy lifestyles was concerned. This evidence the importance of social networks and community leaders in planning and implementing health promotion initiatives.</w:t>
      </w:r>
    </w:p>
    <w:p w14:paraId="77DEF47A">
      <w:pPr>
        <w:rPr>
          <w:rFonts w:hint="default" w:ascii="Arial" w:hAnsi="Arial" w:cs="Arial"/>
          <w:highlight w:val="none"/>
        </w:rPr>
      </w:pPr>
    </w:p>
    <w:p w14:paraId="0E222BDE">
      <w:pPr>
        <w:spacing w:line="480" w:lineRule="auto"/>
        <w:rPr>
          <w:rFonts w:hint="default" w:ascii="Arial" w:hAnsi="Arial" w:cs="Arial"/>
          <w:b/>
          <w:bCs/>
          <w:highlight w:val="none"/>
        </w:rPr>
      </w:pPr>
      <w:r>
        <w:rPr>
          <w:rFonts w:hint="default" w:ascii="Arial" w:hAnsi="Arial" w:cs="Arial"/>
          <w:b/>
          <w:bCs/>
          <w:highlight w:val="none"/>
        </w:rPr>
        <w:t>Sub-theme 5: Culturally tailored prevention strategies</w:t>
      </w:r>
    </w:p>
    <w:p w14:paraId="4FF98E6F">
      <w:pPr>
        <w:rPr>
          <w:rFonts w:hint="default" w:ascii="Arial" w:hAnsi="Arial" w:cs="Arial"/>
          <w:highlight w:val="none"/>
        </w:rPr>
      </w:pPr>
      <w:r>
        <w:rPr>
          <w:rFonts w:hint="default" w:ascii="Arial" w:hAnsi="Arial" w:cs="Arial"/>
          <w:highlight w:val="none"/>
        </w:rPr>
        <w:t>Additionally, culturally oriented interventions were observed as a very critical component of a good prevention program. Cross-Bardell et al. (2015) pointed out that the interventions are to be designed based on the cultural practices and preferences, i.e. using traditional foods more healthily or promoting the utilisation of socially-acceptable physical activities in the community. Concurrently, Dilla et al. (2020) suggested that the family dynamics and cultural values must be considered when implementing interventions, such as the necessity to preserve the harmony, so that lifestyle changes could become sustainable and agreeable. The findings demonstrate that resistance can only be defeated by culturally sensitive approaches, which may enable long-term behaviour change.</w:t>
      </w:r>
    </w:p>
    <w:p w14:paraId="33DA074D">
      <w:pPr>
        <w:rPr>
          <w:rFonts w:hint="default" w:ascii="Arial" w:hAnsi="Arial" w:cs="Arial"/>
          <w:highlight w:val="none"/>
        </w:rPr>
      </w:pPr>
      <w:r>
        <w:rPr>
          <w:rFonts w:hint="default" w:ascii="Arial" w:hAnsi="Arial" w:cs="Arial"/>
          <w:highlight w:val="none"/>
        </w:rPr>
        <w:t>Relevant health information and education are the other important facilitators. Deshmukh et al. (2025) highlighted the significance of improving information transmission on the physical activity recommendations, in particular, through the use of channels that are convenient and culturally acceptable. Their study respondents reported that they got information about their health from various platforms, such as social media, and this indicates that digital platforms could be used in health promotion activities. These strategies are, however, effective based on the accuracy and cultural relevance of the information presented.</w:t>
      </w:r>
    </w:p>
    <w:p w14:paraId="4E56D9AE">
      <w:pPr>
        <w:rPr>
          <w:rFonts w:hint="default" w:ascii="Arial" w:hAnsi="Arial" w:cs="Arial"/>
          <w:highlight w:val="none"/>
        </w:rPr>
      </w:pPr>
      <w:r>
        <w:rPr>
          <w:rFonts w:hint="default" w:ascii="Arial" w:hAnsi="Arial" w:cs="Arial"/>
          <w:highlight w:val="none"/>
        </w:rPr>
        <w:t>Although some of the facilitators, such as community engagement, social support and culturally specific interventions, offer promising opportunities in preventing it, the evidence that a multifaceted intervention is required is that there are some prevailing barriers. The interventions must also not be focused on individual behaviours only, but on the rules and regulations within the society and structure in general that influence the health outcomes. To provide an example, policies aimed at reducing socioeconomic inequalities and improving access to recreation centres and healthy food options can be added to community-based work.</w:t>
      </w:r>
    </w:p>
    <w:p w14:paraId="74E9D7B4">
      <w:pPr>
        <w:rPr>
          <w:rFonts w:hint="default" w:ascii="Arial" w:hAnsi="Arial" w:cs="Arial"/>
          <w:highlight w:val="none"/>
        </w:rPr>
      </w:pPr>
      <w:r>
        <w:rPr>
          <w:rFonts w:hint="default" w:ascii="Arial" w:hAnsi="Arial" w:cs="Arial"/>
          <w:highlight w:val="none"/>
        </w:rPr>
        <w:t>Moreover, the findings also show that prevention strategies must be holistic in nature,whichintegrates physical, psychological and social components of health. Bhattacharyya et al. (2016) noted that psychological well-being was an important factor influencing lifestyle behaviours, meaning that interventions would also be more effective when they focus on mental health. Similarly, the misunderstandings and cultural assumptions can be eliminated through a particular education, which can contribute to the increase of knowledge and foster proactive health behaviours.</w:t>
      </w:r>
    </w:p>
    <w:p w14:paraId="1AF0F752">
      <w:pPr>
        <w:rPr>
          <w:rFonts w:hint="default" w:ascii="Arial" w:hAnsi="Arial" w:cs="Arial"/>
          <w:highlight w:val="none"/>
        </w:rPr>
      </w:pPr>
    </w:p>
    <w:p w14:paraId="4A04F905">
      <w:pPr>
        <w:pStyle w:val="3"/>
        <w:spacing w:line="480" w:lineRule="auto"/>
        <w:ind w:left="0"/>
        <w:rPr>
          <w:rFonts w:hint="default" w:ascii="Arial" w:hAnsi="Arial" w:cs="Arial"/>
          <w:highlight w:val="none"/>
        </w:rPr>
      </w:pPr>
      <w:bookmarkStart w:id="143" w:name="_Toc22857"/>
      <w:r>
        <w:rPr>
          <w:rFonts w:hint="default" w:ascii="Arial" w:hAnsi="Arial" w:cs="Arial"/>
          <w:highlight w:val="none"/>
        </w:rPr>
        <w:t>5.6 Chapter Summary</w:t>
      </w:r>
      <w:bookmarkEnd w:id="143"/>
    </w:p>
    <w:p w14:paraId="3BD20C8F">
      <w:pPr>
        <w:rPr>
          <w:rFonts w:hint="default" w:ascii="Arial" w:hAnsi="Arial" w:cs="Arial"/>
          <w:highlight w:val="none"/>
        </w:rPr>
      </w:pPr>
      <w:r>
        <w:rPr>
          <w:rFonts w:hint="default" w:ascii="Arial" w:hAnsi="Arial" w:cs="Arial"/>
          <w:highlight w:val="none"/>
        </w:rPr>
        <w:t>The chapter presented a synthesis of 10 articles that were incorporated in this systematic literature review. A thematic approach to analysis identified three important themes: lifestyle behaviours and CVD (cardiovascular disease) risk, cultural/societal influences, and barriers/facilitators to prevent CVD. It was found that cultural practice, socioeconomic status, and individual behaviour interact in a complex manner that leads to the development of CVD amongst the South Asian adults in the UK. Another aspect was the presence of knowledge/behaviour gaps and a focus on the necessity to create intervention programs with a cultural approach. The results will form the foundation of the discussions that will ensue in this chapter.</w:t>
      </w:r>
    </w:p>
    <w:p w14:paraId="04389854">
      <w:pPr>
        <w:spacing w:line="240" w:lineRule="auto"/>
        <w:jc w:val="left"/>
        <w:rPr>
          <w:rFonts w:hint="default" w:ascii="Arial" w:hAnsi="Arial" w:cs="Arial"/>
          <w:b/>
          <w:sz w:val="28"/>
          <w:szCs w:val="32"/>
          <w:highlight w:val="none"/>
          <w:lang w:val="en-IN"/>
        </w:rPr>
      </w:pPr>
      <w:bookmarkStart w:id="144" w:name="_Toc227024748"/>
      <w:r>
        <w:rPr>
          <w:rFonts w:hint="default" w:ascii="Arial" w:hAnsi="Arial" w:cs="Arial"/>
          <w:highlight w:val="none"/>
          <w:lang w:val="en-IN"/>
        </w:rPr>
        <w:br w:type="page"/>
      </w:r>
    </w:p>
    <w:bookmarkEnd w:id="144"/>
    <w:p w14:paraId="34D9FF34">
      <w:pPr>
        <w:pStyle w:val="2"/>
        <w:spacing w:line="480" w:lineRule="auto"/>
        <w:jc w:val="center"/>
        <w:rPr>
          <w:rFonts w:hint="default" w:ascii="Arial" w:hAnsi="Arial" w:cs="Arial"/>
          <w:highlight w:val="none"/>
          <w:lang w:val="en-IN"/>
        </w:rPr>
      </w:pPr>
      <w:bookmarkStart w:id="145" w:name="_Toc228890828"/>
      <w:bookmarkStart w:id="146" w:name="_Toc17250"/>
      <w:r>
        <w:rPr>
          <w:rFonts w:hint="default" w:ascii="Arial" w:hAnsi="Arial" w:cs="Arial"/>
          <w:highlight w:val="none"/>
          <w:lang w:val="en-IN"/>
        </w:rPr>
        <w:t>CHAPTER 6: DISCUSSION</w:t>
      </w:r>
      <w:bookmarkEnd w:id="145"/>
      <w:bookmarkEnd w:id="146"/>
    </w:p>
    <w:p w14:paraId="34979528">
      <w:pPr>
        <w:pStyle w:val="3"/>
        <w:spacing w:line="480" w:lineRule="auto"/>
        <w:ind w:left="0"/>
        <w:rPr>
          <w:rFonts w:hint="default" w:ascii="Arial" w:hAnsi="Arial" w:cs="Arial"/>
          <w:highlight w:val="none"/>
          <w:lang w:val="en-IN"/>
        </w:rPr>
      </w:pPr>
      <w:bookmarkStart w:id="147" w:name="_Toc227024749"/>
      <w:bookmarkStart w:id="148" w:name="_Toc228890829"/>
      <w:bookmarkStart w:id="149" w:name="_Toc22933"/>
      <w:r>
        <w:rPr>
          <w:rFonts w:hint="default" w:ascii="Arial" w:hAnsi="Arial" w:cs="Arial"/>
          <w:highlight w:val="none"/>
          <w:lang w:val="en-IN"/>
        </w:rPr>
        <w:t>6.1 Introduction to Chapter</w:t>
      </w:r>
      <w:bookmarkEnd w:id="147"/>
      <w:bookmarkEnd w:id="148"/>
      <w:bookmarkEnd w:id="149"/>
    </w:p>
    <w:p w14:paraId="3641F254">
      <w:pPr>
        <w:rPr>
          <w:rFonts w:hint="default" w:ascii="Arial" w:hAnsi="Arial" w:cs="Arial"/>
          <w:highlight w:val="none"/>
          <w:lang w:val="en-IN"/>
        </w:rPr>
      </w:pPr>
      <w:r>
        <w:rPr>
          <w:rFonts w:hint="default" w:ascii="Arial" w:hAnsi="Arial" w:cs="Arial"/>
          <w:highlight w:val="none"/>
          <w:lang w:val="en-IN"/>
        </w:rPr>
        <w:t xml:space="preserve">Within this discussion chapter, a comprehensive discussion of the findings will be presented. The findings have been obtained from the systematic literature review (SLR), which effectively evaluated the impact of modifiable lifestyle variables on cardiovascular health across South Asian individuals living within the United Kingdom. The findings of this study recognised three central themes. This includes lifestyle behaviours and cardiovascular disease (CVD) risk, cultural and migration influences, along with the limitations and facilitators to disease prevention. Following this, the discussion will thoroughly assess findings through contrasting them with current peer-reviewed evidence as well as established theories around public health. </w:t>
      </w:r>
    </w:p>
    <w:p w14:paraId="1AFA4F58">
      <w:pPr>
        <w:rPr>
          <w:rFonts w:hint="default" w:ascii="Arial" w:hAnsi="Arial" w:cs="Arial"/>
          <w:highlight w:val="none"/>
          <w:lang w:val="en-IN"/>
        </w:rPr>
      </w:pPr>
    </w:p>
    <w:p w14:paraId="3790DF65">
      <w:pPr>
        <w:pStyle w:val="3"/>
        <w:spacing w:line="480" w:lineRule="auto"/>
        <w:ind w:left="0"/>
        <w:rPr>
          <w:rFonts w:hint="default" w:ascii="Arial" w:hAnsi="Arial" w:cs="Arial"/>
          <w:highlight w:val="none"/>
          <w:lang w:val="en-IN"/>
        </w:rPr>
      </w:pPr>
      <w:bookmarkStart w:id="150" w:name="_Toc228890830"/>
      <w:bookmarkStart w:id="151" w:name="_Toc227024750"/>
      <w:bookmarkStart w:id="152" w:name="_Toc31221"/>
      <w:r>
        <w:rPr>
          <w:rFonts w:hint="default" w:ascii="Arial" w:hAnsi="Arial" w:cs="Arial"/>
          <w:highlight w:val="none"/>
          <w:lang w:val="en-IN"/>
        </w:rPr>
        <w:t>6.2 Discussion of Key Findings</w:t>
      </w:r>
      <w:bookmarkEnd w:id="150"/>
      <w:bookmarkEnd w:id="151"/>
      <w:bookmarkEnd w:id="152"/>
    </w:p>
    <w:p w14:paraId="139704C0">
      <w:pPr>
        <w:pStyle w:val="4"/>
        <w:spacing w:line="480" w:lineRule="auto"/>
        <w:rPr>
          <w:rFonts w:hint="default" w:ascii="Arial" w:hAnsi="Arial" w:cs="Arial"/>
          <w:sz w:val="24"/>
          <w:szCs w:val="24"/>
          <w:highlight w:val="none"/>
        </w:rPr>
      </w:pPr>
      <w:bookmarkStart w:id="153" w:name="_Toc227024751"/>
      <w:bookmarkStart w:id="154" w:name="_Toc228890831"/>
      <w:bookmarkStart w:id="155" w:name="_Toc3741"/>
      <w:r>
        <w:rPr>
          <w:rFonts w:hint="default" w:ascii="Arial" w:hAnsi="Arial" w:cs="Arial"/>
          <w:sz w:val="24"/>
          <w:szCs w:val="24"/>
          <w:highlight w:val="none"/>
        </w:rPr>
        <w:t>6.2.1 Critical Analysis of Findings Linked to Background Research</w:t>
      </w:r>
      <w:bookmarkEnd w:id="153"/>
      <w:bookmarkEnd w:id="154"/>
      <w:bookmarkEnd w:id="155"/>
    </w:p>
    <w:p w14:paraId="239E0402">
      <w:pPr>
        <w:spacing w:line="480" w:lineRule="auto"/>
        <w:rPr>
          <w:rFonts w:hint="default" w:ascii="Arial" w:hAnsi="Arial" w:cs="Arial"/>
          <w:b/>
          <w:bCs/>
          <w:highlight w:val="none"/>
          <w:lang w:val="en-IN"/>
        </w:rPr>
      </w:pPr>
      <w:r>
        <w:rPr>
          <w:rFonts w:hint="default" w:ascii="Arial" w:hAnsi="Arial" w:cs="Arial"/>
          <w:b/>
          <w:bCs/>
          <w:highlight w:val="none"/>
          <w:lang w:val="en-IN"/>
        </w:rPr>
        <w:t>Theme 1: Lifestyle Behaviours and Cardiovascular Disease Risk</w:t>
      </w:r>
    </w:p>
    <w:p w14:paraId="78DB602C">
      <w:pPr>
        <w:spacing w:line="480" w:lineRule="auto"/>
        <w:rPr>
          <w:rFonts w:hint="default" w:ascii="Arial" w:hAnsi="Arial" w:cs="Arial"/>
          <w:b/>
          <w:bCs/>
          <w:highlight w:val="none"/>
          <w:lang w:val="en-IN"/>
        </w:rPr>
      </w:pPr>
      <w:r>
        <w:rPr>
          <w:rFonts w:hint="default" w:ascii="Arial" w:hAnsi="Arial" w:cs="Arial"/>
          <w:b/>
          <w:bCs/>
          <w:highlight w:val="none"/>
          <w:lang w:val="en-IN"/>
        </w:rPr>
        <w:t>Dietary behaviour and cardiovascular risk</w:t>
      </w:r>
    </w:p>
    <w:p w14:paraId="51F51F03">
      <w:pPr>
        <w:rPr>
          <w:rFonts w:hint="default" w:ascii="Arial" w:hAnsi="Arial" w:cs="Arial"/>
          <w:highlight w:val="none"/>
          <w:lang w:val="en-IN"/>
        </w:rPr>
      </w:pPr>
      <w:r>
        <w:rPr>
          <w:rFonts w:hint="default" w:ascii="Arial" w:hAnsi="Arial" w:cs="Arial"/>
          <w:highlight w:val="none"/>
          <w:lang w:val="en-IN"/>
        </w:rPr>
        <w:t>The results of this review indicated that dietary behaviour was one of the most important lifestyle practices that were associated with the risk of cardiovascular disease among South Asian adults in the UK. In Chapter 5, it was established that matters of healthy diet change were challenging due to traditional food practices consisting of oily, fried, high carbohydrate, and high-fat foods. But these eating habits were not merely personal preferences. They had a strong relation with culture, family traditions, affordability, time constraints and social status. This implies that dietary modification becomes more challenging when food is connected to the family norms and cultural identification.</w:t>
      </w:r>
    </w:p>
    <w:p w14:paraId="43B38776">
      <w:pPr>
        <w:rPr>
          <w:rFonts w:hint="default" w:ascii="Arial" w:hAnsi="Arial" w:cs="Arial"/>
          <w:highlight w:val="none"/>
          <w:lang w:val="en-IN"/>
        </w:rPr>
      </w:pPr>
    </w:p>
    <w:p w14:paraId="59609DBF">
      <w:pPr>
        <w:rPr>
          <w:rFonts w:hint="default" w:ascii="Arial" w:hAnsi="Arial" w:cs="Arial"/>
          <w:highlight w:val="none"/>
          <w:lang w:val="en-IN"/>
        </w:rPr>
      </w:pPr>
      <w:r>
        <w:rPr>
          <w:rFonts w:hint="default" w:ascii="Arial" w:hAnsi="Arial" w:cs="Arial"/>
          <w:highlight w:val="none"/>
          <w:lang w:val="en-IN"/>
        </w:rPr>
        <w:t>This observation is in agreement with broader background studies that have found that South Asian populations tend to develop higher levels of cardiometabolic risk, such as high blood pressure, diabetes and coronary heart disease. The results of the review, however, add that not only does diet cause risk, but also do social and cultural meanings attached to food. Hence, the public health counselling ought not to merely inform individuals to shun the conventional foods. Rather, it ought to encourage healthier variations of common dishes.</w:t>
      </w:r>
    </w:p>
    <w:p w14:paraId="6A908718">
      <w:pPr>
        <w:rPr>
          <w:rFonts w:hint="default" w:ascii="Arial" w:hAnsi="Arial" w:cs="Arial"/>
          <w:highlight w:val="none"/>
          <w:lang w:val="en-IN"/>
        </w:rPr>
      </w:pPr>
    </w:p>
    <w:p w14:paraId="7975ABAA">
      <w:pPr>
        <w:rPr>
          <w:rFonts w:hint="default" w:ascii="Arial" w:hAnsi="Arial" w:cs="Arial"/>
          <w:highlight w:val="none"/>
          <w:lang w:val="en-IN"/>
        </w:rPr>
      </w:pPr>
    </w:p>
    <w:p w14:paraId="459B9456">
      <w:pPr>
        <w:spacing w:line="480" w:lineRule="auto"/>
        <w:rPr>
          <w:rFonts w:hint="default" w:ascii="Arial" w:hAnsi="Arial" w:cs="Arial"/>
          <w:b/>
          <w:bCs/>
          <w:highlight w:val="none"/>
          <w:lang w:val="en-IN"/>
        </w:rPr>
      </w:pPr>
      <w:r>
        <w:rPr>
          <w:rFonts w:hint="default" w:ascii="Arial" w:hAnsi="Arial" w:cs="Arial"/>
          <w:b/>
          <w:bCs/>
          <w:highlight w:val="none"/>
          <w:lang w:val="en-IN"/>
        </w:rPr>
        <w:t>Lifestyle barriers and physical inactivity</w:t>
      </w:r>
    </w:p>
    <w:p w14:paraId="34EB73EA">
      <w:pPr>
        <w:rPr>
          <w:rFonts w:hint="default" w:ascii="Arial" w:hAnsi="Arial" w:cs="Arial"/>
          <w:highlight w:val="none"/>
          <w:lang w:val="en-IN"/>
        </w:rPr>
      </w:pPr>
      <w:r>
        <w:rPr>
          <w:rFonts w:hint="default" w:ascii="Arial" w:hAnsi="Arial" w:cs="Arial"/>
          <w:highlight w:val="none"/>
          <w:lang w:val="en-IN"/>
        </w:rPr>
        <w:t>The review also found that physical inactivity was an important contributor to cardiovascular risk. Chapter 5 studies revealed that South Asian adults were most often aware that exercise was good, but they were often unaware of more specific details of exercise, particularly resistance training. More to the point, increased awareness did not necessarily result in changing behaviour. The participants found it difficult due to extended working hours, fatigue, family commitments, time and space constraints due to a lack of culturally appropriate spaces where they can exercise.</w:t>
      </w:r>
    </w:p>
    <w:p w14:paraId="47CAA51C">
      <w:pPr>
        <w:rPr>
          <w:rFonts w:hint="default" w:ascii="Arial" w:hAnsi="Arial" w:cs="Arial"/>
          <w:highlight w:val="none"/>
          <w:lang w:val="en-IN"/>
        </w:rPr>
      </w:pPr>
    </w:p>
    <w:p w14:paraId="0C6C13D8">
      <w:pPr>
        <w:rPr>
          <w:rFonts w:hint="default" w:ascii="Arial" w:hAnsi="Arial" w:cs="Arial"/>
          <w:highlight w:val="none"/>
          <w:lang w:val="en-IN"/>
        </w:rPr>
      </w:pPr>
      <w:r>
        <w:rPr>
          <w:rFonts w:hint="default" w:ascii="Arial" w:hAnsi="Arial" w:cs="Arial"/>
          <w:highlight w:val="none"/>
          <w:lang w:val="en-IN"/>
        </w:rPr>
        <w:t>This demonstrates that physical inactivity cannot be interpreted solely as a deprivation of motivation. It is also influenced by work, income, gender roles and migration-related patterns of living. Indicatively, individuals who are employed in long hours in service-sector jobs or physically demanding jobs may be too exhausted to engage in intended exercise. Thus, prevention of cardiovascular diseases needs to consider practical obstacles, rather than just knowledge gaps.</w:t>
      </w:r>
    </w:p>
    <w:p w14:paraId="08DE395C">
      <w:pPr>
        <w:rPr>
          <w:rFonts w:hint="default" w:ascii="Arial" w:hAnsi="Arial" w:cs="Arial"/>
          <w:highlight w:val="none"/>
          <w:lang w:val="en-IN"/>
        </w:rPr>
      </w:pPr>
    </w:p>
    <w:p w14:paraId="2941FA5F">
      <w:pPr>
        <w:spacing w:line="480" w:lineRule="auto"/>
        <w:rPr>
          <w:rFonts w:hint="default" w:ascii="Arial" w:hAnsi="Arial" w:cs="Arial"/>
          <w:b/>
          <w:bCs/>
          <w:highlight w:val="none"/>
          <w:lang w:val="en-IN"/>
        </w:rPr>
      </w:pPr>
      <w:r>
        <w:rPr>
          <w:rFonts w:hint="default" w:ascii="Arial" w:hAnsi="Arial" w:cs="Arial"/>
          <w:b/>
          <w:bCs/>
          <w:highlight w:val="none"/>
          <w:lang w:val="en-IN"/>
        </w:rPr>
        <w:t>Behaviour changes and psychological wellbeing</w:t>
      </w:r>
    </w:p>
    <w:p w14:paraId="153388CF">
      <w:pPr>
        <w:rPr>
          <w:rFonts w:hint="default" w:ascii="Arial" w:hAnsi="Arial" w:cs="Arial"/>
          <w:highlight w:val="none"/>
          <w:lang w:val="en-IN"/>
        </w:rPr>
      </w:pPr>
      <w:r>
        <w:rPr>
          <w:rFonts w:hint="default" w:ascii="Arial" w:hAnsi="Arial" w:cs="Arial"/>
          <w:highlight w:val="none"/>
          <w:lang w:val="en-IN"/>
        </w:rPr>
        <w:t>Another important finding was the psychological factors. The review established that anxiety, depression, stress and fear of physical exertion following cardiac events decreased confidence to exercise and adopt healthier behaviours. This is relevant in that mental wellbeing can be lowered, thus leading to the diminished capacity of the person to continue with lifestyle change.</w:t>
      </w:r>
    </w:p>
    <w:p w14:paraId="75141C2D">
      <w:pPr>
        <w:rPr>
          <w:rFonts w:hint="default" w:ascii="Arial" w:hAnsi="Arial" w:cs="Arial"/>
          <w:highlight w:val="none"/>
          <w:lang w:val="en-IN"/>
        </w:rPr>
      </w:pPr>
    </w:p>
    <w:p w14:paraId="1F89E648">
      <w:pPr>
        <w:rPr>
          <w:rFonts w:hint="default" w:ascii="Arial" w:hAnsi="Arial" w:cs="Arial"/>
          <w:highlight w:val="none"/>
          <w:lang w:val="en-IN"/>
        </w:rPr>
      </w:pPr>
      <w:r>
        <w:rPr>
          <w:rFonts w:hint="default" w:ascii="Arial" w:hAnsi="Arial" w:cs="Arial"/>
          <w:highlight w:val="none"/>
          <w:lang w:val="en-IN"/>
        </w:rPr>
        <w:t>These results are consistent with broader studies that indicate that, among South Asian migrant populations, psychosocial stress is a key cardiovascular risk factor. Financial pressure, family conflict, discrimination, overcrowding and employment insecurity may be related to stress. As such, the use of lifestyle interventions cannot be reduced to diet and exercise. They are also to incorporate emotional support, stress management and culturally sensitive counselling. The general rationale of UK South Asians public health strategies should be family-based, culturally sensitive and tailored to socioeconomic and psychological hindrances.</w:t>
      </w:r>
    </w:p>
    <w:p w14:paraId="08541C6B">
      <w:pPr>
        <w:spacing w:line="480" w:lineRule="auto"/>
        <w:rPr>
          <w:rFonts w:hint="default" w:ascii="Arial" w:hAnsi="Arial" w:cs="Arial"/>
          <w:b/>
          <w:bCs/>
          <w:highlight w:val="none"/>
          <w:lang w:val="en-IN"/>
        </w:rPr>
      </w:pPr>
      <w:r>
        <w:rPr>
          <w:rFonts w:hint="default" w:ascii="Arial" w:hAnsi="Arial" w:cs="Arial"/>
          <w:b/>
          <w:bCs/>
          <w:highlight w:val="none"/>
          <w:lang w:val="en-IN"/>
        </w:rPr>
        <w:t xml:space="preserve">Theme 2: Cultural, Social, and Migration Influences </w:t>
      </w:r>
    </w:p>
    <w:p w14:paraId="1DD2FA8F">
      <w:pPr>
        <w:rPr>
          <w:rFonts w:hint="default" w:ascii="Arial" w:hAnsi="Arial" w:cs="Arial"/>
          <w:highlight w:val="none"/>
          <w:lang w:val="en-IN"/>
        </w:rPr>
      </w:pPr>
      <w:r>
        <w:rPr>
          <w:rFonts w:hint="default" w:ascii="Arial" w:hAnsi="Arial" w:cs="Arial"/>
          <w:highlight w:val="none"/>
          <w:lang w:val="en-IN"/>
        </w:rPr>
        <w:t xml:space="preserve">The second important finding of this research revealed that family dynamics, cultural harmony, and deeply integrated health beliefs generally take precedence over individual priorities of health priorities across South Asians who are living within the United Kingdom. Moreover, the misconceptions linking further coronary heart disease to fate or divine would critically lower the preventive behaviours related to perceived significance. Moreover, sources like </w:t>
      </w:r>
      <w:r>
        <w:rPr>
          <w:rFonts w:hint="default" w:ascii="Arial" w:hAnsi="Arial" w:cs="Arial"/>
          <w:highlight w:val="none"/>
        </w:rPr>
        <w:t xml:space="preserve">Otaigboria (2024) </w:t>
      </w:r>
      <w:r>
        <w:rPr>
          <w:rFonts w:hint="default" w:ascii="Arial" w:hAnsi="Arial" w:cs="Arial"/>
          <w:highlight w:val="none"/>
          <w:lang w:val="en-IN"/>
        </w:rPr>
        <w:t>have elaborated in this context, which states that health initiatives that are culturally generic are significantly inefficient. This is because they do not deal with entrenched beliefs and health illiteracy in the diasporic communities.</w:t>
      </w:r>
    </w:p>
    <w:p w14:paraId="41E2F094">
      <w:pPr>
        <w:rPr>
          <w:rFonts w:hint="default" w:ascii="Arial" w:hAnsi="Arial" w:cs="Arial"/>
          <w:b/>
          <w:highlight w:val="none"/>
          <w:lang w:val="en-IN"/>
        </w:rPr>
      </w:pPr>
      <w:r>
        <w:rPr>
          <w:rFonts w:hint="default" w:ascii="Arial" w:hAnsi="Arial" w:cs="Arial"/>
          <w:b/>
          <w:highlight w:val="none"/>
          <w:lang w:val="en-IN"/>
        </w:rPr>
        <w:t>Family and Cultural Beliefs</w:t>
      </w:r>
    </w:p>
    <w:p w14:paraId="3A34332F">
      <w:pPr>
        <w:rPr>
          <w:rFonts w:hint="default" w:ascii="Arial" w:hAnsi="Arial" w:cs="Arial"/>
          <w:highlight w:val="none"/>
          <w:lang w:val="en-IN"/>
        </w:rPr>
      </w:pPr>
      <w:r>
        <w:rPr>
          <w:rFonts w:hint="default" w:ascii="Arial" w:hAnsi="Arial" w:cs="Arial"/>
          <w:highlight w:val="none"/>
          <w:lang w:val="en-IN"/>
        </w:rPr>
        <w:t xml:space="preserve">Additionally, another key finding reveals about the family structures reinforce these behaviours. It is where collective decision-making generally outweighs individual preferences. Furthermore, the individuals might give priority to social expectations. This comprises traditions of diet as well as caregiving roles, which arebased on their own health requirements. Limitations around gender are specifically noticeable across females of South Asian descent, whose physical activity seems generally bounded by modesty norms, considerations around safety, and household responsibilities. Apart from this, sources like </w:t>
      </w:r>
      <w:r>
        <w:rPr>
          <w:rFonts w:hint="default" w:ascii="Arial" w:hAnsi="Arial" w:cs="Arial"/>
          <w:highlight w:val="none"/>
        </w:rPr>
        <w:t xml:space="preserve">Rahaman et al. (2025) </w:t>
      </w:r>
      <w:r>
        <w:rPr>
          <w:rFonts w:hint="default" w:ascii="Arial" w:hAnsi="Arial" w:cs="Arial"/>
          <w:highlight w:val="none"/>
          <w:lang w:val="en-IN"/>
        </w:rPr>
        <w:t>have revealed that South Asian females showcase coronary heart disease rates in contrast to men of White European origin. This showcases a potential loss of biological protection, which is because of socio-cultural limitations.</w:t>
      </w:r>
    </w:p>
    <w:p w14:paraId="0AC39A45">
      <w:pPr>
        <w:rPr>
          <w:rFonts w:hint="default" w:ascii="Arial" w:hAnsi="Arial" w:cs="Arial"/>
          <w:highlight w:val="none"/>
          <w:lang w:val="en-IN"/>
        </w:rPr>
      </w:pPr>
    </w:p>
    <w:p w14:paraId="7F9C6E9B">
      <w:pPr>
        <w:spacing w:line="480" w:lineRule="auto"/>
        <w:rPr>
          <w:rFonts w:hint="default" w:ascii="Arial" w:hAnsi="Arial" w:cs="Arial"/>
          <w:b/>
          <w:highlight w:val="none"/>
          <w:lang w:val="en-IN"/>
        </w:rPr>
      </w:pPr>
      <w:r>
        <w:rPr>
          <w:rFonts w:hint="default" w:ascii="Arial" w:hAnsi="Arial" w:cs="Arial"/>
          <w:b/>
          <w:highlight w:val="none"/>
          <w:lang w:val="en-IN"/>
        </w:rPr>
        <w:t>Social Expectations and Migration Influence</w:t>
      </w:r>
    </w:p>
    <w:p w14:paraId="2F4C3D06">
      <w:pPr>
        <w:rPr>
          <w:rFonts w:hint="default" w:ascii="Arial" w:hAnsi="Arial" w:cs="Arial"/>
          <w:highlight w:val="none"/>
          <w:lang w:val="en-IN"/>
        </w:rPr>
      </w:pPr>
      <w:r>
        <w:rPr>
          <w:rFonts w:hint="default" w:ascii="Arial" w:hAnsi="Arial" w:cs="Arial"/>
          <w:highlight w:val="none"/>
          <w:lang w:val="en-IN"/>
        </w:rPr>
        <w:t>Another key finding which was found was that cardiovascular results additionally get affected due to migration and acculturation. In this area, novel arrived migrants generally face abrupt changes in their lifestyle</w:t>
      </w:r>
      <w:r>
        <w:rPr>
          <w:rFonts w:hint="default" w:ascii="Arial" w:hAnsi="Arial" w:cs="Arial"/>
          <w:highlight w:val="none"/>
        </w:rPr>
        <w:t xml:space="preserve"> (Agyemang et al., (2024)</w:t>
      </w:r>
      <w:r>
        <w:rPr>
          <w:rFonts w:hint="default" w:ascii="Arial" w:hAnsi="Arial" w:cs="Arial"/>
          <w:highlight w:val="none"/>
          <w:lang w:val="en-IN"/>
        </w:rPr>
        <w:t>. This comprises decreased physical activity alongside increased exposure towards calorie-dense diets. The second-generation individuals simultaneously might have higher health awareness. However, they remain bounded through conventional expectations from the family. It eventually shapes an intergenerational conflict which restricts the adoption of healthier behaviours.</w:t>
      </w:r>
    </w:p>
    <w:p w14:paraId="1ACDEDD1">
      <w:pPr>
        <w:rPr>
          <w:rFonts w:hint="default" w:ascii="Arial" w:hAnsi="Arial" w:cs="Arial"/>
          <w:highlight w:val="none"/>
          <w:lang w:val="en-IN"/>
        </w:rPr>
      </w:pPr>
      <w:r>
        <w:rPr>
          <w:rFonts w:hint="default" w:ascii="Arial" w:hAnsi="Arial" w:cs="Arial"/>
          <w:highlight w:val="none"/>
          <w:lang w:val="en-IN"/>
        </w:rPr>
        <w:t>In addition to this, cultural identity, migration experiences, and social structures on a holistic note engage to transform cardiovascular risk. Findings from the review have highlighted the requirement for culturally sensitive, family-oriented interventions. These will help to deal with the beliefs, gender norms, and intergenerational dynamics at the same time.</w:t>
      </w:r>
    </w:p>
    <w:p w14:paraId="70C0A09A">
      <w:pPr>
        <w:rPr>
          <w:rFonts w:hint="default" w:ascii="Arial" w:hAnsi="Arial" w:cs="Arial"/>
          <w:highlight w:val="none"/>
          <w:lang w:val="en-IN"/>
        </w:rPr>
      </w:pPr>
    </w:p>
    <w:p w14:paraId="69292E36">
      <w:pPr>
        <w:spacing w:line="480" w:lineRule="auto"/>
        <w:rPr>
          <w:rFonts w:hint="default" w:ascii="Arial" w:hAnsi="Arial" w:cs="Arial"/>
          <w:b/>
          <w:bCs/>
          <w:highlight w:val="none"/>
          <w:lang w:val="en-IN"/>
        </w:rPr>
      </w:pPr>
      <w:bookmarkStart w:id="156" w:name="_Toc227024752"/>
      <w:r>
        <w:rPr>
          <w:rFonts w:hint="default" w:ascii="Arial" w:hAnsi="Arial" w:cs="Arial"/>
          <w:b/>
          <w:bCs/>
          <w:highlight w:val="none"/>
          <w:lang w:val="en-IN"/>
        </w:rPr>
        <w:t>Theme 3: Barriers, Facilitators, and Prevention Strategies</w:t>
      </w:r>
    </w:p>
    <w:p w14:paraId="6BDEABCD">
      <w:pPr>
        <w:spacing w:line="480" w:lineRule="auto"/>
        <w:rPr>
          <w:rFonts w:hint="default" w:ascii="Arial" w:hAnsi="Arial" w:cs="Arial"/>
          <w:b/>
          <w:bCs/>
          <w:highlight w:val="none"/>
          <w:lang w:val="en-IN"/>
        </w:rPr>
      </w:pPr>
      <w:r>
        <w:rPr>
          <w:rFonts w:hint="default" w:ascii="Arial" w:hAnsi="Arial" w:cs="Arial"/>
          <w:b/>
          <w:bCs/>
          <w:highlight w:val="none"/>
          <w:lang w:val="en-IN"/>
        </w:rPr>
        <w:t>Barriers to cardiovascular prevention</w:t>
      </w:r>
    </w:p>
    <w:p w14:paraId="1E866666">
      <w:pPr>
        <w:rPr>
          <w:rFonts w:hint="default" w:ascii="Arial" w:hAnsi="Arial" w:cs="Arial"/>
          <w:highlight w:val="none"/>
          <w:lang w:val="en-IN"/>
        </w:rPr>
      </w:pPr>
      <w:r>
        <w:rPr>
          <w:rFonts w:hint="default" w:ascii="Arial" w:hAnsi="Arial" w:cs="Arial"/>
          <w:highlight w:val="none"/>
          <w:lang w:val="en-IN"/>
        </w:rPr>
        <w:t>The third important finding of the review was that socioeconomic and structural barriers were significant limitations to cardiovascular disease prevention among South Asian adults in the UK. These obstacles were the expensive nature of healthier foods, long work hours, time constraints, fatigue, family demands and inaccessible or unsafe exercise areas. This is a hint that lifestyle change is not merely influenced by personal motivation but also by the circumstances people live and work in. To illustrate, an individual might be aware of the need to eat healthily but may still opt to take cheap, convenient or traditional food because of the costs and time constraints. Equally, excessive working time may diminish the chances of exercising and frequent medical check-ups.</w:t>
      </w:r>
    </w:p>
    <w:p w14:paraId="251314A6">
      <w:pPr>
        <w:rPr>
          <w:rFonts w:hint="default" w:ascii="Arial" w:hAnsi="Arial" w:cs="Arial"/>
          <w:highlight w:val="none"/>
          <w:lang w:val="en-IN"/>
        </w:rPr>
      </w:pPr>
    </w:p>
    <w:p w14:paraId="2B2810E5">
      <w:pPr>
        <w:rPr>
          <w:rFonts w:hint="default" w:ascii="Arial" w:hAnsi="Arial" w:cs="Arial"/>
          <w:highlight w:val="none"/>
          <w:lang w:val="en-IN"/>
        </w:rPr>
      </w:pPr>
      <w:r>
        <w:rPr>
          <w:rFonts w:hint="default" w:ascii="Arial" w:hAnsi="Arial" w:cs="Arial"/>
          <w:highlight w:val="none"/>
          <w:lang w:val="en-IN"/>
        </w:rPr>
        <w:t>The other obstacle was the absence of particular and practical health knowledge. Even though there was general awareness of cardiovascular disease amongst many of the participants, there was no consistent understanding of specific risk factors like alcohol consumption, sedentary behaviour, portion size or physical activity recommendations. This implies that prevention messages should be more specific and must be directly correlated with lifestyle decisions that people make in their daily lives.</w:t>
      </w:r>
    </w:p>
    <w:p w14:paraId="3339D21A">
      <w:pPr>
        <w:rPr>
          <w:rFonts w:hint="default" w:ascii="Arial" w:hAnsi="Arial" w:cs="Arial"/>
          <w:highlight w:val="none"/>
          <w:lang w:val="en-IN"/>
        </w:rPr>
      </w:pPr>
    </w:p>
    <w:p w14:paraId="61EE328B">
      <w:pPr>
        <w:spacing w:line="480" w:lineRule="auto"/>
        <w:rPr>
          <w:rFonts w:hint="default" w:ascii="Arial" w:hAnsi="Arial" w:cs="Arial"/>
          <w:highlight w:val="none"/>
          <w:lang w:val="en-IN"/>
        </w:rPr>
      </w:pPr>
      <w:r>
        <w:rPr>
          <w:rFonts w:hint="default" w:ascii="Arial" w:hAnsi="Arial" w:cs="Arial"/>
          <w:b/>
          <w:bCs/>
          <w:highlight w:val="none"/>
          <w:lang w:val="en-IN"/>
        </w:rPr>
        <w:t>Facilitators and prevention strategies</w:t>
      </w:r>
    </w:p>
    <w:p w14:paraId="0A15DD49">
      <w:pPr>
        <w:rPr>
          <w:rFonts w:hint="default" w:ascii="Arial" w:hAnsi="Arial" w:cs="Arial"/>
          <w:highlight w:val="none"/>
          <w:lang w:val="en-IN"/>
        </w:rPr>
      </w:pPr>
      <w:r>
        <w:rPr>
          <w:rFonts w:hint="default" w:ascii="Arial" w:hAnsi="Arial" w:cs="Arial"/>
          <w:highlight w:val="none"/>
          <w:lang w:val="en-IN"/>
        </w:rPr>
        <w:t>The review also found some of the facilitators that can help in cardiovascular prevention. Interventions based in the society were particularly effective since they enhanced access, trust and engagement. Health screening and education through religious centres, community halls, local groups and culturally familiar environments may enhance the number of people participating in health screening and education by South Asian adults in the UK.</w:t>
      </w:r>
    </w:p>
    <w:p w14:paraId="03D6E462">
      <w:pPr>
        <w:rPr>
          <w:rFonts w:hint="default" w:ascii="Arial" w:hAnsi="Arial" w:cs="Arial"/>
          <w:highlight w:val="none"/>
          <w:lang w:val="en-IN"/>
        </w:rPr>
      </w:pPr>
    </w:p>
    <w:p w14:paraId="6604332E">
      <w:pPr>
        <w:rPr>
          <w:rFonts w:hint="default" w:ascii="Arial" w:hAnsi="Arial" w:cs="Arial"/>
          <w:highlight w:val="none"/>
          <w:lang w:val="en-IN"/>
        </w:rPr>
      </w:pPr>
      <w:r>
        <w:rPr>
          <w:rFonts w:hint="default" w:ascii="Arial" w:hAnsi="Arial" w:cs="Arial"/>
          <w:highlight w:val="none"/>
          <w:lang w:val="en-IN"/>
        </w:rPr>
        <w:t>The cultural adaptation and practicality of prevention strategies should also be realized. As an example, dietary education must concentrate on the reduction of oil, salt, sugar and portion size in traditional meals instead of eliminating cultural foods. Programmes to involve in physical activity may involve walking groups, women-only exercise sessions, family-based, and community role models. Moreover, stress management and frequent screening of the CVD risks should also be included in prevention. Consequently, effective cardiovascular prevention among UK South Asians should involve both cost-effective access and culturally competent education, community-delivered and practical-based lifestyle support.</w:t>
      </w:r>
    </w:p>
    <w:p w14:paraId="4A2C52AA">
      <w:pPr>
        <w:rPr>
          <w:rFonts w:hint="default" w:ascii="Arial" w:hAnsi="Arial" w:cs="Arial"/>
          <w:b/>
          <w:bCs/>
          <w:highlight w:val="none"/>
          <w:lang w:val="en-IN"/>
        </w:rPr>
      </w:pPr>
    </w:p>
    <w:p w14:paraId="216C0D44">
      <w:pPr>
        <w:pStyle w:val="4"/>
        <w:spacing w:line="480" w:lineRule="auto"/>
        <w:rPr>
          <w:rFonts w:hint="default" w:ascii="Arial" w:hAnsi="Arial" w:cs="Arial"/>
          <w:sz w:val="24"/>
          <w:szCs w:val="24"/>
          <w:highlight w:val="none"/>
          <w:lang w:val="en-IN"/>
        </w:rPr>
      </w:pPr>
      <w:bookmarkStart w:id="157" w:name="_Toc21308"/>
      <w:r>
        <w:rPr>
          <w:rFonts w:hint="default" w:ascii="Arial" w:hAnsi="Arial" w:cs="Arial"/>
          <w:sz w:val="24"/>
          <w:szCs w:val="24"/>
          <w:highlight w:val="none"/>
          <w:lang w:val="en-IN"/>
        </w:rPr>
        <w:t>6.2.2 Critique of the Research Approach</w:t>
      </w:r>
      <w:bookmarkEnd w:id="156"/>
      <w:bookmarkEnd w:id="157"/>
    </w:p>
    <w:p w14:paraId="4945A472">
      <w:pPr>
        <w:rPr>
          <w:rFonts w:hint="default" w:ascii="Arial" w:hAnsi="Arial" w:cs="Arial"/>
          <w:highlight w:val="none"/>
          <w:lang w:val="en-IN"/>
        </w:rPr>
      </w:pPr>
      <w:bookmarkStart w:id="158" w:name="_Toc227024753"/>
      <w:r>
        <w:rPr>
          <w:rFonts w:hint="default" w:ascii="Arial" w:hAnsi="Arial" w:cs="Arial"/>
          <w:highlight w:val="none"/>
          <w:lang w:val="en-IN"/>
        </w:rPr>
        <w:t>Though this systematic literature review was very helpful in terms of the insight given on the risk of cardiovascular diseases among the South Asian adults living in the UK, there were certain methodological limitations that have to be identified. The initial weakness is a high dependence on the qualitative research. Qualitative research is useful since it examines lived experiences, cultural beliefs, influences of family and motivations behind behaviour in detail. Nevertheless, it fails to develop causal links between lifestyle characteristics and cardiovascular outcome. Thus, the results cannot be statistically certain and applied to the entire population of South Asian adults in the UK.</w:t>
      </w:r>
    </w:p>
    <w:p w14:paraId="0FC292D7">
      <w:pPr>
        <w:rPr>
          <w:rFonts w:hint="default" w:ascii="Arial" w:hAnsi="Arial" w:cs="Arial"/>
          <w:highlight w:val="none"/>
          <w:lang w:val="en-IN"/>
        </w:rPr>
      </w:pPr>
    </w:p>
    <w:p w14:paraId="36880B63">
      <w:pPr>
        <w:rPr>
          <w:rFonts w:hint="default" w:ascii="Arial" w:hAnsi="Arial" w:cs="Arial"/>
          <w:highlight w:val="none"/>
          <w:lang w:val="en-IN"/>
        </w:rPr>
      </w:pPr>
      <w:r>
        <w:rPr>
          <w:rFonts w:hint="default" w:ascii="Arial" w:hAnsi="Arial" w:cs="Arial"/>
          <w:highlight w:val="none"/>
          <w:lang w:val="en-IN"/>
        </w:rPr>
        <w:t>The other weakness is the application of small sample sizes in a number of studies that are included. A large number of the participants were recruited based on local communities, i.e. London, Birmingham, Scotland or the East Midlands. This implies that the results might not be a true reflection of the broader diversity of South Asian adults in the UK. This restricts the external validity of the results, and it should be used with caution when offering the findings to appropriate interventions.</w:t>
      </w:r>
    </w:p>
    <w:p w14:paraId="1C29A12B">
      <w:pPr>
        <w:rPr>
          <w:rFonts w:hint="default" w:ascii="Arial" w:hAnsi="Arial" w:cs="Arial"/>
          <w:highlight w:val="none"/>
          <w:lang w:val="en-IN"/>
        </w:rPr>
      </w:pPr>
    </w:p>
    <w:p w14:paraId="0418BE0D">
      <w:pPr>
        <w:rPr>
          <w:rFonts w:hint="default" w:ascii="Arial" w:hAnsi="Arial" w:cs="Arial"/>
          <w:highlight w:val="none"/>
          <w:lang w:val="en-IN"/>
        </w:rPr>
      </w:pPr>
      <w:r>
        <w:rPr>
          <w:rFonts w:hint="default" w:ascii="Arial" w:hAnsi="Arial" w:cs="Arial"/>
          <w:highlight w:val="none"/>
          <w:lang w:val="en-IN"/>
        </w:rPr>
        <w:t>Another problem is the wide application of this term South Asian. This group encompasses Indian, Pakistani, Bangladeshi, Sri Lankan and others, who may vary in their diet, religion, migration history, socioeconomic position, health beliefs and Cardiovascular risk. By combining these groups, significant subgroup differences can be concealed. This restricts the elaboration of culturally relevant and specific prevention measures.</w:t>
      </w:r>
    </w:p>
    <w:p w14:paraId="443F9A84">
      <w:pPr>
        <w:rPr>
          <w:rFonts w:hint="default" w:ascii="Arial" w:hAnsi="Arial" w:cs="Arial"/>
          <w:highlight w:val="none"/>
          <w:lang w:val="en-IN"/>
        </w:rPr>
      </w:pPr>
    </w:p>
    <w:p w14:paraId="571790B8">
      <w:pPr>
        <w:rPr>
          <w:rFonts w:hint="default" w:ascii="Arial" w:hAnsi="Arial" w:cs="Arial"/>
          <w:highlight w:val="none"/>
          <w:lang w:val="en-IN"/>
        </w:rPr>
      </w:pPr>
      <w:r>
        <w:rPr>
          <w:rFonts w:hint="default" w:ascii="Arial" w:hAnsi="Arial" w:cs="Arial"/>
          <w:highlight w:val="none"/>
          <w:lang w:val="en-IN"/>
        </w:rPr>
        <w:t>Another issue is self-reporting bias. Some of the studies used the self-report of diet, physical activity, alcohol consumption and mental health. These responses can be influenced by errors in memory or social desirability, particularly where alcohol use, weight, stress or mental health are culturally stigmatized. This could result in underreporting of risk behaviours and decrease the trustworthiness of the results.</w:t>
      </w:r>
    </w:p>
    <w:p w14:paraId="3E17C9B9">
      <w:pPr>
        <w:rPr>
          <w:rFonts w:hint="default" w:ascii="Arial" w:hAnsi="Arial" w:cs="Arial"/>
          <w:highlight w:val="none"/>
          <w:lang w:val="en-IN"/>
        </w:rPr>
      </w:pPr>
    </w:p>
    <w:p w14:paraId="31A280BF">
      <w:pPr>
        <w:rPr>
          <w:rFonts w:hint="default" w:ascii="Arial" w:hAnsi="Arial" w:cs="Arial"/>
          <w:highlight w:val="none"/>
          <w:lang w:val="en-IN"/>
        </w:rPr>
      </w:pPr>
      <w:r>
        <w:rPr>
          <w:rFonts w:hint="default" w:ascii="Arial" w:hAnsi="Arial" w:cs="Arial"/>
          <w:highlight w:val="none"/>
          <w:lang w:val="en-IN"/>
        </w:rPr>
        <w:t>Theresearch method was appropriate to comprehend experiences and perceptions, but also has limitations in generalisability, measurement, and subgroup analysis. Future studies need to employ larger and more heterogeneous samples, mixed-method design and disaggregated information of various South Asian communities. This would enhance the validity, reliability and practical usefulness of evidence to prevent cardiovascular diseases in the UK.</w:t>
      </w:r>
    </w:p>
    <w:p w14:paraId="3EF3212D">
      <w:pPr>
        <w:rPr>
          <w:rFonts w:hint="default" w:ascii="Arial" w:hAnsi="Arial" w:cs="Arial"/>
          <w:highlight w:val="none"/>
          <w:lang w:val="en-IN"/>
        </w:rPr>
      </w:pPr>
    </w:p>
    <w:p w14:paraId="4231DE40">
      <w:pPr>
        <w:pStyle w:val="3"/>
        <w:spacing w:line="480" w:lineRule="auto"/>
        <w:ind w:left="0"/>
        <w:rPr>
          <w:rFonts w:hint="default" w:ascii="Arial" w:hAnsi="Arial" w:cs="Arial"/>
          <w:highlight w:val="none"/>
          <w:lang w:val="en-IN"/>
        </w:rPr>
      </w:pPr>
      <w:bookmarkStart w:id="159" w:name="_Toc4554"/>
      <w:r>
        <w:rPr>
          <w:rFonts w:hint="default" w:ascii="Arial" w:hAnsi="Arial" w:cs="Arial"/>
          <w:highlight w:val="none"/>
          <w:lang w:val="en-IN"/>
        </w:rPr>
        <w:t>6.3 Strengths and Limitations</w:t>
      </w:r>
      <w:bookmarkEnd w:id="158"/>
      <w:bookmarkEnd w:id="159"/>
    </w:p>
    <w:p w14:paraId="0E28264E">
      <w:pPr>
        <w:rPr>
          <w:rFonts w:hint="default" w:ascii="Arial" w:hAnsi="Arial" w:cs="Arial"/>
          <w:highlight w:val="none"/>
          <w:lang w:val="en-IN"/>
        </w:rPr>
      </w:pPr>
      <w:r>
        <w:rPr>
          <w:rFonts w:hint="default" w:ascii="Arial" w:hAnsi="Arial" w:cs="Arial"/>
          <w:highlight w:val="none"/>
          <w:lang w:val="en-IN"/>
        </w:rPr>
        <w:t>Systematic Literature Review and its stringent methodological framework are one of its crucial strengths. Furthermore, the utilisation of the guidelines of PRISMA guaranteed a transparent and systematic method in terms of the selection of studies. This is all while several scholarly databases improved the comprehensiveness and reliability of the search strategy. This includes PubMed, Web of Science, and ScienceDirect.  This review efficiently showcased complicated socio-cultural and psychological determinants of cardiovascular health, which generally seem to be neglected within quantitative studies. This is achieved through integrating qualitative and mixed-method studies. Implementation of validated critical appraisal tools additionally guaranteed that sources that are of high quality have been included. This includes tools like CASP. This empowers the overall findings related to credibility (</w:t>
      </w:r>
      <w:r>
        <w:rPr>
          <w:rFonts w:hint="default" w:ascii="Arial" w:hAnsi="Arial" w:cs="Arial"/>
          <w:highlight w:val="none"/>
        </w:rPr>
        <w:t>Shaheen et al., 2023)</w:t>
      </w:r>
      <w:r>
        <w:rPr>
          <w:rFonts w:hint="default" w:ascii="Arial" w:hAnsi="Arial" w:cs="Arial"/>
          <w:highlight w:val="none"/>
          <w:lang w:val="en-IN"/>
        </w:rPr>
        <w:t>.</w:t>
      </w:r>
    </w:p>
    <w:p w14:paraId="355224C6">
      <w:pPr>
        <w:rPr>
          <w:rFonts w:hint="default" w:ascii="Arial" w:hAnsi="Arial" w:cs="Arial"/>
          <w:highlight w:val="none"/>
          <w:lang w:val="en-IN"/>
        </w:rPr>
      </w:pPr>
      <w:r>
        <w:rPr>
          <w:rFonts w:hint="default" w:ascii="Arial" w:hAnsi="Arial" w:cs="Arial"/>
          <w:highlight w:val="none"/>
          <w:lang w:val="en-IN"/>
        </w:rPr>
        <w:t>Multiple constraints, nonetheless, should be recognised. In addition to this, bounding the review of these findings to English-language, peer-reviewed studies might have offered language and publication bias (</w:t>
      </w:r>
      <w:r>
        <w:rPr>
          <w:rFonts w:hint="default" w:ascii="Arial" w:hAnsi="Arial" w:cs="Arial"/>
          <w:highlight w:val="none"/>
        </w:rPr>
        <w:t>Jantakoon et al., 2025)</w:t>
      </w:r>
      <w:r>
        <w:rPr>
          <w:rFonts w:hint="default" w:ascii="Arial" w:hAnsi="Arial" w:cs="Arial"/>
          <w:highlight w:val="none"/>
          <w:lang w:val="en-IN"/>
        </w:rPr>
        <w:t xml:space="preserve">. This excludes pertinent sources conducted in the communities of South Asia. A comparatively small sample size of ten sources bounds the analysis breadth. It might also impact the generalisability of the findings. Dependence on self-reported data additionally offers the risk of bias of social desirability. It is where participants might underreport unhealthy behaviours. </w:t>
      </w:r>
    </w:p>
    <w:p w14:paraId="51F6DE61">
      <w:pPr>
        <w:rPr>
          <w:rFonts w:hint="default" w:ascii="Arial" w:hAnsi="Arial" w:cs="Arial"/>
          <w:highlight w:val="none"/>
          <w:lang w:val="en-IN"/>
        </w:rPr>
      </w:pPr>
    </w:p>
    <w:p w14:paraId="2B59A0BD">
      <w:pPr>
        <w:pStyle w:val="3"/>
        <w:spacing w:line="480" w:lineRule="auto"/>
        <w:ind w:left="0"/>
        <w:rPr>
          <w:rFonts w:hint="default" w:ascii="Arial" w:hAnsi="Arial" w:cs="Arial"/>
          <w:highlight w:val="none"/>
          <w:lang w:val="en-IN"/>
        </w:rPr>
      </w:pPr>
      <w:bookmarkStart w:id="160" w:name="_Toc227024754"/>
      <w:bookmarkStart w:id="161" w:name="_Toc13392"/>
      <w:r>
        <w:rPr>
          <w:rFonts w:hint="default" w:ascii="Arial" w:hAnsi="Arial" w:cs="Arial"/>
          <w:highlight w:val="none"/>
          <w:lang w:val="en-IN"/>
        </w:rPr>
        <w:t>6.4 Chapter Summary</w:t>
      </w:r>
      <w:bookmarkEnd w:id="160"/>
      <w:bookmarkEnd w:id="161"/>
    </w:p>
    <w:p w14:paraId="28784036">
      <w:pPr>
        <w:rPr>
          <w:rFonts w:hint="default" w:ascii="Arial" w:hAnsi="Arial" w:cs="Arial"/>
          <w:highlight w:val="none"/>
          <w:lang w:val="en-IN"/>
        </w:rPr>
      </w:pPr>
      <w:r>
        <w:rPr>
          <w:rFonts w:hint="default" w:ascii="Arial" w:hAnsi="Arial" w:cs="Arial"/>
          <w:highlight w:val="none"/>
          <w:lang w:val="en-IN"/>
        </w:rPr>
        <w:t xml:space="preserve">This discussion chapter thoroughly evaluated the systematic literature review-derived findings. This is done through resonating them along contemporary sources on cardiovascular health among South Asians within the United Kingdom. Apart from this, the chapter has effectively showcased that heightened cardiovascular disease risk is impacted by several factors. This includes a mix of lifestyle behaviours, cultural norms, psychological stress, and socioeconomic factors. Structural limitations like a lack of resources and generalised ethnic categorisation continue to hamper efficient disease prevention. </w:t>
      </w:r>
      <w:r>
        <w:rPr>
          <w:rFonts w:hint="default" w:ascii="Arial" w:hAnsi="Arial" w:cs="Arial"/>
          <w:color w:val="222222"/>
          <w:highlight w:val="none"/>
        </w:rPr>
        <w:t>While focusing on the overall insights collected from the whole discussion, several detailed recommendations have been further provided in Chapter 7 with a proper conclusion of this systematic literature review.</w:t>
      </w:r>
    </w:p>
    <w:p w14:paraId="28443162">
      <w:pPr>
        <w:spacing w:line="240" w:lineRule="auto"/>
        <w:jc w:val="left"/>
        <w:rPr>
          <w:rFonts w:hint="default" w:ascii="Arial" w:hAnsi="Arial" w:cs="Arial"/>
          <w:b/>
          <w:sz w:val="28"/>
          <w:szCs w:val="32"/>
          <w:highlight w:val="none"/>
          <w:lang w:val="en-IN"/>
        </w:rPr>
      </w:pPr>
      <w:bookmarkStart w:id="162" w:name="_Toc227024755"/>
      <w:r>
        <w:rPr>
          <w:rFonts w:hint="default" w:ascii="Arial" w:hAnsi="Arial" w:cs="Arial"/>
          <w:highlight w:val="none"/>
          <w:lang w:val="en-IN"/>
        </w:rPr>
        <w:br w:type="page"/>
      </w:r>
    </w:p>
    <w:p w14:paraId="3BBD0323">
      <w:pPr>
        <w:pStyle w:val="2"/>
        <w:spacing w:line="480" w:lineRule="auto"/>
        <w:jc w:val="center"/>
        <w:rPr>
          <w:rFonts w:hint="default" w:ascii="Arial" w:hAnsi="Arial" w:cs="Arial"/>
          <w:highlight w:val="none"/>
          <w:lang w:val="en-IN"/>
        </w:rPr>
      </w:pPr>
      <w:bookmarkStart w:id="163" w:name="_Toc26586"/>
      <w:r>
        <w:rPr>
          <w:rFonts w:hint="default" w:ascii="Arial" w:hAnsi="Arial" w:cs="Arial"/>
          <w:highlight w:val="none"/>
          <w:lang w:val="en-IN"/>
        </w:rPr>
        <w:t>CHAPTER 7: RECOMMENDATIONS AND CONCLUSION</w:t>
      </w:r>
      <w:bookmarkEnd w:id="162"/>
      <w:bookmarkEnd w:id="163"/>
    </w:p>
    <w:p w14:paraId="50BAC28F">
      <w:pPr>
        <w:pStyle w:val="3"/>
        <w:spacing w:line="480" w:lineRule="auto"/>
        <w:ind w:left="0"/>
        <w:rPr>
          <w:rFonts w:hint="default" w:ascii="Arial" w:hAnsi="Arial" w:cs="Arial"/>
          <w:highlight w:val="none"/>
          <w:lang w:val="en-IN"/>
        </w:rPr>
      </w:pPr>
      <w:bookmarkStart w:id="164" w:name="_Toc227024756"/>
      <w:bookmarkStart w:id="165" w:name="_Toc6875"/>
      <w:r>
        <w:rPr>
          <w:rFonts w:hint="default" w:ascii="Arial" w:hAnsi="Arial" w:cs="Arial"/>
          <w:highlight w:val="none"/>
          <w:lang w:val="en-IN"/>
        </w:rPr>
        <w:t>7.1 Introduction to Chapter</w:t>
      </w:r>
      <w:bookmarkEnd w:id="164"/>
      <w:bookmarkEnd w:id="165"/>
    </w:p>
    <w:p w14:paraId="22484AAF">
      <w:pPr>
        <w:rPr>
          <w:rFonts w:hint="default" w:ascii="Arial" w:hAnsi="Arial" w:cs="Arial"/>
          <w:color w:val="222222"/>
          <w:highlight w:val="none"/>
        </w:rPr>
      </w:pPr>
      <w:r>
        <w:rPr>
          <w:rFonts w:hint="default" w:ascii="Arial" w:hAnsi="Arial" w:cs="Arial"/>
          <w:highlight w:val="none"/>
          <w:lang w:val="en-IN"/>
        </w:rPr>
        <w:t xml:space="preserve">This chapter offers crucial insights derived from the systematic literature review. It additionally presents viable and logical suggestions with a concluding overall analysis. Furthermore, an evaluation of modifiable lifestyle variables impacting cardiovascular health across South Asian individuals within the United Kingdom. </w:t>
      </w:r>
      <w:r>
        <w:rPr>
          <w:rFonts w:hint="default" w:ascii="Arial" w:hAnsi="Arial" w:cs="Arial"/>
          <w:color w:val="222222"/>
          <w:highlight w:val="none"/>
        </w:rPr>
        <w:t>This chapter mainly represents the recommendations, implications, and conclusions of this systematic literature review. It also focuses on the influence of physical activity, diet, cultural factors, psychological well-being, socioeconomic barriers, and family influence that affect the risks of cardiovascular disease within all South Asian adults in the UK.</w:t>
      </w:r>
    </w:p>
    <w:p w14:paraId="6EE6C4AA">
      <w:pPr>
        <w:rPr>
          <w:rFonts w:hint="default" w:ascii="Arial" w:hAnsi="Arial" w:cs="Arial"/>
          <w:highlight w:val="none"/>
          <w:lang w:val="en-IN"/>
        </w:rPr>
      </w:pPr>
    </w:p>
    <w:p w14:paraId="5B5BEFAB">
      <w:pPr>
        <w:pStyle w:val="3"/>
        <w:spacing w:line="480" w:lineRule="auto"/>
        <w:ind w:left="0"/>
        <w:rPr>
          <w:rFonts w:hint="default" w:ascii="Arial" w:hAnsi="Arial" w:cs="Arial"/>
          <w:highlight w:val="none"/>
          <w:lang w:val="en-IN"/>
        </w:rPr>
      </w:pPr>
      <w:bookmarkStart w:id="166" w:name="_Toc227024757"/>
      <w:bookmarkStart w:id="167" w:name="_Toc31786"/>
      <w:r>
        <w:rPr>
          <w:rFonts w:hint="default" w:ascii="Arial" w:hAnsi="Arial" w:cs="Arial"/>
          <w:highlight w:val="none"/>
          <w:lang w:val="en-IN"/>
        </w:rPr>
        <w:t>7.2 Implications of Findings</w:t>
      </w:r>
      <w:bookmarkEnd w:id="166"/>
      <w:bookmarkEnd w:id="167"/>
    </w:p>
    <w:p w14:paraId="42EF676A">
      <w:pPr>
        <w:rPr>
          <w:rFonts w:hint="default" w:ascii="Arial" w:hAnsi="Arial" w:cs="Arial"/>
          <w:highlight w:val="none"/>
        </w:rPr>
      </w:pPr>
      <w:r>
        <w:rPr>
          <w:rFonts w:hint="default" w:ascii="Arial" w:hAnsi="Arial" w:cs="Arial"/>
          <w:highlight w:val="none"/>
        </w:rPr>
        <w:t>The results of this systematic literature review have significant implications for the health of the population and in clinical practice. Chapter 5 demonstrated that diet, physical inactivity, psychological stress, cultural beliefs, family influence and socioeconomic barriers are modifiable factors in determining cardiovascular risk in the South Asian adult population in the UK. Thus, standardised health advice might be insufficient to facilitate long-term behaviour change. Culturally sensitive interventions addressing the limitations to physical activity and traditional dietary habits should be culturally sensitive, community-based and family-focused. The same chapter (chapter 6) also pointed out that the cost, time pressure, work demands and limited access to the appropriate exercise spaces decrease the ability to adopt healthy behaviours. Consequently, practical and easily available prevention strategies should be offered in services. Mental health, stress and lifestyle discussions should also be incorporated in cardiovascular risk assessment by healthcare professionals in clinical practice to support more holistic and effective prevention.</w:t>
      </w:r>
    </w:p>
    <w:p w14:paraId="7182F2FB">
      <w:pPr>
        <w:rPr>
          <w:rFonts w:hint="default" w:ascii="Arial" w:hAnsi="Arial" w:cs="Arial"/>
          <w:highlight w:val="none"/>
        </w:rPr>
      </w:pPr>
    </w:p>
    <w:p w14:paraId="755F2C84">
      <w:pPr>
        <w:pStyle w:val="9"/>
        <w:spacing w:line="480" w:lineRule="auto"/>
        <w:jc w:val="center"/>
        <w:rPr>
          <w:rFonts w:hint="default" w:ascii="Arial" w:hAnsi="Arial" w:cs="Arial"/>
          <w:highlight w:val="none"/>
          <w:lang w:val="en-IN"/>
        </w:rPr>
      </w:pPr>
      <w:r>
        <w:rPr>
          <w:color w:val="auto"/>
          <w:sz w:val="24"/>
          <w:szCs w:val="24"/>
        </w:rPr>
        <w:t xml:space="preserve">Table </w:t>
      </w:r>
      <w:r>
        <w:rPr>
          <w:color w:val="auto"/>
          <w:sz w:val="24"/>
          <w:szCs w:val="24"/>
        </w:rPr>
        <w:fldChar w:fldCharType="begin"/>
      </w:r>
      <w:r>
        <w:rPr>
          <w:color w:val="auto"/>
          <w:sz w:val="24"/>
          <w:szCs w:val="24"/>
        </w:rPr>
        <w:instrText xml:space="preserve"> SEQ Table \* ARABIC </w:instrText>
      </w:r>
      <w:r>
        <w:rPr>
          <w:color w:val="auto"/>
          <w:sz w:val="24"/>
          <w:szCs w:val="24"/>
        </w:rPr>
        <w:fldChar w:fldCharType="separate"/>
      </w:r>
      <w:r>
        <w:rPr>
          <w:color w:val="auto"/>
          <w:sz w:val="24"/>
          <w:szCs w:val="24"/>
        </w:rPr>
        <w:t>6</w:t>
      </w:r>
      <w:r>
        <w:rPr>
          <w:color w:val="auto"/>
          <w:sz w:val="24"/>
          <w:szCs w:val="24"/>
        </w:rPr>
        <w:fldChar w:fldCharType="end"/>
      </w:r>
      <w:bookmarkStart w:id="168" w:name="_Toc19196"/>
      <w:r>
        <w:rPr>
          <w:rFonts w:hint="default"/>
          <w:color w:val="auto"/>
          <w:sz w:val="24"/>
          <w:szCs w:val="24"/>
          <w:lang w:val="en-US"/>
        </w:rPr>
        <w:t xml:space="preserve">: </w:t>
      </w:r>
      <w:r>
        <w:rPr>
          <w:rFonts w:hint="default" w:ascii="Arial" w:hAnsi="Arial" w:cs="Arial"/>
          <w:b/>
          <w:bCs/>
          <w:color w:val="auto"/>
          <w:sz w:val="24"/>
          <w:szCs w:val="24"/>
          <w:highlight w:val="none"/>
        </w:rPr>
        <w:t>Implications of Findings in Relation to Research Objectives</w:t>
      </w:r>
      <w:bookmarkEnd w:id="168"/>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2018"/>
        <w:gridCol w:w="2732"/>
        <w:gridCol w:w="2324"/>
      </w:tblGrid>
      <w:tr w14:paraId="45B3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F3BAA14">
            <w:pPr>
              <w:widowControl w:val="0"/>
              <w:autoSpaceDE w:val="0"/>
              <w:autoSpaceDN w:val="0"/>
              <w:jc w:val="center"/>
              <w:rPr>
                <w:rFonts w:hint="default" w:ascii="Arial" w:hAnsi="Arial" w:cs="Arial"/>
                <w:b/>
                <w:bCs/>
                <w:highlight w:val="none"/>
              </w:rPr>
            </w:pPr>
            <w:r>
              <w:rPr>
                <w:rFonts w:hint="default" w:ascii="Arial" w:hAnsi="Arial" w:cs="Arial"/>
                <w:b/>
                <w:bCs/>
                <w:highlight w:val="none"/>
              </w:rPr>
              <w:t>Research Objectives</w:t>
            </w:r>
          </w:p>
        </w:tc>
        <w:tc>
          <w:tcPr>
            <w:tcW w:w="0" w:type="auto"/>
          </w:tcPr>
          <w:p w14:paraId="0EF8B149">
            <w:pPr>
              <w:widowControl w:val="0"/>
              <w:autoSpaceDE w:val="0"/>
              <w:autoSpaceDN w:val="0"/>
              <w:jc w:val="center"/>
              <w:rPr>
                <w:rFonts w:hint="default" w:ascii="Arial" w:hAnsi="Arial" w:cs="Arial"/>
                <w:b/>
                <w:bCs/>
                <w:highlight w:val="none"/>
              </w:rPr>
            </w:pPr>
            <w:r>
              <w:rPr>
                <w:rFonts w:hint="default" w:ascii="Arial" w:hAnsi="Arial" w:cs="Arial"/>
                <w:b/>
                <w:bCs/>
                <w:highlight w:val="none"/>
              </w:rPr>
              <w:t>Themes</w:t>
            </w:r>
          </w:p>
        </w:tc>
        <w:tc>
          <w:tcPr>
            <w:tcW w:w="0" w:type="auto"/>
          </w:tcPr>
          <w:p w14:paraId="75B60632">
            <w:pPr>
              <w:widowControl w:val="0"/>
              <w:autoSpaceDE w:val="0"/>
              <w:autoSpaceDN w:val="0"/>
              <w:jc w:val="center"/>
              <w:rPr>
                <w:rFonts w:hint="default" w:ascii="Arial" w:hAnsi="Arial" w:cs="Arial"/>
                <w:b/>
                <w:bCs/>
                <w:highlight w:val="none"/>
              </w:rPr>
            </w:pPr>
            <w:r>
              <w:rPr>
                <w:rFonts w:hint="default" w:ascii="Arial" w:hAnsi="Arial" w:cs="Arial"/>
                <w:b/>
                <w:bCs/>
                <w:highlight w:val="none"/>
              </w:rPr>
              <w:t>Key Findings</w:t>
            </w:r>
          </w:p>
        </w:tc>
        <w:tc>
          <w:tcPr>
            <w:tcW w:w="0" w:type="auto"/>
          </w:tcPr>
          <w:p w14:paraId="6318B3B5">
            <w:pPr>
              <w:widowControl w:val="0"/>
              <w:autoSpaceDE w:val="0"/>
              <w:autoSpaceDN w:val="0"/>
              <w:jc w:val="center"/>
              <w:rPr>
                <w:rFonts w:hint="default" w:ascii="Arial" w:hAnsi="Arial" w:cs="Arial"/>
                <w:b/>
                <w:bCs/>
                <w:highlight w:val="none"/>
              </w:rPr>
            </w:pPr>
            <w:r>
              <w:rPr>
                <w:rFonts w:hint="default" w:ascii="Arial" w:hAnsi="Arial" w:cs="Arial"/>
                <w:b/>
                <w:bCs/>
                <w:highlight w:val="none"/>
              </w:rPr>
              <w:t>How was this achieved</w:t>
            </w:r>
          </w:p>
        </w:tc>
      </w:tr>
      <w:tr w14:paraId="43E8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8EB1D7">
            <w:pPr>
              <w:widowControl w:val="0"/>
              <w:autoSpaceDE w:val="0"/>
              <w:autoSpaceDN w:val="0"/>
              <w:jc w:val="center"/>
              <w:rPr>
                <w:rFonts w:hint="default" w:ascii="Arial" w:hAnsi="Arial" w:cs="Arial"/>
                <w:highlight w:val="none"/>
              </w:rPr>
            </w:pPr>
            <w:r>
              <w:rPr>
                <w:rFonts w:hint="default" w:ascii="Arial" w:hAnsi="Arial" w:cs="Arial"/>
                <w:highlight w:val="none"/>
              </w:rPr>
              <w:t>To examine the impact of lifestyle factors on cardiovascular health among South Asian adults</w:t>
            </w:r>
          </w:p>
        </w:tc>
        <w:tc>
          <w:tcPr>
            <w:tcW w:w="0" w:type="auto"/>
          </w:tcPr>
          <w:p w14:paraId="37492733">
            <w:pPr>
              <w:widowControl w:val="0"/>
              <w:autoSpaceDE w:val="0"/>
              <w:autoSpaceDN w:val="0"/>
              <w:jc w:val="center"/>
              <w:rPr>
                <w:rFonts w:hint="default" w:ascii="Arial" w:hAnsi="Arial" w:cs="Arial"/>
                <w:highlight w:val="none"/>
              </w:rPr>
            </w:pPr>
            <w:r>
              <w:rPr>
                <w:rFonts w:hint="default" w:ascii="Arial" w:hAnsi="Arial" w:cs="Arial"/>
                <w:highlight w:val="none"/>
              </w:rPr>
              <w:t>Theme 1: Lifestyle Behaviours and Cardiovascular Disease Risk</w:t>
            </w:r>
          </w:p>
        </w:tc>
        <w:tc>
          <w:tcPr>
            <w:tcW w:w="0" w:type="auto"/>
          </w:tcPr>
          <w:p w14:paraId="0C719BCF">
            <w:pPr>
              <w:widowControl w:val="0"/>
              <w:autoSpaceDE w:val="0"/>
              <w:autoSpaceDN w:val="0"/>
              <w:jc w:val="center"/>
              <w:rPr>
                <w:rFonts w:hint="default" w:ascii="Arial" w:hAnsi="Arial" w:cs="Arial"/>
                <w:highlight w:val="none"/>
              </w:rPr>
            </w:pPr>
            <w:r>
              <w:rPr>
                <w:rFonts w:hint="default" w:ascii="Arial" w:hAnsi="Arial" w:cs="Arial"/>
                <w:highlight w:val="none"/>
              </w:rPr>
              <w:t>Lifestyle factors such as poor diet, low physical activity, and psychological stress significantly increase CVD risk</w:t>
            </w:r>
          </w:p>
        </w:tc>
        <w:tc>
          <w:tcPr>
            <w:tcW w:w="0" w:type="auto"/>
          </w:tcPr>
          <w:p w14:paraId="7D731B3A">
            <w:pPr>
              <w:widowControl w:val="0"/>
              <w:autoSpaceDE w:val="0"/>
              <w:autoSpaceDN w:val="0"/>
              <w:jc w:val="center"/>
              <w:rPr>
                <w:rFonts w:hint="default" w:ascii="Arial" w:hAnsi="Arial" w:cs="Arial"/>
                <w:highlight w:val="none"/>
              </w:rPr>
            </w:pPr>
            <w:r>
              <w:rPr>
                <w:rFonts w:hint="default" w:ascii="Arial" w:hAnsi="Arial" w:cs="Arial"/>
                <w:highlight w:val="none"/>
              </w:rPr>
              <w:t>Through thematic synthesis of qualitative studies using secondary data</w:t>
            </w:r>
          </w:p>
        </w:tc>
      </w:tr>
      <w:tr w14:paraId="3DF7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AD423E">
            <w:pPr>
              <w:widowControl w:val="0"/>
              <w:autoSpaceDE w:val="0"/>
              <w:autoSpaceDN w:val="0"/>
              <w:jc w:val="center"/>
              <w:rPr>
                <w:rFonts w:hint="default" w:ascii="Arial" w:hAnsi="Arial" w:cs="Arial"/>
                <w:highlight w:val="none"/>
              </w:rPr>
            </w:pPr>
            <w:r>
              <w:rPr>
                <w:rFonts w:hint="default" w:ascii="Arial" w:hAnsi="Arial" w:cs="Arial"/>
                <w:highlight w:val="none"/>
              </w:rPr>
              <w:t>To analyse the role of cultural and social factors influencing lifestyle behaviours</w:t>
            </w:r>
          </w:p>
        </w:tc>
        <w:tc>
          <w:tcPr>
            <w:tcW w:w="0" w:type="auto"/>
          </w:tcPr>
          <w:p w14:paraId="73D32EC5">
            <w:pPr>
              <w:widowControl w:val="0"/>
              <w:autoSpaceDE w:val="0"/>
              <w:autoSpaceDN w:val="0"/>
              <w:jc w:val="center"/>
              <w:rPr>
                <w:rFonts w:hint="default" w:ascii="Arial" w:hAnsi="Arial" w:cs="Arial"/>
                <w:highlight w:val="none"/>
              </w:rPr>
            </w:pPr>
            <w:r>
              <w:rPr>
                <w:rFonts w:hint="default" w:ascii="Arial" w:hAnsi="Arial" w:cs="Arial"/>
                <w:highlight w:val="none"/>
              </w:rPr>
              <w:t>Theme 2: Cultural, Social, and Migration Influences</w:t>
            </w:r>
          </w:p>
        </w:tc>
        <w:tc>
          <w:tcPr>
            <w:tcW w:w="0" w:type="auto"/>
          </w:tcPr>
          <w:p w14:paraId="07B62B23">
            <w:pPr>
              <w:widowControl w:val="0"/>
              <w:autoSpaceDE w:val="0"/>
              <w:autoSpaceDN w:val="0"/>
              <w:jc w:val="center"/>
              <w:rPr>
                <w:rFonts w:hint="default" w:ascii="Arial" w:hAnsi="Arial" w:cs="Arial"/>
                <w:highlight w:val="none"/>
              </w:rPr>
            </w:pPr>
            <w:r>
              <w:rPr>
                <w:rFonts w:hint="default" w:ascii="Arial" w:hAnsi="Arial" w:cs="Arial"/>
                <w:highlight w:val="none"/>
              </w:rPr>
              <w:t>Cultural beliefs, family influence, and migration-related factors shape health behaviours and limit lifestyle change</w:t>
            </w:r>
          </w:p>
        </w:tc>
        <w:tc>
          <w:tcPr>
            <w:tcW w:w="0" w:type="auto"/>
          </w:tcPr>
          <w:p w14:paraId="72A1A305">
            <w:pPr>
              <w:widowControl w:val="0"/>
              <w:autoSpaceDE w:val="0"/>
              <w:autoSpaceDN w:val="0"/>
              <w:jc w:val="center"/>
              <w:rPr>
                <w:rFonts w:hint="default" w:ascii="Arial" w:hAnsi="Arial" w:cs="Arial"/>
                <w:highlight w:val="none"/>
              </w:rPr>
            </w:pPr>
            <w:r>
              <w:rPr>
                <w:rFonts w:hint="default" w:ascii="Arial" w:hAnsi="Arial" w:cs="Arial"/>
                <w:highlight w:val="none"/>
              </w:rPr>
              <w:t>By analysing patterns across selected UK-based qualitative studies</w:t>
            </w:r>
          </w:p>
        </w:tc>
      </w:tr>
      <w:tr w14:paraId="67DE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E62B52">
            <w:pPr>
              <w:widowControl w:val="0"/>
              <w:autoSpaceDE w:val="0"/>
              <w:autoSpaceDN w:val="0"/>
              <w:jc w:val="center"/>
              <w:rPr>
                <w:rFonts w:hint="default" w:ascii="Arial" w:hAnsi="Arial" w:cs="Arial"/>
                <w:highlight w:val="none"/>
              </w:rPr>
            </w:pPr>
            <w:r>
              <w:rPr>
                <w:rFonts w:hint="default" w:ascii="Arial" w:hAnsi="Arial" w:cs="Arial"/>
                <w:highlight w:val="none"/>
              </w:rPr>
              <w:t>To identify barriers and facilitators for improving cardiovascular health</w:t>
            </w:r>
          </w:p>
        </w:tc>
        <w:tc>
          <w:tcPr>
            <w:tcW w:w="0" w:type="auto"/>
          </w:tcPr>
          <w:p w14:paraId="5518E9D1">
            <w:pPr>
              <w:widowControl w:val="0"/>
              <w:autoSpaceDE w:val="0"/>
              <w:autoSpaceDN w:val="0"/>
              <w:jc w:val="center"/>
              <w:rPr>
                <w:rFonts w:hint="default" w:ascii="Arial" w:hAnsi="Arial" w:cs="Arial"/>
                <w:highlight w:val="none"/>
              </w:rPr>
            </w:pPr>
            <w:r>
              <w:rPr>
                <w:rFonts w:hint="default" w:ascii="Arial" w:hAnsi="Arial" w:cs="Arial"/>
                <w:highlight w:val="none"/>
              </w:rPr>
              <w:t>Theme 3: Barriers, Facilitators, and Prevention Strategies</w:t>
            </w:r>
          </w:p>
        </w:tc>
        <w:tc>
          <w:tcPr>
            <w:tcW w:w="0" w:type="auto"/>
          </w:tcPr>
          <w:p w14:paraId="37CEC8AC">
            <w:pPr>
              <w:widowControl w:val="0"/>
              <w:autoSpaceDE w:val="0"/>
              <w:autoSpaceDN w:val="0"/>
              <w:jc w:val="center"/>
              <w:rPr>
                <w:rFonts w:hint="default" w:ascii="Arial" w:hAnsi="Arial" w:cs="Arial"/>
                <w:highlight w:val="none"/>
              </w:rPr>
            </w:pPr>
            <w:r>
              <w:rPr>
                <w:rFonts w:hint="default" w:ascii="Arial" w:hAnsi="Arial" w:cs="Arial"/>
                <w:highlight w:val="none"/>
              </w:rPr>
              <w:t>Socioeconomic barriers, lack of awareness, and cultural norms hinder behaviour change, while community support and tailored interventions act as facilitators</w:t>
            </w:r>
          </w:p>
        </w:tc>
        <w:tc>
          <w:tcPr>
            <w:tcW w:w="0" w:type="auto"/>
          </w:tcPr>
          <w:p w14:paraId="12F54ED8">
            <w:pPr>
              <w:widowControl w:val="0"/>
              <w:autoSpaceDE w:val="0"/>
              <w:autoSpaceDN w:val="0"/>
              <w:jc w:val="center"/>
              <w:rPr>
                <w:rFonts w:hint="default" w:ascii="Arial" w:hAnsi="Arial" w:cs="Arial"/>
                <w:highlight w:val="none"/>
              </w:rPr>
            </w:pPr>
            <w:r>
              <w:rPr>
                <w:rFonts w:hint="default" w:ascii="Arial" w:hAnsi="Arial" w:cs="Arial"/>
                <w:highlight w:val="none"/>
              </w:rPr>
              <w:t>Through systematic literature review and thematic analysis</w:t>
            </w:r>
          </w:p>
        </w:tc>
      </w:tr>
      <w:tr w14:paraId="5BBC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AA9987">
            <w:pPr>
              <w:widowControl w:val="0"/>
              <w:autoSpaceDE w:val="0"/>
              <w:autoSpaceDN w:val="0"/>
              <w:jc w:val="center"/>
              <w:rPr>
                <w:rFonts w:hint="default" w:ascii="Arial" w:hAnsi="Arial" w:cs="Arial"/>
                <w:highlight w:val="none"/>
              </w:rPr>
            </w:pPr>
            <w:r>
              <w:rPr>
                <w:rFonts w:hint="default" w:ascii="Arial" w:hAnsi="Arial" w:cs="Arial"/>
                <w:highlight w:val="none"/>
              </w:rPr>
              <w:t>To provide implications for public health and clinical practice</w:t>
            </w:r>
          </w:p>
        </w:tc>
        <w:tc>
          <w:tcPr>
            <w:tcW w:w="0" w:type="auto"/>
          </w:tcPr>
          <w:p w14:paraId="74D0BEDC">
            <w:pPr>
              <w:widowControl w:val="0"/>
              <w:autoSpaceDE w:val="0"/>
              <w:autoSpaceDN w:val="0"/>
              <w:jc w:val="center"/>
              <w:rPr>
                <w:rFonts w:hint="default" w:ascii="Arial" w:hAnsi="Arial" w:cs="Arial"/>
                <w:highlight w:val="none"/>
              </w:rPr>
            </w:pPr>
            <w:r>
              <w:rPr>
                <w:rFonts w:hint="default" w:ascii="Arial" w:hAnsi="Arial" w:cs="Arial"/>
                <w:highlight w:val="none"/>
              </w:rPr>
              <w:t>All Themes</w:t>
            </w:r>
          </w:p>
        </w:tc>
        <w:tc>
          <w:tcPr>
            <w:tcW w:w="0" w:type="auto"/>
          </w:tcPr>
          <w:p w14:paraId="0736F091">
            <w:pPr>
              <w:widowControl w:val="0"/>
              <w:autoSpaceDE w:val="0"/>
              <w:autoSpaceDN w:val="0"/>
              <w:jc w:val="center"/>
              <w:rPr>
                <w:rFonts w:hint="default" w:ascii="Arial" w:hAnsi="Arial" w:cs="Arial"/>
                <w:highlight w:val="none"/>
              </w:rPr>
            </w:pPr>
            <w:r>
              <w:rPr>
                <w:rFonts w:hint="default" w:ascii="Arial" w:hAnsi="Arial" w:cs="Arial"/>
                <w:highlight w:val="none"/>
              </w:rPr>
              <w:t>Need for culturally sensitive, community-based, and biopsychosocial interventions in CVD prevention.</w:t>
            </w:r>
          </w:p>
        </w:tc>
        <w:tc>
          <w:tcPr>
            <w:tcW w:w="0" w:type="auto"/>
          </w:tcPr>
          <w:p w14:paraId="61B79ADA">
            <w:pPr>
              <w:widowControl w:val="0"/>
              <w:autoSpaceDE w:val="0"/>
              <w:autoSpaceDN w:val="0"/>
              <w:jc w:val="center"/>
              <w:rPr>
                <w:rFonts w:hint="default" w:ascii="Arial" w:hAnsi="Arial" w:cs="Arial"/>
                <w:highlight w:val="none"/>
              </w:rPr>
            </w:pPr>
            <w:r>
              <w:rPr>
                <w:rFonts w:hint="default" w:ascii="Arial" w:hAnsi="Arial" w:cs="Arial"/>
                <w:highlight w:val="none"/>
              </w:rPr>
              <w:t>By integrating findings into public health and clinical recommendations</w:t>
            </w:r>
          </w:p>
        </w:tc>
      </w:tr>
    </w:tbl>
    <w:p w14:paraId="40C99759">
      <w:pPr>
        <w:jc w:val="center"/>
        <w:rPr>
          <w:rFonts w:hint="default" w:ascii="Arial" w:hAnsi="Arial" w:cs="Arial"/>
          <w:b/>
          <w:bCs/>
          <w:highlight w:val="none"/>
          <w:lang w:val="en-IN"/>
        </w:rPr>
      </w:pPr>
    </w:p>
    <w:p w14:paraId="2518CFF7">
      <w:pPr>
        <w:pStyle w:val="3"/>
        <w:spacing w:line="480" w:lineRule="auto"/>
        <w:ind w:left="0"/>
        <w:rPr>
          <w:rFonts w:hint="default" w:ascii="Arial" w:hAnsi="Arial" w:cs="Arial"/>
          <w:highlight w:val="none"/>
          <w:lang w:val="en-IN"/>
        </w:rPr>
      </w:pPr>
      <w:bookmarkStart w:id="169" w:name="_Toc227024758"/>
      <w:bookmarkStart w:id="170" w:name="_Toc32693"/>
      <w:r>
        <w:rPr>
          <w:rFonts w:hint="default" w:ascii="Arial" w:hAnsi="Arial" w:cs="Arial"/>
          <w:highlight w:val="none"/>
          <w:lang w:val="en-IN"/>
        </w:rPr>
        <w:t>7.3 Recommendations for Practice</w:t>
      </w:r>
      <w:bookmarkEnd w:id="169"/>
      <w:bookmarkEnd w:id="170"/>
    </w:p>
    <w:p w14:paraId="7149B88C">
      <w:pPr>
        <w:rPr>
          <w:rFonts w:hint="default" w:ascii="Arial" w:hAnsi="Arial" w:cs="Arial"/>
          <w:highlight w:val="none"/>
        </w:rPr>
      </w:pPr>
      <w:r>
        <w:rPr>
          <w:rFonts w:hint="default" w:ascii="Arial" w:hAnsi="Arial" w:cs="Arial"/>
          <w:highlight w:val="none"/>
        </w:rPr>
        <w:t xml:space="preserve">On the basis of this dissertation, there are a number of practical recommendations, as listed below, that can be carried out to enhance cardiovascular disease prevention and lifestyle change for South Asian people living in the United Kingdom. </w:t>
      </w:r>
    </w:p>
    <w:p w14:paraId="30CD1BED">
      <w:pPr>
        <w:rPr>
          <w:rFonts w:hint="default" w:ascii="Arial" w:hAnsi="Arial" w:cs="Arial"/>
          <w:highlight w:val="none"/>
        </w:rPr>
      </w:pPr>
    </w:p>
    <w:p w14:paraId="51BA1CD3">
      <w:pPr>
        <w:pStyle w:val="30"/>
        <w:numPr>
          <w:ilvl w:val="0"/>
          <w:numId w:val="4"/>
        </w:numPr>
        <w:rPr>
          <w:rFonts w:hint="default" w:ascii="Arial" w:hAnsi="Arial" w:cs="Arial"/>
          <w:highlight w:val="none"/>
        </w:rPr>
      </w:pPr>
      <w:r>
        <w:rPr>
          <w:rFonts w:hint="default" w:ascii="Arial" w:hAnsi="Arial" w:cs="Arial"/>
          <w:highlight w:val="none"/>
        </w:rPr>
        <w:t xml:space="preserve">The study results showed that cultural beliefs, dietary behaviours, family influence, language and health-care delivery issues all play a significant role in the management of lifestyle behaviours and cardiovascular risk management. Healthcare provision is therefore one that is more culturally responsive and community-centred. To begin with, healthcare providers need to use culturally personalised approaches to providing lifestyle recommendations to their patients for cardiovascular prevention. Rather than recommending the total elimination of traditional food, it is recommended that traditional foods are used more healthily, such as portion control, increased intakes of nutritious food and reduced oils, sugar, salt and portion size, whilst still maintaining a sense of cultural dietary identity. This method also might help with continued compliance with diet recommendations since patients are likely to adhere better to suggestions that respect their culture and preferences. </w:t>
      </w:r>
    </w:p>
    <w:p w14:paraId="7EE453CD">
      <w:pPr>
        <w:rPr>
          <w:rFonts w:hint="default" w:ascii="Arial" w:hAnsi="Arial" w:cs="Arial"/>
          <w:highlight w:val="none"/>
        </w:rPr>
      </w:pPr>
    </w:p>
    <w:p w14:paraId="1CEFB178">
      <w:pPr>
        <w:pStyle w:val="30"/>
        <w:numPr>
          <w:ilvl w:val="0"/>
          <w:numId w:val="4"/>
        </w:numPr>
        <w:rPr>
          <w:rFonts w:hint="default" w:ascii="Arial" w:hAnsi="Arial" w:cs="Arial"/>
          <w:highlight w:val="none"/>
        </w:rPr>
      </w:pPr>
      <w:r>
        <w:rPr>
          <w:rFonts w:hint="default" w:ascii="Arial" w:hAnsi="Arial" w:cs="Arial"/>
          <w:highlight w:val="none"/>
        </w:rPr>
        <w:t xml:space="preserve">Secondly, healthcare providers should be provided with regular cultural competency Training to enhance their understanding of South Asian cultural beliefs and language requirements, family structure, religious influences, gender expectations and the barriers to behaviour change. This training would equip healthcare workers with the skills to talk to patients better, break the cycle of fatalism around cardiovascular diseases, and give realistic advice based on lifestyle without ignoring their cultural background (Lai et al., 2023; Lee et al., 2025; Bolarinwa and Nkansah, 2025). </w:t>
      </w:r>
    </w:p>
    <w:p w14:paraId="3D83FA28">
      <w:pPr>
        <w:rPr>
          <w:rFonts w:hint="default" w:ascii="Arial" w:hAnsi="Arial" w:cs="Arial"/>
          <w:highlight w:val="none"/>
        </w:rPr>
      </w:pPr>
    </w:p>
    <w:p w14:paraId="655C34AF">
      <w:pPr>
        <w:pStyle w:val="30"/>
        <w:numPr>
          <w:ilvl w:val="0"/>
          <w:numId w:val="4"/>
        </w:numPr>
        <w:rPr>
          <w:rFonts w:hint="default" w:ascii="Arial" w:hAnsi="Arial" w:cs="Arial"/>
          <w:highlight w:val="none"/>
        </w:rPr>
      </w:pPr>
      <w:r>
        <w:rPr>
          <w:rFonts w:hint="default" w:ascii="Arial" w:hAnsi="Arial" w:cs="Arial"/>
          <w:highlight w:val="none"/>
        </w:rPr>
        <w:t xml:space="preserve">Adding to this, the involvement of family members in lifestyle counselling sessions was identified as one of the important factors influencing dietary and physical activity behaviours in SA communities, as appropriate. In addition, partnerships between community and religious institutions, the healthcare sector and public health bodies should be reinforced in order to make cardiovascular health programmes more accessible and trusted. The outreach and distribution of community-based screening campaigns, lifestyle education workshops and prevention programmes should be undertaken in their context and inside the community in close to their everyday surroundings, like temples, mosques, gurdwaras and local community centres. This can reduce stigma and increase awareness and participation of the underserved population with cardiovascular risk factors and healthy lifestyle behaviours. </w:t>
      </w:r>
    </w:p>
    <w:p w14:paraId="16DF01DB">
      <w:pPr>
        <w:rPr>
          <w:rFonts w:hint="default" w:ascii="Arial" w:hAnsi="Arial" w:cs="Arial"/>
          <w:highlight w:val="none"/>
        </w:rPr>
      </w:pPr>
    </w:p>
    <w:p w14:paraId="206C833B">
      <w:pPr>
        <w:pStyle w:val="30"/>
        <w:numPr>
          <w:ilvl w:val="0"/>
          <w:numId w:val="4"/>
        </w:numPr>
        <w:rPr>
          <w:rFonts w:hint="default" w:ascii="Arial" w:hAnsi="Arial" w:cs="Arial"/>
          <w:highlight w:val="none"/>
        </w:rPr>
      </w:pPr>
      <w:r>
        <w:rPr>
          <w:rFonts w:hint="default" w:ascii="Arial" w:hAnsi="Arial" w:cs="Arial"/>
          <w:highlight w:val="none"/>
        </w:rPr>
        <w:t>Lastly, there is a need for local governments and health care commissioners to embrace participatory, culturally relevant physical activity programs focused on South Asians. Picture different fitness classes that are tools for exercise, including options available for women only, culturally relevant fitness classes, community-based with low attendance or participation fees and others, that address the gender-specific barriers and social expectations that may prevent women from participating in physical exercise. Creating ‘accessible and culturally appropriate opportunities for physical activity' can enhance the sustainability of physical activity and may reduce the cardiovascular disease risk of South Asian communities in the United Kingdom in the long term.</w:t>
      </w:r>
    </w:p>
    <w:p w14:paraId="1B1DB05A">
      <w:pPr>
        <w:pStyle w:val="30"/>
        <w:numPr>
          <w:ilvl w:val="0"/>
          <w:numId w:val="0"/>
        </w:numPr>
        <w:ind w:left="360" w:leftChars="0"/>
        <w:rPr>
          <w:rFonts w:hint="default" w:ascii="Arial" w:hAnsi="Arial" w:cs="Arial"/>
          <w:highlight w:val="none"/>
        </w:rPr>
      </w:pPr>
    </w:p>
    <w:p w14:paraId="4AEBE7D6">
      <w:pPr>
        <w:pStyle w:val="30"/>
        <w:numPr>
          <w:ilvl w:val="0"/>
          <w:numId w:val="0"/>
        </w:numPr>
        <w:ind w:left="360" w:leftChars="0"/>
        <w:rPr>
          <w:rFonts w:hint="default" w:ascii="Arial" w:hAnsi="Arial" w:cs="Arial"/>
          <w:highlight w:val="none"/>
        </w:rPr>
      </w:pPr>
    </w:p>
    <w:p w14:paraId="2B7BE67A">
      <w:pPr>
        <w:rPr>
          <w:rFonts w:hint="default" w:ascii="Arial" w:hAnsi="Arial" w:cs="Arial"/>
          <w:highlight w:val="none"/>
          <w:lang w:val="en-IN"/>
        </w:rPr>
      </w:pPr>
    </w:p>
    <w:p w14:paraId="7DF32341">
      <w:pPr>
        <w:pStyle w:val="3"/>
        <w:spacing w:line="480" w:lineRule="auto"/>
        <w:ind w:left="0"/>
        <w:rPr>
          <w:rFonts w:hint="default" w:ascii="Arial" w:hAnsi="Arial" w:cs="Arial"/>
          <w:highlight w:val="none"/>
          <w:lang w:val="en-IN"/>
        </w:rPr>
      </w:pPr>
      <w:bookmarkStart w:id="171" w:name="_Toc227024759"/>
      <w:bookmarkStart w:id="172" w:name="_Toc31581"/>
      <w:r>
        <w:rPr>
          <w:rFonts w:hint="default" w:ascii="Arial" w:hAnsi="Arial" w:cs="Arial"/>
          <w:highlight w:val="none"/>
          <w:lang w:val="en-IN"/>
        </w:rPr>
        <w:t>7.4 Recommendations for Future Research</w:t>
      </w:r>
      <w:bookmarkEnd w:id="171"/>
      <w:bookmarkEnd w:id="172"/>
    </w:p>
    <w:p w14:paraId="2E0CC0C4">
      <w:pPr>
        <w:rPr>
          <w:rFonts w:hint="default" w:ascii="Arial" w:hAnsi="Arial" w:cs="Arial"/>
          <w:highlight w:val="none"/>
          <w:lang w:val="en-IN"/>
        </w:rPr>
      </w:pPr>
      <w:bookmarkStart w:id="173" w:name="_Toc227024760"/>
    </w:p>
    <w:p w14:paraId="3A4BDD05">
      <w:pPr>
        <w:pStyle w:val="30"/>
        <w:numPr>
          <w:ilvl w:val="0"/>
          <w:numId w:val="5"/>
        </w:numPr>
        <w:rPr>
          <w:rFonts w:hint="default" w:ascii="Arial" w:hAnsi="Arial" w:cs="Arial"/>
          <w:highlight w:val="none"/>
          <w:lang w:val="en-IN"/>
        </w:rPr>
      </w:pPr>
      <w:r>
        <w:rPr>
          <w:rFonts w:hint="default" w:ascii="Arial" w:hAnsi="Arial" w:cs="Arial"/>
          <w:highlight w:val="none"/>
          <w:lang w:val="en-IN"/>
        </w:rPr>
        <w:t>This systematic literature review has found various gaps in the current literature that need to be addressed further. Further studies ought to be more concerned with the variations within the wide South Asian label. The Indian, Pakistani, Bangladeshi, Sri Lankan and other South Asian groups may possess varied dietary habits, religious inclinations, migration history, socioeconomic status and cardiovascular risk factors. Thus, future research must not focus on South Asian adults as a single homogeneous group, and should as much as possible include subgroup-specific results.</w:t>
      </w:r>
    </w:p>
    <w:p w14:paraId="0B6AEB6D">
      <w:pPr>
        <w:rPr>
          <w:rFonts w:hint="default" w:ascii="Arial" w:hAnsi="Arial" w:cs="Arial"/>
          <w:highlight w:val="none"/>
          <w:lang w:val="en-IN"/>
        </w:rPr>
      </w:pPr>
    </w:p>
    <w:p w14:paraId="1FD66993">
      <w:pPr>
        <w:pStyle w:val="30"/>
        <w:numPr>
          <w:ilvl w:val="0"/>
          <w:numId w:val="5"/>
        </w:numPr>
        <w:rPr>
          <w:rFonts w:hint="default" w:ascii="Arial" w:hAnsi="Arial" w:cs="Arial"/>
          <w:highlight w:val="none"/>
          <w:lang w:val="en-IN"/>
        </w:rPr>
      </w:pPr>
      <w:r>
        <w:rPr>
          <w:rFonts w:hint="default" w:ascii="Arial" w:hAnsi="Arial" w:cs="Arial"/>
          <w:highlight w:val="none"/>
          <w:lang w:val="en-IN"/>
        </w:rPr>
        <w:t>It is also necessary to conduct larger longitudinal studies to assess the role of lifestyle factors on cardiovascular health in the long run. Such research would assist in the understanding of the long-term impacts of diet, physical exercise, alcohol consumption, stress, obesity and sedentary behaviour on the risk of cardiovascular disease in South Asian adults residing in the UK. More quality intervention studies and randomised controlled trials are also required to evaluate the effectiveness of culturally tailored and community-based prevention of cardiovascular programmes compared to the standard healthcare approaches.</w:t>
      </w:r>
    </w:p>
    <w:p w14:paraId="7F9CEFFC">
      <w:pPr>
        <w:rPr>
          <w:rFonts w:hint="default" w:ascii="Arial" w:hAnsi="Arial" w:cs="Arial"/>
          <w:highlight w:val="none"/>
          <w:lang w:val="en-IN"/>
        </w:rPr>
      </w:pPr>
    </w:p>
    <w:p w14:paraId="5B1F9B24">
      <w:pPr>
        <w:pStyle w:val="30"/>
        <w:numPr>
          <w:ilvl w:val="0"/>
          <w:numId w:val="5"/>
        </w:numPr>
        <w:rPr>
          <w:rFonts w:hint="default" w:ascii="Arial" w:hAnsi="Arial" w:cs="Arial"/>
          <w:highlight w:val="none"/>
          <w:lang w:val="en-IN"/>
        </w:rPr>
      </w:pPr>
      <w:r>
        <w:rPr>
          <w:rFonts w:hint="default" w:ascii="Arial" w:hAnsi="Arial" w:cs="Arial"/>
          <w:highlight w:val="none"/>
          <w:lang w:val="en-IN"/>
        </w:rPr>
        <w:t>Further qualitative studies should also seek the experiences of the second and third generation South Asians in the UK. This would aid in comprehending the effects of acculturation, shifting gender roles, patterns of Western lifestyle and changing family norms on cardiovascular health behaviours. South Asian women, mental health, alcohol use and barriers to physical activity are also areas that need more research in the current evidence base because these areas are not explored enough.</w:t>
      </w:r>
    </w:p>
    <w:p w14:paraId="5E2DA1EC">
      <w:pPr>
        <w:pStyle w:val="30"/>
        <w:numPr>
          <w:ilvl w:val="0"/>
          <w:numId w:val="0"/>
        </w:numPr>
        <w:ind w:left="360" w:leftChars="0"/>
        <w:rPr>
          <w:rFonts w:hint="default" w:ascii="Arial" w:hAnsi="Arial" w:cs="Arial"/>
          <w:highlight w:val="none"/>
          <w:lang w:val="en-IN"/>
        </w:rPr>
      </w:pPr>
    </w:p>
    <w:p w14:paraId="1B1A786B">
      <w:pPr>
        <w:pStyle w:val="3"/>
        <w:spacing w:line="480" w:lineRule="auto"/>
        <w:ind w:left="0"/>
        <w:rPr>
          <w:rFonts w:hint="default" w:ascii="Arial" w:hAnsi="Arial" w:cs="Arial"/>
          <w:highlight w:val="none"/>
          <w:lang w:val="en-IN"/>
        </w:rPr>
      </w:pPr>
      <w:bookmarkStart w:id="174" w:name="_Toc16248"/>
      <w:r>
        <w:rPr>
          <w:rFonts w:hint="default" w:ascii="Arial" w:hAnsi="Arial" w:cs="Arial"/>
          <w:highlight w:val="none"/>
          <w:lang w:val="en-IN"/>
        </w:rPr>
        <w:t>7.5 Conclusion</w:t>
      </w:r>
      <w:bookmarkEnd w:id="173"/>
      <w:bookmarkEnd w:id="174"/>
    </w:p>
    <w:p w14:paraId="788D58E5">
      <w:pPr>
        <w:rPr>
          <w:rFonts w:hint="default" w:ascii="Arial" w:hAnsi="Arial" w:cs="Arial"/>
          <w:highlight w:val="none"/>
          <w:lang w:val="en-IN"/>
        </w:rPr>
      </w:pPr>
      <w:r>
        <w:rPr>
          <w:rFonts w:hint="default" w:ascii="Arial" w:hAnsi="Arial" w:cs="Arial"/>
          <w:highlight w:val="none"/>
          <w:lang w:val="en-IN"/>
        </w:rPr>
        <w:t>This systematic literature review critically examined how modifiable lifestyle factors affect the cardiovascular health of South Asian adults living in the United Kingdom. The research was to examine the factors that influence and shape the cardiovascular disease risk and prevention behaviours in this population, including diet, physical activity, psychological wellbeing, cultural beliefs, family influences, and wider socioeconomic barriers.</w:t>
      </w:r>
    </w:p>
    <w:p w14:paraId="61983802">
      <w:pPr>
        <w:rPr>
          <w:rFonts w:hint="default" w:ascii="Arial" w:hAnsi="Arial" w:cs="Arial"/>
          <w:highlight w:val="none"/>
          <w:lang w:val="en-IN"/>
        </w:rPr>
      </w:pPr>
    </w:p>
    <w:p w14:paraId="27A99772">
      <w:pPr>
        <w:rPr>
          <w:rFonts w:hint="default" w:ascii="Arial" w:hAnsi="Arial" w:cs="Arial"/>
          <w:highlight w:val="none"/>
          <w:lang w:val="en-IN"/>
        </w:rPr>
      </w:pPr>
      <w:r>
        <w:rPr>
          <w:rFonts w:hint="default" w:ascii="Arial" w:hAnsi="Arial" w:cs="Arial"/>
          <w:highlight w:val="none"/>
          <w:lang w:val="en-IN"/>
        </w:rPr>
        <w:t>Using thematic synthesis of ten studies included, three broad themes were identified. The primary theme revealed that lifestyle behaviours, especially dietary habits, physical inactivity, lack of knowledge and psychological factors have significant impact on cardiovascular risk. Most adults in South Asia were generally aware of cardiovascular health but this awareness did not necessarily result in healthy behaviour. This was largely attributed to cultural food habits, absence of viable instructions, time constraints, work stress and emotional obstacles.</w:t>
      </w:r>
    </w:p>
    <w:p w14:paraId="3023A76A">
      <w:pPr>
        <w:rPr>
          <w:rFonts w:hint="default" w:ascii="Arial" w:hAnsi="Arial" w:cs="Arial"/>
          <w:highlight w:val="none"/>
          <w:lang w:val="en-IN"/>
        </w:rPr>
      </w:pPr>
    </w:p>
    <w:p w14:paraId="62DA4D6B">
      <w:pPr>
        <w:rPr>
          <w:rFonts w:hint="default" w:ascii="Arial" w:hAnsi="Arial" w:cs="Arial"/>
          <w:highlight w:val="none"/>
          <w:lang w:val="en-IN"/>
        </w:rPr>
      </w:pPr>
      <w:r>
        <w:rPr>
          <w:rFonts w:hint="default" w:ascii="Arial" w:hAnsi="Arial" w:cs="Arial"/>
          <w:highlight w:val="none"/>
          <w:lang w:val="en-IN"/>
        </w:rPr>
        <w:t>The second theme emphasised the significance of cultural, social and migration-related factors. The influences of family expectations, religious beliefs, social identity, gender roles and traditional norms on how individuals interpreted illness and complied with lifestyle advice. These results indicate that cardiovascular prevention cannot be effective when it fails to take into consideration the cultural and family background of South Asian adults in the UK.</w:t>
      </w:r>
    </w:p>
    <w:p w14:paraId="6BD8FFC0">
      <w:pPr>
        <w:rPr>
          <w:rFonts w:hint="default" w:ascii="Arial" w:hAnsi="Arial" w:cs="Arial"/>
          <w:highlight w:val="none"/>
          <w:lang w:val="en-IN"/>
        </w:rPr>
      </w:pPr>
    </w:p>
    <w:p w14:paraId="7ED84894">
      <w:pPr>
        <w:rPr>
          <w:rFonts w:hint="default" w:ascii="Arial" w:hAnsi="Arial" w:cs="Arial"/>
          <w:highlight w:val="none"/>
          <w:lang w:val="en-IN"/>
        </w:rPr>
      </w:pPr>
      <w:r>
        <w:rPr>
          <w:rFonts w:hint="default" w:ascii="Arial" w:hAnsi="Arial" w:cs="Arial"/>
          <w:highlight w:val="none"/>
          <w:lang w:val="en-IN"/>
        </w:rPr>
        <w:t>The third theme was the barriers and facilitators to prevention. The limitation on lifestyle change was due to socioeconomic constraints, excessive working hours, expense of healthy foods, inaccessibility of appropriate exercise venues and inaccessibility of culturally relevant services. Nonetheless, community-based interventions, family involvement, peer support, faith-based settings and culturally-specific education were found to be useful facilitators to enhance engagement and behaviour change.</w:t>
      </w:r>
    </w:p>
    <w:p w14:paraId="4A656242">
      <w:pPr>
        <w:rPr>
          <w:rFonts w:hint="default" w:ascii="Arial" w:hAnsi="Arial" w:cs="Arial"/>
          <w:highlight w:val="none"/>
          <w:lang w:val="en-IN"/>
        </w:rPr>
      </w:pPr>
    </w:p>
    <w:p w14:paraId="2E7747A2">
      <w:pPr>
        <w:rPr>
          <w:rFonts w:hint="default" w:ascii="Arial" w:hAnsi="Arial" w:cs="Arial"/>
          <w:highlight w:val="none"/>
          <w:lang w:val="en-IN"/>
        </w:rPr>
      </w:pPr>
      <w:r>
        <w:rPr>
          <w:rFonts w:hint="default" w:ascii="Arial" w:hAnsi="Arial" w:cs="Arial"/>
          <w:highlight w:val="none"/>
          <w:lang w:val="en-IN"/>
        </w:rPr>
        <w:t>On the whole, the review shows that the cardiovascular health of South Asian adults in the UK cannot be explained by biological or personal lifestyle factors only. Rather, it is a product of a complex interplay of cultural, psychological, social and structural factors. Thus, the culturally competent, community-oriented and family-oriented approaches to future public health should be identified. By targeting broader social and environmental determinants of health, healthcare systems can do more to reduce cardiovascular inequalities and improve long-term health outcomes among South Asian communities in the UK.</w:t>
      </w:r>
    </w:p>
    <w:p w14:paraId="4993DC81">
      <w:pPr>
        <w:rPr>
          <w:rFonts w:hint="default" w:ascii="Arial" w:hAnsi="Arial" w:cs="Arial"/>
          <w:highlight w:val="none"/>
          <w:lang w:val="en-IN"/>
        </w:rPr>
      </w:pPr>
      <w:r>
        <w:rPr>
          <w:rFonts w:hint="default" w:ascii="Arial" w:hAnsi="Arial" w:cs="Arial"/>
          <w:highlight w:val="none"/>
        </w:rPr>
        <w:t>.</w:t>
      </w:r>
    </w:p>
    <w:p w14:paraId="487F1B4D">
      <w:pPr>
        <w:rPr>
          <w:rFonts w:hint="default" w:ascii="Arial" w:hAnsi="Arial" w:cs="Arial"/>
          <w:highlight w:val="none"/>
        </w:rPr>
      </w:pPr>
    </w:p>
    <w:p w14:paraId="4F473C07">
      <w:pPr>
        <w:jc w:val="left"/>
        <w:rPr>
          <w:rFonts w:hint="default" w:ascii="Arial" w:hAnsi="Arial" w:eastAsia="Calibri" w:cs="Arial"/>
          <w:b/>
          <w:bCs/>
          <w:sz w:val="28"/>
          <w:szCs w:val="28"/>
          <w:highlight w:val="none"/>
          <w:lang w:eastAsia="en-US" w:bidi="ar-SA"/>
        </w:rPr>
      </w:pPr>
      <w:r>
        <w:rPr>
          <w:rFonts w:hint="default" w:ascii="Arial" w:hAnsi="Arial" w:eastAsia="Calibri" w:cs="Arial"/>
          <w:b/>
          <w:bCs/>
          <w:sz w:val="28"/>
          <w:szCs w:val="28"/>
          <w:highlight w:val="none"/>
          <w:lang w:eastAsia="en-US" w:bidi="ar-SA"/>
        </w:rPr>
        <w:br w:type="page"/>
      </w:r>
    </w:p>
    <w:p w14:paraId="7AD6B753">
      <w:pPr>
        <w:pStyle w:val="2"/>
        <w:spacing w:line="480" w:lineRule="auto"/>
        <w:jc w:val="center"/>
        <w:rPr>
          <w:rFonts w:hint="default" w:ascii="Arial" w:hAnsi="Arial" w:cs="Arial"/>
          <w:highlight w:val="none"/>
        </w:rPr>
      </w:pPr>
      <w:bookmarkStart w:id="175" w:name="_Toc12321"/>
      <w:r>
        <w:rPr>
          <w:rFonts w:hint="default" w:ascii="Arial" w:hAnsi="Arial" w:cs="Arial"/>
          <w:highlight w:val="none"/>
        </w:rPr>
        <w:t>REFERENCES</w:t>
      </w:r>
      <w:bookmarkEnd w:id="175"/>
    </w:p>
    <w:p w14:paraId="5465EE21">
      <w:pPr>
        <w:rPr>
          <w:rStyle w:val="16"/>
          <w:rFonts w:hint="default" w:ascii="Arial" w:hAnsi="Arial" w:cs="Arial"/>
          <w:highlight w:val="none"/>
          <w:lang w:val="en-IN"/>
        </w:rPr>
      </w:pPr>
      <w:r>
        <w:rPr>
          <w:rFonts w:hint="default" w:ascii="Arial" w:hAnsi="Arial" w:cs="Arial"/>
          <w:highlight w:val="none"/>
          <w:lang w:val="en-IN"/>
        </w:rPr>
        <w:t xml:space="preserve">Aboagye, E., Jensen, I., Bergström, G., Brämberg, E.B., Pico-Espinosa, O.J. and Björklund, C. (2021) ‘Investigating the association between publication performance and the work environment of university research academics: a systematic review’, </w:t>
      </w:r>
      <w:r>
        <w:rPr>
          <w:rFonts w:hint="default" w:ascii="Arial" w:hAnsi="Arial" w:cs="Arial"/>
          <w:i/>
          <w:iCs/>
          <w:highlight w:val="none"/>
          <w:lang w:val="en-IN"/>
        </w:rPr>
        <w:t>Scientometrics</w:t>
      </w:r>
      <w:r>
        <w:rPr>
          <w:rFonts w:hint="default" w:ascii="Arial" w:hAnsi="Arial" w:cs="Arial"/>
          <w:highlight w:val="none"/>
          <w:lang w:val="en-IN"/>
        </w:rPr>
        <w:t xml:space="preserve">, 126(4), pp. 3283–3301. Available at: </w:t>
      </w:r>
      <w:r>
        <w:rPr>
          <w:rFonts w:hint="default" w:ascii="Arial" w:hAnsi="Arial" w:cs="Arial"/>
          <w:highlight w:val="none"/>
        </w:rPr>
        <w:fldChar w:fldCharType="begin"/>
      </w:r>
      <w:r>
        <w:rPr>
          <w:rFonts w:hint="default" w:ascii="Arial" w:hAnsi="Arial" w:cs="Arial"/>
          <w:highlight w:val="none"/>
        </w:rPr>
        <w:instrText xml:space="preserve"> HYPERLINK "https://doi.org/10.1007/s11192-020-03820-y" \t "_new" </w:instrText>
      </w:r>
      <w:r>
        <w:rPr>
          <w:rFonts w:hint="default" w:ascii="Arial" w:hAnsi="Arial" w:cs="Arial"/>
          <w:highlight w:val="none"/>
        </w:rPr>
        <w:fldChar w:fldCharType="separate"/>
      </w:r>
      <w:r>
        <w:rPr>
          <w:rStyle w:val="16"/>
          <w:rFonts w:hint="default" w:ascii="Arial" w:hAnsi="Arial" w:cs="Arial"/>
          <w:highlight w:val="none"/>
          <w:lang w:val="en-IN"/>
        </w:rPr>
        <w:t>https://doi.org/10.1007/s11192-020-03820-y</w:t>
      </w:r>
      <w:r>
        <w:rPr>
          <w:rStyle w:val="16"/>
          <w:rFonts w:hint="default" w:ascii="Arial" w:hAnsi="Arial" w:cs="Arial"/>
          <w:highlight w:val="none"/>
          <w:lang w:val="en-IN"/>
        </w:rPr>
        <w:fldChar w:fldCharType="end"/>
      </w:r>
    </w:p>
    <w:p w14:paraId="157D8879">
      <w:pPr>
        <w:rPr>
          <w:rStyle w:val="16"/>
          <w:rFonts w:hint="default" w:ascii="Arial" w:hAnsi="Arial" w:cs="Arial"/>
          <w:highlight w:val="none"/>
          <w:lang w:val="en-IN"/>
        </w:rPr>
      </w:pPr>
    </w:p>
    <w:p w14:paraId="656D3F21">
      <w:pPr>
        <w:rPr>
          <w:rFonts w:hint="default" w:ascii="Arial" w:hAnsi="Arial" w:cs="Arial"/>
          <w:highlight w:val="none"/>
          <w:lang w:val="en-IN"/>
        </w:rPr>
      </w:pPr>
      <w:r>
        <w:rPr>
          <w:rFonts w:hint="default" w:ascii="Arial" w:hAnsi="Arial" w:cs="Arial"/>
          <w:highlight w:val="none"/>
          <w:lang w:val="en-IN"/>
        </w:rPr>
        <w:t xml:space="preserve">Abubakar, H.S. and Garba, S.I. (2024) ‘The concepts of background to the study, statement of the research problem and aim and objectives in literary theses’, </w:t>
      </w:r>
      <w:r>
        <w:rPr>
          <w:rFonts w:hint="default" w:ascii="Arial" w:hAnsi="Arial" w:cs="Arial"/>
          <w:i/>
          <w:iCs/>
          <w:highlight w:val="none"/>
          <w:lang w:val="en-IN"/>
        </w:rPr>
        <w:t>Yankari Journal of English, Literature and Linguistics</w:t>
      </w:r>
      <w:r>
        <w:rPr>
          <w:rFonts w:hint="default" w:ascii="Arial" w:hAnsi="Arial" w:cs="Arial"/>
          <w:highlight w:val="none"/>
          <w:lang w:val="en-IN"/>
        </w:rPr>
        <w:t>, 3(1), pp. 11–124.</w:t>
      </w:r>
    </w:p>
    <w:p w14:paraId="3AC326B2">
      <w:pPr>
        <w:rPr>
          <w:rFonts w:hint="default" w:ascii="Arial" w:hAnsi="Arial" w:cs="Arial"/>
          <w:highlight w:val="none"/>
          <w:lang w:val="en-IN"/>
        </w:rPr>
      </w:pPr>
    </w:p>
    <w:p w14:paraId="2B1BB858">
      <w:pPr>
        <w:rPr>
          <w:rStyle w:val="16"/>
          <w:rFonts w:hint="default" w:ascii="Arial" w:hAnsi="Arial" w:cs="Arial"/>
          <w:highlight w:val="none"/>
          <w:lang w:val="en-IN"/>
        </w:rPr>
      </w:pPr>
      <w:r>
        <w:rPr>
          <w:rFonts w:hint="default" w:ascii="Arial" w:hAnsi="Arial" w:cs="Arial"/>
          <w:highlight w:val="none"/>
          <w:lang w:val="en-IN"/>
        </w:rPr>
        <w:t xml:space="preserve">Abusaada, H. and Elshater, A. (2024) ‘Beyond keywords: effective strategies for building consistent reference lists in scientific research’, </w:t>
      </w:r>
      <w:r>
        <w:rPr>
          <w:rFonts w:hint="default" w:ascii="Arial" w:hAnsi="Arial" w:cs="Arial"/>
          <w:i/>
          <w:iCs/>
          <w:highlight w:val="none"/>
          <w:lang w:val="en-IN"/>
        </w:rPr>
        <w:t>Publications</w:t>
      </w:r>
      <w:r>
        <w:rPr>
          <w:rFonts w:hint="default" w:ascii="Arial" w:hAnsi="Arial" w:cs="Arial"/>
          <w:highlight w:val="none"/>
          <w:lang w:val="en-IN"/>
        </w:rPr>
        <w:t xml:space="preserve">, 12(3), pp. 1–18. Available at: </w:t>
      </w:r>
      <w:r>
        <w:rPr>
          <w:rFonts w:hint="default" w:ascii="Arial" w:hAnsi="Arial" w:cs="Arial"/>
          <w:highlight w:val="none"/>
        </w:rPr>
        <w:fldChar w:fldCharType="begin"/>
      </w:r>
      <w:r>
        <w:rPr>
          <w:rFonts w:hint="default" w:ascii="Arial" w:hAnsi="Arial" w:cs="Arial"/>
          <w:highlight w:val="none"/>
        </w:rPr>
        <w:instrText xml:space="preserve"> HYPERLINK "https://doi.org/10.3390/publications12030025" \t "_new" </w:instrText>
      </w:r>
      <w:r>
        <w:rPr>
          <w:rFonts w:hint="default" w:ascii="Arial" w:hAnsi="Arial" w:cs="Arial"/>
          <w:highlight w:val="none"/>
        </w:rPr>
        <w:fldChar w:fldCharType="separate"/>
      </w:r>
      <w:r>
        <w:rPr>
          <w:rStyle w:val="16"/>
          <w:rFonts w:hint="default" w:ascii="Arial" w:hAnsi="Arial" w:cs="Arial"/>
          <w:highlight w:val="none"/>
          <w:lang w:val="en-IN"/>
        </w:rPr>
        <w:t>https://doi.org/10.3390/publications12030025</w:t>
      </w:r>
      <w:r>
        <w:rPr>
          <w:rStyle w:val="16"/>
          <w:rFonts w:hint="default" w:ascii="Arial" w:hAnsi="Arial" w:cs="Arial"/>
          <w:highlight w:val="none"/>
          <w:lang w:val="en-IN"/>
        </w:rPr>
        <w:fldChar w:fldCharType="end"/>
      </w:r>
    </w:p>
    <w:p w14:paraId="048B405D">
      <w:pPr>
        <w:rPr>
          <w:rStyle w:val="16"/>
          <w:rFonts w:hint="default" w:ascii="Arial" w:hAnsi="Arial" w:cs="Arial"/>
          <w:highlight w:val="none"/>
          <w:lang w:val="en-IN"/>
        </w:rPr>
      </w:pPr>
    </w:p>
    <w:p w14:paraId="617BDC43">
      <w:pPr>
        <w:rPr>
          <w:rFonts w:hint="default" w:ascii="Arial" w:hAnsi="Arial" w:cs="Arial"/>
          <w:highlight w:val="none"/>
          <w:lang w:val="en-IN"/>
        </w:rPr>
      </w:pPr>
      <w:r>
        <w:rPr>
          <w:rFonts w:hint="default" w:ascii="Arial" w:hAnsi="Arial" w:cs="Arial"/>
          <w:highlight w:val="none"/>
          <w:lang w:val="en-IN"/>
        </w:rPr>
        <w:t xml:space="preserve">Afifi, M., Stryhn, H. and Sanchez, J. (2023) ‘Data extraction and comparison for complex systematic reviews: a step-by-step guideline and an implementation example using open-source software’, </w:t>
      </w:r>
      <w:r>
        <w:rPr>
          <w:rFonts w:hint="default" w:ascii="Arial" w:hAnsi="Arial" w:cs="Arial"/>
          <w:i/>
          <w:iCs/>
          <w:highlight w:val="none"/>
          <w:lang w:val="en-IN"/>
        </w:rPr>
        <w:t>Systematic Reviews</w:t>
      </w:r>
      <w:r>
        <w:rPr>
          <w:rFonts w:hint="default" w:ascii="Arial" w:hAnsi="Arial" w:cs="Arial"/>
          <w:highlight w:val="none"/>
          <w:lang w:val="en-IN"/>
        </w:rPr>
        <w:t xml:space="preserve">, 12(1), p. 226. Available at: </w:t>
      </w:r>
      <w:r>
        <w:rPr>
          <w:rFonts w:hint="default" w:ascii="Arial" w:hAnsi="Arial" w:cs="Arial"/>
          <w:highlight w:val="none"/>
          <w:lang w:val="en-IN"/>
        </w:rPr>
        <w:fldChar w:fldCharType="begin"/>
      </w:r>
      <w:r>
        <w:rPr>
          <w:rFonts w:hint="default" w:ascii="Arial" w:hAnsi="Arial" w:cs="Arial"/>
          <w:highlight w:val="none"/>
          <w:lang w:val="en-IN"/>
        </w:rPr>
        <w:instrText xml:space="preserve"> HYPERLINK "https://doi.org/10.1186/s13643-023-02322-1" </w:instrText>
      </w:r>
      <w:r>
        <w:rPr>
          <w:rFonts w:hint="default" w:ascii="Arial" w:hAnsi="Arial" w:cs="Arial"/>
          <w:highlight w:val="none"/>
          <w:lang w:val="en-IN"/>
        </w:rPr>
        <w:fldChar w:fldCharType="separate"/>
      </w:r>
      <w:r>
        <w:rPr>
          <w:rStyle w:val="16"/>
          <w:rFonts w:hint="default" w:ascii="Arial" w:hAnsi="Arial" w:cs="Arial"/>
          <w:highlight w:val="none"/>
          <w:lang w:val="en-IN"/>
        </w:rPr>
        <w:t>https://doi.org/10.1186/s13643-023-02322-1</w:t>
      </w:r>
      <w:r>
        <w:rPr>
          <w:rFonts w:hint="default" w:ascii="Arial" w:hAnsi="Arial" w:cs="Arial"/>
          <w:highlight w:val="none"/>
          <w:lang w:val="en-IN"/>
        </w:rPr>
        <w:fldChar w:fldCharType="end"/>
      </w:r>
    </w:p>
    <w:p w14:paraId="0716435F">
      <w:pPr>
        <w:rPr>
          <w:rFonts w:hint="default" w:ascii="Arial" w:hAnsi="Arial" w:cs="Arial"/>
          <w:highlight w:val="none"/>
          <w:lang w:val="en-IN"/>
        </w:rPr>
      </w:pPr>
    </w:p>
    <w:p w14:paraId="67BDDD70">
      <w:pPr>
        <w:rPr>
          <w:rFonts w:hint="default" w:ascii="Arial" w:hAnsi="Arial" w:cs="Arial"/>
          <w:highlight w:val="none"/>
          <w:lang w:val="en-IN"/>
        </w:rPr>
      </w:pPr>
      <w:r>
        <w:rPr>
          <w:rFonts w:hint="default" w:ascii="Arial" w:hAnsi="Arial" w:cs="Arial"/>
          <w:highlight w:val="none"/>
          <w:lang w:val="en-IN"/>
        </w:rPr>
        <w:t xml:space="preserve">Agrawal, A. </w:t>
      </w:r>
      <w:r>
        <w:rPr>
          <w:rFonts w:hint="default" w:ascii="Arial" w:hAnsi="Arial" w:cs="Arial"/>
          <w:i/>
          <w:iCs/>
          <w:highlight w:val="none"/>
          <w:lang w:val="en-IN"/>
        </w:rPr>
        <w:t>et al.</w:t>
      </w:r>
      <w:r>
        <w:rPr>
          <w:rFonts w:hint="default" w:ascii="Arial" w:hAnsi="Arial" w:cs="Arial"/>
          <w:highlight w:val="none"/>
          <w:lang w:val="en-IN"/>
        </w:rPr>
        <w:t xml:space="preserve"> (2023) ‘Risk factors, lab parameters, angiographic characteristics and outcomes of coronary artery disease in young South Asian patients: a systematic review’, </w:t>
      </w:r>
      <w:r>
        <w:rPr>
          <w:rFonts w:hint="default" w:ascii="Arial" w:hAnsi="Arial" w:cs="Arial"/>
          <w:i/>
          <w:iCs/>
          <w:highlight w:val="none"/>
          <w:lang w:val="en-IN"/>
        </w:rPr>
        <w:t>Journal of International Medical Research</w:t>
      </w:r>
      <w:r>
        <w:rPr>
          <w:rFonts w:hint="default" w:ascii="Arial" w:hAnsi="Arial" w:cs="Arial"/>
          <w:highlight w:val="none"/>
          <w:lang w:val="en-IN"/>
        </w:rPr>
        <w:t>, 51(8), p. 03000605231187806.</w:t>
      </w:r>
    </w:p>
    <w:p w14:paraId="712A9BD7">
      <w:pPr>
        <w:rPr>
          <w:rFonts w:hint="default" w:ascii="Arial" w:hAnsi="Arial" w:cs="Arial"/>
          <w:highlight w:val="none"/>
          <w:lang w:val="en-IN"/>
        </w:rPr>
      </w:pPr>
    </w:p>
    <w:p w14:paraId="79E50F7D">
      <w:pPr>
        <w:rPr>
          <w:rFonts w:hint="default" w:ascii="Arial" w:hAnsi="Arial" w:cs="Arial"/>
          <w:highlight w:val="none"/>
          <w:lang w:val="en-IN"/>
        </w:rPr>
      </w:pPr>
      <w:r>
        <w:rPr>
          <w:rFonts w:hint="default" w:ascii="Arial" w:hAnsi="Arial" w:cs="Arial"/>
          <w:highlight w:val="none"/>
          <w:lang w:val="en-IN"/>
        </w:rPr>
        <w:t xml:space="preserve">Agyemang, C. </w:t>
      </w:r>
      <w:r>
        <w:rPr>
          <w:rFonts w:hint="default" w:ascii="Arial" w:hAnsi="Arial" w:cs="Arial"/>
          <w:i/>
          <w:iCs/>
          <w:highlight w:val="none"/>
          <w:lang w:val="en-IN"/>
        </w:rPr>
        <w:t>et al.</w:t>
      </w:r>
      <w:r>
        <w:rPr>
          <w:rFonts w:hint="default" w:ascii="Arial" w:hAnsi="Arial" w:cs="Arial"/>
          <w:highlight w:val="none"/>
          <w:lang w:val="en-IN"/>
        </w:rPr>
        <w:t xml:space="preserve"> (2024) ‘International migration and cardiovascular health: unravelling the disease burden among migrants to North America and Europe’, </w:t>
      </w:r>
      <w:r>
        <w:rPr>
          <w:rFonts w:hint="default" w:ascii="Arial" w:hAnsi="Arial" w:cs="Arial"/>
          <w:i/>
          <w:iCs/>
          <w:highlight w:val="none"/>
          <w:lang w:val="en-IN"/>
        </w:rPr>
        <w:t>Journal of the American Heart Association</w:t>
      </w:r>
      <w:r>
        <w:rPr>
          <w:rFonts w:hint="default" w:ascii="Arial" w:hAnsi="Arial" w:cs="Arial"/>
          <w:highlight w:val="none"/>
          <w:lang w:val="en-IN"/>
        </w:rPr>
        <w:t>, 13(9), p. e030228.</w:t>
      </w:r>
    </w:p>
    <w:p w14:paraId="203413B3">
      <w:pPr>
        <w:rPr>
          <w:rFonts w:hint="default" w:ascii="Arial" w:hAnsi="Arial" w:cs="Arial"/>
          <w:highlight w:val="none"/>
          <w:lang w:val="en-IN"/>
        </w:rPr>
      </w:pPr>
    </w:p>
    <w:p w14:paraId="63902DA3">
      <w:pPr>
        <w:rPr>
          <w:rStyle w:val="16"/>
          <w:rFonts w:hint="default" w:ascii="Arial" w:hAnsi="Arial" w:cs="Arial"/>
          <w:highlight w:val="none"/>
          <w:lang w:val="en-IN"/>
        </w:rPr>
      </w:pPr>
      <w:r>
        <w:rPr>
          <w:rFonts w:hint="default" w:ascii="Arial" w:hAnsi="Arial" w:cs="Arial"/>
          <w:highlight w:val="none"/>
          <w:lang w:val="en-IN"/>
        </w:rPr>
        <w:t xml:space="preserve">Ahmed, S.K. </w:t>
      </w:r>
      <w:r>
        <w:rPr>
          <w:rFonts w:hint="default" w:ascii="Arial" w:hAnsi="Arial" w:cs="Arial"/>
          <w:i/>
          <w:iCs/>
          <w:highlight w:val="none"/>
          <w:lang w:val="en-IN"/>
        </w:rPr>
        <w:t>et al.</w:t>
      </w:r>
      <w:r>
        <w:rPr>
          <w:rFonts w:hint="default" w:ascii="Arial" w:hAnsi="Arial" w:cs="Arial"/>
          <w:highlight w:val="none"/>
          <w:lang w:val="en-IN"/>
        </w:rPr>
        <w:t xml:space="preserve"> (2025) ‘Using thematic analysis in qualitative research’, </w:t>
      </w:r>
      <w:r>
        <w:rPr>
          <w:rFonts w:hint="default" w:ascii="Arial" w:hAnsi="Arial" w:cs="Arial"/>
          <w:i/>
          <w:iCs/>
          <w:highlight w:val="none"/>
          <w:lang w:val="en-IN"/>
        </w:rPr>
        <w:t>Journal of Medicine, Surgery, and Public Health</w:t>
      </w:r>
      <w:r>
        <w:rPr>
          <w:rFonts w:hint="default" w:ascii="Arial" w:hAnsi="Arial" w:cs="Arial"/>
          <w:highlight w:val="none"/>
          <w:lang w:val="en-IN"/>
        </w:rPr>
        <w:t xml:space="preserve">, 6(6), p. 100198. Available at: </w:t>
      </w:r>
      <w:r>
        <w:rPr>
          <w:rFonts w:hint="default" w:ascii="Arial" w:hAnsi="Arial" w:cs="Arial"/>
          <w:highlight w:val="none"/>
        </w:rPr>
        <w:fldChar w:fldCharType="begin"/>
      </w:r>
      <w:r>
        <w:rPr>
          <w:rFonts w:hint="default" w:ascii="Arial" w:hAnsi="Arial" w:cs="Arial"/>
          <w:highlight w:val="none"/>
        </w:rPr>
        <w:instrText xml:space="preserve"> HYPERLINK "https://doi.org/10.1016/j.glmedi.2025.100198" \t "_new" </w:instrText>
      </w:r>
      <w:r>
        <w:rPr>
          <w:rFonts w:hint="default" w:ascii="Arial" w:hAnsi="Arial" w:cs="Arial"/>
          <w:highlight w:val="none"/>
        </w:rPr>
        <w:fldChar w:fldCharType="separate"/>
      </w:r>
      <w:r>
        <w:rPr>
          <w:rStyle w:val="16"/>
          <w:rFonts w:hint="default" w:ascii="Arial" w:hAnsi="Arial" w:cs="Arial"/>
          <w:highlight w:val="none"/>
          <w:lang w:val="en-IN"/>
        </w:rPr>
        <w:t>https://doi.org/10.1016/j.glmedi.2025.100198</w:t>
      </w:r>
      <w:r>
        <w:rPr>
          <w:rStyle w:val="16"/>
          <w:rFonts w:hint="default" w:ascii="Arial" w:hAnsi="Arial" w:cs="Arial"/>
          <w:highlight w:val="none"/>
          <w:lang w:val="en-IN"/>
        </w:rPr>
        <w:fldChar w:fldCharType="end"/>
      </w:r>
    </w:p>
    <w:p w14:paraId="701F898A">
      <w:pPr>
        <w:rPr>
          <w:rStyle w:val="16"/>
          <w:rFonts w:hint="default" w:ascii="Arial" w:hAnsi="Arial" w:cs="Arial"/>
          <w:highlight w:val="none"/>
          <w:lang w:val="en-IN"/>
        </w:rPr>
      </w:pPr>
    </w:p>
    <w:p w14:paraId="2D33B08A">
      <w:pPr>
        <w:rPr>
          <w:rFonts w:hint="default" w:ascii="Arial" w:hAnsi="Arial" w:cs="Arial"/>
          <w:highlight w:val="none"/>
          <w:lang w:val="en-IN"/>
        </w:rPr>
      </w:pPr>
      <w:r>
        <w:rPr>
          <w:rFonts w:hint="default" w:ascii="Arial" w:hAnsi="Arial" w:cs="Arial"/>
          <w:highlight w:val="none"/>
          <w:lang w:val="en-IN"/>
        </w:rPr>
        <w:t xml:space="preserve">Ajemba, M.N. and Arene, E.C. (2022) ‘Ensuring ethical research approach’, </w:t>
      </w:r>
      <w:r>
        <w:rPr>
          <w:rFonts w:hint="default" w:ascii="Arial" w:hAnsi="Arial" w:cs="Arial"/>
          <w:i/>
          <w:iCs/>
          <w:highlight w:val="none"/>
          <w:lang w:val="en-IN"/>
        </w:rPr>
        <w:t>Magna Scientia Advanced Research and Reviews</w:t>
      </w:r>
      <w:r>
        <w:rPr>
          <w:rFonts w:hint="default" w:ascii="Arial" w:hAnsi="Arial" w:cs="Arial"/>
          <w:highlight w:val="none"/>
          <w:lang w:val="en-IN"/>
        </w:rPr>
        <w:t>, 6(1), pp. 46–50.</w:t>
      </w:r>
    </w:p>
    <w:p w14:paraId="4780E14C">
      <w:pPr>
        <w:rPr>
          <w:rFonts w:hint="default" w:ascii="Arial" w:hAnsi="Arial" w:cs="Arial"/>
          <w:highlight w:val="none"/>
          <w:lang w:val="en-IN"/>
        </w:rPr>
      </w:pPr>
    </w:p>
    <w:p w14:paraId="33086E4F">
      <w:pPr>
        <w:rPr>
          <w:rFonts w:hint="default" w:ascii="Arial" w:hAnsi="Arial" w:cs="Arial"/>
          <w:highlight w:val="none"/>
          <w:lang w:val="en-IN"/>
        </w:rPr>
      </w:pPr>
      <w:r>
        <w:rPr>
          <w:rFonts w:hint="default" w:ascii="Arial" w:hAnsi="Arial" w:cs="Arial"/>
          <w:highlight w:val="none"/>
          <w:lang w:val="en-IN"/>
        </w:rPr>
        <w:t xml:space="preserve">Alharbi, A. and Stevenson, M. (2020) ‘Refining Boolean queries to identify relevant studies for systematic review updates’, </w:t>
      </w:r>
      <w:r>
        <w:rPr>
          <w:rFonts w:hint="default" w:ascii="Arial" w:hAnsi="Arial" w:cs="Arial"/>
          <w:i/>
          <w:iCs/>
          <w:highlight w:val="none"/>
          <w:lang w:val="en-IN"/>
        </w:rPr>
        <w:t>Journal of the American Medical Informatics Association</w:t>
      </w:r>
      <w:r>
        <w:rPr>
          <w:rFonts w:hint="default" w:ascii="Arial" w:hAnsi="Arial" w:cs="Arial"/>
          <w:highlight w:val="none"/>
          <w:lang w:val="en-IN"/>
        </w:rPr>
        <w:t xml:space="preserve">, 27(11), pp. 1658–1666. </w:t>
      </w:r>
    </w:p>
    <w:p w14:paraId="500EA475">
      <w:pPr>
        <w:rPr>
          <w:rFonts w:hint="default" w:ascii="Arial" w:hAnsi="Arial" w:cs="Arial"/>
          <w:highlight w:val="none"/>
          <w:lang w:val="en-IN"/>
        </w:rPr>
      </w:pPr>
    </w:p>
    <w:p w14:paraId="657C8DCF">
      <w:pPr>
        <w:rPr>
          <w:rStyle w:val="16"/>
          <w:rFonts w:hint="default" w:ascii="Arial" w:hAnsi="Arial" w:cs="Arial"/>
          <w:highlight w:val="none"/>
          <w:lang w:val="en-IN"/>
        </w:rPr>
      </w:pPr>
      <w:r>
        <w:rPr>
          <w:rFonts w:hint="default" w:ascii="Arial" w:hAnsi="Arial" w:cs="Arial"/>
          <w:highlight w:val="none"/>
          <w:lang w:val="en-IN"/>
        </w:rPr>
        <w:t xml:space="preserve">Alidu, L. and Grunfeld, E.A. (2017) ‘A systematic review of acculturation, obesity and health behaviours among migrants to high-income countries’, </w:t>
      </w:r>
      <w:r>
        <w:rPr>
          <w:rFonts w:hint="default" w:ascii="Arial" w:hAnsi="Arial" w:cs="Arial"/>
          <w:i/>
          <w:iCs/>
          <w:highlight w:val="none"/>
          <w:lang w:val="en-IN"/>
        </w:rPr>
        <w:t>Psychology &amp; Health</w:t>
      </w:r>
      <w:r>
        <w:rPr>
          <w:rFonts w:hint="default" w:ascii="Arial" w:hAnsi="Arial" w:cs="Arial"/>
          <w:highlight w:val="none"/>
          <w:lang w:val="en-IN"/>
        </w:rPr>
        <w:t xml:space="preserve">, 33(6), pp. 724–745. Available at: </w:t>
      </w:r>
      <w:r>
        <w:rPr>
          <w:rFonts w:hint="default" w:ascii="Arial" w:hAnsi="Arial" w:cs="Arial"/>
          <w:highlight w:val="none"/>
        </w:rPr>
        <w:fldChar w:fldCharType="begin"/>
      </w:r>
      <w:r>
        <w:rPr>
          <w:rFonts w:hint="default" w:ascii="Arial" w:hAnsi="Arial" w:cs="Arial"/>
          <w:highlight w:val="none"/>
        </w:rPr>
        <w:instrText xml:space="preserve"> HYPERLINK "https://doi.org/10.1080/08870446.2017.1398327" \t "_new" </w:instrText>
      </w:r>
      <w:r>
        <w:rPr>
          <w:rFonts w:hint="default" w:ascii="Arial" w:hAnsi="Arial" w:cs="Arial"/>
          <w:highlight w:val="none"/>
        </w:rPr>
        <w:fldChar w:fldCharType="separate"/>
      </w:r>
      <w:r>
        <w:rPr>
          <w:rStyle w:val="16"/>
          <w:rFonts w:hint="default" w:ascii="Arial" w:hAnsi="Arial" w:cs="Arial"/>
          <w:highlight w:val="none"/>
          <w:lang w:val="en-IN"/>
        </w:rPr>
        <w:t>https://doi.org/10.1080/08870446.2017.1398327</w:t>
      </w:r>
      <w:r>
        <w:rPr>
          <w:rStyle w:val="16"/>
          <w:rFonts w:hint="default" w:ascii="Arial" w:hAnsi="Arial" w:cs="Arial"/>
          <w:highlight w:val="none"/>
          <w:lang w:val="en-IN"/>
        </w:rPr>
        <w:fldChar w:fldCharType="end"/>
      </w:r>
    </w:p>
    <w:p w14:paraId="1866F5C6">
      <w:pPr>
        <w:rPr>
          <w:rStyle w:val="16"/>
          <w:rFonts w:hint="default" w:ascii="Arial" w:hAnsi="Arial" w:cs="Arial"/>
          <w:highlight w:val="none"/>
          <w:lang w:val="en-IN"/>
        </w:rPr>
      </w:pPr>
    </w:p>
    <w:p w14:paraId="7659387B">
      <w:pPr>
        <w:rPr>
          <w:rStyle w:val="16"/>
          <w:rFonts w:hint="default" w:ascii="Arial" w:hAnsi="Arial" w:cs="Arial"/>
          <w:highlight w:val="none"/>
          <w:lang w:val="en-IN"/>
        </w:rPr>
      </w:pPr>
      <w:r>
        <w:rPr>
          <w:rFonts w:hint="default" w:ascii="Arial" w:hAnsi="Arial" w:cs="Arial"/>
          <w:highlight w:val="none"/>
          <w:lang w:val="en-IN"/>
        </w:rPr>
        <w:t xml:space="preserve">Atkinson, L.Z. and Cipriani, A. (2018) ‘How to carry out a literature search for a systematic review: a practical guide’, </w:t>
      </w:r>
      <w:r>
        <w:rPr>
          <w:rFonts w:hint="default" w:ascii="Arial" w:hAnsi="Arial" w:cs="Arial"/>
          <w:i/>
          <w:iCs/>
          <w:highlight w:val="none"/>
          <w:lang w:val="en-IN"/>
        </w:rPr>
        <w:t>BJPsych Advances</w:t>
      </w:r>
      <w:r>
        <w:rPr>
          <w:rFonts w:hint="default" w:ascii="Arial" w:hAnsi="Arial" w:cs="Arial"/>
          <w:highlight w:val="none"/>
          <w:lang w:val="en-IN"/>
        </w:rPr>
        <w:t xml:space="preserve">, 24(2), pp. 74–82. Available at: </w:t>
      </w:r>
      <w:r>
        <w:rPr>
          <w:rFonts w:hint="default" w:ascii="Arial" w:hAnsi="Arial" w:cs="Arial"/>
          <w:highlight w:val="none"/>
        </w:rPr>
        <w:fldChar w:fldCharType="begin"/>
      </w:r>
      <w:r>
        <w:rPr>
          <w:rFonts w:hint="default" w:ascii="Arial" w:hAnsi="Arial" w:cs="Arial"/>
          <w:highlight w:val="none"/>
        </w:rPr>
        <w:instrText xml:space="preserve"> HYPERLINK "https://doi.org/10.1192/bja.2017.3" \t "_new" </w:instrText>
      </w:r>
      <w:r>
        <w:rPr>
          <w:rFonts w:hint="default" w:ascii="Arial" w:hAnsi="Arial" w:cs="Arial"/>
          <w:highlight w:val="none"/>
        </w:rPr>
        <w:fldChar w:fldCharType="separate"/>
      </w:r>
      <w:r>
        <w:rPr>
          <w:rStyle w:val="16"/>
          <w:rFonts w:hint="default" w:ascii="Arial" w:hAnsi="Arial" w:cs="Arial"/>
          <w:highlight w:val="none"/>
          <w:lang w:val="en-IN"/>
        </w:rPr>
        <w:t>https://doi.org/10.1192/bja.2017.3</w:t>
      </w:r>
      <w:r>
        <w:rPr>
          <w:rStyle w:val="16"/>
          <w:rFonts w:hint="default" w:ascii="Arial" w:hAnsi="Arial" w:cs="Arial"/>
          <w:highlight w:val="none"/>
          <w:lang w:val="en-IN"/>
        </w:rPr>
        <w:fldChar w:fldCharType="end"/>
      </w:r>
    </w:p>
    <w:p w14:paraId="34681CA8">
      <w:pPr>
        <w:rPr>
          <w:rStyle w:val="16"/>
          <w:rFonts w:hint="default" w:ascii="Arial" w:hAnsi="Arial" w:cs="Arial"/>
          <w:highlight w:val="none"/>
          <w:lang w:val="en-IN"/>
        </w:rPr>
      </w:pPr>
    </w:p>
    <w:p w14:paraId="57D8B14E">
      <w:pPr>
        <w:rPr>
          <w:rStyle w:val="16"/>
          <w:rFonts w:hint="default" w:ascii="Arial" w:hAnsi="Arial" w:cs="Arial"/>
          <w:highlight w:val="none"/>
          <w:lang w:val="en-IN"/>
        </w:rPr>
      </w:pPr>
      <w:r>
        <w:rPr>
          <w:rFonts w:hint="default" w:ascii="Arial" w:hAnsi="Arial" w:cs="Arial"/>
          <w:highlight w:val="none"/>
          <w:lang w:val="en-IN"/>
        </w:rPr>
        <w:t xml:space="preserve">Bhatnagar, P. </w:t>
      </w:r>
      <w:r>
        <w:rPr>
          <w:rFonts w:hint="default" w:ascii="Arial" w:hAnsi="Arial" w:cs="Arial"/>
          <w:i/>
          <w:iCs/>
          <w:highlight w:val="none"/>
          <w:lang w:val="en-IN"/>
        </w:rPr>
        <w:t>et al.</w:t>
      </w:r>
      <w:r>
        <w:rPr>
          <w:rFonts w:hint="default" w:ascii="Arial" w:hAnsi="Arial" w:cs="Arial"/>
          <w:highlight w:val="none"/>
          <w:lang w:val="en-IN"/>
        </w:rPr>
        <w:t xml:space="preserve"> (2016) ‘The physical activity profiles of South Asian ethnic groups in England’, </w:t>
      </w:r>
      <w:r>
        <w:rPr>
          <w:rFonts w:hint="default" w:ascii="Arial" w:hAnsi="Arial" w:cs="Arial"/>
          <w:i/>
          <w:iCs/>
          <w:highlight w:val="none"/>
          <w:lang w:val="en-IN"/>
        </w:rPr>
        <w:t>Journal of Epidemiology and Community Health</w:t>
      </w:r>
      <w:r>
        <w:rPr>
          <w:rFonts w:hint="default" w:ascii="Arial" w:hAnsi="Arial" w:cs="Arial"/>
          <w:highlight w:val="none"/>
          <w:lang w:val="en-IN"/>
        </w:rPr>
        <w:t xml:space="preserve">, 70(6), pp. 602–608. Available at: </w:t>
      </w:r>
      <w:r>
        <w:rPr>
          <w:rFonts w:hint="default" w:ascii="Arial" w:hAnsi="Arial" w:cs="Arial"/>
          <w:highlight w:val="none"/>
        </w:rPr>
        <w:fldChar w:fldCharType="begin"/>
      </w:r>
      <w:r>
        <w:rPr>
          <w:rFonts w:hint="default" w:ascii="Arial" w:hAnsi="Arial" w:cs="Arial"/>
          <w:highlight w:val="none"/>
        </w:rPr>
        <w:instrText xml:space="preserve"> HYPERLINK "https://jech.bmj.com/content/70/6/602" \t "_new" </w:instrText>
      </w:r>
      <w:r>
        <w:rPr>
          <w:rFonts w:hint="default" w:ascii="Arial" w:hAnsi="Arial" w:cs="Arial"/>
          <w:highlight w:val="none"/>
        </w:rPr>
        <w:fldChar w:fldCharType="separate"/>
      </w:r>
      <w:r>
        <w:rPr>
          <w:rStyle w:val="16"/>
          <w:rFonts w:hint="default" w:ascii="Arial" w:hAnsi="Arial" w:cs="Arial"/>
          <w:highlight w:val="none"/>
          <w:lang w:val="en-IN"/>
        </w:rPr>
        <w:t>https://jech.bmj.com/content/70/6/602</w:t>
      </w:r>
      <w:r>
        <w:rPr>
          <w:rStyle w:val="16"/>
          <w:rFonts w:hint="default" w:ascii="Arial" w:hAnsi="Arial" w:cs="Arial"/>
          <w:highlight w:val="none"/>
          <w:lang w:val="en-IN"/>
        </w:rPr>
        <w:fldChar w:fldCharType="end"/>
      </w:r>
    </w:p>
    <w:p w14:paraId="066B325C">
      <w:pPr>
        <w:rPr>
          <w:rStyle w:val="16"/>
          <w:rFonts w:hint="default" w:ascii="Arial" w:hAnsi="Arial" w:cs="Arial"/>
          <w:highlight w:val="none"/>
          <w:lang w:val="en-IN"/>
        </w:rPr>
      </w:pPr>
    </w:p>
    <w:p w14:paraId="2F16E975">
      <w:pPr>
        <w:rPr>
          <w:rStyle w:val="16"/>
          <w:rFonts w:hint="default" w:ascii="Arial" w:hAnsi="Arial" w:cs="Arial"/>
          <w:highlight w:val="none"/>
          <w:lang w:val="en-IN"/>
        </w:rPr>
      </w:pPr>
      <w:r>
        <w:rPr>
          <w:rFonts w:hint="default" w:ascii="Arial" w:hAnsi="Arial" w:cs="Arial"/>
          <w:highlight w:val="none"/>
          <w:lang w:val="en-IN"/>
        </w:rPr>
        <w:t xml:space="preserve">Bhattacharyya, M., Stevenson, F. and Walters, K. (2016) ‘Exploration of the psychological impact and adaptation to cardiac events in South Asians in the UK: a qualitative study’, </w:t>
      </w:r>
      <w:r>
        <w:rPr>
          <w:rFonts w:hint="default" w:ascii="Arial" w:hAnsi="Arial" w:cs="Arial"/>
          <w:i/>
          <w:iCs/>
          <w:highlight w:val="none"/>
          <w:lang w:val="en-IN"/>
        </w:rPr>
        <w:t>BMJ Open</w:t>
      </w:r>
      <w:r>
        <w:rPr>
          <w:rFonts w:hint="default" w:ascii="Arial" w:hAnsi="Arial" w:cs="Arial"/>
          <w:highlight w:val="none"/>
          <w:lang w:val="en-IN"/>
        </w:rPr>
        <w:t xml:space="preserve">, 6(7), p. e010195. Available at: </w:t>
      </w:r>
      <w:r>
        <w:rPr>
          <w:rFonts w:hint="default" w:ascii="Arial" w:hAnsi="Arial" w:cs="Arial"/>
          <w:highlight w:val="none"/>
        </w:rPr>
        <w:fldChar w:fldCharType="begin"/>
      </w:r>
      <w:r>
        <w:rPr>
          <w:rFonts w:hint="default" w:ascii="Arial" w:hAnsi="Arial" w:cs="Arial"/>
          <w:highlight w:val="none"/>
        </w:rPr>
        <w:instrText xml:space="preserve"> HYPERLINK "https://doi.org/10.1136/bmjopen-2015-010195" \t "_new" </w:instrText>
      </w:r>
      <w:r>
        <w:rPr>
          <w:rFonts w:hint="default" w:ascii="Arial" w:hAnsi="Arial" w:cs="Arial"/>
          <w:highlight w:val="none"/>
        </w:rPr>
        <w:fldChar w:fldCharType="separate"/>
      </w:r>
      <w:r>
        <w:rPr>
          <w:rStyle w:val="16"/>
          <w:rFonts w:hint="default" w:ascii="Arial" w:hAnsi="Arial" w:cs="Arial"/>
          <w:highlight w:val="none"/>
          <w:lang w:val="en-IN"/>
        </w:rPr>
        <w:t>https://doi.org/10.1136/bmjopen-2015-010195</w:t>
      </w:r>
      <w:r>
        <w:rPr>
          <w:rStyle w:val="16"/>
          <w:rFonts w:hint="default" w:ascii="Arial" w:hAnsi="Arial" w:cs="Arial"/>
          <w:highlight w:val="none"/>
          <w:lang w:val="en-IN"/>
        </w:rPr>
        <w:fldChar w:fldCharType="end"/>
      </w:r>
    </w:p>
    <w:p w14:paraId="7EC7EDE1">
      <w:pPr>
        <w:rPr>
          <w:rStyle w:val="16"/>
          <w:rFonts w:hint="default" w:ascii="Arial" w:hAnsi="Arial" w:cs="Arial"/>
          <w:highlight w:val="none"/>
          <w:lang w:val="en-IN"/>
        </w:rPr>
      </w:pPr>
    </w:p>
    <w:p w14:paraId="1D070B77">
      <w:pPr>
        <w:rPr>
          <w:rFonts w:hint="default" w:ascii="Arial" w:hAnsi="Arial" w:cs="Arial"/>
          <w:highlight w:val="none"/>
          <w:lang w:val="en-IN"/>
        </w:rPr>
      </w:pPr>
      <w:r>
        <w:rPr>
          <w:rFonts w:hint="default" w:ascii="Arial" w:hAnsi="Arial" w:cs="Arial"/>
          <w:highlight w:val="none"/>
          <w:lang w:val="en-IN"/>
        </w:rPr>
        <w:t xml:space="preserve">Bineid, M.M. </w:t>
      </w:r>
      <w:r>
        <w:rPr>
          <w:rFonts w:hint="default" w:ascii="Arial" w:hAnsi="Arial" w:cs="Arial"/>
          <w:i/>
          <w:iCs/>
          <w:highlight w:val="none"/>
          <w:lang w:val="en-IN"/>
        </w:rPr>
        <w:t>et al.</w:t>
      </w:r>
      <w:r>
        <w:rPr>
          <w:rFonts w:hint="default" w:ascii="Arial" w:hAnsi="Arial" w:cs="Arial"/>
          <w:highlight w:val="none"/>
          <w:lang w:val="en-IN"/>
        </w:rPr>
        <w:t xml:space="preserve"> (2025) ‘A systematic review of the effect of gene–lifestyle interactions on metabolic-disease-related traits in South Asian populations’, </w:t>
      </w:r>
      <w:r>
        <w:rPr>
          <w:rFonts w:hint="default" w:ascii="Arial" w:hAnsi="Arial" w:cs="Arial"/>
          <w:i/>
          <w:iCs/>
          <w:highlight w:val="none"/>
          <w:lang w:val="en-IN"/>
        </w:rPr>
        <w:t>Nutrition Reviews</w:t>
      </w:r>
      <w:r>
        <w:rPr>
          <w:rFonts w:hint="default" w:ascii="Arial" w:hAnsi="Arial" w:cs="Arial"/>
          <w:highlight w:val="none"/>
          <w:lang w:val="en-IN"/>
        </w:rPr>
        <w:t>, 83(6), pp. 1061–1082.</w:t>
      </w:r>
    </w:p>
    <w:p w14:paraId="72133007">
      <w:pPr>
        <w:rPr>
          <w:rFonts w:hint="default" w:ascii="Arial" w:hAnsi="Arial" w:cs="Arial"/>
          <w:highlight w:val="none"/>
          <w:lang w:val="en-IN"/>
        </w:rPr>
      </w:pPr>
    </w:p>
    <w:p w14:paraId="324FA587">
      <w:pPr>
        <w:rPr>
          <w:rFonts w:hint="default" w:ascii="Arial" w:hAnsi="Arial" w:cs="Arial"/>
          <w:highlight w:val="none"/>
          <w:lang w:val="en-IN"/>
        </w:rPr>
      </w:pPr>
      <w:r>
        <w:rPr>
          <w:rFonts w:hint="default" w:ascii="Arial" w:hAnsi="Arial" w:cs="Arial"/>
          <w:highlight w:val="none"/>
          <w:lang w:val="en-IN"/>
        </w:rPr>
        <w:t xml:space="preserve">Bolarinwa, O. and Nkansah, D.A. (2025) ‘A scoping review of cultural competence training gaps among healthcare professionals in low-and middle-income countries’, </w:t>
      </w:r>
      <w:r>
        <w:rPr>
          <w:rFonts w:hint="default" w:ascii="Arial" w:hAnsi="Arial" w:cs="Arial"/>
          <w:i/>
          <w:iCs/>
          <w:highlight w:val="none"/>
          <w:lang w:val="en-IN"/>
        </w:rPr>
        <w:t>BMC Health Services Research</w:t>
      </w:r>
      <w:r>
        <w:rPr>
          <w:rFonts w:hint="default" w:ascii="Arial" w:hAnsi="Arial" w:cs="Arial"/>
          <w:highlight w:val="none"/>
          <w:lang w:val="en-IN"/>
        </w:rPr>
        <w:t xml:space="preserve">, 25(1). </w:t>
      </w:r>
    </w:p>
    <w:p w14:paraId="3E526675">
      <w:pPr>
        <w:rPr>
          <w:rFonts w:hint="default" w:ascii="Arial" w:hAnsi="Arial" w:cs="Arial"/>
          <w:highlight w:val="none"/>
          <w:lang w:val="en-IN"/>
        </w:rPr>
      </w:pPr>
    </w:p>
    <w:p w14:paraId="348E08F4">
      <w:pPr>
        <w:rPr>
          <w:rFonts w:hint="default" w:ascii="Arial" w:hAnsi="Arial" w:cs="Arial"/>
          <w:highlight w:val="none"/>
          <w:lang w:val="en-IN"/>
        </w:rPr>
      </w:pPr>
      <w:r>
        <w:rPr>
          <w:rFonts w:hint="default" w:ascii="Arial" w:hAnsi="Arial" w:cs="Arial"/>
          <w:highlight w:val="none"/>
          <w:lang w:val="en-IN"/>
        </w:rPr>
        <w:t xml:space="preserve">Bramer, W.M., De Jonge, G.B., Rethlefsen, M.L., Mast, F. and Kleijnen, J. (2018) ‘A Systematic Approach to Searching: An Efficient and Complete Method to Develop Literature Searches’, </w:t>
      </w:r>
      <w:r>
        <w:rPr>
          <w:rFonts w:hint="default" w:ascii="Arial" w:hAnsi="Arial" w:cs="Arial"/>
          <w:i/>
          <w:iCs/>
          <w:highlight w:val="none"/>
          <w:lang w:val="en-IN"/>
        </w:rPr>
        <w:t>Journal of the Medical Library Association</w:t>
      </w:r>
      <w:r>
        <w:rPr>
          <w:rFonts w:hint="default" w:ascii="Arial" w:hAnsi="Arial" w:cs="Arial"/>
          <w:highlight w:val="none"/>
          <w:lang w:val="en-IN"/>
        </w:rPr>
        <w:t xml:space="preserve">, 106(4), pp. 531–541. </w:t>
      </w:r>
    </w:p>
    <w:p w14:paraId="4E376759">
      <w:pPr>
        <w:rPr>
          <w:rFonts w:hint="default" w:ascii="Arial" w:hAnsi="Arial" w:cs="Arial"/>
          <w:highlight w:val="none"/>
          <w:lang w:val="en-IN"/>
        </w:rPr>
      </w:pPr>
    </w:p>
    <w:p w14:paraId="47FA5B79">
      <w:pPr>
        <w:rPr>
          <w:rStyle w:val="16"/>
          <w:rFonts w:hint="default" w:ascii="Arial" w:hAnsi="Arial" w:cs="Arial"/>
          <w:highlight w:val="none"/>
          <w:lang w:val="en-IN"/>
        </w:rPr>
      </w:pPr>
      <w:r>
        <w:rPr>
          <w:rFonts w:hint="default" w:ascii="Arial" w:hAnsi="Arial" w:cs="Arial"/>
          <w:highlight w:val="none"/>
          <w:lang w:val="en-IN"/>
        </w:rPr>
        <w:t xml:space="preserve">Brangan, E. </w:t>
      </w:r>
      <w:r>
        <w:rPr>
          <w:rFonts w:hint="default" w:ascii="Arial" w:hAnsi="Arial" w:cs="Arial"/>
          <w:i/>
          <w:iCs/>
          <w:highlight w:val="none"/>
          <w:lang w:val="en-IN"/>
        </w:rPr>
        <w:t>et al.</w:t>
      </w:r>
      <w:r>
        <w:rPr>
          <w:rFonts w:hint="default" w:ascii="Arial" w:hAnsi="Arial" w:cs="Arial"/>
          <w:highlight w:val="none"/>
          <w:lang w:val="en-IN"/>
        </w:rPr>
        <w:t xml:space="preserve"> (2019) ‘Patient experiences of telephone outreach to enhance uptake of NHS health checks in more deprived communities and minority ethnic groups: a qualitative interview study’, </w:t>
      </w:r>
      <w:r>
        <w:rPr>
          <w:rFonts w:hint="default" w:ascii="Arial" w:hAnsi="Arial" w:cs="Arial"/>
          <w:i/>
          <w:iCs/>
          <w:highlight w:val="none"/>
          <w:lang w:val="en-IN"/>
        </w:rPr>
        <w:t>Health Expectations</w:t>
      </w:r>
      <w:r>
        <w:rPr>
          <w:rFonts w:hint="default" w:ascii="Arial" w:hAnsi="Arial" w:cs="Arial"/>
          <w:highlight w:val="none"/>
          <w:lang w:val="en-IN"/>
        </w:rPr>
        <w:t xml:space="preserve">, 22(3), pp. 364–372. Available at: </w:t>
      </w:r>
      <w:r>
        <w:rPr>
          <w:rFonts w:hint="default" w:ascii="Arial" w:hAnsi="Arial" w:cs="Arial"/>
          <w:highlight w:val="none"/>
        </w:rPr>
        <w:fldChar w:fldCharType="begin"/>
      </w:r>
      <w:r>
        <w:rPr>
          <w:rFonts w:hint="default" w:ascii="Arial" w:hAnsi="Arial" w:cs="Arial"/>
          <w:highlight w:val="none"/>
        </w:rPr>
        <w:instrText xml:space="preserve"> HYPERLINK "https://doi.org/10.1111/hex.12856" \t "_new" </w:instrText>
      </w:r>
      <w:r>
        <w:rPr>
          <w:rFonts w:hint="default" w:ascii="Arial" w:hAnsi="Arial" w:cs="Arial"/>
          <w:highlight w:val="none"/>
        </w:rPr>
        <w:fldChar w:fldCharType="separate"/>
      </w:r>
      <w:r>
        <w:rPr>
          <w:rStyle w:val="16"/>
          <w:rFonts w:hint="default" w:ascii="Arial" w:hAnsi="Arial" w:cs="Arial"/>
          <w:highlight w:val="none"/>
          <w:lang w:val="en-IN"/>
        </w:rPr>
        <w:t>https://doi.org/10.1111/hex.12856</w:t>
      </w:r>
      <w:r>
        <w:rPr>
          <w:rStyle w:val="16"/>
          <w:rFonts w:hint="default" w:ascii="Arial" w:hAnsi="Arial" w:cs="Arial"/>
          <w:highlight w:val="none"/>
          <w:lang w:val="en-IN"/>
        </w:rPr>
        <w:fldChar w:fldCharType="end"/>
      </w:r>
    </w:p>
    <w:p w14:paraId="58CFF33B">
      <w:pPr>
        <w:rPr>
          <w:rStyle w:val="16"/>
          <w:rFonts w:hint="default" w:ascii="Arial" w:hAnsi="Arial" w:cs="Arial"/>
          <w:highlight w:val="none"/>
          <w:lang w:val="en-IN"/>
        </w:rPr>
      </w:pPr>
    </w:p>
    <w:p w14:paraId="6A93FAD6">
      <w:pPr>
        <w:rPr>
          <w:rFonts w:hint="default" w:ascii="Arial" w:hAnsi="Arial" w:cs="Arial"/>
          <w:highlight w:val="none"/>
        </w:rPr>
      </w:pPr>
      <w:r>
        <w:rPr>
          <w:rFonts w:hint="default" w:ascii="Arial" w:hAnsi="Arial" w:cs="Arial"/>
          <w:highlight w:val="none"/>
        </w:rPr>
        <w:t xml:space="preserve">Braun, V., and Clarke, V. (2023) ‘Toward good practice in thematic analysis: Avoiding common problems and being a knowing researcher’, </w:t>
      </w:r>
      <w:r>
        <w:rPr>
          <w:rFonts w:hint="default" w:ascii="Arial" w:hAnsi="Arial" w:cs="Arial"/>
          <w:i/>
          <w:iCs/>
          <w:highlight w:val="none"/>
        </w:rPr>
        <w:t>International Journal of transgender health</w:t>
      </w:r>
      <w:r>
        <w:rPr>
          <w:rFonts w:hint="default" w:ascii="Arial" w:hAnsi="Arial" w:cs="Arial"/>
          <w:highlight w:val="none"/>
        </w:rPr>
        <w:t>, </w:t>
      </w:r>
      <w:r>
        <w:rPr>
          <w:rFonts w:hint="default" w:ascii="Arial" w:hAnsi="Arial" w:cs="Arial"/>
          <w:i/>
          <w:iCs/>
          <w:highlight w:val="none"/>
        </w:rPr>
        <w:t>24</w:t>
      </w:r>
      <w:r>
        <w:rPr>
          <w:rFonts w:hint="default" w:ascii="Arial" w:hAnsi="Arial" w:cs="Arial"/>
          <w:highlight w:val="none"/>
        </w:rPr>
        <w:t>(1), 1-6.</w:t>
      </w:r>
    </w:p>
    <w:p w14:paraId="128D8E68">
      <w:pPr>
        <w:rPr>
          <w:rFonts w:hint="default" w:ascii="Arial" w:hAnsi="Arial" w:cs="Arial"/>
          <w:highlight w:val="none"/>
        </w:rPr>
      </w:pPr>
    </w:p>
    <w:p w14:paraId="4A0AC154">
      <w:pPr>
        <w:rPr>
          <w:rFonts w:hint="default" w:ascii="Arial" w:hAnsi="Arial" w:cs="Arial"/>
          <w:highlight w:val="none"/>
        </w:rPr>
      </w:pPr>
      <w:r>
        <w:rPr>
          <w:rFonts w:hint="default" w:ascii="Arial" w:hAnsi="Arial" w:cs="Arial"/>
          <w:highlight w:val="none"/>
        </w:rPr>
        <w:t>Braun, V., and Clarke, V. (2024) ‘Supporting best practice in reflexive thematic analysis reporting in Palliative Medicine: A review of published research and introduction to the Reflexive Thematic Analysis Reporting Guidelines (RTARG)’, </w:t>
      </w:r>
      <w:r>
        <w:rPr>
          <w:rFonts w:hint="default" w:ascii="Arial" w:hAnsi="Arial" w:cs="Arial"/>
          <w:i/>
          <w:iCs/>
          <w:highlight w:val="none"/>
        </w:rPr>
        <w:t>Palliative medicine</w:t>
      </w:r>
      <w:r>
        <w:rPr>
          <w:rFonts w:hint="default" w:ascii="Arial" w:hAnsi="Arial" w:cs="Arial"/>
          <w:highlight w:val="none"/>
        </w:rPr>
        <w:t>, </w:t>
      </w:r>
      <w:r>
        <w:rPr>
          <w:rFonts w:hint="default" w:ascii="Arial" w:hAnsi="Arial" w:cs="Arial"/>
          <w:i/>
          <w:iCs/>
          <w:highlight w:val="none"/>
        </w:rPr>
        <w:t>38</w:t>
      </w:r>
      <w:r>
        <w:rPr>
          <w:rFonts w:hint="default" w:ascii="Arial" w:hAnsi="Arial" w:cs="Arial"/>
          <w:highlight w:val="none"/>
        </w:rPr>
        <w:t>(6), 608-616.</w:t>
      </w:r>
    </w:p>
    <w:p w14:paraId="5497E152">
      <w:pPr>
        <w:rPr>
          <w:rFonts w:hint="default" w:ascii="Arial" w:hAnsi="Arial" w:cs="Arial"/>
          <w:highlight w:val="none"/>
        </w:rPr>
      </w:pPr>
    </w:p>
    <w:p w14:paraId="19A78856">
      <w:pPr>
        <w:rPr>
          <w:rFonts w:hint="default" w:ascii="Arial" w:hAnsi="Arial" w:cs="Arial"/>
          <w:highlight w:val="none"/>
          <w:lang w:val="en-IN"/>
        </w:rPr>
      </w:pPr>
      <w:r>
        <w:rPr>
          <w:rFonts w:hint="default" w:ascii="Arial" w:hAnsi="Arial" w:cs="Arial"/>
          <w:highlight w:val="none"/>
          <w:lang w:val="en-IN"/>
        </w:rPr>
        <w:t xml:space="preserve">Capili, B. (2020) ‘How Does Research Start?’, </w:t>
      </w:r>
      <w:r>
        <w:rPr>
          <w:rFonts w:hint="default" w:ascii="Arial" w:hAnsi="Arial" w:cs="Arial"/>
          <w:i/>
          <w:iCs/>
          <w:highlight w:val="none"/>
          <w:lang w:val="en-IN"/>
        </w:rPr>
        <w:t>AJN, American Journal of Nursing</w:t>
      </w:r>
      <w:r>
        <w:rPr>
          <w:rFonts w:hint="default" w:ascii="Arial" w:hAnsi="Arial" w:cs="Arial"/>
          <w:highlight w:val="none"/>
          <w:lang w:val="en-IN"/>
        </w:rPr>
        <w:t xml:space="preserve">, 120(10), pp. 41–44. </w:t>
      </w:r>
    </w:p>
    <w:p w14:paraId="52F4CCB2">
      <w:pPr>
        <w:rPr>
          <w:rFonts w:hint="default" w:ascii="Arial" w:hAnsi="Arial" w:cs="Arial"/>
          <w:highlight w:val="none"/>
          <w:lang w:val="en-IN"/>
        </w:rPr>
      </w:pPr>
    </w:p>
    <w:p w14:paraId="4B261665">
      <w:pPr>
        <w:rPr>
          <w:rFonts w:hint="default" w:ascii="Arial" w:hAnsi="Arial" w:cs="Arial"/>
          <w:highlight w:val="none"/>
          <w:lang w:val="en-IN"/>
        </w:rPr>
      </w:pPr>
      <w:r>
        <w:rPr>
          <w:rFonts w:hint="default" w:ascii="Arial" w:hAnsi="Arial" w:cs="Arial"/>
          <w:highlight w:val="none"/>
          <w:lang w:val="en-IN"/>
        </w:rPr>
        <w:t xml:space="preserve">Carrera-Rivera, A., Ochoa, W., Larrinaga, F. and Lasa, G. (2022) ‘How to Conduct a Systematic Literature Review: A Quick Guide for Computer Science Research’, </w:t>
      </w:r>
      <w:r>
        <w:rPr>
          <w:rFonts w:hint="default" w:ascii="Arial" w:hAnsi="Arial" w:cs="Arial"/>
          <w:i/>
          <w:iCs/>
          <w:highlight w:val="none"/>
          <w:lang w:val="en-IN"/>
        </w:rPr>
        <w:t>MethodsX</w:t>
      </w:r>
      <w:r>
        <w:rPr>
          <w:rFonts w:hint="default" w:ascii="Arial" w:hAnsi="Arial" w:cs="Arial"/>
          <w:highlight w:val="none"/>
          <w:lang w:val="en-IN"/>
        </w:rPr>
        <w:t xml:space="preserve">, 9(1), p. 101895. </w:t>
      </w:r>
    </w:p>
    <w:p w14:paraId="0348A5C7">
      <w:pPr>
        <w:rPr>
          <w:rFonts w:hint="default" w:ascii="Arial" w:hAnsi="Arial" w:cs="Arial"/>
          <w:highlight w:val="none"/>
          <w:lang w:val="en-IN"/>
        </w:rPr>
      </w:pPr>
    </w:p>
    <w:p w14:paraId="0F3601A7">
      <w:pPr>
        <w:rPr>
          <w:rFonts w:hint="default" w:ascii="Arial" w:hAnsi="Arial" w:cs="Arial"/>
          <w:highlight w:val="none"/>
          <w:lang w:val="en-IN"/>
        </w:rPr>
      </w:pPr>
      <w:r>
        <w:rPr>
          <w:rFonts w:hint="default" w:ascii="Arial" w:hAnsi="Arial" w:cs="Arial"/>
          <w:highlight w:val="none"/>
          <w:lang w:val="en-IN"/>
        </w:rPr>
        <w:t xml:space="preserve">CASP (2024) </w:t>
      </w:r>
      <w:r>
        <w:rPr>
          <w:rFonts w:hint="default" w:ascii="Arial" w:hAnsi="Arial" w:cs="Arial"/>
          <w:i/>
          <w:iCs/>
          <w:highlight w:val="none"/>
          <w:lang w:val="en-IN"/>
        </w:rPr>
        <w:t>Critical appraisal checklists</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"https://casp-uk.net/casp-tools-checklists/" \t "_new" </w:instrText>
      </w:r>
      <w:r>
        <w:rPr>
          <w:rFonts w:hint="default" w:ascii="Arial" w:hAnsi="Arial" w:cs="Arial"/>
          <w:highlight w:val="none"/>
        </w:rPr>
        <w:fldChar w:fldCharType="separate"/>
      </w:r>
      <w:r>
        <w:rPr>
          <w:rStyle w:val="16"/>
          <w:rFonts w:hint="default" w:ascii="Arial" w:hAnsi="Arial" w:cs="Arial"/>
          <w:highlight w:val="none"/>
          <w:lang w:val="en-IN"/>
        </w:rPr>
        <w:t>https://casp-uk.net/casp-tools-checklists/</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 April 2026).</w:t>
      </w:r>
    </w:p>
    <w:p w14:paraId="366E7628">
      <w:pPr>
        <w:rPr>
          <w:rFonts w:hint="default" w:ascii="Arial" w:hAnsi="Arial" w:cs="Arial"/>
          <w:highlight w:val="none"/>
          <w:lang w:val="en-IN"/>
        </w:rPr>
      </w:pPr>
    </w:p>
    <w:p w14:paraId="25EA18CB">
      <w:pPr>
        <w:rPr>
          <w:rFonts w:hint="default" w:ascii="Arial" w:hAnsi="Arial" w:cs="Arial"/>
          <w:highlight w:val="none"/>
          <w:lang w:val="en-IN"/>
        </w:rPr>
      </w:pPr>
      <w:r>
        <w:rPr>
          <w:rFonts w:hint="default" w:ascii="Arial" w:hAnsi="Arial" w:cs="Arial"/>
          <w:highlight w:val="none"/>
          <w:lang w:val="en-IN"/>
        </w:rPr>
        <w:t xml:space="preserve">Centers for Disease Control and Prevention (2024) </w:t>
      </w:r>
      <w:r>
        <w:rPr>
          <w:rFonts w:hint="default" w:ascii="Arial" w:hAnsi="Arial" w:cs="Arial"/>
          <w:i/>
          <w:iCs/>
          <w:highlight w:val="none"/>
          <w:lang w:val="en-IN"/>
        </w:rPr>
        <w:t>Health effects of cigarettes: cardiovascular disease</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"https://www.cdc.gov/tobacco/about/cigarettes-and-cardiovascular-disease.html" \t "_new" </w:instrText>
      </w:r>
      <w:r>
        <w:rPr>
          <w:rFonts w:hint="default" w:ascii="Arial" w:hAnsi="Arial" w:cs="Arial"/>
          <w:highlight w:val="none"/>
        </w:rPr>
        <w:fldChar w:fldCharType="separate"/>
      </w:r>
      <w:r>
        <w:rPr>
          <w:rStyle w:val="16"/>
          <w:rFonts w:hint="default" w:ascii="Arial" w:hAnsi="Arial" w:cs="Arial"/>
          <w:highlight w:val="none"/>
          <w:lang w:val="en-IN"/>
        </w:rPr>
        <w:t>https://www.cdc.gov/tobacco/about/cigarettes-and-cardiovascular-disease.html</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10 March 2026).</w:t>
      </w:r>
    </w:p>
    <w:p w14:paraId="6F51C7E4">
      <w:pPr>
        <w:rPr>
          <w:rFonts w:hint="default" w:ascii="Arial" w:hAnsi="Arial" w:cs="Arial"/>
          <w:highlight w:val="none"/>
          <w:lang w:val="en-IN"/>
        </w:rPr>
      </w:pPr>
    </w:p>
    <w:p w14:paraId="20C5F545">
      <w:pPr>
        <w:rPr>
          <w:rFonts w:hint="default" w:ascii="Arial" w:hAnsi="Arial" w:cs="Arial"/>
          <w:highlight w:val="none"/>
          <w:lang w:val="en-IN"/>
        </w:rPr>
      </w:pPr>
      <w:r>
        <w:rPr>
          <w:rFonts w:hint="default" w:ascii="Arial" w:hAnsi="Arial" w:cs="Arial"/>
          <w:highlight w:val="none"/>
          <w:lang w:val="en-IN"/>
        </w:rPr>
        <w:t xml:space="preserve">Cipta, D.A. </w:t>
      </w:r>
      <w:r>
        <w:rPr>
          <w:rFonts w:hint="default" w:ascii="Arial" w:hAnsi="Arial" w:cs="Arial"/>
          <w:i/>
          <w:iCs/>
          <w:highlight w:val="none"/>
          <w:lang w:val="en-IN"/>
        </w:rPr>
        <w:t>et al.</w:t>
      </w:r>
      <w:r>
        <w:rPr>
          <w:rFonts w:hint="default" w:ascii="Arial" w:hAnsi="Arial" w:cs="Arial"/>
          <w:highlight w:val="none"/>
          <w:lang w:val="en-IN"/>
        </w:rPr>
        <w:t xml:space="preserve"> (2024) ‘Culturally sensitive patient-centered healthcare: a focus on health behavior modification in low and middle-income nations—insights from Indonesia’, </w:t>
      </w:r>
      <w:r>
        <w:rPr>
          <w:rFonts w:hint="default" w:ascii="Arial" w:hAnsi="Arial" w:cs="Arial"/>
          <w:i/>
          <w:iCs/>
          <w:highlight w:val="none"/>
          <w:lang w:val="en-IN"/>
        </w:rPr>
        <w:t>Frontiers in Medicine</w:t>
      </w:r>
      <w:r>
        <w:rPr>
          <w:rFonts w:hint="default" w:ascii="Arial" w:hAnsi="Arial" w:cs="Arial"/>
          <w:highlight w:val="none"/>
          <w:lang w:val="en-IN"/>
        </w:rPr>
        <w:t>, 11, p. 1353037.</w:t>
      </w:r>
    </w:p>
    <w:p w14:paraId="345BB0D5">
      <w:pPr>
        <w:rPr>
          <w:rFonts w:hint="default" w:ascii="Arial" w:hAnsi="Arial" w:cs="Arial"/>
          <w:highlight w:val="none"/>
          <w:lang w:val="en-IN"/>
        </w:rPr>
      </w:pPr>
    </w:p>
    <w:p w14:paraId="655F2384">
      <w:pPr>
        <w:rPr>
          <w:rStyle w:val="16"/>
          <w:rFonts w:hint="default" w:ascii="Arial" w:hAnsi="Arial" w:cs="Arial"/>
          <w:highlight w:val="none"/>
          <w:lang w:val="en-IN"/>
        </w:rPr>
      </w:pPr>
      <w:r>
        <w:rPr>
          <w:rFonts w:hint="default" w:ascii="Arial" w:hAnsi="Arial" w:cs="Arial"/>
          <w:highlight w:val="none"/>
          <w:lang w:val="en-IN"/>
        </w:rPr>
        <w:t xml:space="preserve">Cross-Bardell, L. </w:t>
      </w:r>
      <w:r>
        <w:rPr>
          <w:rFonts w:hint="default" w:ascii="Arial" w:hAnsi="Arial" w:cs="Arial"/>
          <w:i/>
          <w:iCs/>
          <w:highlight w:val="none"/>
          <w:lang w:val="en-IN"/>
        </w:rPr>
        <w:t>et al.</w:t>
      </w:r>
      <w:r>
        <w:rPr>
          <w:rFonts w:hint="default" w:ascii="Arial" w:hAnsi="Arial" w:cs="Arial"/>
          <w:highlight w:val="none"/>
          <w:lang w:val="en-IN"/>
        </w:rPr>
        <w:t xml:space="preserve"> (2015) ‘Perspectives on enhancing physical activity and diet for health promotion among at-risk urban UK South Asian communities: a qualitative study’, </w:t>
      </w:r>
      <w:r>
        <w:rPr>
          <w:rFonts w:hint="default" w:ascii="Arial" w:hAnsi="Arial" w:cs="Arial"/>
          <w:i/>
          <w:iCs/>
          <w:highlight w:val="none"/>
          <w:lang w:val="en-IN"/>
        </w:rPr>
        <w:t>BMJ Open</w:t>
      </w:r>
      <w:r>
        <w:rPr>
          <w:rFonts w:hint="default" w:ascii="Arial" w:hAnsi="Arial" w:cs="Arial"/>
          <w:highlight w:val="none"/>
          <w:lang w:val="en-IN"/>
        </w:rPr>
        <w:t xml:space="preserve">, 5(4), p. e007317. Available at: </w:t>
      </w:r>
      <w:r>
        <w:rPr>
          <w:rFonts w:hint="default" w:ascii="Arial" w:hAnsi="Arial" w:cs="Arial"/>
          <w:highlight w:val="none"/>
        </w:rPr>
        <w:fldChar w:fldCharType="begin"/>
      </w:r>
      <w:r>
        <w:rPr>
          <w:rFonts w:hint="default" w:ascii="Arial" w:hAnsi="Arial" w:cs="Arial"/>
          <w:highlight w:val="none"/>
        </w:rPr>
        <w:instrText xml:space="preserve"> HYPERLINK "https://doi.org/10.1136/bmjopen-2014-007317" \t "_new" </w:instrText>
      </w:r>
      <w:r>
        <w:rPr>
          <w:rFonts w:hint="default" w:ascii="Arial" w:hAnsi="Arial" w:cs="Arial"/>
          <w:highlight w:val="none"/>
        </w:rPr>
        <w:fldChar w:fldCharType="separate"/>
      </w:r>
      <w:r>
        <w:rPr>
          <w:rStyle w:val="16"/>
          <w:rFonts w:hint="default" w:ascii="Arial" w:hAnsi="Arial" w:cs="Arial"/>
          <w:highlight w:val="none"/>
          <w:lang w:val="en-IN"/>
        </w:rPr>
        <w:t>https://doi.org/10.1136/bmjopen-2014-007317</w:t>
      </w:r>
      <w:r>
        <w:rPr>
          <w:rStyle w:val="16"/>
          <w:rFonts w:hint="default" w:ascii="Arial" w:hAnsi="Arial" w:cs="Arial"/>
          <w:highlight w:val="none"/>
          <w:lang w:val="en-IN"/>
        </w:rPr>
        <w:fldChar w:fldCharType="end"/>
      </w:r>
    </w:p>
    <w:p w14:paraId="3D938C00">
      <w:pPr>
        <w:rPr>
          <w:rStyle w:val="16"/>
          <w:rFonts w:hint="default" w:ascii="Arial" w:hAnsi="Arial" w:cs="Arial"/>
          <w:highlight w:val="none"/>
          <w:lang w:val="en-IN"/>
        </w:rPr>
      </w:pPr>
    </w:p>
    <w:p w14:paraId="0DE27BC9">
      <w:pPr>
        <w:rPr>
          <w:rFonts w:hint="default" w:ascii="Arial" w:hAnsi="Arial" w:cs="Arial"/>
          <w:highlight w:val="none"/>
          <w:lang w:val="en-IN"/>
        </w:rPr>
      </w:pPr>
      <w:r>
        <w:rPr>
          <w:rFonts w:hint="default" w:ascii="Arial" w:hAnsi="Arial" w:cs="Arial"/>
          <w:highlight w:val="none"/>
          <w:lang w:val="en-IN"/>
        </w:rPr>
        <w:t xml:space="preserve">Darr, A., Astin, F. and Atkin, K. (2008) ‘Causal attributions, lifestyle change and coronary heart disease: illness beliefs of patients of South Asian and European origin living in the UK’, </w:t>
      </w:r>
      <w:r>
        <w:rPr>
          <w:rFonts w:hint="default" w:ascii="Arial" w:hAnsi="Arial" w:cs="Arial"/>
          <w:i/>
          <w:iCs/>
          <w:highlight w:val="none"/>
          <w:lang w:val="en-IN"/>
        </w:rPr>
        <w:t>Journal of Health Psychology</w:t>
      </w:r>
      <w:r>
        <w:rPr>
          <w:rFonts w:hint="default" w:ascii="Arial" w:hAnsi="Arial" w:cs="Arial"/>
          <w:highlight w:val="none"/>
          <w:lang w:val="en-IN"/>
        </w:rPr>
        <w:t>, 13(7), pp. 1019–1029.</w:t>
      </w:r>
    </w:p>
    <w:p w14:paraId="4553BB32">
      <w:pPr>
        <w:rPr>
          <w:rFonts w:hint="default" w:ascii="Arial" w:hAnsi="Arial" w:cs="Arial"/>
          <w:highlight w:val="none"/>
          <w:lang w:val="en-IN"/>
        </w:rPr>
      </w:pPr>
    </w:p>
    <w:p w14:paraId="44B39906">
      <w:pPr>
        <w:rPr>
          <w:rStyle w:val="16"/>
          <w:rFonts w:hint="default" w:ascii="Arial" w:hAnsi="Arial" w:cs="Arial"/>
          <w:highlight w:val="none"/>
          <w:lang w:val="en-IN"/>
        </w:rPr>
      </w:pPr>
      <w:r>
        <w:rPr>
          <w:rFonts w:hint="default" w:ascii="Arial" w:hAnsi="Arial" w:cs="Arial"/>
          <w:highlight w:val="none"/>
          <w:lang w:val="en-IN"/>
        </w:rPr>
        <w:t xml:space="preserve">Deshmukh, A., Kumar, K. and Quinlan, J. (2025) ‘Exploring barriers, motivators and facilitators for physical activity and exercise in a UK South Asian community: a qualitative study’, </w:t>
      </w:r>
      <w:r>
        <w:rPr>
          <w:rFonts w:hint="default" w:ascii="Arial" w:hAnsi="Arial" w:cs="Arial"/>
          <w:i/>
          <w:iCs/>
          <w:highlight w:val="none"/>
          <w:lang w:val="en-IN"/>
        </w:rPr>
        <w:t>BMJ Open</w:t>
      </w:r>
      <w:r>
        <w:rPr>
          <w:rFonts w:hint="default" w:ascii="Arial" w:hAnsi="Arial" w:cs="Arial"/>
          <w:highlight w:val="none"/>
          <w:lang w:val="en-IN"/>
        </w:rPr>
        <w:t xml:space="preserve">, 15, p. e097268. Available at: </w:t>
      </w:r>
      <w:r>
        <w:rPr>
          <w:rFonts w:hint="default" w:ascii="Arial" w:hAnsi="Arial" w:cs="Arial"/>
          <w:highlight w:val="none"/>
        </w:rPr>
        <w:fldChar w:fldCharType="begin"/>
      </w:r>
      <w:r>
        <w:rPr>
          <w:rFonts w:hint="default" w:ascii="Arial" w:hAnsi="Arial" w:cs="Arial"/>
          <w:highlight w:val="none"/>
        </w:rPr>
        <w:instrText xml:space="preserve"> HYPERLINK "https://doi.org/10.1136/bmjopen-2024-097268" \t "_new" </w:instrText>
      </w:r>
      <w:r>
        <w:rPr>
          <w:rFonts w:hint="default" w:ascii="Arial" w:hAnsi="Arial" w:cs="Arial"/>
          <w:highlight w:val="none"/>
        </w:rPr>
        <w:fldChar w:fldCharType="separate"/>
      </w:r>
      <w:r>
        <w:rPr>
          <w:rStyle w:val="16"/>
          <w:rFonts w:hint="default" w:ascii="Arial" w:hAnsi="Arial" w:cs="Arial"/>
          <w:highlight w:val="none"/>
          <w:lang w:val="en-IN"/>
        </w:rPr>
        <w:t>https://doi.org/10.1136/bmjopen-2024-097268</w:t>
      </w:r>
      <w:r>
        <w:rPr>
          <w:rStyle w:val="16"/>
          <w:rFonts w:hint="default" w:ascii="Arial" w:hAnsi="Arial" w:cs="Arial"/>
          <w:highlight w:val="none"/>
          <w:lang w:val="en-IN"/>
        </w:rPr>
        <w:fldChar w:fldCharType="end"/>
      </w:r>
    </w:p>
    <w:p w14:paraId="200DB21D">
      <w:pPr>
        <w:rPr>
          <w:rStyle w:val="16"/>
          <w:rFonts w:hint="default" w:ascii="Arial" w:hAnsi="Arial" w:cs="Arial"/>
          <w:highlight w:val="none"/>
          <w:lang w:val="en-IN"/>
        </w:rPr>
      </w:pPr>
    </w:p>
    <w:p w14:paraId="39024E33">
      <w:pPr>
        <w:rPr>
          <w:rFonts w:hint="default" w:ascii="Arial" w:hAnsi="Arial" w:cs="Arial"/>
          <w:highlight w:val="none"/>
        </w:rPr>
      </w:pPr>
      <w:r>
        <w:rPr>
          <w:rFonts w:hint="default" w:ascii="Arial" w:hAnsi="Arial" w:cs="Arial"/>
          <w:highlight w:val="none"/>
        </w:rPr>
        <w:t>Di Cesare, M., Perel, P., Taylor, S., Kabudula, C., Bixby, H., Gaziano, T. A., ... and Pinto, F. J. (2024) ‘The heart of the world’, </w:t>
      </w:r>
      <w:r>
        <w:rPr>
          <w:rFonts w:hint="default" w:ascii="Arial" w:hAnsi="Arial" w:cs="Arial"/>
          <w:i/>
          <w:iCs/>
          <w:highlight w:val="none"/>
        </w:rPr>
        <w:t>Global Heart</w:t>
      </w:r>
      <w:r>
        <w:rPr>
          <w:rFonts w:hint="default" w:ascii="Arial" w:hAnsi="Arial" w:cs="Arial"/>
          <w:highlight w:val="none"/>
        </w:rPr>
        <w:t>, </w:t>
      </w:r>
      <w:r>
        <w:rPr>
          <w:rFonts w:hint="default" w:ascii="Arial" w:hAnsi="Arial" w:cs="Arial"/>
          <w:i/>
          <w:iCs/>
          <w:highlight w:val="none"/>
        </w:rPr>
        <w:t>19</w:t>
      </w:r>
      <w:r>
        <w:rPr>
          <w:rFonts w:hint="default" w:ascii="Arial" w:hAnsi="Arial" w:cs="Arial"/>
          <w:highlight w:val="none"/>
        </w:rPr>
        <w:t>(1), 11-13.</w:t>
      </w:r>
    </w:p>
    <w:p w14:paraId="23576D3A">
      <w:pPr>
        <w:rPr>
          <w:rFonts w:hint="default" w:ascii="Arial" w:hAnsi="Arial" w:cs="Arial"/>
          <w:highlight w:val="none"/>
        </w:rPr>
      </w:pPr>
    </w:p>
    <w:p w14:paraId="287EDE42">
      <w:pPr>
        <w:rPr>
          <w:rFonts w:hint="default" w:ascii="Arial" w:hAnsi="Arial" w:cs="Arial"/>
          <w:highlight w:val="none"/>
          <w:lang w:val="en-IN"/>
        </w:rPr>
      </w:pPr>
      <w:r>
        <w:rPr>
          <w:rFonts w:hint="default" w:ascii="Arial" w:hAnsi="Arial" w:cs="Arial"/>
          <w:highlight w:val="none"/>
          <w:lang w:val="en-IN"/>
        </w:rPr>
        <w:t xml:space="preserve">Dilla, D. </w:t>
      </w:r>
      <w:r>
        <w:rPr>
          <w:rFonts w:hint="default" w:ascii="Arial" w:hAnsi="Arial" w:cs="Arial"/>
          <w:i/>
          <w:iCs/>
          <w:highlight w:val="none"/>
          <w:lang w:val="en-IN"/>
        </w:rPr>
        <w:t>et al.</w:t>
      </w:r>
      <w:r>
        <w:rPr>
          <w:rFonts w:hint="default" w:ascii="Arial" w:hAnsi="Arial" w:cs="Arial"/>
          <w:highlight w:val="none"/>
          <w:lang w:val="en-IN"/>
        </w:rPr>
        <w:t xml:space="preserve"> (2020) ‘“I don’t do it for myself, I do it for them”: a grounded theory study of South Asians’ experiences of making lifestyle change after myocardial infarction’, </w:t>
      </w:r>
      <w:r>
        <w:rPr>
          <w:rFonts w:hint="default" w:ascii="Arial" w:hAnsi="Arial" w:cs="Arial"/>
          <w:i/>
          <w:iCs/>
          <w:highlight w:val="none"/>
          <w:lang w:val="en-IN"/>
        </w:rPr>
        <w:t>Journal of Clinical Nursing</w:t>
      </w:r>
      <w:r>
        <w:rPr>
          <w:rFonts w:hint="default" w:ascii="Arial" w:hAnsi="Arial" w:cs="Arial"/>
          <w:highlight w:val="none"/>
          <w:lang w:val="en-IN"/>
        </w:rPr>
        <w:t>, 29(15–16), pp. 2923–2935.</w:t>
      </w:r>
    </w:p>
    <w:p w14:paraId="13E22778">
      <w:pPr>
        <w:rPr>
          <w:rFonts w:hint="default" w:ascii="Arial" w:hAnsi="Arial" w:cs="Arial"/>
          <w:highlight w:val="none"/>
          <w:lang w:val="en-IN"/>
        </w:rPr>
      </w:pPr>
    </w:p>
    <w:p w14:paraId="26215AC0">
      <w:pPr>
        <w:rPr>
          <w:rFonts w:hint="default" w:ascii="Arial" w:hAnsi="Arial" w:cs="Arial"/>
          <w:highlight w:val="none"/>
          <w:lang w:val="en-IN"/>
        </w:rPr>
      </w:pPr>
      <w:r>
        <w:rPr>
          <w:rFonts w:hint="default" w:ascii="Arial" w:hAnsi="Arial" w:cs="Arial"/>
          <w:highlight w:val="none"/>
          <w:lang w:val="en-IN"/>
        </w:rPr>
        <w:t xml:space="preserve">Downes, M.J., Brennan, M.L., Williams, H.C. and Dean, R.S. (2016) ‘Development of a critical appraisal tool to assess the quality of cross-sectional studies (AXIS)’, </w:t>
      </w:r>
      <w:r>
        <w:rPr>
          <w:rFonts w:hint="default" w:ascii="Arial" w:hAnsi="Arial" w:cs="Arial"/>
          <w:i/>
          <w:iCs/>
          <w:highlight w:val="none"/>
          <w:lang w:val="en-IN"/>
        </w:rPr>
        <w:t>BMJ Open</w:t>
      </w:r>
      <w:r>
        <w:rPr>
          <w:rFonts w:hint="default" w:ascii="Arial" w:hAnsi="Arial" w:cs="Arial"/>
          <w:highlight w:val="none"/>
          <w:lang w:val="en-IN"/>
        </w:rPr>
        <w:t xml:space="preserve">, 6(12). </w:t>
      </w:r>
    </w:p>
    <w:p w14:paraId="15522DC6">
      <w:pPr>
        <w:rPr>
          <w:rFonts w:hint="default" w:ascii="Arial" w:hAnsi="Arial" w:cs="Arial"/>
          <w:highlight w:val="none"/>
          <w:lang w:val="en-IN"/>
        </w:rPr>
      </w:pPr>
    </w:p>
    <w:p w14:paraId="68A34A3E">
      <w:pPr>
        <w:rPr>
          <w:rFonts w:hint="default" w:ascii="Arial" w:hAnsi="Arial" w:cs="Arial"/>
          <w:highlight w:val="none"/>
          <w:lang w:val="en-IN"/>
        </w:rPr>
      </w:pPr>
      <w:r>
        <w:rPr>
          <w:rFonts w:hint="default" w:ascii="Arial" w:hAnsi="Arial" w:cs="Arial"/>
          <w:highlight w:val="none"/>
          <w:lang w:val="en-IN"/>
        </w:rPr>
        <w:t xml:space="preserve">Eastwood, S.V. </w:t>
      </w:r>
      <w:r>
        <w:rPr>
          <w:rFonts w:hint="default" w:ascii="Arial" w:hAnsi="Arial" w:cs="Arial"/>
          <w:i/>
          <w:iCs/>
          <w:highlight w:val="none"/>
          <w:lang w:val="en-IN"/>
        </w:rPr>
        <w:t>et al.</w:t>
      </w:r>
      <w:r>
        <w:rPr>
          <w:rFonts w:hint="default" w:ascii="Arial" w:hAnsi="Arial" w:cs="Arial"/>
          <w:highlight w:val="none"/>
          <w:lang w:val="en-IN"/>
        </w:rPr>
        <w:t xml:space="preserve"> (2013) ‘Cardiovascular risk assessment of South Asian populations in religious and community settings: a qualitative study’, </w:t>
      </w:r>
      <w:r>
        <w:rPr>
          <w:rFonts w:hint="default" w:ascii="Arial" w:hAnsi="Arial" w:cs="Arial"/>
          <w:i/>
          <w:iCs/>
          <w:highlight w:val="none"/>
          <w:lang w:val="en-IN"/>
        </w:rPr>
        <w:t>Family Practice</w:t>
      </w:r>
      <w:r>
        <w:rPr>
          <w:rFonts w:hint="default" w:ascii="Arial" w:hAnsi="Arial" w:cs="Arial"/>
          <w:highlight w:val="none"/>
          <w:lang w:val="en-IN"/>
        </w:rPr>
        <w:t>, 30(4), pp. 451–457.</w:t>
      </w:r>
    </w:p>
    <w:p w14:paraId="0D6C0021">
      <w:pPr>
        <w:rPr>
          <w:rFonts w:hint="default" w:ascii="Arial" w:hAnsi="Arial" w:cs="Arial"/>
          <w:highlight w:val="none"/>
          <w:lang w:val="en-IN"/>
        </w:rPr>
      </w:pPr>
    </w:p>
    <w:p w14:paraId="5B642C33">
      <w:pPr>
        <w:rPr>
          <w:rFonts w:hint="default" w:ascii="Arial" w:hAnsi="Arial" w:cs="Arial"/>
          <w:highlight w:val="none"/>
          <w:lang w:val="en-IN"/>
        </w:rPr>
      </w:pPr>
      <w:r>
        <w:rPr>
          <w:rFonts w:hint="default" w:ascii="Arial" w:hAnsi="Arial" w:cs="Arial"/>
          <w:highlight w:val="none"/>
          <w:lang w:val="en-IN"/>
        </w:rPr>
        <w:t xml:space="preserve">Fowokan, A. </w:t>
      </w:r>
      <w:r>
        <w:rPr>
          <w:rFonts w:hint="default" w:ascii="Arial" w:hAnsi="Arial" w:cs="Arial"/>
          <w:i/>
          <w:iCs/>
          <w:highlight w:val="none"/>
          <w:lang w:val="en-IN"/>
        </w:rPr>
        <w:t>et al.</w:t>
      </w:r>
      <w:r>
        <w:rPr>
          <w:rFonts w:hint="default" w:ascii="Arial" w:hAnsi="Arial" w:cs="Arial"/>
          <w:highlight w:val="none"/>
          <w:lang w:val="en-IN"/>
        </w:rPr>
        <w:t xml:space="preserve"> (2020) ‘Exploring knowledge and perspectives of South Asian children and their parents regarding healthy cardiovascular behaviours: a qualitative analysis’, </w:t>
      </w:r>
      <w:r>
        <w:rPr>
          <w:rFonts w:hint="default" w:ascii="Arial" w:hAnsi="Arial" w:cs="Arial"/>
          <w:i/>
          <w:iCs/>
          <w:highlight w:val="none"/>
          <w:lang w:val="en-IN"/>
        </w:rPr>
        <w:t>[Journal not specified]</w:t>
      </w:r>
      <w:r>
        <w:rPr>
          <w:rFonts w:hint="default" w:ascii="Arial" w:hAnsi="Arial" w:cs="Arial"/>
          <w:highlight w:val="none"/>
          <w:lang w:val="en-IN"/>
        </w:rPr>
        <w:t>.</w:t>
      </w:r>
    </w:p>
    <w:p w14:paraId="3D57797B">
      <w:pPr>
        <w:rPr>
          <w:rFonts w:hint="default" w:ascii="Arial" w:hAnsi="Arial" w:cs="Arial"/>
          <w:highlight w:val="none"/>
          <w:lang w:val="en-IN"/>
        </w:rPr>
      </w:pPr>
    </w:p>
    <w:p w14:paraId="2D008E26">
      <w:pPr>
        <w:rPr>
          <w:rFonts w:hint="default" w:ascii="Arial" w:hAnsi="Arial" w:cs="Arial"/>
          <w:highlight w:val="none"/>
        </w:rPr>
      </w:pPr>
      <w:r>
        <w:rPr>
          <w:rFonts w:hint="default" w:ascii="Arial" w:hAnsi="Arial" w:cs="Arial"/>
          <w:highlight w:val="none"/>
        </w:rPr>
        <w:t>Global Burden of Cardiovascular Diseases and Risks 2023 Collaborators. (2025). Global, regional, and national burden of cardiovascular diseases and risk factors in 204 countries and territories, 1990-2023. </w:t>
      </w:r>
      <w:r>
        <w:rPr>
          <w:rFonts w:hint="default" w:ascii="Arial" w:hAnsi="Arial" w:cs="Arial"/>
          <w:i/>
          <w:iCs/>
          <w:highlight w:val="none"/>
        </w:rPr>
        <w:t>Journal of the American College of Cardiology</w:t>
      </w:r>
      <w:r>
        <w:rPr>
          <w:rFonts w:hint="default" w:ascii="Arial" w:hAnsi="Arial" w:cs="Arial"/>
          <w:highlight w:val="none"/>
        </w:rPr>
        <w:t>, </w:t>
      </w:r>
      <w:r>
        <w:rPr>
          <w:rFonts w:hint="default" w:ascii="Arial" w:hAnsi="Arial" w:cs="Arial"/>
          <w:i/>
          <w:iCs/>
          <w:highlight w:val="none"/>
        </w:rPr>
        <w:t>86</w:t>
      </w:r>
      <w:r>
        <w:rPr>
          <w:rFonts w:hint="default" w:ascii="Arial" w:hAnsi="Arial" w:cs="Arial"/>
          <w:highlight w:val="none"/>
        </w:rPr>
        <w:t>(22), 2167-2243.</w:t>
      </w:r>
    </w:p>
    <w:p w14:paraId="6F276FEA">
      <w:pPr>
        <w:rPr>
          <w:rFonts w:hint="default" w:ascii="Arial" w:hAnsi="Arial" w:cs="Arial"/>
          <w:highlight w:val="none"/>
        </w:rPr>
      </w:pPr>
    </w:p>
    <w:p w14:paraId="095A17AF">
      <w:pPr>
        <w:rPr>
          <w:rFonts w:hint="default" w:ascii="Arial" w:hAnsi="Arial" w:cs="Arial"/>
          <w:highlight w:val="none"/>
          <w:lang w:val="en-IN"/>
        </w:rPr>
      </w:pPr>
      <w:r>
        <w:rPr>
          <w:rFonts w:hint="default" w:ascii="Arial" w:hAnsi="Arial" w:cs="Arial"/>
          <w:highlight w:val="none"/>
          <w:lang w:val="en-IN"/>
        </w:rPr>
        <w:t xml:space="preserve">Grimmond, J., Brown, S.D. and Hawkins, G.E. (2025) ‘A solution to the pervasive problem of response bias in self-reports’, </w:t>
      </w:r>
      <w:r>
        <w:rPr>
          <w:rFonts w:hint="default" w:ascii="Arial" w:hAnsi="Arial" w:cs="Arial"/>
          <w:i/>
          <w:iCs/>
          <w:highlight w:val="none"/>
          <w:lang w:val="en-IN"/>
        </w:rPr>
        <w:t>Proceedings of the National Academy of Sciences</w:t>
      </w:r>
      <w:r>
        <w:rPr>
          <w:rFonts w:hint="default" w:ascii="Arial" w:hAnsi="Arial" w:cs="Arial"/>
          <w:highlight w:val="none"/>
          <w:lang w:val="en-IN"/>
        </w:rPr>
        <w:t>, 122(3), p. e2412807122.</w:t>
      </w:r>
    </w:p>
    <w:p w14:paraId="709B8B01">
      <w:pPr>
        <w:rPr>
          <w:rFonts w:hint="default" w:ascii="Arial" w:hAnsi="Arial" w:cs="Arial"/>
          <w:highlight w:val="none"/>
          <w:lang w:val="en-IN"/>
        </w:rPr>
      </w:pPr>
    </w:p>
    <w:p w14:paraId="604B39D0">
      <w:pPr>
        <w:rPr>
          <w:rStyle w:val="16"/>
          <w:rFonts w:hint="default" w:ascii="Arial" w:hAnsi="Arial" w:cs="Arial"/>
          <w:highlight w:val="none"/>
          <w:lang w:val="en-IN"/>
        </w:rPr>
      </w:pPr>
      <w:r>
        <w:rPr>
          <w:rFonts w:hint="default" w:ascii="Arial" w:hAnsi="Arial" w:cs="Arial"/>
          <w:highlight w:val="none"/>
          <w:lang w:val="en-IN"/>
        </w:rPr>
        <w:t xml:space="preserve">Gusenbauer, M. and Haddaway, N.R. (2020) ‘Which academic search systems are suitable for systematic reviews or meta‐analyses?’, </w:t>
      </w:r>
      <w:r>
        <w:rPr>
          <w:rFonts w:hint="default" w:ascii="Arial" w:hAnsi="Arial" w:cs="Arial"/>
          <w:i/>
          <w:iCs/>
          <w:highlight w:val="none"/>
          <w:lang w:val="en-IN"/>
        </w:rPr>
        <w:t>Research Synthesis Methods</w:t>
      </w:r>
      <w:r>
        <w:rPr>
          <w:rFonts w:hint="default" w:ascii="Arial" w:hAnsi="Arial" w:cs="Arial"/>
          <w:highlight w:val="none"/>
          <w:lang w:val="en-IN"/>
        </w:rPr>
        <w:t xml:space="preserve">, 11(2), pp. 181–217. Available at: </w:t>
      </w:r>
      <w:r>
        <w:rPr>
          <w:rFonts w:hint="default" w:ascii="Arial" w:hAnsi="Arial" w:cs="Arial"/>
          <w:highlight w:val="none"/>
        </w:rPr>
        <w:fldChar w:fldCharType="begin"/>
      </w:r>
      <w:r>
        <w:rPr>
          <w:rFonts w:hint="default" w:ascii="Arial" w:hAnsi="Arial" w:cs="Arial"/>
          <w:highlight w:val="none"/>
        </w:rPr>
        <w:instrText xml:space="preserve"> HYPERLINK "https://doi.org/10.1002/jrsm.1378" \t "_new" </w:instrText>
      </w:r>
      <w:r>
        <w:rPr>
          <w:rFonts w:hint="default" w:ascii="Arial" w:hAnsi="Arial" w:cs="Arial"/>
          <w:highlight w:val="none"/>
        </w:rPr>
        <w:fldChar w:fldCharType="separate"/>
      </w:r>
      <w:r>
        <w:rPr>
          <w:rStyle w:val="16"/>
          <w:rFonts w:hint="default" w:ascii="Arial" w:hAnsi="Arial" w:cs="Arial"/>
          <w:highlight w:val="none"/>
          <w:lang w:val="en-IN"/>
        </w:rPr>
        <w:t>https://doi.org/10.1002/jrsm.1378</w:t>
      </w:r>
      <w:r>
        <w:rPr>
          <w:rStyle w:val="16"/>
          <w:rFonts w:hint="default" w:ascii="Arial" w:hAnsi="Arial" w:cs="Arial"/>
          <w:highlight w:val="none"/>
          <w:lang w:val="en-IN"/>
        </w:rPr>
        <w:fldChar w:fldCharType="end"/>
      </w:r>
    </w:p>
    <w:p w14:paraId="26BBF56D">
      <w:pPr>
        <w:rPr>
          <w:rStyle w:val="16"/>
          <w:rFonts w:hint="default" w:ascii="Arial" w:hAnsi="Arial" w:cs="Arial"/>
          <w:highlight w:val="none"/>
          <w:lang w:val="en-IN"/>
        </w:rPr>
      </w:pPr>
    </w:p>
    <w:p w14:paraId="40F5C4F7">
      <w:pPr>
        <w:rPr>
          <w:rFonts w:hint="default" w:ascii="Arial" w:hAnsi="Arial" w:cs="Arial"/>
          <w:highlight w:val="none"/>
          <w:lang w:val="en-IN"/>
        </w:rPr>
      </w:pPr>
      <w:r>
        <w:rPr>
          <w:rFonts w:hint="default" w:ascii="Arial" w:hAnsi="Arial" w:cs="Arial"/>
          <w:highlight w:val="none"/>
          <w:lang w:val="en-IN"/>
        </w:rPr>
        <w:t xml:space="preserve">Haber, M. </w:t>
      </w:r>
      <w:r>
        <w:rPr>
          <w:rFonts w:hint="default" w:ascii="Arial" w:hAnsi="Arial" w:cs="Arial"/>
          <w:i/>
          <w:iCs/>
          <w:highlight w:val="none"/>
          <w:lang w:val="en-IN"/>
        </w:rPr>
        <w:t>et al.</w:t>
      </w:r>
      <w:r>
        <w:rPr>
          <w:rFonts w:hint="default" w:ascii="Arial" w:hAnsi="Arial" w:cs="Arial"/>
          <w:highlight w:val="none"/>
          <w:lang w:val="en-IN"/>
        </w:rPr>
        <w:t xml:space="preserve"> (2025) ‘Preventing premature cardiovascular mortality: the role of lifestyle interventions and pharmacotherapy—a narrative review’, </w:t>
      </w:r>
      <w:r>
        <w:rPr>
          <w:rFonts w:hint="default" w:ascii="Arial" w:hAnsi="Arial" w:cs="Arial"/>
          <w:i/>
          <w:iCs/>
          <w:highlight w:val="none"/>
          <w:lang w:val="en-IN"/>
        </w:rPr>
        <w:t>Frontiers in Cardiovascular Medicine</w:t>
      </w:r>
      <w:r>
        <w:rPr>
          <w:rFonts w:hint="default" w:ascii="Arial" w:hAnsi="Arial" w:cs="Arial"/>
          <w:highlight w:val="none"/>
          <w:lang w:val="en-IN"/>
        </w:rPr>
        <w:t>, 12, p. 1664802.</w:t>
      </w:r>
    </w:p>
    <w:p w14:paraId="41DBE2DC">
      <w:pPr>
        <w:rPr>
          <w:rFonts w:hint="default" w:ascii="Arial" w:hAnsi="Arial" w:cs="Arial"/>
          <w:highlight w:val="none"/>
          <w:lang w:val="en-IN"/>
        </w:rPr>
      </w:pPr>
    </w:p>
    <w:p w14:paraId="2F9220DB">
      <w:pPr>
        <w:rPr>
          <w:rFonts w:hint="default" w:ascii="Arial" w:hAnsi="Arial" w:cs="Arial"/>
          <w:highlight w:val="none"/>
          <w:lang w:val="en-IN"/>
        </w:rPr>
      </w:pPr>
      <w:r>
        <w:rPr>
          <w:rFonts w:hint="default" w:ascii="Arial" w:hAnsi="Arial" w:cs="Arial"/>
          <w:highlight w:val="none"/>
          <w:lang w:val="en-IN"/>
        </w:rPr>
        <w:t xml:space="preserve">Hossain, S.A. </w:t>
      </w:r>
      <w:r>
        <w:rPr>
          <w:rFonts w:hint="default" w:ascii="Arial" w:hAnsi="Arial" w:cs="Arial"/>
          <w:i/>
          <w:iCs/>
          <w:highlight w:val="none"/>
          <w:lang w:val="en-IN"/>
        </w:rPr>
        <w:t>et al.</w:t>
      </w:r>
      <w:r>
        <w:rPr>
          <w:rFonts w:hint="default" w:ascii="Arial" w:hAnsi="Arial" w:cs="Arial"/>
          <w:highlight w:val="none"/>
          <w:lang w:val="en-IN"/>
        </w:rPr>
        <w:t xml:space="preserve"> (2025) ‘Ethnic disparities in cardiovascular disease: a comparative analysis of Asian and Central Asian populations’, </w:t>
      </w:r>
      <w:r>
        <w:rPr>
          <w:rFonts w:hint="default" w:ascii="Arial" w:hAnsi="Arial" w:cs="Arial"/>
          <w:i/>
          <w:iCs/>
          <w:highlight w:val="none"/>
          <w:lang w:val="en-IN"/>
        </w:rPr>
        <w:t>Journal of Racial and Ethnic Health Disparities</w:t>
      </w:r>
      <w:r>
        <w:rPr>
          <w:rFonts w:hint="default" w:ascii="Arial" w:hAnsi="Arial" w:cs="Arial"/>
          <w:highlight w:val="none"/>
          <w:lang w:val="en-IN"/>
        </w:rPr>
        <w:t>.</w:t>
      </w:r>
    </w:p>
    <w:p w14:paraId="3C978174">
      <w:pPr>
        <w:rPr>
          <w:rFonts w:hint="default" w:ascii="Arial" w:hAnsi="Arial" w:cs="Arial"/>
          <w:highlight w:val="none"/>
          <w:lang w:val="en-IN"/>
        </w:rPr>
      </w:pPr>
    </w:p>
    <w:p w14:paraId="14034555">
      <w:pPr>
        <w:rPr>
          <w:rFonts w:hint="default" w:ascii="Arial" w:hAnsi="Arial" w:cs="Arial"/>
          <w:highlight w:val="none"/>
          <w:lang w:val="en-IN"/>
        </w:rPr>
      </w:pPr>
      <w:r>
        <w:rPr>
          <w:rFonts w:hint="default" w:ascii="Arial" w:hAnsi="Arial" w:cs="Arial"/>
          <w:highlight w:val="none"/>
          <w:lang w:val="en-IN"/>
        </w:rPr>
        <w:t xml:space="preserve">Hossan, D. </w:t>
      </w:r>
      <w:r>
        <w:rPr>
          <w:rFonts w:hint="default" w:ascii="Arial" w:hAnsi="Arial" w:cs="Arial"/>
          <w:i/>
          <w:iCs/>
          <w:highlight w:val="none"/>
          <w:lang w:val="en-IN"/>
        </w:rPr>
        <w:t>et al.</w:t>
      </w:r>
      <w:r>
        <w:rPr>
          <w:rFonts w:hint="default" w:ascii="Arial" w:hAnsi="Arial" w:cs="Arial"/>
          <w:highlight w:val="none"/>
          <w:lang w:val="en-IN"/>
        </w:rPr>
        <w:t xml:space="preserve"> (2023) ‘Research population and sampling in quantitative study’, </w:t>
      </w:r>
      <w:r>
        <w:rPr>
          <w:rFonts w:hint="default" w:ascii="Arial" w:hAnsi="Arial" w:cs="Arial"/>
          <w:i/>
          <w:iCs/>
          <w:highlight w:val="none"/>
          <w:lang w:val="en-IN"/>
        </w:rPr>
        <w:t>International Journal of Business and Technopreneurship</w:t>
      </w:r>
      <w:r>
        <w:rPr>
          <w:rFonts w:hint="default" w:ascii="Arial" w:hAnsi="Arial" w:cs="Arial"/>
          <w:highlight w:val="none"/>
          <w:lang w:val="en-IN"/>
        </w:rPr>
        <w:t>, 13(3), pp. 209–222.</w:t>
      </w:r>
    </w:p>
    <w:p w14:paraId="273A4A9D">
      <w:pPr>
        <w:rPr>
          <w:rFonts w:hint="default" w:ascii="Arial" w:hAnsi="Arial" w:cs="Arial"/>
          <w:highlight w:val="none"/>
          <w:lang w:val="en-IN"/>
        </w:rPr>
      </w:pPr>
    </w:p>
    <w:p w14:paraId="5C878433">
      <w:pPr>
        <w:rPr>
          <w:rFonts w:hint="default" w:ascii="Arial" w:hAnsi="Arial" w:cs="Arial"/>
          <w:highlight w:val="none"/>
          <w:lang w:val="en-IN"/>
        </w:rPr>
      </w:pPr>
      <w:r>
        <w:rPr>
          <w:rFonts w:hint="default" w:ascii="Arial" w:hAnsi="Arial" w:cs="Arial"/>
          <w:highlight w:val="none"/>
          <w:lang w:val="en-IN"/>
        </w:rPr>
        <w:t xml:space="preserve">Ismail, S.U. </w:t>
      </w:r>
      <w:r>
        <w:rPr>
          <w:rFonts w:hint="default" w:ascii="Arial" w:hAnsi="Arial" w:cs="Arial"/>
          <w:i/>
          <w:iCs/>
          <w:highlight w:val="none"/>
          <w:lang w:val="en-IN"/>
        </w:rPr>
        <w:t>et al.</w:t>
      </w:r>
      <w:r>
        <w:rPr>
          <w:rFonts w:hint="default" w:ascii="Arial" w:hAnsi="Arial" w:cs="Arial"/>
          <w:highlight w:val="none"/>
          <w:lang w:val="en-IN"/>
        </w:rPr>
        <w:t xml:space="preserve"> (2022) ‘Socioeconomic determinants of cardiovascular diseases, obesity, and diabetes among migrants in the United Kingdom: a systematic review’, </w:t>
      </w:r>
      <w:r>
        <w:rPr>
          <w:rFonts w:hint="default" w:ascii="Arial" w:hAnsi="Arial" w:cs="Arial"/>
          <w:i/>
          <w:iCs/>
          <w:highlight w:val="none"/>
          <w:lang w:val="en-IN"/>
        </w:rPr>
        <w:t>International Journal of Environmental Research and Public Health</w:t>
      </w:r>
      <w:r>
        <w:rPr>
          <w:rFonts w:hint="default" w:ascii="Arial" w:hAnsi="Arial" w:cs="Arial"/>
          <w:highlight w:val="none"/>
          <w:lang w:val="en-IN"/>
        </w:rPr>
        <w:t>, 19(5), p. 3070.</w:t>
      </w:r>
    </w:p>
    <w:p w14:paraId="67ECBAD7">
      <w:pPr>
        <w:rPr>
          <w:rFonts w:hint="default" w:ascii="Arial" w:hAnsi="Arial" w:cs="Arial"/>
          <w:highlight w:val="none"/>
          <w:lang w:val="en-IN"/>
        </w:rPr>
      </w:pPr>
    </w:p>
    <w:p w14:paraId="55E78CD1">
      <w:pPr>
        <w:rPr>
          <w:rFonts w:hint="default" w:ascii="Arial" w:hAnsi="Arial" w:cs="Arial"/>
          <w:highlight w:val="none"/>
          <w:lang w:val="en-IN"/>
        </w:rPr>
      </w:pPr>
      <w:r>
        <w:rPr>
          <w:rFonts w:hint="default" w:ascii="Arial" w:hAnsi="Arial" w:cs="Arial"/>
          <w:highlight w:val="none"/>
          <w:lang w:val="en-IN"/>
        </w:rPr>
        <w:t xml:space="preserve">Jafari, N. </w:t>
      </w:r>
      <w:r>
        <w:rPr>
          <w:rFonts w:hint="default" w:ascii="Arial" w:hAnsi="Arial" w:cs="Arial"/>
          <w:i/>
          <w:iCs/>
          <w:highlight w:val="none"/>
          <w:lang w:val="en-IN"/>
        </w:rPr>
        <w:t>et al.</w:t>
      </w:r>
      <w:r>
        <w:rPr>
          <w:rFonts w:hint="default" w:ascii="Arial" w:hAnsi="Arial" w:cs="Arial"/>
          <w:highlight w:val="none"/>
          <w:lang w:val="en-IN"/>
        </w:rPr>
        <w:t xml:space="preserve"> (2023) ‘How lifestyle factors can contribute to cardiovascular disease incidence; a review study’, </w:t>
      </w:r>
      <w:r>
        <w:rPr>
          <w:rFonts w:hint="default" w:ascii="Arial" w:hAnsi="Arial" w:cs="Arial"/>
          <w:i/>
          <w:iCs/>
          <w:highlight w:val="none"/>
          <w:lang w:val="en-IN"/>
        </w:rPr>
        <w:t>Journal of Preventive Epidemiology</w:t>
      </w:r>
      <w:r>
        <w:rPr>
          <w:rFonts w:hint="default" w:ascii="Arial" w:hAnsi="Arial" w:cs="Arial"/>
          <w:highlight w:val="none"/>
          <w:lang w:val="en-IN"/>
        </w:rPr>
        <w:t>, 9(1), pp. 1–5.</w:t>
      </w:r>
    </w:p>
    <w:p w14:paraId="0DAF1ACA">
      <w:pPr>
        <w:rPr>
          <w:rFonts w:hint="default" w:ascii="Arial" w:hAnsi="Arial" w:cs="Arial"/>
          <w:highlight w:val="none"/>
          <w:lang w:val="en-IN"/>
        </w:rPr>
      </w:pPr>
    </w:p>
    <w:p w14:paraId="2F12042B">
      <w:pPr>
        <w:rPr>
          <w:rFonts w:hint="default" w:ascii="Arial" w:hAnsi="Arial" w:cs="Arial"/>
          <w:highlight w:val="none"/>
          <w:lang w:val="en-IN"/>
        </w:rPr>
      </w:pPr>
      <w:r>
        <w:rPr>
          <w:rFonts w:hint="default" w:ascii="Arial" w:hAnsi="Arial" w:cs="Arial"/>
          <w:highlight w:val="none"/>
          <w:lang w:val="en-IN"/>
        </w:rPr>
        <w:t xml:space="preserve">Jalal, Z. </w:t>
      </w:r>
      <w:r>
        <w:rPr>
          <w:rFonts w:hint="default" w:ascii="Arial" w:hAnsi="Arial" w:cs="Arial"/>
          <w:i/>
          <w:iCs/>
          <w:highlight w:val="none"/>
          <w:lang w:val="en-IN"/>
        </w:rPr>
        <w:t>et al.</w:t>
      </w:r>
      <w:r>
        <w:rPr>
          <w:rFonts w:hint="default" w:ascii="Arial" w:hAnsi="Arial" w:cs="Arial"/>
          <w:highlight w:val="none"/>
          <w:lang w:val="en-IN"/>
        </w:rPr>
        <w:t xml:space="preserve"> (2018) ‘South Asians living in the UK and adherence to coronary heart disease medication: a mixed-method study’, </w:t>
      </w:r>
      <w:r>
        <w:rPr>
          <w:rFonts w:hint="default" w:ascii="Arial" w:hAnsi="Arial" w:cs="Arial"/>
          <w:i/>
          <w:iCs/>
          <w:highlight w:val="none"/>
          <w:lang w:val="en-IN"/>
        </w:rPr>
        <w:t>International Journal of Clinical Pharmacy</w:t>
      </w:r>
      <w:r>
        <w:rPr>
          <w:rFonts w:hint="default" w:ascii="Arial" w:hAnsi="Arial" w:cs="Arial"/>
          <w:highlight w:val="none"/>
          <w:lang w:val="en-IN"/>
        </w:rPr>
        <w:t>, 41(1), pp. 122–131.</w:t>
      </w:r>
    </w:p>
    <w:p w14:paraId="622E2CFC">
      <w:pPr>
        <w:rPr>
          <w:rFonts w:hint="default" w:ascii="Arial" w:hAnsi="Arial" w:cs="Arial"/>
          <w:highlight w:val="none"/>
          <w:lang w:val="en-IN"/>
        </w:rPr>
      </w:pPr>
    </w:p>
    <w:p w14:paraId="6136C215">
      <w:pPr>
        <w:rPr>
          <w:rFonts w:hint="default" w:ascii="Arial" w:hAnsi="Arial" w:cs="Arial"/>
          <w:highlight w:val="none"/>
          <w:lang w:val="en-IN"/>
        </w:rPr>
      </w:pPr>
      <w:r>
        <w:rPr>
          <w:rFonts w:hint="default" w:ascii="Arial" w:hAnsi="Arial" w:cs="Arial"/>
          <w:highlight w:val="none"/>
          <w:lang w:val="en-IN"/>
        </w:rPr>
        <w:t xml:space="preserve">Jantakoon, T. </w:t>
      </w:r>
      <w:r>
        <w:rPr>
          <w:rFonts w:hint="default" w:ascii="Arial" w:hAnsi="Arial" w:cs="Arial"/>
          <w:i/>
          <w:iCs/>
          <w:highlight w:val="none"/>
          <w:lang w:val="en-IN"/>
        </w:rPr>
        <w:t>et al.</w:t>
      </w:r>
      <w:r>
        <w:rPr>
          <w:rFonts w:hint="default" w:ascii="Arial" w:hAnsi="Arial" w:cs="Arial"/>
          <w:highlight w:val="none"/>
          <w:lang w:val="en-IN"/>
        </w:rPr>
        <w:t xml:space="preserve"> (2025) ‘The effectiveness of artificial intelligence in English instruction’, </w:t>
      </w:r>
      <w:r>
        <w:rPr>
          <w:rFonts w:hint="default" w:ascii="Arial" w:hAnsi="Arial" w:cs="Arial"/>
          <w:i/>
          <w:iCs/>
          <w:highlight w:val="none"/>
          <w:lang w:val="en-IN"/>
        </w:rPr>
        <w:t>Contemporary Educational Technology</w:t>
      </w:r>
      <w:r>
        <w:rPr>
          <w:rFonts w:hint="default" w:ascii="Arial" w:hAnsi="Arial" w:cs="Arial"/>
          <w:highlight w:val="none"/>
          <w:lang w:val="en-IN"/>
        </w:rPr>
        <w:t>, 17(4), p. ep596.</w:t>
      </w:r>
    </w:p>
    <w:p w14:paraId="55BCC1CB">
      <w:pPr>
        <w:rPr>
          <w:rFonts w:hint="default" w:ascii="Arial" w:hAnsi="Arial" w:cs="Arial"/>
          <w:highlight w:val="none"/>
          <w:lang w:val="en-IN"/>
        </w:rPr>
      </w:pPr>
    </w:p>
    <w:p w14:paraId="0CC07F04">
      <w:pPr>
        <w:rPr>
          <w:rFonts w:hint="default" w:ascii="Arial" w:hAnsi="Arial" w:cs="Arial"/>
          <w:highlight w:val="none"/>
          <w:lang w:val="en-IN"/>
        </w:rPr>
      </w:pPr>
      <w:r>
        <w:rPr>
          <w:rFonts w:hint="default" w:ascii="Arial" w:hAnsi="Arial" w:cs="Arial"/>
          <w:highlight w:val="none"/>
          <w:lang w:val="en-IN"/>
        </w:rPr>
        <w:t xml:space="preserve">Javed, Z. </w:t>
      </w:r>
      <w:r>
        <w:rPr>
          <w:rFonts w:hint="default" w:ascii="Arial" w:hAnsi="Arial" w:cs="Arial"/>
          <w:i/>
          <w:iCs/>
          <w:highlight w:val="none"/>
          <w:lang w:val="en-IN"/>
        </w:rPr>
        <w:t>et al.</w:t>
      </w:r>
      <w:r>
        <w:rPr>
          <w:rFonts w:hint="default" w:ascii="Arial" w:hAnsi="Arial" w:cs="Arial"/>
          <w:highlight w:val="none"/>
          <w:lang w:val="en-IN"/>
        </w:rPr>
        <w:t xml:space="preserve"> (2022) ‘Race, racism, and cardiovascular health’, </w:t>
      </w:r>
      <w:r>
        <w:rPr>
          <w:rFonts w:hint="default" w:ascii="Arial" w:hAnsi="Arial" w:cs="Arial"/>
          <w:i/>
          <w:iCs/>
          <w:highlight w:val="none"/>
          <w:lang w:val="en-IN"/>
        </w:rPr>
        <w:t>Circulation: Cardiovascular Quality and Outcomes</w:t>
      </w:r>
      <w:r>
        <w:rPr>
          <w:rFonts w:hint="default" w:ascii="Arial" w:hAnsi="Arial" w:cs="Arial"/>
          <w:highlight w:val="none"/>
          <w:lang w:val="en-IN"/>
        </w:rPr>
        <w:t>, 15(1).</w:t>
      </w:r>
    </w:p>
    <w:p w14:paraId="093D74C0">
      <w:pPr>
        <w:rPr>
          <w:rFonts w:hint="default" w:ascii="Arial" w:hAnsi="Arial" w:cs="Arial"/>
          <w:highlight w:val="none"/>
          <w:lang w:val="en-IN"/>
        </w:rPr>
      </w:pPr>
    </w:p>
    <w:p w14:paraId="4FD578B2">
      <w:pPr>
        <w:rPr>
          <w:rFonts w:hint="default" w:ascii="Arial" w:hAnsi="Arial" w:cs="Arial"/>
          <w:highlight w:val="none"/>
          <w:lang w:val="en-IN"/>
        </w:rPr>
      </w:pPr>
      <w:r>
        <w:rPr>
          <w:rFonts w:hint="default" w:ascii="Arial" w:hAnsi="Arial" w:cs="Arial"/>
          <w:highlight w:val="none"/>
          <w:lang w:val="en-IN"/>
        </w:rPr>
        <w:t xml:space="preserve">Jensen, R. (2022) ‘Exploring causal relationships qualitatively’, </w:t>
      </w:r>
      <w:r>
        <w:rPr>
          <w:rFonts w:hint="default" w:ascii="Arial" w:hAnsi="Arial" w:cs="Arial"/>
          <w:i/>
          <w:iCs/>
          <w:highlight w:val="none"/>
          <w:lang w:val="en-IN"/>
        </w:rPr>
        <w:t>Journal of Educational Change</w:t>
      </w:r>
      <w:r>
        <w:rPr>
          <w:rFonts w:hint="default" w:ascii="Arial" w:hAnsi="Arial" w:cs="Arial"/>
          <w:highlight w:val="none"/>
          <w:lang w:val="en-IN"/>
        </w:rPr>
        <w:t>, 23(2), pp. 179–196.</w:t>
      </w:r>
    </w:p>
    <w:p w14:paraId="3F46865B">
      <w:pPr>
        <w:rPr>
          <w:rFonts w:hint="default" w:ascii="Arial" w:hAnsi="Arial" w:cs="Arial"/>
          <w:highlight w:val="none"/>
          <w:lang w:val="en-IN"/>
        </w:rPr>
      </w:pPr>
    </w:p>
    <w:p w14:paraId="4B842000">
      <w:pPr>
        <w:rPr>
          <w:rFonts w:hint="default" w:ascii="Arial" w:hAnsi="Arial" w:cs="Arial"/>
          <w:highlight w:val="none"/>
          <w:lang w:val="en-IN"/>
        </w:rPr>
      </w:pPr>
      <w:r>
        <w:rPr>
          <w:rFonts w:hint="default" w:ascii="Arial" w:hAnsi="Arial" w:cs="Arial"/>
          <w:highlight w:val="none"/>
          <w:lang w:val="en-IN"/>
        </w:rPr>
        <w:t xml:space="preserve">Jepson, R. </w:t>
      </w:r>
      <w:r>
        <w:rPr>
          <w:rFonts w:hint="default" w:ascii="Arial" w:hAnsi="Arial" w:cs="Arial"/>
          <w:i/>
          <w:iCs/>
          <w:highlight w:val="none"/>
          <w:lang w:val="en-IN"/>
        </w:rPr>
        <w:t>et al.</w:t>
      </w:r>
      <w:r>
        <w:rPr>
          <w:rFonts w:hint="default" w:ascii="Arial" w:hAnsi="Arial" w:cs="Arial"/>
          <w:highlight w:val="none"/>
          <w:lang w:val="en-IN"/>
        </w:rPr>
        <w:t xml:space="preserve"> (2012) ‘Physical activity in South Asians’, </w:t>
      </w:r>
      <w:r>
        <w:rPr>
          <w:rFonts w:hint="default" w:ascii="Arial" w:hAnsi="Arial" w:cs="Arial"/>
          <w:i/>
          <w:iCs/>
          <w:highlight w:val="none"/>
          <w:lang w:val="en-IN"/>
        </w:rPr>
        <w:t>PLoS ONE</w:t>
      </w:r>
      <w:r>
        <w:rPr>
          <w:rFonts w:hint="default" w:ascii="Arial" w:hAnsi="Arial" w:cs="Arial"/>
          <w:highlight w:val="none"/>
          <w:lang w:val="en-IN"/>
        </w:rPr>
        <w:t>, 4(10), p. e7410.</w:t>
      </w:r>
    </w:p>
    <w:p w14:paraId="0BC7BFBD">
      <w:pPr>
        <w:rPr>
          <w:rFonts w:hint="default" w:ascii="Arial" w:hAnsi="Arial" w:cs="Arial"/>
          <w:highlight w:val="none"/>
          <w:lang w:val="en-IN"/>
        </w:rPr>
      </w:pPr>
    </w:p>
    <w:p w14:paraId="26CC89F3">
      <w:pPr>
        <w:rPr>
          <w:rFonts w:hint="default" w:ascii="Arial" w:hAnsi="Arial" w:cs="Arial"/>
          <w:highlight w:val="none"/>
          <w:lang w:val="en-IN"/>
        </w:rPr>
      </w:pPr>
      <w:r>
        <w:rPr>
          <w:rFonts w:hint="default" w:ascii="Arial" w:hAnsi="Arial" w:cs="Arial"/>
          <w:highlight w:val="none"/>
          <w:lang w:val="en-IN"/>
        </w:rPr>
        <w:t xml:space="preserve">Jowsey, T., Deng, C. and Weller, J. (2021) ‘General-purpose thematic analysis’, </w:t>
      </w:r>
      <w:r>
        <w:rPr>
          <w:rFonts w:hint="default" w:ascii="Arial" w:hAnsi="Arial" w:cs="Arial"/>
          <w:i/>
          <w:iCs/>
          <w:highlight w:val="none"/>
          <w:lang w:val="en-IN"/>
        </w:rPr>
        <w:t>BJA Education</w:t>
      </w:r>
      <w:r>
        <w:rPr>
          <w:rFonts w:hint="default" w:ascii="Arial" w:hAnsi="Arial" w:cs="Arial"/>
          <w:highlight w:val="none"/>
          <w:lang w:val="en-IN"/>
        </w:rPr>
        <w:t>, 21(12), pp. 472–478.</w:t>
      </w:r>
    </w:p>
    <w:p w14:paraId="4D4D1F12">
      <w:pPr>
        <w:rPr>
          <w:rFonts w:hint="default" w:ascii="Arial" w:hAnsi="Arial" w:cs="Arial"/>
          <w:highlight w:val="none"/>
          <w:lang w:val="en-IN"/>
        </w:rPr>
      </w:pPr>
    </w:p>
    <w:p w14:paraId="0FD502FA">
      <w:pPr>
        <w:rPr>
          <w:rFonts w:hint="default" w:ascii="Arial" w:hAnsi="Arial" w:cs="Arial"/>
          <w:highlight w:val="none"/>
          <w:lang w:val="en-IN"/>
        </w:rPr>
      </w:pPr>
      <w:r>
        <w:rPr>
          <w:rFonts w:hint="default" w:ascii="Arial" w:hAnsi="Arial" w:cs="Arial"/>
          <w:highlight w:val="none"/>
          <w:lang w:val="en-IN"/>
        </w:rPr>
        <w:t xml:space="preserve">Kaminsky, L.A. </w:t>
      </w:r>
      <w:r>
        <w:rPr>
          <w:rFonts w:hint="default" w:ascii="Arial" w:hAnsi="Arial" w:cs="Arial"/>
          <w:i/>
          <w:iCs/>
          <w:highlight w:val="none"/>
          <w:lang w:val="en-IN"/>
        </w:rPr>
        <w:t>et al.</w:t>
      </w:r>
      <w:r>
        <w:rPr>
          <w:rFonts w:hint="default" w:ascii="Arial" w:hAnsi="Arial" w:cs="Arial"/>
          <w:highlight w:val="none"/>
          <w:lang w:val="en-IN"/>
        </w:rPr>
        <w:t xml:space="preserve"> (2022) ‘The importance of healthy lifestyle behaviors’, </w:t>
      </w:r>
      <w:r>
        <w:rPr>
          <w:rFonts w:hint="default" w:ascii="Arial" w:hAnsi="Arial" w:cs="Arial"/>
          <w:i/>
          <w:iCs/>
          <w:highlight w:val="none"/>
          <w:lang w:val="en-IN"/>
        </w:rPr>
        <w:t>Progress in Cardiovascular Diseases</w:t>
      </w:r>
      <w:r>
        <w:rPr>
          <w:rFonts w:hint="default" w:ascii="Arial" w:hAnsi="Arial" w:cs="Arial"/>
          <w:highlight w:val="none"/>
          <w:lang w:val="en-IN"/>
        </w:rPr>
        <w:t>, 70, pp. 8–15.</w:t>
      </w:r>
    </w:p>
    <w:p w14:paraId="79DFE02C">
      <w:pPr>
        <w:rPr>
          <w:rFonts w:hint="default" w:ascii="Arial" w:hAnsi="Arial" w:cs="Arial"/>
          <w:highlight w:val="none"/>
          <w:lang w:val="en-IN"/>
        </w:rPr>
      </w:pPr>
      <w:r>
        <w:rPr>
          <w:rFonts w:hint="default" w:ascii="Arial" w:hAnsi="Arial" w:cs="Arial"/>
          <w:highlight w:val="none"/>
          <w:lang w:val="en-IN"/>
        </w:rPr>
        <w:t xml:space="preserve">Kandula, N. </w:t>
      </w:r>
      <w:r>
        <w:rPr>
          <w:rFonts w:hint="default" w:ascii="Arial" w:hAnsi="Arial" w:cs="Arial"/>
          <w:i/>
          <w:iCs/>
          <w:highlight w:val="none"/>
          <w:lang w:val="en-IN"/>
        </w:rPr>
        <w:t>et al.</w:t>
      </w:r>
      <w:r>
        <w:rPr>
          <w:rFonts w:hint="default" w:ascii="Arial" w:hAnsi="Arial" w:cs="Arial"/>
          <w:highlight w:val="none"/>
          <w:lang w:val="en-IN"/>
        </w:rPr>
        <w:t xml:space="preserve"> (2017) ‘Cardiovascular disease &amp; cancer risk among South Asians’, </w:t>
      </w:r>
      <w:r>
        <w:rPr>
          <w:rFonts w:hint="default" w:ascii="Arial" w:hAnsi="Arial" w:cs="Arial"/>
          <w:i/>
          <w:iCs/>
          <w:highlight w:val="none"/>
          <w:lang w:val="en-IN"/>
        </w:rPr>
        <w:t>Journal of Immigrant and Minority Health</w:t>
      </w:r>
      <w:r>
        <w:rPr>
          <w:rFonts w:hint="default" w:ascii="Arial" w:hAnsi="Arial" w:cs="Arial"/>
          <w:highlight w:val="none"/>
          <w:lang w:val="en-IN"/>
        </w:rPr>
        <w:t>, 21(S1), pp. 15–25.</w:t>
      </w:r>
    </w:p>
    <w:p w14:paraId="2E33FB00">
      <w:pPr>
        <w:rPr>
          <w:rFonts w:hint="default" w:ascii="Arial" w:hAnsi="Arial" w:cs="Arial"/>
          <w:highlight w:val="none"/>
          <w:lang w:val="en-IN"/>
        </w:rPr>
      </w:pPr>
    </w:p>
    <w:p w14:paraId="1CA7F066">
      <w:pPr>
        <w:rPr>
          <w:rFonts w:hint="default" w:ascii="Arial" w:hAnsi="Arial" w:cs="Arial"/>
          <w:highlight w:val="none"/>
          <w:lang w:val="en-IN"/>
        </w:rPr>
      </w:pPr>
      <w:r>
        <w:rPr>
          <w:rFonts w:hint="default" w:ascii="Arial" w:hAnsi="Arial" w:cs="Arial"/>
          <w:highlight w:val="none"/>
          <w:lang w:val="en-IN"/>
        </w:rPr>
        <w:t xml:space="preserve">Kiger, M.E. and Varpio, L. (2020) ‘Thematic Analysis of Qualitative data: AMEE Guide no. 131’, </w:t>
      </w:r>
      <w:r>
        <w:rPr>
          <w:rFonts w:hint="default" w:ascii="Arial" w:hAnsi="Arial" w:cs="Arial"/>
          <w:i/>
          <w:iCs/>
          <w:highlight w:val="none"/>
          <w:lang w:val="en-IN"/>
        </w:rPr>
        <w:t>Medical Teacher</w:t>
      </w:r>
      <w:r>
        <w:rPr>
          <w:rFonts w:hint="default" w:ascii="Arial" w:hAnsi="Arial" w:cs="Arial"/>
          <w:highlight w:val="none"/>
          <w:lang w:val="en-IN"/>
        </w:rPr>
        <w:t xml:space="preserve">, 42(8), pp. 846–854. </w:t>
      </w:r>
    </w:p>
    <w:p w14:paraId="58DE3377">
      <w:pPr>
        <w:rPr>
          <w:rFonts w:hint="default" w:ascii="Arial" w:hAnsi="Arial" w:cs="Arial"/>
          <w:highlight w:val="none"/>
          <w:lang w:val="en-IN"/>
        </w:rPr>
      </w:pPr>
    </w:p>
    <w:p w14:paraId="71BE28A2">
      <w:pPr>
        <w:rPr>
          <w:rFonts w:hint="default" w:ascii="Arial" w:hAnsi="Arial" w:cs="Arial"/>
          <w:highlight w:val="none"/>
          <w:lang w:val="en-IN"/>
        </w:rPr>
      </w:pPr>
      <w:r>
        <w:rPr>
          <w:rFonts w:hint="default" w:ascii="Arial" w:hAnsi="Arial" w:cs="Arial"/>
          <w:highlight w:val="none"/>
          <w:lang w:val="en-IN"/>
        </w:rPr>
        <w:t xml:space="preserve">Kivimäki, M. and Steptoe, A. (2018) ‘Effects of stress on cardiovascular disease’, </w:t>
      </w:r>
      <w:r>
        <w:rPr>
          <w:rFonts w:hint="default" w:ascii="Arial" w:hAnsi="Arial" w:cs="Arial"/>
          <w:i/>
          <w:iCs/>
          <w:highlight w:val="none"/>
          <w:lang w:val="en-IN"/>
        </w:rPr>
        <w:t>Nature Reviews Cardiology</w:t>
      </w:r>
      <w:r>
        <w:rPr>
          <w:rFonts w:hint="default" w:ascii="Arial" w:hAnsi="Arial" w:cs="Arial"/>
          <w:highlight w:val="none"/>
          <w:lang w:val="en-IN"/>
        </w:rPr>
        <w:t>, 15(4), pp. 215–229.</w:t>
      </w:r>
    </w:p>
    <w:p w14:paraId="0ED2357A">
      <w:pPr>
        <w:rPr>
          <w:rFonts w:hint="default" w:ascii="Arial" w:hAnsi="Arial" w:cs="Arial"/>
          <w:highlight w:val="none"/>
          <w:lang w:val="en-IN"/>
        </w:rPr>
      </w:pPr>
    </w:p>
    <w:p w14:paraId="2729B5CE">
      <w:pPr>
        <w:rPr>
          <w:rFonts w:hint="default" w:ascii="Arial" w:hAnsi="Arial" w:cs="Arial"/>
          <w:highlight w:val="none"/>
          <w:lang w:val="en-IN"/>
        </w:rPr>
      </w:pPr>
      <w:r>
        <w:rPr>
          <w:rFonts w:hint="default" w:ascii="Arial" w:hAnsi="Arial" w:cs="Arial"/>
          <w:highlight w:val="none"/>
          <w:lang w:val="en-IN"/>
        </w:rPr>
        <w:t xml:space="preserve">Komi, L.S. </w:t>
      </w:r>
      <w:r>
        <w:rPr>
          <w:rFonts w:hint="default" w:ascii="Arial" w:hAnsi="Arial" w:cs="Arial"/>
          <w:i/>
          <w:iCs/>
          <w:highlight w:val="none"/>
          <w:lang w:val="en-IN"/>
        </w:rPr>
        <w:t>et al.</w:t>
      </w:r>
      <w:r>
        <w:rPr>
          <w:rFonts w:hint="default" w:ascii="Arial" w:hAnsi="Arial" w:cs="Arial"/>
          <w:highlight w:val="none"/>
          <w:lang w:val="en-IN"/>
        </w:rPr>
        <w:t xml:space="preserve"> (2024) ‘Community-based health promotion models’, </w:t>
      </w:r>
      <w:r>
        <w:rPr>
          <w:rFonts w:hint="default" w:ascii="Arial" w:hAnsi="Arial" w:cs="Arial"/>
          <w:i/>
          <w:iCs/>
          <w:highlight w:val="none"/>
          <w:lang w:val="en-IN"/>
        </w:rPr>
        <w:t>International Journal of Multidisciplinary Research and Growth Evaluation</w:t>
      </w:r>
      <w:r>
        <w:rPr>
          <w:rFonts w:hint="default" w:ascii="Arial" w:hAnsi="Arial" w:cs="Arial"/>
          <w:highlight w:val="none"/>
          <w:lang w:val="en-IN"/>
        </w:rPr>
        <w:t>, 5(1), pp. 1708–1713.</w:t>
      </w:r>
    </w:p>
    <w:p w14:paraId="5E472F33">
      <w:pPr>
        <w:rPr>
          <w:rFonts w:hint="default" w:ascii="Arial" w:hAnsi="Arial" w:cs="Arial"/>
          <w:highlight w:val="none"/>
          <w:lang w:val="en-IN"/>
        </w:rPr>
      </w:pPr>
    </w:p>
    <w:p w14:paraId="0630697F">
      <w:pPr>
        <w:rPr>
          <w:rFonts w:hint="default" w:ascii="Arial" w:hAnsi="Arial" w:cs="Arial"/>
          <w:highlight w:val="none"/>
        </w:rPr>
      </w:pPr>
      <w:r>
        <w:rPr>
          <w:rFonts w:hint="default" w:ascii="Arial" w:hAnsi="Arial" w:cs="Arial"/>
          <w:highlight w:val="none"/>
        </w:rPr>
        <w:t>Kumar, A. (2023) 'Systematic literature review (SLR)’, </w:t>
      </w:r>
      <w:r>
        <w:rPr>
          <w:rFonts w:hint="default" w:ascii="Arial" w:hAnsi="Arial" w:cs="Arial"/>
          <w:i/>
          <w:iCs/>
          <w:highlight w:val="none"/>
        </w:rPr>
        <w:t>Meta-analysis in clinical research: Principles and procedures</w:t>
      </w:r>
      <w:r>
        <w:rPr>
          <w:rFonts w:hint="default" w:ascii="Arial" w:hAnsi="Arial" w:cs="Arial"/>
          <w:highlight w:val="none"/>
        </w:rPr>
        <w:t>, 7-14.</w:t>
      </w:r>
    </w:p>
    <w:p w14:paraId="4C98C24E">
      <w:pPr>
        <w:rPr>
          <w:rFonts w:hint="default" w:ascii="Arial" w:hAnsi="Arial" w:cs="Arial"/>
          <w:highlight w:val="none"/>
          <w:lang w:val="en-IN"/>
        </w:rPr>
      </w:pPr>
    </w:p>
    <w:p w14:paraId="0A4BCF75">
      <w:pPr>
        <w:rPr>
          <w:rFonts w:hint="default" w:ascii="Arial" w:hAnsi="Arial" w:cs="Arial"/>
          <w:highlight w:val="none"/>
          <w:lang w:val="en-IN"/>
        </w:rPr>
      </w:pPr>
      <w:r>
        <w:rPr>
          <w:rFonts w:hint="default" w:ascii="Arial" w:hAnsi="Arial" w:cs="Arial"/>
          <w:highlight w:val="none"/>
          <w:lang w:val="en-IN"/>
        </w:rPr>
        <w:t xml:space="preserve">Kusuma, D. </w:t>
      </w:r>
      <w:r>
        <w:rPr>
          <w:rFonts w:hint="default" w:ascii="Arial" w:hAnsi="Arial" w:cs="Arial"/>
          <w:i/>
          <w:iCs/>
          <w:highlight w:val="none"/>
          <w:lang w:val="en-IN"/>
        </w:rPr>
        <w:t>et al.</w:t>
      </w:r>
      <w:r>
        <w:rPr>
          <w:rFonts w:hint="default" w:ascii="Arial" w:hAnsi="Arial" w:cs="Arial"/>
          <w:highlight w:val="none"/>
          <w:lang w:val="en-IN"/>
        </w:rPr>
        <w:t xml:space="preserve"> (2022) ‘Food environment and diabetes mellitus in South Asia’, </w:t>
      </w:r>
      <w:r>
        <w:rPr>
          <w:rFonts w:hint="default" w:ascii="Arial" w:hAnsi="Arial" w:cs="Arial"/>
          <w:i/>
          <w:iCs/>
          <w:highlight w:val="none"/>
          <w:lang w:val="en-IN"/>
        </w:rPr>
        <w:t>PLoS Medicine</w:t>
      </w:r>
      <w:r>
        <w:rPr>
          <w:rFonts w:hint="default" w:ascii="Arial" w:hAnsi="Arial" w:cs="Arial"/>
          <w:highlight w:val="none"/>
          <w:lang w:val="en-IN"/>
        </w:rPr>
        <w:t>, 19(4), p. e1003970.</w:t>
      </w:r>
    </w:p>
    <w:p w14:paraId="13EFE885">
      <w:pPr>
        <w:rPr>
          <w:rFonts w:hint="default" w:ascii="Arial" w:hAnsi="Arial" w:cs="Arial"/>
          <w:highlight w:val="none"/>
          <w:lang w:val="en-IN"/>
        </w:rPr>
      </w:pPr>
    </w:p>
    <w:p w14:paraId="19627653">
      <w:pPr>
        <w:rPr>
          <w:rFonts w:hint="default" w:ascii="Arial" w:hAnsi="Arial" w:cs="Arial"/>
          <w:highlight w:val="none"/>
          <w:lang w:val="en-IN"/>
        </w:rPr>
      </w:pPr>
      <w:r>
        <w:rPr>
          <w:rFonts w:hint="default" w:ascii="Arial" w:hAnsi="Arial" w:cs="Arial"/>
          <w:highlight w:val="none"/>
          <w:lang w:val="en-IN"/>
        </w:rPr>
        <w:t xml:space="preserve">Lacombe, J. </w:t>
      </w:r>
      <w:r>
        <w:rPr>
          <w:rFonts w:hint="default" w:ascii="Arial" w:hAnsi="Arial" w:cs="Arial"/>
          <w:i/>
          <w:iCs/>
          <w:highlight w:val="none"/>
          <w:lang w:val="en-IN"/>
        </w:rPr>
        <w:t>et al.</w:t>
      </w:r>
      <w:r>
        <w:rPr>
          <w:rFonts w:hint="default" w:ascii="Arial" w:hAnsi="Arial" w:cs="Arial"/>
          <w:highlight w:val="none"/>
          <w:lang w:val="en-IN"/>
        </w:rPr>
        <w:t xml:space="preserve"> (2019) ‘The impact of physical activity’, </w:t>
      </w:r>
      <w:r>
        <w:rPr>
          <w:rFonts w:hint="default" w:ascii="Arial" w:hAnsi="Arial" w:cs="Arial"/>
          <w:i/>
          <w:iCs/>
          <w:highlight w:val="none"/>
          <w:lang w:val="en-IN"/>
        </w:rPr>
        <w:t>BMC Public Health</w:t>
      </w:r>
      <w:r>
        <w:rPr>
          <w:rFonts w:hint="default" w:ascii="Arial" w:hAnsi="Arial" w:cs="Arial"/>
          <w:highlight w:val="none"/>
          <w:lang w:val="en-IN"/>
        </w:rPr>
        <w:t>, 19, p. 900.</w:t>
      </w:r>
    </w:p>
    <w:p w14:paraId="321BEEFF">
      <w:pPr>
        <w:rPr>
          <w:rFonts w:hint="default" w:ascii="Arial" w:hAnsi="Arial" w:cs="Arial"/>
          <w:highlight w:val="none"/>
          <w:lang w:val="en-IN"/>
        </w:rPr>
      </w:pPr>
    </w:p>
    <w:p w14:paraId="7162182E">
      <w:pPr>
        <w:rPr>
          <w:rFonts w:hint="default" w:ascii="Arial" w:hAnsi="Arial" w:cs="Arial"/>
          <w:highlight w:val="none"/>
          <w:lang w:val="en-IN"/>
        </w:rPr>
      </w:pPr>
      <w:r>
        <w:rPr>
          <w:rFonts w:hint="default" w:ascii="Arial" w:hAnsi="Arial" w:cs="Arial"/>
          <w:highlight w:val="none"/>
          <w:lang w:val="en-IN"/>
        </w:rPr>
        <w:t xml:space="preserve">Lai, D.W. </w:t>
      </w:r>
      <w:r>
        <w:rPr>
          <w:rFonts w:hint="default" w:ascii="Arial" w:hAnsi="Arial" w:cs="Arial"/>
          <w:i/>
          <w:iCs/>
          <w:highlight w:val="none"/>
          <w:lang w:val="en-IN"/>
        </w:rPr>
        <w:t>et al.</w:t>
      </w:r>
      <w:r>
        <w:rPr>
          <w:rFonts w:hint="default" w:ascii="Arial" w:hAnsi="Arial" w:cs="Arial"/>
          <w:highlight w:val="none"/>
          <w:lang w:val="en-IN"/>
        </w:rPr>
        <w:t xml:space="preserve"> (2023) ‘Perspectives towards cultural competence’, </w:t>
      </w:r>
      <w:r>
        <w:rPr>
          <w:rFonts w:hint="default" w:ascii="Arial" w:hAnsi="Arial" w:cs="Arial"/>
          <w:i/>
          <w:iCs/>
          <w:highlight w:val="none"/>
          <w:lang w:val="en-IN"/>
        </w:rPr>
        <w:t>Primary Health Care Research &amp; Development</w:t>
      </w:r>
      <w:r>
        <w:rPr>
          <w:rFonts w:hint="default" w:ascii="Arial" w:hAnsi="Arial" w:cs="Arial"/>
          <w:highlight w:val="none"/>
          <w:lang w:val="en-IN"/>
        </w:rPr>
        <w:t>, 24, p. e40.</w:t>
      </w:r>
    </w:p>
    <w:p w14:paraId="276018A2">
      <w:pPr>
        <w:rPr>
          <w:rFonts w:hint="default" w:ascii="Arial" w:hAnsi="Arial" w:cs="Arial"/>
          <w:highlight w:val="none"/>
          <w:lang w:val="en-IN"/>
        </w:rPr>
      </w:pPr>
    </w:p>
    <w:p w14:paraId="5B46883B">
      <w:pPr>
        <w:rPr>
          <w:rFonts w:hint="default" w:ascii="Arial" w:hAnsi="Arial" w:cs="Arial"/>
          <w:highlight w:val="none"/>
          <w:lang w:val="en-IN"/>
        </w:rPr>
      </w:pPr>
      <w:r>
        <w:rPr>
          <w:rFonts w:hint="default" w:ascii="Arial" w:hAnsi="Arial" w:cs="Arial"/>
          <w:highlight w:val="none"/>
          <w:lang w:val="en-IN"/>
        </w:rPr>
        <w:t xml:space="preserve">Langøien, L.J. </w:t>
      </w:r>
      <w:r>
        <w:rPr>
          <w:rFonts w:hint="default" w:ascii="Arial" w:hAnsi="Arial" w:cs="Arial"/>
          <w:i/>
          <w:iCs/>
          <w:highlight w:val="none"/>
          <w:lang w:val="en-IN"/>
        </w:rPr>
        <w:t>et al.</w:t>
      </w:r>
      <w:r>
        <w:rPr>
          <w:rFonts w:hint="default" w:ascii="Arial" w:hAnsi="Arial" w:cs="Arial"/>
          <w:highlight w:val="none"/>
          <w:lang w:val="en-IN"/>
        </w:rPr>
        <w:t xml:space="preserve"> (2017) ‘Factors influencing physical activity’, </w:t>
      </w:r>
      <w:r>
        <w:rPr>
          <w:rFonts w:hint="default" w:ascii="Arial" w:hAnsi="Arial" w:cs="Arial"/>
          <w:i/>
          <w:iCs/>
          <w:highlight w:val="none"/>
          <w:lang w:val="en-IN"/>
        </w:rPr>
        <w:t>International Journal of Behavioral Nutrition and Physical Activity</w:t>
      </w:r>
      <w:r>
        <w:rPr>
          <w:rFonts w:hint="default" w:ascii="Arial" w:hAnsi="Arial" w:cs="Arial"/>
          <w:highlight w:val="none"/>
          <w:lang w:val="en-IN"/>
        </w:rPr>
        <w:t>, 14(1).</w:t>
      </w:r>
    </w:p>
    <w:p w14:paraId="7F88EC35">
      <w:pPr>
        <w:rPr>
          <w:rFonts w:hint="default" w:ascii="Arial" w:hAnsi="Arial" w:cs="Arial"/>
          <w:highlight w:val="none"/>
          <w:lang w:val="en-IN"/>
        </w:rPr>
      </w:pPr>
    </w:p>
    <w:p w14:paraId="3BE53273">
      <w:pPr>
        <w:rPr>
          <w:rFonts w:hint="default" w:ascii="Arial" w:hAnsi="Arial" w:cs="Arial"/>
          <w:highlight w:val="none"/>
          <w:lang w:val="en-IN"/>
        </w:rPr>
      </w:pPr>
      <w:r>
        <w:rPr>
          <w:rFonts w:hint="default" w:ascii="Arial" w:hAnsi="Arial" w:cs="Arial"/>
          <w:highlight w:val="none"/>
          <w:lang w:val="en-IN"/>
        </w:rPr>
        <w:t xml:space="preserve">Latif, S. </w:t>
      </w:r>
      <w:r>
        <w:rPr>
          <w:rFonts w:hint="default" w:ascii="Arial" w:hAnsi="Arial" w:cs="Arial"/>
          <w:i/>
          <w:iCs/>
          <w:highlight w:val="none"/>
          <w:lang w:val="en-IN"/>
        </w:rPr>
        <w:t>et al.</w:t>
      </w:r>
      <w:r>
        <w:rPr>
          <w:rFonts w:hint="default" w:ascii="Arial" w:hAnsi="Arial" w:cs="Arial"/>
          <w:highlight w:val="none"/>
          <w:lang w:val="en-IN"/>
        </w:rPr>
        <w:t xml:space="preserve"> (2016) ‘Health promotion videos’, </w:t>
      </w:r>
      <w:r>
        <w:rPr>
          <w:rFonts w:hint="default" w:ascii="Arial" w:hAnsi="Arial" w:cs="Arial"/>
          <w:i/>
          <w:iCs/>
          <w:highlight w:val="none"/>
          <w:lang w:val="en-IN"/>
        </w:rPr>
        <w:t>London Journal of Primary Care</w:t>
      </w:r>
      <w:r>
        <w:rPr>
          <w:rFonts w:hint="default" w:ascii="Arial" w:hAnsi="Arial" w:cs="Arial"/>
          <w:highlight w:val="none"/>
          <w:lang w:val="en-IN"/>
        </w:rPr>
        <w:t>, 8(4), pp. 66–71.</w:t>
      </w:r>
    </w:p>
    <w:p w14:paraId="72753DBD">
      <w:pPr>
        <w:rPr>
          <w:rFonts w:hint="default" w:ascii="Arial" w:hAnsi="Arial" w:cs="Arial"/>
          <w:highlight w:val="none"/>
          <w:lang w:val="en-IN"/>
        </w:rPr>
      </w:pPr>
    </w:p>
    <w:p w14:paraId="62CD38A5">
      <w:pPr>
        <w:rPr>
          <w:rFonts w:hint="default" w:ascii="Arial" w:hAnsi="Arial" w:cs="Arial"/>
          <w:highlight w:val="none"/>
          <w:lang w:val="en-IN"/>
        </w:rPr>
      </w:pPr>
      <w:r>
        <w:rPr>
          <w:rFonts w:hint="default" w:ascii="Arial" w:hAnsi="Arial" w:cs="Arial"/>
          <w:highlight w:val="none"/>
          <w:lang w:val="en-IN"/>
        </w:rPr>
        <w:t xml:space="preserve">Lee, Y., Sung, S. and Fan, X. (2025) ‘Cultural competency education for healthcare professionals: an umbrella review’, </w:t>
      </w:r>
      <w:r>
        <w:rPr>
          <w:rFonts w:hint="default" w:ascii="Arial" w:hAnsi="Arial" w:cs="Arial"/>
          <w:i/>
          <w:iCs/>
          <w:highlight w:val="none"/>
          <w:lang w:val="en-IN"/>
        </w:rPr>
        <w:t>BMC Medical Education</w:t>
      </w:r>
      <w:r>
        <w:rPr>
          <w:rFonts w:hint="default" w:ascii="Arial" w:hAnsi="Arial" w:cs="Arial"/>
          <w:highlight w:val="none"/>
          <w:lang w:val="en-IN"/>
        </w:rPr>
        <w:t xml:space="preserve">, 25(1). Available at: </w:t>
      </w:r>
      <w:r>
        <w:rPr>
          <w:rFonts w:hint="default" w:ascii="Arial" w:hAnsi="Arial" w:cs="Arial"/>
          <w:highlight w:val="none"/>
          <w:lang w:val="en-IN"/>
        </w:rPr>
        <w:fldChar w:fldCharType="begin"/>
      </w:r>
      <w:r>
        <w:rPr>
          <w:rFonts w:hint="default" w:ascii="Arial" w:hAnsi="Arial" w:cs="Arial"/>
          <w:highlight w:val="none"/>
          <w:lang w:val="en-IN"/>
        </w:rPr>
        <w:instrText xml:space="preserve"> HYPERLINK "https://doi.org/10.1186/s12909-025-08008-7." </w:instrText>
      </w:r>
      <w:r>
        <w:rPr>
          <w:rFonts w:hint="default" w:ascii="Arial" w:hAnsi="Arial" w:cs="Arial"/>
          <w:highlight w:val="none"/>
          <w:lang w:val="en-IN"/>
        </w:rPr>
        <w:fldChar w:fldCharType="separate"/>
      </w:r>
      <w:r>
        <w:rPr>
          <w:rStyle w:val="16"/>
          <w:rFonts w:hint="default" w:ascii="Arial" w:hAnsi="Arial" w:cs="Arial"/>
          <w:highlight w:val="none"/>
          <w:lang w:val="en-IN"/>
        </w:rPr>
        <w:t>https://doi.org/10.1186/s12909-025-08008-7.</w:t>
      </w:r>
      <w:r>
        <w:rPr>
          <w:rFonts w:hint="default" w:ascii="Arial" w:hAnsi="Arial" w:cs="Arial"/>
          <w:highlight w:val="none"/>
          <w:lang w:val="en-IN"/>
        </w:rPr>
        <w:fldChar w:fldCharType="end"/>
      </w:r>
    </w:p>
    <w:p w14:paraId="52487173">
      <w:pPr>
        <w:rPr>
          <w:rFonts w:hint="default" w:ascii="Arial" w:hAnsi="Arial" w:cs="Arial"/>
          <w:highlight w:val="none"/>
          <w:lang w:val="en-IN"/>
        </w:rPr>
      </w:pPr>
    </w:p>
    <w:p w14:paraId="76030E18">
      <w:pPr>
        <w:rPr>
          <w:rFonts w:hint="default" w:ascii="Arial" w:hAnsi="Arial" w:cs="Arial"/>
          <w:highlight w:val="none"/>
          <w:lang w:val="en-IN"/>
        </w:rPr>
      </w:pPr>
      <w:r>
        <w:rPr>
          <w:rFonts w:hint="default" w:ascii="Arial" w:hAnsi="Arial" w:cs="Arial"/>
          <w:highlight w:val="none"/>
          <w:lang w:val="en-IN"/>
        </w:rPr>
        <w:t xml:space="preserve">Limbachia, J. </w:t>
      </w:r>
      <w:r>
        <w:rPr>
          <w:rFonts w:hint="default" w:ascii="Arial" w:hAnsi="Arial" w:cs="Arial"/>
          <w:i/>
          <w:iCs/>
          <w:highlight w:val="none"/>
          <w:lang w:val="en-IN"/>
        </w:rPr>
        <w:t>et al.</w:t>
      </w:r>
      <w:r>
        <w:rPr>
          <w:rFonts w:hint="default" w:ascii="Arial" w:hAnsi="Arial" w:cs="Arial"/>
          <w:highlight w:val="none"/>
          <w:lang w:val="en-IN"/>
        </w:rPr>
        <w:t xml:space="preserve"> (2022) ‘Effects of lifestyle interventions’, </w:t>
      </w:r>
      <w:r>
        <w:rPr>
          <w:rFonts w:hint="default" w:ascii="Arial" w:hAnsi="Arial" w:cs="Arial"/>
          <w:i/>
          <w:iCs/>
          <w:highlight w:val="none"/>
          <w:lang w:val="en-IN"/>
        </w:rPr>
        <w:t>BMJ Open</w:t>
      </w:r>
      <w:r>
        <w:rPr>
          <w:rFonts w:hint="default" w:ascii="Arial" w:hAnsi="Arial" w:cs="Arial"/>
          <w:highlight w:val="none"/>
          <w:lang w:val="en-IN"/>
        </w:rPr>
        <w:t>, 12(12).</w:t>
      </w:r>
    </w:p>
    <w:p w14:paraId="76C5B280">
      <w:pPr>
        <w:rPr>
          <w:rFonts w:hint="default" w:ascii="Arial" w:hAnsi="Arial" w:cs="Arial"/>
          <w:highlight w:val="none"/>
          <w:lang w:val="en-IN"/>
        </w:rPr>
      </w:pPr>
    </w:p>
    <w:p w14:paraId="6E40AE18">
      <w:pPr>
        <w:rPr>
          <w:rFonts w:hint="default" w:ascii="Arial" w:hAnsi="Arial" w:cs="Arial"/>
          <w:highlight w:val="none"/>
          <w:lang w:val="en-IN"/>
        </w:rPr>
      </w:pPr>
      <w:r>
        <w:rPr>
          <w:rFonts w:hint="default" w:ascii="Arial" w:hAnsi="Arial" w:cs="Arial"/>
          <w:highlight w:val="none"/>
          <w:lang w:val="en-IN"/>
        </w:rPr>
        <w:t xml:space="preserve">Long, H.A., French, D.P. and Brooks, J.M. (2020) ‘Optimising the Value of the Critical Appraisal Skills Programme (CASP) Tool for Quality Appraisal in Qualitative Evidence Synthesis’, </w:t>
      </w:r>
      <w:r>
        <w:rPr>
          <w:rFonts w:hint="default" w:ascii="Arial" w:hAnsi="Arial" w:cs="Arial"/>
          <w:i/>
          <w:iCs/>
          <w:highlight w:val="none"/>
          <w:lang w:val="en-IN"/>
        </w:rPr>
        <w:t>Research Methods in Medicine &amp; Health Sciences</w:t>
      </w:r>
      <w:r>
        <w:rPr>
          <w:rFonts w:hint="default" w:ascii="Arial" w:hAnsi="Arial" w:cs="Arial"/>
          <w:highlight w:val="none"/>
          <w:lang w:val="en-IN"/>
        </w:rPr>
        <w:t xml:space="preserve">, 1(1), pp. 31–42. </w:t>
      </w:r>
    </w:p>
    <w:p w14:paraId="4E1A72BF">
      <w:pPr>
        <w:rPr>
          <w:rFonts w:hint="default" w:ascii="Arial" w:hAnsi="Arial" w:cs="Arial"/>
          <w:highlight w:val="none"/>
          <w:lang w:val="en-IN"/>
        </w:rPr>
      </w:pPr>
    </w:p>
    <w:p w14:paraId="4263C6D4">
      <w:pPr>
        <w:rPr>
          <w:rFonts w:hint="default" w:ascii="Arial" w:hAnsi="Arial" w:cs="Arial"/>
          <w:highlight w:val="none"/>
          <w:lang w:val="en-IN"/>
        </w:rPr>
      </w:pPr>
      <w:r>
        <w:rPr>
          <w:rFonts w:hint="default" w:ascii="Arial" w:hAnsi="Arial" w:cs="Arial"/>
          <w:highlight w:val="none"/>
          <w:lang w:val="en-IN"/>
        </w:rPr>
        <w:t xml:space="preserve">MacFarlane, A. </w:t>
      </w:r>
      <w:r>
        <w:rPr>
          <w:rFonts w:hint="default" w:ascii="Arial" w:hAnsi="Arial" w:cs="Arial"/>
          <w:i/>
          <w:iCs/>
          <w:highlight w:val="none"/>
          <w:lang w:val="en-IN"/>
        </w:rPr>
        <w:t>et al.</w:t>
      </w:r>
      <w:r>
        <w:rPr>
          <w:rFonts w:hint="default" w:ascii="Arial" w:hAnsi="Arial" w:cs="Arial"/>
          <w:highlight w:val="none"/>
          <w:lang w:val="en-IN"/>
        </w:rPr>
        <w:t xml:space="preserve"> (2022) ‘Search strategy formulation’, </w:t>
      </w:r>
      <w:r>
        <w:rPr>
          <w:rFonts w:hint="default" w:ascii="Arial" w:hAnsi="Arial" w:cs="Arial"/>
          <w:i/>
          <w:iCs/>
          <w:highlight w:val="none"/>
          <w:lang w:val="en-IN"/>
        </w:rPr>
        <w:t>Intelligent Systems with Applications</w:t>
      </w:r>
      <w:r>
        <w:rPr>
          <w:rFonts w:hint="default" w:ascii="Arial" w:hAnsi="Arial" w:cs="Arial"/>
          <w:highlight w:val="none"/>
          <w:lang w:val="en-IN"/>
        </w:rPr>
        <w:t>, 15.</w:t>
      </w:r>
    </w:p>
    <w:p w14:paraId="73AB940C">
      <w:pPr>
        <w:rPr>
          <w:rFonts w:hint="default" w:ascii="Arial" w:hAnsi="Arial" w:cs="Arial"/>
          <w:highlight w:val="none"/>
          <w:lang w:val="en-IN"/>
        </w:rPr>
      </w:pPr>
    </w:p>
    <w:p w14:paraId="08CF9374">
      <w:pPr>
        <w:rPr>
          <w:rFonts w:hint="default" w:ascii="Arial" w:hAnsi="Arial" w:cs="Arial"/>
          <w:highlight w:val="none"/>
        </w:rPr>
      </w:pPr>
      <w:r>
        <w:rPr>
          <w:rFonts w:hint="default" w:ascii="Arial" w:hAnsi="Arial" w:cs="Arial"/>
          <w:highlight w:val="none"/>
        </w:rPr>
        <w:t>Makabe, S., Suda, T., Akagawa, Y., Abe, M., and Kakai, H. (2022) ‘Measurement properties of appraisal tools for mixed methods research: A systematic review protocol’, </w:t>
      </w:r>
      <w:r>
        <w:rPr>
          <w:rFonts w:hint="default" w:ascii="Arial" w:hAnsi="Arial" w:cs="Arial"/>
          <w:i/>
          <w:iCs/>
          <w:highlight w:val="none"/>
        </w:rPr>
        <w:t>Int J Sci Res Arch</w:t>
      </w:r>
      <w:r>
        <w:rPr>
          <w:rFonts w:hint="default" w:ascii="Arial" w:hAnsi="Arial" w:cs="Arial"/>
          <w:highlight w:val="none"/>
        </w:rPr>
        <w:t>, </w:t>
      </w:r>
      <w:r>
        <w:rPr>
          <w:rFonts w:hint="default" w:ascii="Arial" w:hAnsi="Arial" w:cs="Arial"/>
          <w:i/>
          <w:iCs/>
          <w:highlight w:val="none"/>
        </w:rPr>
        <w:t>7</w:t>
      </w:r>
      <w:r>
        <w:rPr>
          <w:rFonts w:hint="default" w:ascii="Arial" w:hAnsi="Arial" w:cs="Arial"/>
          <w:highlight w:val="none"/>
        </w:rPr>
        <w:t>(1), 46-52.</w:t>
      </w:r>
    </w:p>
    <w:p w14:paraId="56965F96">
      <w:pPr>
        <w:rPr>
          <w:rFonts w:hint="default" w:ascii="Arial" w:hAnsi="Arial" w:cs="Arial"/>
          <w:highlight w:val="none"/>
          <w:lang w:val="en-IN"/>
        </w:rPr>
      </w:pPr>
    </w:p>
    <w:p w14:paraId="1E5873DA">
      <w:pPr>
        <w:rPr>
          <w:rFonts w:hint="default" w:ascii="Arial" w:hAnsi="Arial" w:cs="Arial"/>
          <w:highlight w:val="none"/>
          <w:lang w:val="en-IN"/>
        </w:rPr>
      </w:pPr>
      <w:r>
        <w:rPr>
          <w:rFonts w:hint="default" w:ascii="Arial" w:hAnsi="Arial" w:cs="Arial"/>
          <w:highlight w:val="none"/>
          <w:lang w:val="en-IN"/>
        </w:rPr>
        <w:t xml:space="preserve">Marino, P. </w:t>
      </w:r>
      <w:r>
        <w:rPr>
          <w:rFonts w:hint="default" w:ascii="Arial" w:hAnsi="Arial" w:cs="Arial"/>
          <w:i/>
          <w:iCs/>
          <w:highlight w:val="none"/>
          <w:lang w:val="en-IN"/>
        </w:rPr>
        <w:t>et al.</w:t>
      </w:r>
      <w:r>
        <w:rPr>
          <w:rFonts w:hint="default" w:ascii="Arial" w:hAnsi="Arial" w:cs="Arial"/>
          <w:highlight w:val="none"/>
          <w:lang w:val="en-IN"/>
        </w:rPr>
        <w:t xml:space="preserve"> (2024) ‘Healthy lifestyle and cancer risk’, </w:t>
      </w:r>
      <w:r>
        <w:rPr>
          <w:rFonts w:hint="default" w:ascii="Arial" w:hAnsi="Arial" w:cs="Arial"/>
          <w:i/>
          <w:iCs/>
          <w:highlight w:val="none"/>
          <w:lang w:val="en-IN"/>
        </w:rPr>
        <w:t>Nutrients</w:t>
      </w:r>
      <w:r>
        <w:rPr>
          <w:rFonts w:hint="default" w:ascii="Arial" w:hAnsi="Arial" w:cs="Arial"/>
          <w:highlight w:val="none"/>
          <w:lang w:val="en-IN"/>
        </w:rPr>
        <w:t>, 16(6), p. 800.</w:t>
      </w:r>
    </w:p>
    <w:p w14:paraId="24336C89">
      <w:pPr>
        <w:rPr>
          <w:rFonts w:hint="default" w:ascii="Arial" w:hAnsi="Arial" w:cs="Arial"/>
          <w:highlight w:val="none"/>
          <w:lang w:val="en-IN"/>
        </w:rPr>
      </w:pPr>
    </w:p>
    <w:p w14:paraId="42613A34">
      <w:pPr>
        <w:rPr>
          <w:rFonts w:hint="default" w:ascii="Arial" w:hAnsi="Arial" w:cs="Arial"/>
          <w:highlight w:val="none"/>
          <w:lang w:val="en-IN"/>
        </w:rPr>
      </w:pPr>
      <w:r>
        <w:rPr>
          <w:rFonts w:hint="default" w:ascii="Arial" w:hAnsi="Arial" w:cs="Arial"/>
          <w:highlight w:val="none"/>
          <w:lang w:val="en-IN"/>
        </w:rPr>
        <w:t xml:space="preserve">Mehta, K. (2024) </w:t>
      </w:r>
      <w:r>
        <w:rPr>
          <w:rFonts w:hint="default" w:ascii="Arial" w:hAnsi="Arial" w:cs="Arial"/>
          <w:i/>
          <w:iCs/>
          <w:highlight w:val="none"/>
          <w:lang w:val="en-IN"/>
        </w:rPr>
        <w:t>South Asians almost twice as likely to develop coronary heart disease than White Europeans</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"https://www.bhf.org.uk" \t "_new" </w:instrText>
      </w:r>
      <w:r>
        <w:rPr>
          <w:rFonts w:hint="default" w:ascii="Arial" w:hAnsi="Arial" w:cs="Arial"/>
          <w:highlight w:val="none"/>
        </w:rPr>
        <w:fldChar w:fldCharType="separate"/>
      </w:r>
      <w:r>
        <w:rPr>
          <w:rStyle w:val="16"/>
          <w:rFonts w:hint="default" w:ascii="Arial" w:hAnsi="Arial" w:cs="Arial"/>
          <w:highlight w:val="none"/>
          <w:lang w:val="en-IN"/>
        </w:rPr>
        <w:t>https://www.bhf.org.uk</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11 March 2026).</w:t>
      </w:r>
    </w:p>
    <w:p w14:paraId="25DA4877">
      <w:pPr>
        <w:rPr>
          <w:rFonts w:hint="default" w:ascii="Arial" w:hAnsi="Arial" w:cs="Arial"/>
          <w:highlight w:val="none"/>
          <w:lang w:val="en-IN"/>
        </w:rPr>
      </w:pPr>
    </w:p>
    <w:p w14:paraId="2702A5B9">
      <w:pPr>
        <w:rPr>
          <w:rFonts w:hint="default" w:ascii="Arial" w:hAnsi="Arial" w:cs="Arial"/>
          <w:highlight w:val="none"/>
          <w:lang w:val="en-IN"/>
        </w:rPr>
      </w:pPr>
      <w:r>
        <w:rPr>
          <w:rFonts w:hint="default" w:ascii="Arial" w:hAnsi="Arial" w:cs="Arial"/>
          <w:highlight w:val="none"/>
          <w:lang w:val="en-IN"/>
        </w:rPr>
        <w:t xml:space="preserve">Mengist, W., Soromessa, T. and Legese, G. (2020) ‘Method for Conducting Systematic Literature Review and Meta-Analysis for Environmental Science Research’, </w:t>
      </w:r>
      <w:r>
        <w:rPr>
          <w:rFonts w:hint="default" w:ascii="Arial" w:hAnsi="Arial" w:cs="Arial"/>
          <w:i/>
          <w:iCs/>
          <w:highlight w:val="none"/>
          <w:lang w:val="en-IN"/>
        </w:rPr>
        <w:t>MethodsX</w:t>
      </w:r>
      <w:r>
        <w:rPr>
          <w:rFonts w:hint="default" w:ascii="Arial" w:hAnsi="Arial" w:cs="Arial"/>
          <w:highlight w:val="none"/>
          <w:lang w:val="en-IN"/>
        </w:rPr>
        <w:t xml:space="preserve">, 7(7), pp. 1–11. </w:t>
      </w:r>
    </w:p>
    <w:p w14:paraId="5EF8A164">
      <w:pPr>
        <w:rPr>
          <w:rFonts w:hint="default" w:ascii="Arial" w:hAnsi="Arial" w:cs="Arial"/>
          <w:highlight w:val="none"/>
          <w:lang w:val="en-IN"/>
        </w:rPr>
      </w:pPr>
    </w:p>
    <w:p w14:paraId="2B9C72F7">
      <w:pPr>
        <w:rPr>
          <w:rFonts w:hint="default" w:ascii="Arial" w:hAnsi="Arial" w:cs="Arial"/>
          <w:highlight w:val="none"/>
          <w:lang w:val="en-IN"/>
        </w:rPr>
      </w:pPr>
      <w:r>
        <w:rPr>
          <w:rFonts w:hint="default" w:ascii="Arial" w:hAnsi="Arial" w:cs="Arial"/>
          <w:highlight w:val="none"/>
          <w:lang w:val="en-IN"/>
        </w:rPr>
        <w:t xml:space="preserve">Mozaffarian, D. (2016) ‘Dietary and policy priorities’, </w:t>
      </w:r>
      <w:r>
        <w:rPr>
          <w:rFonts w:hint="default" w:ascii="Arial" w:hAnsi="Arial" w:cs="Arial"/>
          <w:i/>
          <w:iCs/>
          <w:highlight w:val="none"/>
          <w:lang w:val="en-IN"/>
        </w:rPr>
        <w:t>Circulation</w:t>
      </w:r>
      <w:r>
        <w:rPr>
          <w:rFonts w:hint="default" w:ascii="Arial" w:hAnsi="Arial" w:cs="Arial"/>
          <w:highlight w:val="none"/>
          <w:lang w:val="en-IN"/>
        </w:rPr>
        <w:t>, 133(2), pp. 187–225.</w:t>
      </w:r>
    </w:p>
    <w:p w14:paraId="1EFE81B0">
      <w:pPr>
        <w:rPr>
          <w:rFonts w:hint="default" w:ascii="Arial" w:hAnsi="Arial" w:cs="Arial"/>
          <w:highlight w:val="none"/>
          <w:lang w:val="en-IN"/>
        </w:rPr>
      </w:pPr>
    </w:p>
    <w:p w14:paraId="2BF32F85">
      <w:pPr>
        <w:rPr>
          <w:rFonts w:hint="default" w:ascii="Arial" w:hAnsi="Arial" w:cs="Arial"/>
          <w:highlight w:val="none"/>
          <w:lang w:val="en-IN"/>
        </w:rPr>
      </w:pPr>
      <w:r>
        <w:rPr>
          <w:rFonts w:hint="default" w:ascii="Arial" w:hAnsi="Arial" w:cs="Arial"/>
          <w:highlight w:val="none"/>
          <w:lang w:val="en-IN"/>
        </w:rPr>
        <w:t xml:space="preserve">Muncan, B. (2018) ‘Cardiovascular disease in racial/ethnic minority populations’, </w:t>
      </w:r>
      <w:r>
        <w:rPr>
          <w:rFonts w:hint="default" w:ascii="Arial" w:hAnsi="Arial" w:cs="Arial"/>
          <w:i/>
          <w:iCs/>
          <w:highlight w:val="none"/>
          <w:lang w:val="en-IN"/>
        </w:rPr>
        <w:t>Public Health Reviews</w:t>
      </w:r>
      <w:r>
        <w:rPr>
          <w:rFonts w:hint="default" w:ascii="Arial" w:hAnsi="Arial" w:cs="Arial"/>
          <w:highlight w:val="none"/>
          <w:lang w:val="en-IN"/>
        </w:rPr>
        <w:t>, 39(1).</w:t>
      </w:r>
    </w:p>
    <w:p w14:paraId="5A94B372">
      <w:pPr>
        <w:rPr>
          <w:rFonts w:hint="default" w:ascii="Arial" w:hAnsi="Arial" w:cs="Arial"/>
          <w:highlight w:val="none"/>
          <w:lang w:val="en-IN"/>
        </w:rPr>
      </w:pPr>
    </w:p>
    <w:p w14:paraId="2B72C73A">
      <w:pPr>
        <w:rPr>
          <w:rFonts w:hint="default" w:ascii="Arial" w:hAnsi="Arial" w:cs="Arial"/>
          <w:highlight w:val="none"/>
          <w:lang w:val="en-IN"/>
        </w:rPr>
      </w:pPr>
      <w:r>
        <w:rPr>
          <w:rFonts w:hint="default" w:ascii="Arial" w:hAnsi="Arial" w:cs="Arial"/>
          <w:highlight w:val="none"/>
          <w:lang w:val="en-IN"/>
        </w:rPr>
        <w:t xml:space="preserve">Naeem, M. </w:t>
      </w:r>
      <w:r>
        <w:rPr>
          <w:rFonts w:hint="default" w:ascii="Arial" w:hAnsi="Arial" w:cs="Arial"/>
          <w:i/>
          <w:iCs/>
          <w:highlight w:val="none"/>
          <w:lang w:val="en-IN"/>
        </w:rPr>
        <w:t>et al.</w:t>
      </w:r>
      <w:r>
        <w:rPr>
          <w:rFonts w:hint="default" w:ascii="Arial" w:hAnsi="Arial" w:cs="Arial"/>
          <w:highlight w:val="none"/>
          <w:lang w:val="en-IN"/>
        </w:rPr>
        <w:t xml:space="preserve"> (2023) ‘Thematic analysis process’, </w:t>
      </w:r>
      <w:r>
        <w:rPr>
          <w:rFonts w:hint="default" w:ascii="Arial" w:hAnsi="Arial" w:cs="Arial"/>
          <w:i/>
          <w:iCs/>
          <w:highlight w:val="none"/>
          <w:lang w:val="en-IN"/>
        </w:rPr>
        <w:t>International Journal of Qualitative Methods</w:t>
      </w:r>
      <w:r>
        <w:rPr>
          <w:rFonts w:hint="default" w:ascii="Arial" w:hAnsi="Arial" w:cs="Arial"/>
          <w:highlight w:val="none"/>
          <w:lang w:val="en-IN"/>
        </w:rPr>
        <w:t>, 22.</w:t>
      </w:r>
    </w:p>
    <w:p w14:paraId="2FE1A644">
      <w:pPr>
        <w:rPr>
          <w:rFonts w:hint="default" w:ascii="Arial" w:hAnsi="Arial" w:cs="Arial"/>
          <w:highlight w:val="none"/>
          <w:lang w:val="en-IN"/>
        </w:rPr>
      </w:pPr>
    </w:p>
    <w:p w14:paraId="6D51C19A">
      <w:pPr>
        <w:rPr>
          <w:rFonts w:hint="default" w:ascii="Arial" w:hAnsi="Arial" w:cs="Arial"/>
          <w:highlight w:val="none"/>
          <w:lang w:val="en-IN"/>
        </w:rPr>
      </w:pPr>
      <w:r>
        <w:rPr>
          <w:rFonts w:hint="default" w:ascii="Arial" w:hAnsi="Arial" w:cs="Arial"/>
          <w:highlight w:val="none"/>
          <w:lang w:val="en-IN"/>
        </w:rPr>
        <w:t xml:space="preserve">Naeem, M., Ozuem, W., Howell, K. and Ranfagni, S. (2023) ‘A step-by-step Process of Thematic Analysis to Develop a Conceptual Model in Qualitative Research’, </w:t>
      </w:r>
      <w:r>
        <w:rPr>
          <w:rFonts w:hint="default" w:ascii="Arial" w:hAnsi="Arial" w:cs="Arial"/>
          <w:i/>
          <w:iCs/>
          <w:highlight w:val="none"/>
          <w:lang w:val="en-IN"/>
        </w:rPr>
        <w:t>International Journal of Qualitative Methods</w:t>
      </w:r>
      <w:r>
        <w:rPr>
          <w:rFonts w:hint="default" w:ascii="Arial" w:hAnsi="Arial" w:cs="Arial"/>
          <w:highlight w:val="none"/>
          <w:lang w:val="en-IN"/>
        </w:rPr>
        <w:t xml:space="preserve">, 22(1), pp. 1–18. </w:t>
      </w:r>
    </w:p>
    <w:p w14:paraId="702425E2">
      <w:pPr>
        <w:rPr>
          <w:rFonts w:hint="default" w:ascii="Arial" w:hAnsi="Arial" w:cs="Arial"/>
          <w:highlight w:val="none"/>
          <w:lang w:val="en-IN"/>
        </w:rPr>
      </w:pPr>
    </w:p>
    <w:p w14:paraId="747D205C">
      <w:pPr>
        <w:rPr>
          <w:rFonts w:hint="default" w:ascii="Arial" w:hAnsi="Arial" w:cs="Arial"/>
          <w:highlight w:val="none"/>
          <w:lang w:val="en-IN"/>
        </w:rPr>
      </w:pPr>
      <w:r>
        <w:rPr>
          <w:rFonts w:hint="default" w:ascii="Arial" w:hAnsi="Arial" w:cs="Arial"/>
          <w:highlight w:val="none"/>
          <w:lang w:val="en-IN"/>
        </w:rPr>
        <w:t xml:space="preserve">Ng, R. </w:t>
      </w:r>
      <w:r>
        <w:rPr>
          <w:rFonts w:hint="default" w:ascii="Arial" w:hAnsi="Arial" w:cs="Arial"/>
          <w:i/>
          <w:iCs/>
          <w:highlight w:val="none"/>
          <w:lang w:val="en-IN"/>
        </w:rPr>
        <w:t>et al.</w:t>
      </w:r>
      <w:r>
        <w:rPr>
          <w:rFonts w:hint="default" w:ascii="Arial" w:hAnsi="Arial" w:cs="Arial"/>
          <w:highlight w:val="none"/>
          <w:lang w:val="en-IN"/>
        </w:rPr>
        <w:t xml:space="preserve"> (2020) ‘Smoking, drinking, diet and physical activity’, </w:t>
      </w:r>
      <w:r>
        <w:rPr>
          <w:rFonts w:hint="default" w:ascii="Arial" w:hAnsi="Arial" w:cs="Arial"/>
          <w:i/>
          <w:iCs/>
          <w:highlight w:val="none"/>
          <w:lang w:val="en-IN"/>
        </w:rPr>
        <w:t>International Journal of Epidemiology</w:t>
      </w:r>
      <w:r>
        <w:rPr>
          <w:rFonts w:hint="default" w:ascii="Arial" w:hAnsi="Arial" w:cs="Arial"/>
          <w:highlight w:val="none"/>
          <w:lang w:val="en-IN"/>
        </w:rPr>
        <w:t>, 49(1), pp. 113–130.</w:t>
      </w:r>
    </w:p>
    <w:p w14:paraId="583DE25F">
      <w:pPr>
        <w:rPr>
          <w:rFonts w:hint="default" w:ascii="Arial" w:hAnsi="Arial" w:cs="Arial"/>
          <w:highlight w:val="none"/>
          <w:lang w:val="en-IN"/>
        </w:rPr>
      </w:pPr>
    </w:p>
    <w:p w14:paraId="7F4F6D84">
      <w:pPr>
        <w:rPr>
          <w:rFonts w:hint="default" w:ascii="Arial" w:hAnsi="Arial" w:cs="Arial"/>
          <w:highlight w:val="none"/>
          <w:lang w:val="en-IN"/>
        </w:rPr>
      </w:pPr>
      <w:r>
        <w:rPr>
          <w:rFonts w:hint="default" w:ascii="Arial" w:hAnsi="Arial" w:cs="Arial"/>
          <w:highlight w:val="none"/>
          <w:lang w:val="en-IN"/>
        </w:rPr>
        <w:t xml:space="preserve">NHS England (2025) </w:t>
      </w:r>
      <w:r>
        <w:rPr>
          <w:rFonts w:hint="default" w:ascii="Arial" w:hAnsi="Arial" w:cs="Arial"/>
          <w:i/>
          <w:iCs/>
          <w:highlight w:val="none"/>
          <w:lang w:val="en-IN"/>
        </w:rPr>
        <w:t>Cardiovascular disease (CVD)</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"https://www.england.nhs.uk" \t "_new" </w:instrText>
      </w:r>
      <w:r>
        <w:rPr>
          <w:rFonts w:hint="default" w:ascii="Arial" w:hAnsi="Arial" w:cs="Arial"/>
          <w:highlight w:val="none"/>
        </w:rPr>
        <w:fldChar w:fldCharType="separate"/>
      </w:r>
      <w:r>
        <w:rPr>
          <w:rStyle w:val="16"/>
          <w:rFonts w:hint="default" w:ascii="Arial" w:hAnsi="Arial" w:cs="Arial"/>
          <w:highlight w:val="none"/>
          <w:lang w:val="en-IN"/>
        </w:rPr>
        <w:t>https://www.england.nhs.uk</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11 March 2026).</w:t>
      </w:r>
    </w:p>
    <w:p w14:paraId="25296A26">
      <w:pPr>
        <w:rPr>
          <w:rFonts w:hint="default" w:ascii="Arial" w:hAnsi="Arial" w:cs="Arial"/>
          <w:highlight w:val="none"/>
          <w:lang w:val="en-IN"/>
        </w:rPr>
      </w:pPr>
      <w:r>
        <w:rPr>
          <w:rFonts w:hint="default" w:ascii="Arial" w:hAnsi="Arial" w:cs="Arial"/>
          <w:highlight w:val="none"/>
          <w:lang w:val="en-IN"/>
        </w:rPr>
        <w:t xml:space="preserve">Nystoriak, M.A. and Bhatnagar, A. (2018) ‘Cardiovascular effects of exercise’, </w:t>
      </w:r>
      <w:r>
        <w:rPr>
          <w:rFonts w:hint="default" w:ascii="Arial" w:hAnsi="Arial" w:cs="Arial"/>
          <w:i/>
          <w:iCs/>
          <w:highlight w:val="none"/>
          <w:lang w:val="en-IN"/>
        </w:rPr>
        <w:t>Frontiers in Cardiovascular Medicine</w:t>
      </w:r>
      <w:r>
        <w:rPr>
          <w:rFonts w:hint="default" w:ascii="Arial" w:hAnsi="Arial" w:cs="Arial"/>
          <w:highlight w:val="none"/>
          <w:lang w:val="en-IN"/>
        </w:rPr>
        <w:t>, 5.</w:t>
      </w:r>
    </w:p>
    <w:p w14:paraId="1A54D3E7">
      <w:pPr>
        <w:rPr>
          <w:rFonts w:hint="default" w:ascii="Arial" w:hAnsi="Arial" w:cs="Arial"/>
          <w:highlight w:val="none"/>
          <w:lang w:val="en-IN"/>
        </w:rPr>
      </w:pPr>
    </w:p>
    <w:p w14:paraId="40D9FDC2">
      <w:pPr>
        <w:rPr>
          <w:rFonts w:hint="default" w:ascii="Arial" w:hAnsi="Arial" w:cs="Arial"/>
          <w:highlight w:val="none"/>
          <w:lang w:val="en-IN"/>
        </w:rPr>
      </w:pPr>
      <w:r>
        <w:rPr>
          <w:rFonts w:hint="default" w:ascii="Arial" w:hAnsi="Arial" w:cs="Arial"/>
          <w:highlight w:val="none"/>
          <w:lang w:val="en-IN"/>
        </w:rPr>
        <w:t xml:space="preserve">Otaigboria, R.E. (2024) ‘Cultural models of illness’, </w:t>
      </w:r>
      <w:r>
        <w:rPr>
          <w:rFonts w:hint="default" w:ascii="Arial" w:hAnsi="Arial" w:cs="Arial"/>
          <w:i/>
          <w:iCs/>
          <w:highlight w:val="none"/>
          <w:lang w:val="en-IN"/>
        </w:rPr>
        <w:t>GSC Biological and Pharmaceutical Sciences</w:t>
      </w:r>
      <w:r>
        <w:rPr>
          <w:rFonts w:hint="default" w:ascii="Arial" w:hAnsi="Arial" w:cs="Arial"/>
          <w:highlight w:val="none"/>
          <w:lang w:val="en-IN"/>
        </w:rPr>
        <w:t>, 29(3), pp. 390–410.</w:t>
      </w:r>
    </w:p>
    <w:p w14:paraId="2D11C357">
      <w:pPr>
        <w:rPr>
          <w:rFonts w:hint="default" w:ascii="Arial" w:hAnsi="Arial" w:cs="Arial"/>
          <w:highlight w:val="none"/>
          <w:lang w:val="en-IN"/>
        </w:rPr>
      </w:pPr>
    </w:p>
    <w:p w14:paraId="05E8E009">
      <w:pPr>
        <w:rPr>
          <w:rFonts w:hint="default" w:ascii="Arial" w:hAnsi="Arial" w:cs="Arial"/>
          <w:highlight w:val="none"/>
          <w:lang w:val="en-IN"/>
        </w:rPr>
      </w:pPr>
      <w:r>
        <w:rPr>
          <w:rFonts w:hint="default" w:ascii="Arial" w:hAnsi="Arial" w:cs="Arial"/>
          <w:highlight w:val="none"/>
          <w:lang w:val="en-IN"/>
        </w:rPr>
        <w:t xml:space="preserve">Page, M.J., McKenzie, J.E., Bossuyt, P.M., Boutron, I., Hoffmann, T.C., Mulrow, C.D., Shamseer, L., Tetzlaff, J.M., Akl, E.A., Brennan, S.E., Chou, R., Glanville, J., Grimshaw, J.M., Hróbjartsson, A., Lalu, M.M., Li, T., Loder, E.W., Mayo-Wilson, E., McDonald, S. and McGuinness, L.A. (2021) ‘The PRISMA 2020 statement: An updated guideline for reporting systematic reviews’, </w:t>
      </w:r>
      <w:r>
        <w:rPr>
          <w:rFonts w:hint="default" w:ascii="Arial" w:hAnsi="Arial" w:cs="Arial"/>
          <w:i/>
          <w:iCs/>
          <w:highlight w:val="none"/>
          <w:lang w:val="en-IN"/>
        </w:rPr>
        <w:t>British Medical Journal</w:t>
      </w:r>
      <w:r>
        <w:rPr>
          <w:rFonts w:hint="default" w:ascii="Arial" w:hAnsi="Arial" w:cs="Arial"/>
          <w:highlight w:val="none"/>
          <w:lang w:val="en-IN"/>
        </w:rPr>
        <w:t xml:space="preserve">, 372(71). </w:t>
      </w:r>
    </w:p>
    <w:p w14:paraId="64D1C17D">
      <w:pPr>
        <w:rPr>
          <w:rFonts w:hint="default" w:ascii="Arial" w:hAnsi="Arial" w:cs="Arial"/>
          <w:highlight w:val="none"/>
          <w:lang w:val="en-IN"/>
        </w:rPr>
      </w:pPr>
    </w:p>
    <w:p w14:paraId="51E7639A">
      <w:pPr>
        <w:rPr>
          <w:rFonts w:hint="default" w:ascii="Arial" w:hAnsi="Arial" w:cs="Arial"/>
          <w:highlight w:val="none"/>
        </w:rPr>
      </w:pPr>
      <w:r>
        <w:rPr>
          <w:rFonts w:hint="default" w:ascii="Arial" w:hAnsi="Arial" w:cs="Arial"/>
          <w:highlight w:val="none"/>
        </w:rPr>
        <w:t>Palaniappan, L., Garg, A., Enas, E., Lewis, H., Bari, S., Gulati, M., ... and Gany, F. (2018) ‘South Asian cardiovascular disease &amp; cancer risk: genetics &amp; pathophysiology’, </w:t>
      </w:r>
      <w:r>
        <w:rPr>
          <w:rFonts w:hint="default" w:ascii="Arial" w:hAnsi="Arial" w:cs="Arial"/>
          <w:i/>
          <w:iCs/>
          <w:highlight w:val="none"/>
        </w:rPr>
        <w:t>Journal of Community Health</w:t>
      </w:r>
      <w:r>
        <w:rPr>
          <w:rFonts w:hint="default" w:ascii="Arial" w:hAnsi="Arial" w:cs="Arial"/>
          <w:highlight w:val="none"/>
        </w:rPr>
        <w:t>, </w:t>
      </w:r>
      <w:r>
        <w:rPr>
          <w:rFonts w:hint="default" w:ascii="Arial" w:hAnsi="Arial" w:cs="Arial"/>
          <w:i/>
          <w:iCs/>
          <w:highlight w:val="none"/>
        </w:rPr>
        <w:t>43</w:t>
      </w:r>
      <w:r>
        <w:rPr>
          <w:rFonts w:hint="default" w:ascii="Arial" w:hAnsi="Arial" w:cs="Arial"/>
          <w:highlight w:val="none"/>
        </w:rPr>
        <w:t>(6), 1100-1114.</w:t>
      </w:r>
    </w:p>
    <w:p w14:paraId="645CF57C">
      <w:pPr>
        <w:rPr>
          <w:rFonts w:hint="default" w:ascii="Arial" w:hAnsi="Arial" w:cs="Arial"/>
          <w:highlight w:val="none"/>
        </w:rPr>
      </w:pPr>
    </w:p>
    <w:p w14:paraId="34E4FCD6">
      <w:pPr>
        <w:rPr>
          <w:rFonts w:hint="default" w:ascii="Arial" w:hAnsi="Arial" w:cs="Arial"/>
          <w:highlight w:val="none"/>
          <w:lang w:val="en-IN"/>
        </w:rPr>
      </w:pPr>
      <w:r>
        <w:rPr>
          <w:rFonts w:hint="default" w:ascii="Arial" w:hAnsi="Arial" w:cs="Arial"/>
          <w:highlight w:val="none"/>
          <w:lang w:val="en-IN"/>
        </w:rPr>
        <w:t>Patel, A.Y. (2024) Managing type 2 diabetes in the South Asian population in the United Kingdom.</w:t>
      </w:r>
    </w:p>
    <w:p w14:paraId="792B13DC">
      <w:pPr>
        <w:rPr>
          <w:rFonts w:hint="default" w:ascii="Arial" w:hAnsi="Arial" w:cs="Arial"/>
          <w:highlight w:val="none"/>
          <w:lang w:val="en-IN"/>
        </w:rPr>
      </w:pPr>
    </w:p>
    <w:p w14:paraId="4FC47B2D">
      <w:pPr>
        <w:rPr>
          <w:rFonts w:hint="default" w:ascii="Arial" w:hAnsi="Arial" w:cs="Arial"/>
          <w:highlight w:val="none"/>
          <w:lang w:val="en-IN"/>
        </w:rPr>
      </w:pPr>
      <w:r>
        <w:rPr>
          <w:rFonts w:hint="default" w:ascii="Arial" w:hAnsi="Arial" w:cs="Arial"/>
          <w:highlight w:val="none"/>
          <w:lang w:val="en-IN"/>
        </w:rPr>
        <w:t xml:space="preserve">Pati, D. and Lorusso, L.N. (2018) ‘How to write a systematic review’, </w:t>
      </w:r>
      <w:r>
        <w:rPr>
          <w:rFonts w:hint="default" w:ascii="Arial" w:hAnsi="Arial" w:cs="Arial"/>
          <w:i/>
          <w:iCs/>
          <w:highlight w:val="none"/>
          <w:lang w:val="en-IN"/>
        </w:rPr>
        <w:t>HERD</w:t>
      </w:r>
      <w:r>
        <w:rPr>
          <w:rFonts w:hint="default" w:ascii="Arial" w:hAnsi="Arial" w:cs="Arial"/>
          <w:highlight w:val="none"/>
          <w:lang w:val="en-IN"/>
        </w:rPr>
        <w:t>, 11(1).</w:t>
      </w:r>
    </w:p>
    <w:p w14:paraId="1C8BE9B8">
      <w:pPr>
        <w:rPr>
          <w:rFonts w:hint="default" w:ascii="Arial" w:hAnsi="Arial" w:cs="Arial"/>
          <w:highlight w:val="none"/>
          <w:lang w:val="en-IN"/>
        </w:rPr>
      </w:pPr>
    </w:p>
    <w:p w14:paraId="3FB65A98">
      <w:pPr>
        <w:rPr>
          <w:rFonts w:hint="default" w:ascii="Arial" w:hAnsi="Arial" w:cs="Arial"/>
          <w:highlight w:val="none"/>
          <w:lang w:val="en-IN"/>
        </w:rPr>
      </w:pPr>
      <w:r>
        <w:rPr>
          <w:rFonts w:hint="default" w:ascii="Arial" w:hAnsi="Arial" w:cs="Arial"/>
          <w:highlight w:val="none"/>
          <w:lang w:val="en-IN"/>
        </w:rPr>
        <w:t xml:space="preserve">Pedamallu, H. </w:t>
      </w:r>
      <w:r>
        <w:rPr>
          <w:rFonts w:hint="default" w:ascii="Arial" w:hAnsi="Arial" w:cs="Arial"/>
          <w:i/>
          <w:iCs/>
          <w:highlight w:val="none"/>
          <w:lang w:val="en-IN"/>
        </w:rPr>
        <w:t>et al.</w:t>
      </w:r>
      <w:r>
        <w:rPr>
          <w:rFonts w:hint="default" w:ascii="Arial" w:hAnsi="Arial" w:cs="Arial"/>
          <w:highlight w:val="none"/>
          <w:lang w:val="en-IN"/>
        </w:rPr>
        <w:t xml:space="preserve"> (2026) ‘Prevalence and trends in cardiovascular risk factors’, </w:t>
      </w:r>
      <w:r>
        <w:rPr>
          <w:rFonts w:hint="default" w:ascii="Arial" w:hAnsi="Arial" w:cs="Arial"/>
          <w:i/>
          <w:iCs/>
          <w:highlight w:val="none"/>
          <w:lang w:val="en-IN"/>
        </w:rPr>
        <w:t>Journal of the American Heart Association</w:t>
      </w:r>
      <w:r>
        <w:rPr>
          <w:rFonts w:hint="default" w:ascii="Arial" w:hAnsi="Arial" w:cs="Arial"/>
          <w:highlight w:val="none"/>
          <w:lang w:val="en-IN"/>
        </w:rPr>
        <w:t>, 15(4), p. e41221.</w:t>
      </w:r>
    </w:p>
    <w:p w14:paraId="7BECED72">
      <w:pPr>
        <w:rPr>
          <w:rFonts w:hint="default" w:ascii="Arial" w:hAnsi="Arial" w:cs="Arial"/>
          <w:highlight w:val="none"/>
          <w:lang w:val="en-IN"/>
        </w:rPr>
      </w:pPr>
    </w:p>
    <w:p w14:paraId="51BE4C9D">
      <w:pPr>
        <w:rPr>
          <w:rFonts w:hint="default" w:ascii="Arial" w:hAnsi="Arial" w:cs="Arial"/>
          <w:highlight w:val="none"/>
          <w:lang w:val="en-IN"/>
        </w:rPr>
      </w:pPr>
      <w:r>
        <w:rPr>
          <w:rFonts w:hint="default" w:ascii="Arial" w:hAnsi="Arial" w:cs="Arial"/>
          <w:highlight w:val="none"/>
          <w:lang w:val="en-IN"/>
        </w:rPr>
        <w:t xml:space="preserve">Popovic, D. and Lavie, C.J. (2023) ‘Stress, cardiovascular diseases and exercise’, </w:t>
      </w:r>
      <w:r>
        <w:rPr>
          <w:rFonts w:hint="default" w:ascii="Arial" w:hAnsi="Arial" w:cs="Arial"/>
          <w:i/>
          <w:iCs/>
          <w:highlight w:val="none"/>
          <w:lang w:val="en-IN"/>
        </w:rPr>
        <w:t>Heart and Mind</w:t>
      </w:r>
      <w:r>
        <w:rPr>
          <w:rFonts w:hint="default" w:ascii="Arial" w:hAnsi="Arial" w:cs="Arial"/>
          <w:highlight w:val="none"/>
          <w:lang w:val="en-IN"/>
        </w:rPr>
        <w:t>, 7(1), pp. 18–24.</w:t>
      </w:r>
    </w:p>
    <w:p w14:paraId="037509B2">
      <w:pPr>
        <w:rPr>
          <w:rFonts w:hint="default" w:ascii="Arial" w:hAnsi="Arial" w:cs="Arial"/>
          <w:highlight w:val="none"/>
          <w:lang w:val="en-IN"/>
        </w:rPr>
      </w:pPr>
    </w:p>
    <w:p w14:paraId="0C8E033F">
      <w:pPr>
        <w:rPr>
          <w:rFonts w:hint="default" w:ascii="Arial" w:hAnsi="Arial" w:cs="Arial"/>
          <w:highlight w:val="none"/>
          <w:lang w:val="en-IN"/>
        </w:rPr>
      </w:pPr>
      <w:r>
        <w:rPr>
          <w:rFonts w:hint="default" w:ascii="Arial" w:hAnsi="Arial" w:cs="Arial"/>
          <w:highlight w:val="none"/>
          <w:lang w:val="en-IN"/>
        </w:rPr>
        <w:t xml:space="preserve">Rahaman, T. </w:t>
      </w:r>
      <w:r>
        <w:rPr>
          <w:rFonts w:hint="default" w:ascii="Arial" w:hAnsi="Arial" w:cs="Arial"/>
          <w:i/>
          <w:iCs/>
          <w:highlight w:val="none"/>
          <w:lang w:val="en-IN"/>
        </w:rPr>
        <w:t>et al.</w:t>
      </w:r>
      <w:r>
        <w:rPr>
          <w:rFonts w:hint="default" w:ascii="Arial" w:hAnsi="Arial" w:cs="Arial"/>
          <w:highlight w:val="none"/>
          <w:lang w:val="en-IN"/>
        </w:rPr>
        <w:t xml:space="preserve"> (2025) ‘Sex disparities in ischemic heart disease in South Asia’, </w:t>
      </w:r>
      <w:r>
        <w:rPr>
          <w:rFonts w:hint="default" w:ascii="Arial" w:hAnsi="Arial" w:cs="Arial"/>
          <w:i/>
          <w:iCs/>
          <w:highlight w:val="none"/>
          <w:lang w:val="en-IN"/>
        </w:rPr>
        <w:t>JACC: Asia</w:t>
      </w:r>
      <w:r>
        <w:rPr>
          <w:rFonts w:hint="default" w:ascii="Arial" w:hAnsi="Arial" w:cs="Arial"/>
          <w:highlight w:val="none"/>
          <w:lang w:val="en-IN"/>
        </w:rPr>
        <w:t>.</w:t>
      </w:r>
    </w:p>
    <w:p w14:paraId="5655674A">
      <w:pPr>
        <w:rPr>
          <w:rFonts w:hint="default" w:ascii="Arial" w:hAnsi="Arial" w:cs="Arial"/>
          <w:highlight w:val="none"/>
          <w:lang w:val="en-IN"/>
        </w:rPr>
      </w:pPr>
    </w:p>
    <w:p w14:paraId="3F1F440E">
      <w:pPr>
        <w:rPr>
          <w:rFonts w:hint="default" w:ascii="Arial" w:hAnsi="Arial" w:cs="Arial"/>
          <w:highlight w:val="none"/>
          <w:lang w:val="en-IN"/>
        </w:rPr>
      </w:pPr>
      <w:r>
        <w:rPr>
          <w:rFonts w:hint="default" w:ascii="Arial" w:hAnsi="Arial" w:cs="Arial"/>
          <w:highlight w:val="none"/>
          <w:lang w:val="en-IN"/>
        </w:rPr>
        <w:t xml:space="preserve">Raheem, A. </w:t>
      </w:r>
      <w:r>
        <w:rPr>
          <w:rFonts w:hint="default" w:ascii="Arial" w:hAnsi="Arial" w:cs="Arial"/>
          <w:i/>
          <w:iCs/>
          <w:highlight w:val="none"/>
          <w:lang w:val="en-IN"/>
        </w:rPr>
        <w:t>et al.</w:t>
      </w:r>
      <w:r>
        <w:rPr>
          <w:rFonts w:hint="default" w:ascii="Arial" w:hAnsi="Arial" w:cs="Arial"/>
          <w:highlight w:val="none"/>
          <w:lang w:val="en-IN"/>
        </w:rPr>
        <w:t xml:space="preserve"> (2022) ‘Burden of cardiovascular diseases’, </w:t>
      </w:r>
      <w:r>
        <w:rPr>
          <w:rFonts w:hint="default" w:ascii="Arial" w:hAnsi="Arial" w:cs="Arial"/>
          <w:i/>
          <w:iCs/>
          <w:highlight w:val="none"/>
          <w:lang w:val="en-IN"/>
        </w:rPr>
        <w:t>Pakistan Heart Journal</w:t>
      </w:r>
      <w:r>
        <w:rPr>
          <w:rFonts w:hint="default" w:ascii="Arial" w:hAnsi="Arial" w:cs="Arial"/>
          <w:highlight w:val="none"/>
          <w:lang w:val="en-IN"/>
        </w:rPr>
        <w:t>, 55(1), pp. 15–21.</w:t>
      </w:r>
    </w:p>
    <w:p w14:paraId="4A4E718F">
      <w:pPr>
        <w:rPr>
          <w:rFonts w:hint="default" w:ascii="Arial" w:hAnsi="Arial" w:cs="Arial"/>
          <w:highlight w:val="none"/>
          <w:lang w:val="en-IN"/>
        </w:rPr>
      </w:pPr>
    </w:p>
    <w:p w14:paraId="2D82A175">
      <w:pPr>
        <w:rPr>
          <w:rFonts w:hint="default" w:ascii="Arial" w:hAnsi="Arial" w:cs="Arial"/>
          <w:highlight w:val="none"/>
          <w:lang w:val="en-IN"/>
        </w:rPr>
      </w:pPr>
      <w:r>
        <w:rPr>
          <w:rFonts w:hint="default" w:ascii="Arial" w:hAnsi="Arial" w:cs="Arial"/>
          <w:highlight w:val="none"/>
          <w:lang w:val="en-IN"/>
        </w:rPr>
        <w:t xml:space="preserve">Raleigh, V. (2023) </w:t>
      </w:r>
      <w:r>
        <w:rPr>
          <w:rFonts w:hint="default" w:ascii="Arial" w:hAnsi="Arial" w:cs="Arial"/>
          <w:i/>
          <w:iCs/>
          <w:highlight w:val="none"/>
          <w:lang w:val="en-IN"/>
        </w:rPr>
        <w:t>The health of people from ethnic minority groups in England</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"https://www.kingsfund.org.uk" \t "_new" </w:instrText>
      </w:r>
      <w:r>
        <w:rPr>
          <w:rFonts w:hint="default" w:ascii="Arial" w:hAnsi="Arial" w:cs="Arial"/>
          <w:highlight w:val="none"/>
        </w:rPr>
        <w:fldChar w:fldCharType="separate"/>
      </w:r>
      <w:r>
        <w:rPr>
          <w:rStyle w:val="16"/>
          <w:rFonts w:hint="default" w:ascii="Arial" w:hAnsi="Arial" w:cs="Arial"/>
          <w:highlight w:val="none"/>
          <w:lang w:val="en-IN"/>
        </w:rPr>
        <w:t>https://www.kingsfund.org.uk</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9 March 2026).</w:t>
      </w:r>
    </w:p>
    <w:p w14:paraId="09DA5C30">
      <w:pPr>
        <w:rPr>
          <w:rFonts w:hint="default" w:ascii="Arial" w:hAnsi="Arial" w:cs="Arial"/>
          <w:highlight w:val="none"/>
          <w:lang w:val="en-IN"/>
        </w:rPr>
      </w:pPr>
    </w:p>
    <w:p w14:paraId="0778CD37">
      <w:pPr>
        <w:rPr>
          <w:rFonts w:hint="default" w:ascii="Arial" w:hAnsi="Arial" w:cs="Arial"/>
          <w:highlight w:val="none"/>
          <w:lang w:val="en-IN"/>
        </w:rPr>
      </w:pPr>
      <w:r>
        <w:rPr>
          <w:rFonts w:hint="default" w:ascii="Arial" w:hAnsi="Arial" w:cs="Arial"/>
          <w:highlight w:val="none"/>
          <w:lang w:val="en-IN"/>
        </w:rPr>
        <w:t xml:space="preserve">Razieh, C. </w:t>
      </w:r>
      <w:r>
        <w:rPr>
          <w:rFonts w:hint="default" w:ascii="Arial" w:hAnsi="Arial" w:cs="Arial"/>
          <w:i/>
          <w:iCs/>
          <w:highlight w:val="none"/>
          <w:lang w:val="en-IN"/>
        </w:rPr>
        <w:t>et al.</w:t>
      </w:r>
      <w:r>
        <w:rPr>
          <w:rFonts w:hint="default" w:ascii="Arial" w:hAnsi="Arial" w:cs="Arial"/>
          <w:highlight w:val="none"/>
          <w:lang w:val="en-IN"/>
        </w:rPr>
        <w:t xml:space="preserve"> (2022) ‘Differences in cardiovascular disease risk’, </w:t>
      </w:r>
      <w:r>
        <w:rPr>
          <w:rFonts w:hint="default" w:ascii="Arial" w:hAnsi="Arial" w:cs="Arial"/>
          <w:i/>
          <w:iCs/>
          <w:highlight w:val="none"/>
          <w:lang w:val="en-IN"/>
        </w:rPr>
        <w:t>Nutrition, Metabolism and Cardiovascular Diseases</w:t>
      </w:r>
      <w:r>
        <w:rPr>
          <w:rFonts w:hint="default" w:ascii="Arial" w:hAnsi="Arial" w:cs="Arial"/>
          <w:highlight w:val="none"/>
          <w:lang w:val="en-IN"/>
        </w:rPr>
        <w:t>, 32(11), pp. 2594–2602.</w:t>
      </w:r>
    </w:p>
    <w:p w14:paraId="5D8107FC">
      <w:pPr>
        <w:rPr>
          <w:rFonts w:hint="default" w:ascii="Arial" w:hAnsi="Arial" w:cs="Arial"/>
          <w:highlight w:val="none"/>
          <w:lang w:val="en-IN"/>
        </w:rPr>
      </w:pPr>
    </w:p>
    <w:p w14:paraId="406563F0">
      <w:pPr>
        <w:rPr>
          <w:rFonts w:hint="default" w:ascii="Arial" w:hAnsi="Arial" w:cs="Arial"/>
          <w:highlight w:val="none"/>
          <w:lang w:val="en-IN"/>
        </w:rPr>
      </w:pPr>
      <w:r>
        <w:rPr>
          <w:rFonts w:hint="default" w:ascii="Arial" w:hAnsi="Arial" w:cs="Arial"/>
          <w:highlight w:val="none"/>
          <w:lang w:val="en-IN"/>
        </w:rPr>
        <w:t xml:space="preserve">Rethlefsen, M.L. and Page, M.J. (2022) ‘PRISMA 2020’, </w:t>
      </w:r>
      <w:r>
        <w:rPr>
          <w:rFonts w:hint="default" w:ascii="Arial" w:hAnsi="Arial" w:cs="Arial"/>
          <w:i/>
          <w:iCs/>
          <w:highlight w:val="none"/>
          <w:lang w:val="en-IN"/>
        </w:rPr>
        <w:t>Journal of the Medical Library Association</w:t>
      </w:r>
      <w:r>
        <w:rPr>
          <w:rFonts w:hint="default" w:ascii="Arial" w:hAnsi="Arial" w:cs="Arial"/>
          <w:highlight w:val="none"/>
          <w:lang w:val="en-IN"/>
        </w:rPr>
        <w:t>, 110(2), pp. 253–257.</w:t>
      </w:r>
    </w:p>
    <w:p w14:paraId="0A209C97">
      <w:pPr>
        <w:rPr>
          <w:rFonts w:hint="default" w:ascii="Arial" w:hAnsi="Arial" w:cs="Arial"/>
          <w:highlight w:val="none"/>
          <w:lang w:val="en-IN"/>
        </w:rPr>
      </w:pPr>
    </w:p>
    <w:p w14:paraId="0CB7C76E">
      <w:pPr>
        <w:rPr>
          <w:rFonts w:hint="default" w:ascii="Arial" w:hAnsi="Arial" w:cs="Arial"/>
          <w:highlight w:val="none"/>
          <w:lang w:val="en-IN"/>
        </w:rPr>
      </w:pPr>
      <w:r>
        <w:rPr>
          <w:rFonts w:hint="default" w:ascii="Arial" w:hAnsi="Arial" w:cs="Arial"/>
          <w:highlight w:val="none"/>
          <w:lang w:val="en-IN"/>
        </w:rPr>
        <w:t xml:space="preserve">Rosenthal, T. </w:t>
      </w:r>
      <w:r>
        <w:rPr>
          <w:rFonts w:hint="default" w:ascii="Arial" w:hAnsi="Arial" w:cs="Arial"/>
          <w:i/>
          <w:iCs/>
          <w:highlight w:val="none"/>
          <w:lang w:val="en-IN"/>
        </w:rPr>
        <w:t>et al.</w:t>
      </w:r>
      <w:r>
        <w:rPr>
          <w:rFonts w:hint="default" w:ascii="Arial" w:hAnsi="Arial" w:cs="Arial"/>
          <w:highlight w:val="none"/>
          <w:lang w:val="en-IN"/>
        </w:rPr>
        <w:t xml:space="preserve"> (2022) ‘Migrating populations and health’, </w:t>
      </w:r>
      <w:r>
        <w:rPr>
          <w:rFonts w:hint="default" w:ascii="Arial" w:hAnsi="Arial" w:cs="Arial"/>
          <w:i/>
          <w:iCs/>
          <w:highlight w:val="none"/>
          <w:lang w:val="en-IN"/>
        </w:rPr>
        <w:t>Current Hypertension Reports</w:t>
      </w:r>
      <w:r>
        <w:rPr>
          <w:rFonts w:hint="default" w:ascii="Arial" w:hAnsi="Arial" w:cs="Arial"/>
          <w:highlight w:val="none"/>
          <w:lang w:val="en-IN"/>
        </w:rPr>
        <w:t>, 24(9), pp. 325–340.</w:t>
      </w:r>
    </w:p>
    <w:p w14:paraId="1F49AB30">
      <w:pPr>
        <w:rPr>
          <w:rFonts w:hint="default" w:ascii="Arial" w:hAnsi="Arial" w:cs="Arial"/>
          <w:highlight w:val="none"/>
          <w:lang w:val="en-IN"/>
        </w:rPr>
      </w:pPr>
    </w:p>
    <w:p w14:paraId="016A8741">
      <w:pPr>
        <w:rPr>
          <w:rFonts w:hint="default" w:ascii="Arial" w:hAnsi="Arial" w:cs="Arial"/>
          <w:highlight w:val="none"/>
          <w:lang w:val="en-IN"/>
        </w:rPr>
      </w:pPr>
      <w:r>
        <w:rPr>
          <w:rFonts w:hint="default" w:ascii="Arial" w:hAnsi="Arial" w:cs="Arial"/>
          <w:highlight w:val="none"/>
          <w:lang w:val="en-IN"/>
        </w:rPr>
        <w:t xml:space="preserve">Santhanam, S., Ravindran, V. and Wincup, C. (2025) ‘Critical appraisal of an original research article’, </w:t>
      </w:r>
      <w:r>
        <w:rPr>
          <w:rFonts w:hint="default" w:ascii="Arial" w:hAnsi="Arial" w:cs="Arial"/>
          <w:i/>
          <w:iCs/>
          <w:highlight w:val="none"/>
          <w:lang w:val="en-IN"/>
        </w:rPr>
        <w:t>The Journal of the Royal College of Physicians of Edinburgh</w:t>
      </w:r>
      <w:r>
        <w:rPr>
          <w:rFonts w:hint="default" w:ascii="Arial" w:hAnsi="Arial" w:cs="Arial"/>
          <w:highlight w:val="none"/>
          <w:lang w:val="en-IN"/>
        </w:rPr>
        <w:t xml:space="preserve">, 55(4), pp. 1–11. </w:t>
      </w:r>
    </w:p>
    <w:p w14:paraId="2B3F854E">
      <w:pPr>
        <w:rPr>
          <w:rFonts w:hint="default" w:ascii="Arial" w:hAnsi="Arial" w:cs="Arial"/>
          <w:highlight w:val="none"/>
          <w:lang w:val="en-IN"/>
        </w:rPr>
      </w:pPr>
    </w:p>
    <w:p w14:paraId="6ED3763E">
      <w:pPr>
        <w:rPr>
          <w:rFonts w:hint="default" w:ascii="Arial" w:hAnsi="Arial" w:cs="Arial"/>
          <w:highlight w:val="none"/>
          <w:lang w:val="en-IN"/>
        </w:rPr>
      </w:pPr>
      <w:r>
        <w:rPr>
          <w:rFonts w:hint="default" w:ascii="Arial" w:hAnsi="Arial" w:cs="Arial"/>
          <w:highlight w:val="none"/>
          <w:lang w:val="en-IN"/>
        </w:rPr>
        <w:t xml:space="preserve">Schmidt, L., Finnerty, N., Elmore, R., Olorisade, B.K., Thomas, J. and Julian (2025) ‘Data extraction methods for systematic review (semi)automation: Update of a living systematic review’, </w:t>
      </w:r>
      <w:r>
        <w:rPr>
          <w:rFonts w:hint="default" w:ascii="Arial" w:hAnsi="Arial" w:cs="Arial"/>
          <w:i/>
          <w:iCs/>
          <w:highlight w:val="none"/>
          <w:lang w:val="en-IN"/>
        </w:rPr>
        <w:t>F1000Research</w:t>
      </w:r>
      <w:r>
        <w:rPr>
          <w:rFonts w:hint="default" w:ascii="Arial" w:hAnsi="Arial" w:cs="Arial"/>
          <w:highlight w:val="none"/>
          <w:lang w:val="en-IN"/>
        </w:rPr>
        <w:t xml:space="preserve">, 10, pp. 401–401. </w:t>
      </w:r>
    </w:p>
    <w:p w14:paraId="66ACD356">
      <w:pPr>
        <w:rPr>
          <w:rFonts w:hint="default" w:ascii="Arial" w:hAnsi="Arial" w:cs="Arial"/>
          <w:highlight w:val="none"/>
          <w:lang w:val="en-IN"/>
        </w:rPr>
      </w:pPr>
    </w:p>
    <w:p w14:paraId="416C1A1E">
      <w:pPr>
        <w:rPr>
          <w:rFonts w:hint="default" w:ascii="Arial" w:hAnsi="Arial" w:cs="Arial"/>
          <w:highlight w:val="none"/>
          <w:lang w:val="en-IN"/>
        </w:rPr>
      </w:pPr>
      <w:r>
        <w:rPr>
          <w:rFonts w:hint="default" w:ascii="Arial" w:hAnsi="Arial" w:cs="Arial"/>
          <w:highlight w:val="none"/>
          <w:lang w:val="en-IN"/>
        </w:rPr>
        <w:t xml:space="preserve">Shaheen, N. </w:t>
      </w:r>
      <w:r>
        <w:rPr>
          <w:rFonts w:hint="default" w:ascii="Arial" w:hAnsi="Arial" w:cs="Arial"/>
          <w:i/>
          <w:iCs/>
          <w:highlight w:val="none"/>
          <w:lang w:val="en-IN"/>
        </w:rPr>
        <w:t>et al.</w:t>
      </w:r>
      <w:r>
        <w:rPr>
          <w:rFonts w:hint="default" w:ascii="Arial" w:hAnsi="Arial" w:cs="Arial"/>
          <w:highlight w:val="none"/>
          <w:lang w:val="en-IN"/>
        </w:rPr>
        <w:t xml:space="preserve"> (2023) ‘Appraising systematic reviews’, </w:t>
      </w:r>
      <w:r>
        <w:rPr>
          <w:rFonts w:hint="default" w:ascii="Arial" w:hAnsi="Arial" w:cs="Arial"/>
          <w:i/>
          <w:iCs/>
          <w:highlight w:val="none"/>
          <w:lang w:val="en-IN"/>
        </w:rPr>
        <w:t>Frontiers in Research Metrics and Analytics</w:t>
      </w:r>
      <w:r>
        <w:rPr>
          <w:rFonts w:hint="default" w:ascii="Arial" w:hAnsi="Arial" w:cs="Arial"/>
          <w:highlight w:val="none"/>
          <w:lang w:val="en-IN"/>
        </w:rPr>
        <w:t>, 8.</w:t>
      </w:r>
    </w:p>
    <w:p w14:paraId="2EC116A6">
      <w:pPr>
        <w:rPr>
          <w:rFonts w:hint="default" w:ascii="Arial" w:hAnsi="Arial" w:cs="Arial"/>
          <w:highlight w:val="none"/>
          <w:lang w:val="en-IN"/>
        </w:rPr>
      </w:pPr>
    </w:p>
    <w:p w14:paraId="6B32BDFF">
      <w:pPr>
        <w:rPr>
          <w:rFonts w:hint="default" w:ascii="Arial" w:hAnsi="Arial" w:cs="Arial"/>
          <w:highlight w:val="none"/>
          <w:lang w:val="en-IN"/>
        </w:rPr>
      </w:pPr>
      <w:r>
        <w:rPr>
          <w:rFonts w:hint="default" w:ascii="Arial" w:hAnsi="Arial" w:cs="Arial"/>
          <w:highlight w:val="none"/>
          <w:lang w:val="en-IN"/>
        </w:rPr>
        <w:t xml:space="preserve">Shrivastava, S.R. and Shrivastava, P.S. (2023) ‘Data collection in qualitative research’, </w:t>
      </w:r>
      <w:r>
        <w:rPr>
          <w:rFonts w:hint="default" w:ascii="Arial" w:hAnsi="Arial" w:cs="Arial"/>
          <w:i/>
          <w:iCs/>
          <w:highlight w:val="none"/>
          <w:lang w:val="en-IN"/>
        </w:rPr>
        <w:t>Medical Journal of Dr DY Patil Vidyapeeth</w:t>
      </w:r>
      <w:r>
        <w:rPr>
          <w:rFonts w:hint="default" w:ascii="Arial" w:hAnsi="Arial" w:cs="Arial"/>
          <w:highlight w:val="none"/>
          <w:lang w:val="en-IN"/>
        </w:rPr>
        <w:t>, 16(3), pp. 443–445.</w:t>
      </w:r>
    </w:p>
    <w:p w14:paraId="59E286F5">
      <w:pPr>
        <w:rPr>
          <w:rFonts w:hint="default" w:ascii="Arial" w:hAnsi="Arial" w:cs="Arial"/>
          <w:highlight w:val="none"/>
          <w:lang w:val="en-IN"/>
        </w:rPr>
      </w:pPr>
    </w:p>
    <w:p w14:paraId="14AFDC52">
      <w:pPr>
        <w:rPr>
          <w:rFonts w:hint="default" w:ascii="Arial" w:hAnsi="Arial" w:cs="Arial"/>
          <w:highlight w:val="none"/>
          <w:lang w:val="en-IN"/>
        </w:rPr>
      </w:pPr>
      <w:r>
        <w:rPr>
          <w:rFonts w:hint="default" w:ascii="Arial" w:hAnsi="Arial" w:cs="Arial"/>
          <w:highlight w:val="none"/>
          <w:lang w:val="en-IN"/>
        </w:rPr>
        <w:t xml:space="preserve">Singh, J. </w:t>
      </w:r>
      <w:r>
        <w:rPr>
          <w:rFonts w:hint="default" w:ascii="Arial" w:hAnsi="Arial" w:cs="Arial"/>
          <w:i/>
          <w:iCs/>
          <w:highlight w:val="none"/>
          <w:lang w:val="en-IN"/>
        </w:rPr>
        <w:t>et al.</w:t>
      </w:r>
      <w:r>
        <w:rPr>
          <w:rFonts w:hint="default" w:ascii="Arial" w:hAnsi="Arial" w:cs="Arial"/>
          <w:highlight w:val="none"/>
          <w:lang w:val="en-IN"/>
        </w:rPr>
        <w:t xml:space="preserve"> (2025) ‘Knowledge, attitudes and behaviours towards alcohol consumption’, </w:t>
      </w:r>
      <w:r>
        <w:rPr>
          <w:rFonts w:hint="default" w:ascii="Arial" w:hAnsi="Arial" w:cs="Arial"/>
          <w:i/>
          <w:iCs/>
          <w:highlight w:val="none"/>
          <w:lang w:val="en-IN"/>
        </w:rPr>
        <w:t>[Journal not specified]</w:t>
      </w:r>
      <w:r>
        <w:rPr>
          <w:rFonts w:hint="default" w:ascii="Arial" w:hAnsi="Arial" w:cs="Arial"/>
          <w:highlight w:val="none"/>
          <w:lang w:val="en-IN"/>
        </w:rPr>
        <w:t>.</w:t>
      </w:r>
    </w:p>
    <w:p w14:paraId="244B6360">
      <w:pPr>
        <w:rPr>
          <w:rFonts w:hint="default" w:ascii="Arial" w:hAnsi="Arial" w:cs="Arial"/>
          <w:highlight w:val="none"/>
          <w:lang w:val="en-IN"/>
        </w:rPr>
      </w:pPr>
    </w:p>
    <w:p w14:paraId="39A3F2DB">
      <w:pPr>
        <w:rPr>
          <w:rFonts w:hint="default" w:ascii="Arial" w:hAnsi="Arial" w:cs="Arial"/>
          <w:highlight w:val="none"/>
          <w:lang w:val="en-IN"/>
        </w:rPr>
      </w:pPr>
      <w:r>
        <w:rPr>
          <w:rFonts w:hint="default" w:ascii="Arial" w:hAnsi="Arial" w:cs="Arial"/>
          <w:highlight w:val="none"/>
          <w:lang w:val="en-IN"/>
        </w:rPr>
        <w:t xml:space="preserve">Sohrabi, C., Franchi, T., Mathew, G., Kerwan, A., Nicola, M., Griffin, M., Agha, M. and Agha, R. (2021) ‘PRISMA 2020 statement: What’s New and the Importance of Reporting Guidelines’, </w:t>
      </w:r>
      <w:r>
        <w:rPr>
          <w:rFonts w:hint="default" w:ascii="Arial" w:hAnsi="Arial" w:cs="Arial"/>
          <w:i/>
          <w:iCs/>
          <w:highlight w:val="none"/>
          <w:lang w:val="en-IN"/>
        </w:rPr>
        <w:t>International Journal of Surgery</w:t>
      </w:r>
      <w:r>
        <w:rPr>
          <w:rFonts w:hint="default" w:ascii="Arial" w:hAnsi="Arial" w:cs="Arial"/>
          <w:highlight w:val="none"/>
          <w:lang w:val="en-IN"/>
        </w:rPr>
        <w:t xml:space="preserve">, 88(105918). </w:t>
      </w:r>
    </w:p>
    <w:p w14:paraId="5C4714A9">
      <w:pPr>
        <w:rPr>
          <w:rFonts w:hint="default" w:ascii="Arial" w:hAnsi="Arial" w:cs="Arial"/>
          <w:highlight w:val="none"/>
          <w:lang w:val="en-IN"/>
        </w:rPr>
      </w:pPr>
    </w:p>
    <w:p w14:paraId="61A896D2">
      <w:pPr>
        <w:rPr>
          <w:rFonts w:hint="default" w:ascii="Arial" w:hAnsi="Arial" w:cs="Arial"/>
          <w:highlight w:val="none"/>
          <w:lang w:val="en-IN"/>
        </w:rPr>
      </w:pPr>
      <w:r>
        <w:rPr>
          <w:rFonts w:hint="default" w:ascii="Arial" w:hAnsi="Arial" w:cs="Arial"/>
          <w:highlight w:val="none"/>
          <w:lang w:val="en-IN"/>
        </w:rPr>
        <w:t xml:space="preserve">Tod, D., Booth, A. and Smith, B. (2022) ‘Critical appraisal’, </w:t>
      </w:r>
      <w:r>
        <w:rPr>
          <w:rFonts w:hint="default" w:ascii="Arial" w:hAnsi="Arial" w:cs="Arial"/>
          <w:i/>
          <w:iCs/>
          <w:highlight w:val="none"/>
          <w:lang w:val="en-IN"/>
        </w:rPr>
        <w:t>International Review of Sport and Exercise Psychology</w:t>
      </w:r>
      <w:r>
        <w:rPr>
          <w:rFonts w:hint="default" w:ascii="Arial" w:hAnsi="Arial" w:cs="Arial"/>
          <w:highlight w:val="none"/>
          <w:lang w:val="en-IN"/>
        </w:rPr>
        <w:t>, 15(1), pp. 52–72.</w:t>
      </w:r>
    </w:p>
    <w:p w14:paraId="493C2EE7">
      <w:pPr>
        <w:rPr>
          <w:rFonts w:hint="default" w:ascii="Arial" w:hAnsi="Arial" w:cs="Arial"/>
          <w:highlight w:val="none"/>
          <w:lang w:val="en-IN"/>
        </w:rPr>
      </w:pPr>
    </w:p>
    <w:p w14:paraId="1BAED946">
      <w:pPr>
        <w:rPr>
          <w:rFonts w:hint="default" w:ascii="Arial" w:hAnsi="Arial" w:cs="Arial"/>
          <w:highlight w:val="none"/>
          <w:lang w:val="en-IN"/>
        </w:rPr>
      </w:pPr>
      <w:r>
        <w:rPr>
          <w:rFonts w:hint="default" w:ascii="Arial" w:hAnsi="Arial" w:cs="Arial"/>
          <w:highlight w:val="none"/>
          <w:lang w:val="en-IN"/>
        </w:rPr>
        <w:t xml:space="preserve">UK Biobank (2025) </w:t>
      </w:r>
      <w:r>
        <w:rPr>
          <w:rFonts w:hint="default" w:ascii="Arial" w:hAnsi="Arial" w:cs="Arial"/>
          <w:i/>
          <w:iCs/>
          <w:highlight w:val="none"/>
          <w:lang w:val="en-IN"/>
        </w:rPr>
        <w:t>A healthy heart looks different in South Asian and white people</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"https://www.ukbiobank.ac.uk" \t "_new" </w:instrText>
      </w:r>
      <w:r>
        <w:rPr>
          <w:rFonts w:hint="default" w:ascii="Arial" w:hAnsi="Arial" w:cs="Arial"/>
          <w:highlight w:val="none"/>
        </w:rPr>
        <w:fldChar w:fldCharType="separate"/>
      </w:r>
      <w:r>
        <w:rPr>
          <w:rStyle w:val="16"/>
          <w:rFonts w:hint="default" w:ascii="Arial" w:hAnsi="Arial" w:cs="Arial"/>
          <w:highlight w:val="none"/>
          <w:lang w:val="en-IN"/>
        </w:rPr>
        <w:t>https://www.ukbiobank.ac.uk</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9 March 2026).</w:t>
      </w:r>
    </w:p>
    <w:p w14:paraId="3620458E">
      <w:pPr>
        <w:rPr>
          <w:rFonts w:hint="default" w:ascii="Arial" w:hAnsi="Arial" w:cs="Arial"/>
          <w:highlight w:val="none"/>
          <w:lang w:val="en-IN"/>
        </w:rPr>
      </w:pPr>
    </w:p>
    <w:p w14:paraId="1DD203E3">
      <w:pPr>
        <w:rPr>
          <w:rFonts w:hint="default" w:ascii="Arial" w:hAnsi="Arial" w:cs="Arial"/>
          <w:highlight w:val="none"/>
          <w:lang w:val="en-IN"/>
        </w:rPr>
      </w:pPr>
      <w:r>
        <w:rPr>
          <w:rFonts w:hint="default" w:ascii="Arial" w:hAnsi="Arial" w:cs="Arial"/>
          <w:highlight w:val="none"/>
          <w:lang w:val="en-IN"/>
        </w:rPr>
        <w:t>Valérie Olié</w:t>
      </w:r>
      <w:r>
        <w:rPr>
          <w:rFonts w:hint="default" w:ascii="Arial" w:hAnsi="Arial" w:cs="Arial"/>
          <w:i/>
          <w:iCs/>
          <w:highlight w:val="none"/>
          <w:lang w:val="en-IN"/>
        </w:rPr>
        <w:t>et al.</w:t>
      </w:r>
      <w:r>
        <w:rPr>
          <w:rFonts w:hint="default" w:ascii="Arial" w:hAnsi="Arial" w:cs="Arial"/>
          <w:highlight w:val="none"/>
          <w:lang w:val="en-IN"/>
        </w:rPr>
        <w:t xml:space="preserve"> (2024) ‘Epidemiology of cardiovascular risk factors’, </w:t>
      </w:r>
      <w:r>
        <w:rPr>
          <w:rFonts w:hint="default" w:ascii="Arial" w:hAnsi="Arial" w:cs="Arial"/>
          <w:i/>
          <w:iCs/>
          <w:highlight w:val="none"/>
          <w:lang w:val="en-IN"/>
        </w:rPr>
        <w:t>Archives of Cardiovascular Diseases</w:t>
      </w:r>
      <w:r>
        <w:rPr>
          <w:rFonts w:hint="default" w:ascii="Arial" w:hAnsi="Arial" w:cs="Arial"/>
          <w:highlight w:val="none"/>
          <w:lang w:val="en-IN"/>
        </w:rPr>
        <w:t>, 117(12), pp. 770–784.</w:t>
      </w:r>
    </w:p>
    <w:p w14:paraId="24E9B822">
      <w:pPr>
        <w:rPr>
          <w:rFonts w:hint="default" w:ascii="Arial" w:hAnsi="Arial" w:cs="Arial"/>
          <w:highlight w:val="none"/>
          <w:lang w:val="en-IN"/>
        </w:rPr>
      </w:pPr>
    </w:p>
    <w:p w14:paraId="1CEBCA73">
      <w:pPr>
        <w:rPr>
          <w:rFonts w:hint="default" w:ascii="Arial" w:hAnsi="Arial" w:cs="Arial"/>
          <w:highlight w:val="none"/>
          <w:lang w:val="en-IN"/>
        </w:rPr>
      </w:pPr>
      <w:r>
        <w:rPr>
          <w:rFonts w:hint="default" w:ascii="Arial" w:hAnsi="Arial" w:cs="Arial"/>
          <w:highlight w:val="none"/>
          <w:lang w:val="en-IN"/>
        </w:rPr>
        <w:t xml:space="preserve">Van Dinter, R. </w:t>
      </w:r>
      <w:r>
        <w:rPr>
          <w:rFonts w:hint="default" w:ascii="Arial" w:hAnsi="Arial" w:cs="Arial"/>
          <w:i/>
          <w:iCs/>
          <w:highlight w:val="none"/>
          <w:lang w:val="en-IN"/>
        </w:rPr>
        <w:t>et al.</w:t>
      </w:r>
      <w:r>
        <w:rPr>
          <w:rFonts w:hint="default" w:ascii="Arial" w:hAnsi="Arial" w:cs="Arial"/>
          <w:highlight w:val="none"/>
          <w:lang w:val="en-IN"/>
        </w:rPr>
        <w:t xml:space="preserve"> (2021) ‘Automation of systematic literature reviews’, </w:t>
      </w:r>
      <w:r>
        <w:rPr>
          <w:rFonts w:hint="default" w:ascii="Arial" w:hAnsi="Arial" w:cs="Arial"/>
          <w:i/>
          <w:iCs/>
          <w:highlight w:val="none"/>
          <w:lang w:val="en-IN"/>
        </w:rPr>
        <w:t>Information and Software Technology</w:t>
      </w:r>
      <w:r>
        <w:rPr>
          <w:rFonts w:hint="default" w:ascii="Arial" w:hAnsi="Arial" w:cs="Arial"/>
          <w:highlight w:val="none"/>
          <w:lang w:val="en-IN"/>
        </w:rPr>
        <w:t>, 136, p. 106589.</w:t>
      </w:r>
    </w:p>
    <w:p w14:paraId="1CFF8CD6">
      <w:pPr>
        <w:rPr>
          <w:rFonts w:hint="default" w:ascii="Arial" w:hAnsi="Arial" w:cs="Arial"/>
          <w:highlight w:val="none"/>
          <w:lang w:val="en-IN"/>
        </w:rPr>
      </w:pPr>
    </w:p>
    <w:p w14:paraId="1CC24CFC">
      <w:pPr>
        <w:rPr>
          <w:rFonts w:hint="default" w:ascii="Arial" w:hAnsi="Arial" w:cs="Arial"/>
          <w:highlight w:val="none"/>
          <w:lang w:val="en-IN"/>
        </w:rPr>
      </w:pPr>
      <w:r>
        <w:rPr>
          <w:rFonts w:hint="default" w:ascii="Arial" w:hAnsi="Arial" w:cs="Arial"/>
          <w:highlight w:val="none"/>
          <w:lang w:val="en-IN"/>
        </w:rPr>
        <w:t xml:space="preserve">Volgman, A.S. </w:t>
      </w:r>
      <w:r>
        <w:rPr>
          <w:rFonts w:hint="default" w:ascii="Arial" w:hAnsi="Arial" w:cs="Arial"/>
          <w:i/>
          <w:iCs/>
          <w:highlight w:val="none"/>
          <w:lang w:val="en-IN"/>
        </w:rPr>
        <w:t>et al.</w:t>
      </w:r>
      <w:r>
        <w:rPr>
          <w:rFonts w:hint="default" w:ascii="Arial" w:hAnsi="Arial" w:cs="Arial"/>
          <w:highlight w:val="none"/>
          <w:lang w:val="en-IN"/>
        </w:rPr>
        <w:t xml:space="preserve"> (2018) ‘Atherosclerotic cardiovascular disease in South Asians’, </w:t>
      </w:r>
      <w:r>
        <w:rPr>
          <w:rFonts w:hint="default" w:ascii="Arial" w:hAnsi="Arial" w:cs="Arial"/>
          <w:i/>
          <w:iCs/>
          <w:highlight w:val="none"/>
          <w:lang w:val="en-IN"/>
        </w:rPr>
        <w:t>Circulation</w:t>
      </w:r>
      <w:r>
        <w:rPr>
          <w:rFonts w:hint="default" w:ascii="Arial" w:hAnsi="Arial" w:cs="Arial"/>
          <w:highlight w:val="none"/>
          <w:lang w:val="en-IN"/>
        </w:rPr>
        <w:t>, 138(1).</w:t>
      </w:r>
    </w:p>
    <w:p w14:paraId="44F26646">
      <w:pPr>
        <w:rPr>
          <w:rFonts w:hint="default" w:ascii="Arial" w:hAnsi="Arial" w:cs="Arial"/>
          <w:highlight w:val="none"/>
          <w:lang w:val="en-IN"/>
        </w:rPr>
      </w:pPr>
    </w:p>
    <w:p w14:paraId="651023A8">
      <w:pPr>
        <w:rPr>
          <w:rFonts w:hint="default" w:ascii="Arial" w:hAnsi="Arial" w:cs="Arial"/>
          <w:highlight w:val="none"/>
          <w:lang w:val="en-IN"/>
        </w:rPr>
      </w:pPr>
      <w:r>
        <w:rPr>
          <w:rFonts w:hint="default" w:ascii="Arial" w:hAnsi="Arial" w:cs="Arial"/>
          <w:highlight w:val="none"/>
          <w:lang w:val="en-IN"/>
        </w:rPr>
        <w:t xml:space="preserve">WHO (2021) </w:t>
      </w:r>
      <w:r>
        <w:rPr>
          <w:rFonts w:hint="default" w:ascii="Arial" w:hAnsi="Arial" w:cs="Arial"/>
          <w:i/>
          <w:iCs/>
          <w:highlight w:val="none"/>
          <w:lang w:val="en-IN"/>
        </w:rPr>
        <w:t>Ensuring ethical standards and procedures for research with human beings</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"https://www.who.int" \t "_new" </w:instrText>
      </w:r>
      <w:r>
        <w:rPr>
          <w:rFonts w:hint="default" w:ascii="Arial" w:hAnsi="Arial" w:cs="Arial"/>
          <w:highlight w:val="none"/>
        </w:rPr>
        <w:fldChar w:fldCharType="separate"/>
      </w:r>
      <w:r>
        <w:rPr>
          <w:rStyle w:val="16"/>
          <w:rFonts w:hint="default" w:ascii="Arial" w:hAnsi="Arial" w:cs="Arial"/>
          <w:highlight w:val="none"/>
          <w:lang w:val="en-IN"/>
        </w:rPr>
        <w:t>https://www.who.int</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 April 2026).</w:t>
      </w:r>
    </w:p>
    <w:p w14:paraId="5EADE978">
      <w:pPr>
        <w:rPr>
          <w:rFonts w:hint="default" w:ascii="Arial" w:hAnsi="Arial" w:cs="Arial"/>
          <w:highlight w:val="none"/>
          <w:lang w:val="en-IN"/>
        </w:rPr>
      </w:pPr>
    </w:p>
    <w:p w14:paraId="3734C224">
      <w:pPr>
        <w:rPr>
          <w:rFonts w:hint="default" w:ascii="Arial" w:hAnsi="Arial" w:cs="Arial"/>
          <w:highlight w:val="none"/>
          <w:lang w:val="en-IN"/>
        </w:rPr>
      </w:pPr>
      <w:r>
        <w:rPr>
          <w:rFonts w:hint="default" w:ascii="Arial" w:hAnsi="Arial" w:cs="Arial"/>
          <w:highlight w:val="none"/>
          <w:lang w:val="en-IN"/>
        </w:rPr>
        <w:t xml:space="preserve">World Health Organization (2024) </w:t>
      </w:r>
      <w:r>
        <w:rPr>
          <w:rFonts w:hint="default" w:ascii="Arial" w:hAnsi="Arial" w:cs="Arial"/>
          <w:i/>
          <w:iCs/>
          <w:highlight w:val="none"/>
          <w:lang w:val="en-IN"/>
        </w:rPr>
        <w:t>Physical activity</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"https://www.who.int" \t "_new" </w:instrText>
      </w:r>
      <w:r>
        <w:rPr>
          <w:rFonts w:hint="default" w:ascii="Arial" w:hAnsi="Arial" w:cs="Arial"/>
          <w:highlight w:val="none"/>
        </w:rPr>
        <w:fldChar w:fldCharType="separate"/>
      </w:r>
      <w:r>
        <w:rPr>
          <w:rStyle w:val="16"/>
          <w:rFonts w:hint="default" w:ascii="Arial" w:hAnsi="Arial" w:cs="Arial"/>
          <w:highlight w:val="none"/>
          <w:lang w:val="en-IN"/>
        </w:rPr>
        <w:t>https://www.who.int</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10 March 2026).</w:t>
      </w:r>
    </w:p>
    <w:p w14:paraId="3E39E7CC">
      <w:pPr>
        <w:rPr>
          <w:rFonts w:hint="default" w:ascii="Arial" w:hAnsi="Arial" w:cs="Arial"/>
          <w:highlight w:val="none"/>
          <w:lang w:val="en-IN"/>
        </w:rPr>
      </w:pPr>
    </w:p>
    <w:p w14:paraId="7E08BE4F">
      <w:pPr>
        <w:rPr>
          <w:rFonts w:hint="default" w:ascii="Arial" w:hAnsi="Arial" w:cs="Arial"/>
          <w:highlight w:val="none"/>
          <w:lang w:val="en-IN"/>
        </w:rPr>
      </w:pPr>
      <w:r>
        <w:rPr>
          <w:rFonts w:hint="default" w:ascii="Arial" w:hAnsi="Arial" w:cs="Arial"/>
          <w:highlight w:val="none"/>
          <w:lang w:val="en-IN"/>
        </w:rPr>
        <w:t xml:space="preserve">World Health Organization (2025) </w:t>
      </w:r>
      <w:r>
        <w:rPr>
          <w:rFonts w:hint="default" w:ascii="Arial" w:hAnsi="Arial" w:cs="Arial"/>
          <w:i/>
          <w:iCs/>
          <w:highlight w:val="none"/>
          <w:lang w:val="en-IN"/>
        </w:rPr>
        <w:t>Cardiovascular diseases (CVDs)</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"https://www.who.int" \t "_new" </w:instrText>
      </w:r>
      <w:r>
        <w:rPr>
          <w:rFonts w:hint="default" w:ascii="Arial" w:hAnsi="Arial" w:cs="Arial"/>
          <w:highlight w:val="none"/>
        </w:rPr>
        <w:fldChar w:fldCharType="separate"/>
      </w:r>
      <w:r>
        <w:rPr>
          <w:rStyle w:val="16"/>
          <w:rFonts w:hint="default" w:ascii="Arial" w:hAnsi="Arial" w:cs="Arial"/>
          <w:highlight w:val="none"/>
          <w:lang w:val="en-IN"/>
        </w:rPr>
        <w:t>https://www.who.int</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12 March 2026).</w:t>
      </w:r>
    </w:p>
    <w:p w14:paraId="71BE9342">
      <w:pPr>
        <w:rPr>
          <w:rFonts w:hint="default" w:ascii="Arial" w:hAnsi="Arial" w:cs="Arial"/>
          <w:highlight w:val="none"/>
          <w:lang w:val="en-IN"/>
        </w:rPr>
      </w:pPr>
    </w:p>
    <w:p w14:paraId="3079D7BC">
      <w:pPr>
        <w:rPr>
          <w:rFonts w:hint="default" w:ascii="Arial" w:hAnsi="Arial" w:cs="Arial"/>
          <w:highlight w:val="none"/>
          <w:lang w:val="en-IN"/>
        </w:rPr>
      </w:pPr>
      <w:r>
        <w:rPr>
          <w:rFonts w:hint="default" w:ascii="Arial" w:hAnsi="Arial" w:cs="Arial"/>
          <w:highlight w:val="none"/>
          <w:lang w:val="en-IN"/>
        </w:rPr>
        <w:t xml:space="preserve">World Heart Federation (2024) </w:t>
      </w:r>
      <w:r>
        <w:rPr>
          <w:rFonts w:hint="default" w:ascii="Arial" w:hAnsi="Arial" w:cs="Arial"/>
          <w:i/>
          <w:iCs/>
          <w:highlight w:val="none"/>
          <w:lang w:val="en-IN"/>
        </w:rPr>
        <w:t>What is CVD?</w:t>
      </w:r>
      <w:r>
        <w:rPr>
          <w:rFonts w:hint="default" w:ascii="Arial" w:hAnsi="Arial" w:cs="Arial"/>
          <w:highlight w:val="none"/>
          <w:lang w:val="en-IN"/>
        </w:rPr>
        <w:t xml:space="preserve"> Available at: </w:t>
      </w:r>
      <w:r>
        <w:rPr>
          <w:rFonts w:hint="default" w:ascii="Arial" w:hAnsi="Arial" w:cs="Arial"/>
          <w:highlight w:val="none"/>
        </w:rPr>
        <w:fldChar w:fldCharType="begin"/>
      </w:r>
      <w:r>
        <w:rPr>
          <w:rFonts w:hint="default" w:ascii="Arial" w:hAnsi="Arial" w:cs="Arial"/>
          <w:highlight w:val="none"/>
        </w:rPr>
        <w:instrText xml:space="preserve"> HYPERLINK "https://world-heart-federation.org" \t "_new" </w:instrText>
      </w:r>
      <w:r>
        <w:rPr>
          <w:rFonts w:hint="default" w:ascii="Arial" w:hAnsi="Arial" w:cs="Arial"/>
          <w:highlight w:val="none"/>
        </w:rPr>
        <w:fldChar w:fldCharType="separate"/>
      </w:r>
      <w:r>
        <w:rPr>
          <w:rStyle w:val="16"/>
          <w:rFonts w:hint="default" w:ascii="Arial" w:hAnsi="Arial" w:cs="Arial"/>
          <w:highlight w:val="none"/>
          <w:lang w:val="en-IN"/>
        </w:rPr>
        <w:t>https://world-heart-federation.org</w:t>
      </w:r>
      <w:r>
        <w:rPr>
          <w:rStyle w:val="16"/>
          <w:rFonts w:hint="default" w:ascii="Arial" w:hAnsi="Arial" w:cs="Arial"/>
          <w:highlight w:val="none"/>
          <w:lang w:val="en-IN"/>
        </w:rPr>
        <w:fldChar w:fldCharType="end"/>
      </w:r>
      <w:r>
        <w:rPr>
          <w:rFonts w:hint="default" w:ascii="Arial" w:hAnsi="Arial" w:cs="Arial"/>
          <w:highlight w:val="none"/>
          <w:lang w:val="en-IN"/>
        </w:rPr>
        <w:t xml:space="preserve"> (Accessed: 12 March 2026).</w:t>
      </w:r>
    </w:p>
    <w:p w14:paraId="1F0D3A5D">
      <w:pPr>
        <w:rPr>
          <w:rFonts w:hint="default" w:ascii="Arial" w:hAnsi="Arial" w:cs="Arial"/>
          <w:highlight w:val="none"/>
          <w:lang w:val="en-IN"/>
        </w:rPr>
      </w:pPr>
    </w:p>
    <w:p w14:paraId="4D5604AA">
      <w:pPr>
        <w:rPr>
          <w:rFonts w:hint="default" w:ascii="Arial" w:hAnsi="Arial" w:cs="Arial"/>
          <w:highlight w:val="none"/>
          <w:lang w:val="en-IN"/>
        </w:rPr>
      </w:pPr>
      <w:r>
        <w:rPr>
          <w:rFonts w:hint="default" w:ascii="Arial" w:hAnsi="Arial" w:cs="Arial"/>
          <w:highlight w:val="none"/>
          <w:lang w:val="en-IN"/>
        </w:rPr>
        <w:t xml:space="preserve">Zabor, E.C., Kaizer, A.M. and Hobbs, B.P. (2020) ‘Randomized controlled trials’, </w:t>
      </w:r>
      <w:r>
        <w:rPr>
          <w:rFonts w:hint="default" w:ascii="Arial" w:hAnsi="Arial" w:cs="Arial"/>
          <w:i/>
          <w:iCs/>
          <w:highlight w:val="none"/>
          <w:lang w:val="en-IN"/>
        </w:rPr>
        <w:t>Chest</w:t>
      </w:r>
      <w:r>
        <w:rPr>
          <w:rFonts w:hint="default" w:ascii="Arial" w:hAnsi="Arial" w:cs="Arial"/>
          <w:highlight w:val="none"/>
          <w:lang w:val="en-IN"/>
        </w:rPr>
        <w:t>, 158(1), pp. S79–S87.</w:t>
      </w:r>
    </w:p>
    <w:p w14:paraId="4B65EC6E">
      <w:pPr>
        <w:rPr>
          <w:rFonts w:hint="default" w:ascii="Arial" w:hAnsi="Arial" w:cs="Arial"/>
          <w:highlight w:val="none"/>
          <w:lang w:val="en-IN"/>
        </w:rPr>
      </w:pPr>
    </w:p>
    <w:p w14:paraId="202C182C">
      <w:pPr>
        <w:rPr>
          <w:rFonts w:hint="default" w:ascii="Arial" w:hAnsi="Arial" w:cs="Arial"/>
          <w:highlight w:val="none"/>
          <w:lang w:val="en-IN"/>
        </w:rPr>
      </w:pPr>
    </w:p>
    <w:p w14:paraId="07E7088A">
      <w:pPr>
        <w:rPr>
          <w:rFonts w:hint="default" w:ascii="Arial" w:hAnsi="Arial" w:cs="Arial"/>
          <w:highlight w:val="none"/>
        </w:rPr>
      </w:pPr>
    </w:p>
    <w:p w14:paraId="13411256">
      <w:pPr>
        <w:rPr>
          <w:rFonts w:hint="default" w:ascii="Arial" w:hAnsi="Arial" w:cs="Arial"/>
          <w:highlight w:val="none"/>
        </w:rPr>
      </w:pPr>
    </w:p>
    <w:p w14:paraId="2A3C8B78">
      <w:pPr>
        <w:rPr>
          <w:rFonts w:hint="default" w:ascii="Arial" w:hAnsi="Arial" w:cs="Arial"/>
          <w:highlight w:val="none"/>
        </w:rPr>
      </w:pPr>
    </w:p>
    <w:p w14:paraId="257DFAD9">
      <w:pPr>
        <w:rPr>
          <w:rFonts w:hint="default" w:ascii="Arial" w:hAnsi="Arial" w:cs="Arial"/>
          <w:highlight w:val="none"/>
        </w:rPr>
      </w:pPr>
    </w:p>
    <w:p w14:paraId="6202C9A3">
      <w:pPr>
        <w:rPr>
          <w:rFonts w:hint="default" w:ascii="Arial" w:hAnsi="Arial" w:cs="Arial"/>
          <w:highlight w:val="none"/>
        </w:rPr>
      </w:pPr>
    </w:p>
    <w:p w14:paraId="3B2CB907">
      <w:pPr>
        <w:rPr>
          <w:rFonts w:hint="default" w:ascii="Arial" w:hAnsi="Arial" w:cs="Arial"/>
          <w:highlight w:val="none"/>
        </w:rPr>
      </w:pPr>
    </w:p>
    <w:p w14:paraId="4CE40393">
      <w:pPr>
        <w:rPr>
          <w:rFonts w:hint="default" w:ascii="Arial" w:hAnsi="Arial" w:cs="Arial"/>
          <w:highlight w:val="none"/>
        </w:rPr>
      </w:pPr>
    </w:p>
    <w:p w14:paraId="3A7E609C">
      <w:pPr>
        <w:rPr>
          <w:rFonts w:hint="default" w:ascii="Arial" w:hAnsi="Arial" w:cs="Arial"/>
          <w:highlight w:val="none"/>
        </w:rPr>
      </w:pPr>
    </w:p>
    <w:p w14:paraId="64318CAB">
      <w:pPr>
        <w:rPr>
          <w:rFonts w:hint="default" w:ascii="Arial" w:hAnsi="Arial" w:cs="Arial"/>
          <w:highlight w:val="none"/>
        </w:rPr>
      </w:pPr>
    </w:p>
    <w:p w14:paraId="1FB3D368">
      <w:pPr>
        <w:rPr>
          <w:rFonts w:hint="default" w:ascii="Arial" w:hAnsi="Arial" w:cs="Arial"/>
          <w:highlight w:val="none"/>
        </w:rPr>
      </w:pPr>
    </w:p>
    <w:p w14:paraId="378B0B4E">
      <w:pPr>
        <w:rPr>
          <w:rFonts w:hint="default" w:ascii="Arial" w:hAnsi="Arial" w:cs="Arial"/>
          <w:highlight w:val="none"/>
        </w:rPr>
      </w:pPr>
    </w:p>
    <w:p w14:paraId="2AFFD46D">
      <w:pPr>
        <w:pStyle w:val="2"/>
        <w:spacing w:line="480" w:lineRule="auto"/>
        <w:jc w:val="center"/>
        <w:rPr>
          <w:rFonts w:hint="default" w:ascii="Arial" w:hAnsi="Arial" w:cs="Arial"/>
          <w:highlight w:val="none"/>
        </w:rPr>
      </w:pPr>
      <w:bookmarkStart w:id="176" w:name="_Toc16559"/>
      <w:r>
        <w:rPr>
          <w:rFonts w:hint="default" w:ascii="Arial" w:hAnsi="Arial" w:cs="Arial"/>
          <w:highlight w:val="none"/>
        </w:rPr>
        <w:t>APPENDICES</w:t>
      </w:r>
      <w:bookmarkEnd w:id="176"/>
    </w:p>
    <w:p w14:paraId="338532D7">
      <w:pPr>
        <w:pStyle w:val="3"/>
        <w:spacing w:line="480" w:lineRule="auto"/>
        <w:ind w:left="0"/>
        <w:rPr>
          <w:rFonts w:hint="default" w:ascii="Arial" w:hAnsi="Arial" w:cs="Arial"/>
          <w:highlight w:val="none"/>
        </w:rPr>
      </w:pPr>
      <w:bookmarkStart w:id="177" w:name="_Toc23320"/>
      <w:r>
        <w:rPr>
          <w:rFonts w:hint="default" w:ascii="Arial" w:hAnsi="Arial" w:cs="Arial"/>
          <w:highlight w:val="none"/>
        </w:rPr>
        <w:t>Appendix 1: Characteristics Table</w:t>
      </w:r>
      <w:bookmarkEnd w:id="177"/>
    </w:p>
    <w:tbl>
      <w:tblPr>
        <w:tblStyle w:val="6"/>
        <w:tblW w:w="0" w:type="auto"/>
        <w:tblInd w:w="0" w:type="dxa"/>
        <w:tblLayout w:type="autofit"/>
        <w:tblCellMar>
          <w:top w:w="15" w:type="dxa"/>
          <w:left w:w="15" w:type="dxa"/>
          <w:bottom w:w="15" w:type="dxa"/>
          <w:right w:w="15" w:type="dxa"/>
        </w:tblCellMar>
      </w:tblPr>
      <w:tblGrid>
        <w:gridCol w:w="1255"/>
        <w:gridCol w:w="1175"/>
        <w:gridCol w:w="767"/>
        <w:gridCol w:w="750"/>
        <w:gridCol w:w="1211"/>
        <w:gridCol w:w="1563"/>
        <w:gridCol w:w="1184"/>
        <w:gridCol w:w="1337"/>
      </w:tblGrid>
      <w:tr w14:paraId="0E4565EF">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FC2266">
            <w:pPr>
              <w:rPr>
                <w:rFonts w:hint="default" w:ascii="Arial" w:hAnsi="Arial" w:cs="Arial"/>
                <w:highlight w:val="none"/>
              </w:rPr>
            </w:pPr>
            <w:r>
              <w:rPr>
                <w:rFonts w:hint="default" w:ascii="Arial" w:hAnsi="Arial" w:cs="Arial"/>
                <w:highlight w:val="none"/>
              </w:rPr>
              <w:t>First Author (Year); Study Location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C050B0">
            <w:pPr>
              <w:rPr>
                <w:rFonts w:hint="default" w:ascii="Arial" w:hAnsi="Arial" w:cs="Arial"/>
                <w:highlight w:val="none"/>
              </w:rPr>
            </w:pPr>
            <w:r>
              <w:rPr>
                <w:rFonts w:hint="default" w:ascii="Arial" w:hAnsi="Arial" w:cs="Arial"/>
                <w:highlight w:val="none"/>
              </w:rPr>
              <w:t>Study Type &amp; Participants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2E43B2A">
            <w:pPr>
              <w:rPr>
                <w:rFonts w:hint="default" w:ascii="Arial" w:hAnsi="Arial" w:cs="Arial"/>
                <w:highlight w:val="none"/>
              </w:rPr>
            </w:pPr>
            <w:r>
              <w:rPr>
                <w:rFonts w:hint="default" w:ascii="Arial" w:hAnsi="Arial" w:cs="Arial"/>
                <w:highlight w:val="none"/>
              </w:rPr>
              <w:t>Sample Size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BEA22F">
            <w:pPr>
              <w:rPr>
                <w:rFonts w:hint="default" w:ascii="Arial" w:hAnsi="Arial" w:cs="Arial"/>
                <w:highlight w:val="none"/>
              </w:rPr>
            </w:pPr>
            <w:r>
              <w:rPr>
                <w:rFonts w:hint="default" w:ascii="Arial" w:hAnsi="Arial" w:cs="Arial"/>
                <w:highlight w:val="none"/>
              </w:rPr>
              <w:t>Follow-up</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60BC85">
            <w:pPr>
              <w:rPr>
                <w:rFonts w:hint="default" w:ascii="Arial" w:hAnsi="Arial" w:cs="Arial"/>
                <w:highlight w:val="none"/>
              </w:rPr>
            </w:pPr>
            <w:r>
              <w:rPr>
                <w:rFonts w:hint="default" w:ascii="Arial" w:hAnsi="Arial" w:cs="Arial"/>
                <w:highlight w:val="none"/>
              </w:rPr>
              <w:t>CVD Measures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2CECD2">
            <w:pPr>
              <w:rPr>
                <w:rFonts w:hint="default" w:ascii="Arial" w:hAnsi="Arial" w:cs="Arial"/>
                <w:highlight w:val="none"/>
              </w:rPr>
            </w:pPr>
            <w:r>
              <w:rPr>
                <w:rFonts w:hint="default" w:ascii="Arial" w:hAnsi="Arial" w:cs="Arial"/>
                <w:highlight w:val="none"/>
              </w:rPr>
              <w:t>Outcomes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85F819">
            <w:pPr>
              <w:rPr>
                <w:rFonts w:hint="default" w:ascii="Arial" w:hAnsi="Arial" w:cs="Arial"/>
                <w:highlight w:val="none"/>
              </w:rPr>
            </w:pPr>
            <w:r>
              <w:rPr>
                <w:rFonts w:hint="default" w:ascii="Arial" w:hAnsi="Arial" w:cs="Arial"/>
                <w:highlight w:val="none"/>
              </w:rPr>
              <w:t>Analysis &amp; Confounders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8BBFAE">
            <w:pPr>
              <w:rPr>
                <w:rFonts w:hint="default" w:ascii="Arial" w:hAnsi="Arial" w:cs="Arial"/>
                <w:highlight w:val="none"/>
              </w:rPr>
            </w:pPr>
            <w:r>
              <w:rPr>
                <w:rFonts w:hint="default" w:ascii="Arial" w:hAnsi="Arial" w:cs="Arial"/>
                <w:highlight w:val="none"/>
              </w:rPr>
              <w:t>Key Findings</w:t>
            </w:r>
          </w:p>
        </w:tc>
      </w:tr>
      <w:tr w14:paraId="1A1AFE40">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642EA2">
            <w:pPr>
              <w:rPr>
                <w:rFonts w:hint="default" w:ascii="Arial" w:hAnsi="Arial" w:cs="Arial"/>
                <w:highlight w:val="none"/>
              </w:rPr>
            </w:pPr>
            <w:r>
              <w:rPr>
                <w:rFonts w:hint="default" w:ascii="Arial" w:hAnsi="Arial" w:cs="Arial"/>
                <w:highlight w:val="none"/>
              </w:rPr>
              <w:t>Bhattacharyya et al. (2016); UK (London)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5DC827">
            <w:pPr>
              <w:rPr>
                <w:rFonts w:hint="default" w:ascii="Arial" w:hAnsi="Arial" w:cs="Arial"/>
                <w:highlight w:val="none"/>
              </w:rPr>
            </w:pPr>
            <w:r>
              <w:rPr>
                <w:rFonts w:hint="default" w:ascii="Arial" w:hAnsi="Arial" w:cs="Arial"/>
                <w:highlight w:val="none"/>
              </w:rPr>
              <w:t>Qualitative; South Asian &amp; White British cardiac patients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D46F10">
            <w:pPr>
              <w:rPr>
                <w:rFonts w:hint="default" w:ascii="Arial" w:hAnsi="Arial" w:cs="Arial"/>
                <w:highlight w:val="none"/>
              </w:rPr>
            </w:pPr>
            <w:r>
              <w:rPr>
                <w:rFonts w:hint="default" w:ascii="Arial" w:hAnsi="Arial" w:cs="Arial"/>
                <w:highlight w:val="none"/>
              </w:rPr>
              <w:t>28</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B58C0E">
            <w:pPr>
              <w:rPr>
                <w:rFonts w:hint="default" w:ascii="Arial" w:hAnsi="Arial" w:cs="Arial"/>
                <w:highlight w:val="none"/>
              </w:rPr>
            </w:pPr>
            <w:r>
              <w:rPr>
                <w:rFonts w:hint="default" w:ascii="Arial" w:hAnsi="Arial" w:cs="Arial"/>
                <w:highlight w:val="none"/>
              </w:rPr>
              <w:t>≤18 months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CAEDB8">
            <w:pPr>
              <w:rPr>
                <w:rFonts w:hint="default" w:ascii="Arial" w:hAnsi="Arial" w:cs="Arial"/>
                <w:highlight w:val="none"/>
              </w:rPr>
            </w:pPr>
            <w:r>
              <w:rPr>
                <w:rFonts w:hint="default" w:ascii="Arial" w:hAnsi="Arial" w:cs="Arial"/>
                <w:highlight w:val="none"/>
              </w:rPr>
              <w:t>Psychological impact post-cardiac event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0E96C4">
            <w:pPr>
              <w:rPr>
                <w:rFonts w:hint="default" w:ascii="Arial" w:hAnsi="Arial" w:cs="Arial"/>
                <w:highlight w:val="none"/>
              </w:rPr>
            </w:pPr>
            <w:r>
              <w:rPr>
                <w:rFonts w:hint="default" w:ascii="Arial" w:hAnsi="Arial" w:cs="Arial"/>
                <w:highlight w:val="none"/>
              </w:rPr>
              <w:t>Adaptation, anxiety, depression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2BABEC3">
            <w:pPr>
              <w:rPr>
                <w:rFonts w:hint="default" w:ascii="Arial" w:hAnsi="Arial" w:cs="Arial"/>
                <w:highlight w:val="none"/>
              </w:rPr>
            </w:pPr>
            <w:r>
              <w:rPr>
                <w:rFonts w:hint="default" w:ascii="Arial" w:hAnsi="Arial" w:cs="Arial"/>
                <w:highlight w:val="none"/>
              </w:rPr>
              <w:t>Thematic analysis; explored SES, age, and employment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350558">
            <w:pPr>
              <w:rPr>
                <w:rFonts w:hint="default" w:ascii="Arial" w:hAnsi="Arial" w:cs="Arial"/>
                <w:highlight w:val="none"/>
              </w:rPr>
            </w:pPr>
            <w:r>
              <w:rPr>
                <w:rFonts w:hint="default" w:ascii="Arial" w:hAnsi="Arial" w:cs="Arial"/>
                <w:highlight w:val="none"/>
              </w:rPr>
              <w:t>Anxiety and low mood are common; SES and employment are more influential than ethnicity</w:t>
            </w:r>
          </w:p>
        </w:tc>
      </w:tr>
      <w:tr w14:paraId="3967E09F">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98ABB4">
            <w:pPr>
              <w:rPr>
                <w:rFonts w:hint="default" w:ascii="Arial" w:hAnsi="Arial" w:cs="Arial"/>
                <w:highlight w:val="none"/>
              </w:rPr>
            </w:pPr>
            <w:r>
              <w:rPr>
                <w:rFonts w:hint="default" w:ascii="Arial" w:hAnsi="Arial" w:cs="Arial"/>
                <w:highlight w:val="none"/>
              </w:rPr>
              <w:t>Cross-Bardell et al. (2015); UK (East Midlands)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FFD2B0">
            <w:pPr>
              <w:rPr>
                <w:rFonts w:hint="default" w:ascii="Arial" w:hAnsi="Arial" w:cs="Arial"/>
                <w:highlight w:val="none"/>
              </w:rPr>
            </w:pPr>
            <w:r>
              <w:rPr>
                <w:rFonts w:hint="default" w:ascii="Arial" w:hAnsi="Arial" w:cs="Arial"/>
                <w:highlight w:val="none"/>
              </w:rPr>
              <w:t>Qualitative; South Asian individuals, families, professionals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42698C">
            <w:pPr>
              <w:rPr>
                <w:rFonts w:hint="default" w:ascii="Arial" w:hAnsi="Arial" w:cs="Arial"/>
                <w:highlight w:val="none"/>
              </w:rPr>
            </w:pPr>
            <w:r>
              <w:rPr>
                <w:rFonts w:hint="default" w:ascii="Arial" w:hAnsi="Arial" w:cs="Arial"/>
                <w:highlight w:val="none"/>
              </w:rPr>
              <w:t>45</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D8283B">
            <w:pPr>
              <w:rPr>
                <w:rFonts w:hint="default" w:ascii="Arial" w:hAnsi="Arial" w:cs="Arial"/>
                <w:highlight w:val="none"/>
              </w:rPr>
            </w:pPr>
            <w:r>
              <w:rPr>
                <w:rFonts w:hint="default" w:ascii="Arial" w:hAnsi="Arial" w:cs="Arial"/>
                <w:highlight w:val="none"/>
              </w:rPr>
              <w:t>N/A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8C2963">
            <w:pPr>
              <w:rPr>
                <w:rFonts w:hint="default" w:ascii="Arial" w:hAnsi="Arial" w:cs="Arial"/>
                <w:highlight w:val="none"/>
              </w:rPr>
            </w:pPr>
            <w:r>
              <w:rPr>
                <w:rFonts w:hint="default" w:ascii="Arial" w:hAnsi="Arial" w:cs="Arial"/>
                <w:highlight w:val="none"/>
              </w:rPr>
              <w:t>Diet &amp; physical activity behaviours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1C9F86">
            <w:pPr>
              <w:rPr>
                <w:rFonts w:hint="default" w:ascii="Arial" w:hAnsi="Arial" w:cs="Arial"/>
                <w:highlight w:val="none"/>
              </w:rPr>
            </w:pPr>
            <w:r>
              <w:rPr>
                <w:rFonts w:hint="default" w:ascii="Arial" w:hAnsi="Arial" w:cs="Arial"/>
                <w:highlight w:val="none"/>
              </w:rPr>
              <w:t>Barriers/facilitators to lifestyle change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208205">
            <w:pPr>
              <w:rPr>
                <w:rFonts w:hint="default" w:ascii="Arial" w:hAnsi="Arial" w:cs="Arial"/>
                <w:highlight w:val="none"/>
              </w:rPr>
            </w:pPr>
            <w:r>
              <w:rPr>
                <w:rFonts w:hint="default" w:ascii="Arial" w:hAnsi="Arial" w:cs="Arial"/>
                <w:highlight w:val="none"/>
              </w:rPr>
              <w:t>Thematic analysis; cultural &amp; social factors explored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289EFC">
            <w:pPr>
              <w:rPr>
                <w:rFonts w:hint="default" w:ascii="Arial" w:hAnsi="Arial" w:cs="Arial"/>
                <w:highlight w:val="none"/>
              </w:rPr>
            </w:pPr>
            <w:r>
              <w:rPr>
                <w:rFonts w:hint="default" w:ascii="Arial" w:hAnsi="Arial" w:cs="Arial"/>
                <w:highlight w:val="none"/>
              </w:rPr>
              <w:t>Cultural eating practices, time, cost barriers; walking is feasible; social interventions preferred</w:t>
            </w:r>
          </w:p>
        </w:tc>
      </w:tr>
      <w:tr w14:paraId="3409276D">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20FAA4">
            <w:pPr>
              <w:rPr>
                <w:rFonts w:hint="default" w:ascii="Arial" w:hAnsi="Arial" w:cs="Arial"/>
                <w:highlight w:val="none"/>
              </w:rPr>
            </w:pPr>
            <w:r>
              <w:rPr>
                <w:rFonts w:hint="default" w:ascii="Arial" w:hAnsi="Arial" w:cs="Arial"/>
                <w:highlight w:val="none"/>
              </w:rPr>
              <w:t>Darr et al. (2008); UK</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93C5F56">
            <w:pPr>
              <w:rPr>
                <w:rFonts w:hint="default" w:ascii="Arial" w:hAnsi="Arial" w:cs="Arial"/>
                <w:highlight w:val="none"/>
              </w:rPr>
            </w:pPr>
            <w:r>
              <w:rPr>
                <w:rFonts w:hint="default" w:ascii="Arial" w:hAnsi="Arial" w:cs="Arial"/>
                <w:highlight w:val="none"/>
              </w:rPr>
              <w:t>Qualitative; South Asian &amp; European CHD patients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224674">
            <w:pPr>
              <w:rPr>
                <w:rFonts w:hint="default" w:ascii="Arial" w:hAnsi="Arial" w:cs="Arial"/>
                <w:highlight w:val="none"/>
              </w:rPr>
            </w:pPr>
            <w:r>
              <w:rPr>
                <w:rFonts w:hint="default" w:ascii="Arial" w:hAnsi="Arial" w:cs="Arial"/>
                <w:highlight w:val="none"/>
              </w:rPr>
              <w:t>65</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F58C4F">
            <w:pPr>
              <w:rPr>
                <w:rFonts w:hint="default" w:ascii="Arial" w:hAnsi="Arial" w:cs="Arial"/>
                <w:highlight w:val="none"/>
              </w:rPr>
            </w:pPr>
            <w:r>
              <w:rPr>
                <w:rFonts w:hint="default" w:ascii="Arial" w:hAnsi="Arial" w:cs="Arial"/>
                <w:highlight w:val="none"/>
              </w:rPr>
              <w:t>≤12 months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148712">
            <w:pPr>
              <w:rPr>
                <w:rFonts w:hint="default" w:ascii="Arial" w:hAnsi="Arial" w:cs="Arial"/>
                <w:highlight w:val="none"/>
              </w:rPr>
            </w:pPr>
            <w:r>
              <w:rPr>
                <w:rFonts w:hint="default" w:ascii="Arial" w:hAnsi="Arial" w:cs="Arial"/>
                <w:highlight w:val="none"/>
              </w:rPr>
              <w:t>Illness beliefs, lifestyle change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8E853F">
            <w:pPr>
              <w:rPr>
                <w:rFonts w:hint="default" w:ascii="Arial" w:hAnsi="Arial" w:cs="Arial"/>
                <w:highlight w:val="none"/>
              </w:rPr>
            </w:pPr>
            <w:r>
              <w:rPr>
                <w:rFonts w:hint="default" w:ascii="Arial" w:hAnsi="Arial" w:cs="Arial"/>
                <w:highlight w:val="none"/>
              </w:rPr>
              <w:t>Understanding of CHD causes &amp; behaviours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9A9535">
            <w:pPr>
              <w:rPr>
                <w:rFonts w:hint="default" w:ascii="Arial" w:hAnsi="Arial" w:cs="Arial"/>
                <w:highlight w:val="none"/>
              </w:rPr>
            </w:pPr>
            <w:r>
              <w:rPr>
                <w:rFonts w:hint="default" w:ascii="Arial" w:hAnsi="Arial" w:cs="Arial"/>
                <w:highlight w:val="none"/>
              </w:rPr>
              <w:t>Framework analysis: compared ethnicity, age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5AEB7E">
            <w:pPr>
              <w:rPr>
                <w:rFonts w:hint="default" w:ascii="Arial" w:hAnsi="Arial" w:cs="Arial"/>
                <w:highlight w:val="none"/>
              </w:rPr>
            </w:pPr>
            <w:r>
              <w:rPr>
                <w:rFonts w:hint="default" w:ascii="Arial" w:hAnsi="Arial" w:cs="Arial"/>
                <w:highlight w:val="none"/>
              </w:rPr>
              <w:t>Misconceptions are common; South Asians struggled with diet, but are more likely to stop smoking.</w:t>
            </w:r>
          </w:p>
        </w:tc>
      </w:tr>
      <w:tr w14:paraId="50B53AE8">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3A5497">
            <w:pPr>
              <w:rPr>
                <w:rFonts w:hint="default" w:ascii="Arial" w:hAnsi="Arial" w:cs="Arial"/>
                <w:highlight w:val="none"/>
              </w:rPr>
            </w:pPr>
            <w:r>
              <w:rPr>
                <w:rFonts w:hint="default" w:ascii="Arial" w:hAnsi="Arial" w:cs="Arial"/>
                <w:highlight w:val="none"/>
              </w:rPr>
              <w:t>Deshmukh et al. (2025); UK (Birmingham)</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CC1671">
            <w:pPr>
              <w:rPr>
                <w:rFonts w:hint="default" w:ascii="Arial" w:hAnsi="Arial" w:cs="Arial"/>
                <w:highlight w:val="none"/>
              </w:rPr>
            </w:pPr>
            <w:r>
              <w:rPr>
                <w:rFonts w:hint="default" w:ascii="Arial" w:hAnsi="Arial" w:cs="Arial"/>
                <w:highlight w:val="none"/>
              </w:rPr>
              <w:t>Qualitative; South Asian adults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85FB56">
            <w:pPr>
              <w:rPr>
                <w:rFonts w:hint="default" w:ascii="Arial" w:hAnsi="Arial" w:cs="Arial"/>
                <w:highlight w:val="none"/>
              </w:rPr>
            </w:pPr>
            <w:r>
              <w:rPr>
                <w:rFonts w:hint="default" w:ascii="Arial" w:hAnsi="Arial" w:cs="Arial"/>
                <w:highlight w:val="none"/>
              </w:rPr>
              <w:t>15</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D08100D">
            <w:pPr>
              <w:rPr>
                <w:rFonts w:hint="default" w:ascii="Arial" w:hAnsi="Arial" w:cs="Arial"/>
                <w:highlight w:val="none"/>
              </w:rPr>
            </w:pPr>
            <w:r>
              <w:rPr>
                <w:rFonts w:hint="default" w:ascii="Arial" w:hAnsi="Arial" w:cs="Arial"/>
                <w:highlight w:val="none"/>
              </w:rPr>
              <w:t>N/A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5C754E">
            <w:pPr>
              <w:rPr>
                <w:rFonts w:hint="default" w:ascii="Arial" w:hAnsi="Arial" w:cs="Arial"/>
                <w:highlight w:val="none"/>
              </w:rPr>
            </w:pPr>
            <w:r>
              <w:rPr>
                <w:rFonts w:hint="default" w:ascii="Arial" w:hAnsi="Arial" w:cs="Arial"/>
                <w:highlight w:val="none"/>
              </w:rPr>
              <w:t>Physical activity knowledge &amp; behaviour</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0CD5C0">
            <w:pPr>
              <w:rPr>
                <w:rFonts w:hint="default" w:ascii="Arial" w:hAnsi="Arial" w:cs="Arial"/>
                <w:highlight w:val="none"/>
              </w:rPr>
            </w:pPr>
            <w:r>
              <w:rPr>
                <w:rFonts w:hint="default" w:ascii="Arial" w:hAnsi="Arial" w:cs="Arial"/>
                <w:highlight w:val="none"/>
              </w:rPr>
              <w:t>Barriers, motivators, awareness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710B3A">
            <w:pPr>
              <w:rPr>
                <w:rFonts w:hint="default" w:ascii="Arial" w:hAnsi="Arial" w:cs="Arial"/>
                <w:highlight w:val="none"/>
              </w:rPr>
            </w:pPr>
            <w:r>
              <w:rPr>
                <w:rFonts w:hint="default" w:ascii="Arial" w:hAnsi="Arial" w:cs="Arial"/>
                <w:highlight w:val="none"/>
              </w:rPr>
              <w:t>Thematic analysis; gender, social factors explored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9C8A029">
            <w:pPr>
              <w:rPr>
                <w:rFonts w:hint="default" w:ascii="Arial" w:hAnsi="Arial" w:cs="Arial"/>
                <w:highlight w:val="none"/>
              </w:rPr>
            </w:pPr>
            <w:r>
              <w:rPr>
                <w:rFonts w:hint="default" w:ascii="Arial" w:hAnsi="Arial" w:cs="Arial"/>
                <w:highlight w:val="none"/>
              </w:rPr>
              <w:t>Good awareness but poor guideline knowledge; lack of resistance training awareness</w:t>
            </w:r>
          </w:p>
        </w:tc>
      </w:tr>
      <w:tr w14:paraId="0D4EE9A3">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A1B357">
            <w:pPr>
              <w:rPr>
                <w:rFonts w:hint="default" w:ascii="Arial" w:hAnsi="Arial" w:cs="Arial"/>
                <w:highlight w:val="none"/>
              </w:rPr>
            </w:pPr>
            <w:r>
              <w:rPr>
                <w:rFonts w:hint="default" w:ascii="Arial" w:hAnsi="Arial" w:cs="Arial"/>
                <w:highlight w:val="none"/>
              </w:rPr>
              <w:t>Dilla et al. (2020); UK</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6A015E">
            <w:pPr>
              <w:rPr>
                <w:rFonts w:hint="default" w:ascii="Arial" w:hAnsi="Arial" w:cs="Arial"/>
                <w:highlight w:val="none"/>
              </w:rPr>
            </w:pPr>
            <w:r>
              <w:rPr>
                <w:rFonts w:hint="default" w:ascii="Arial" w:hAnsi="Arial" w:cs="Arial"/>
                <w:highlight w:val="none"/>
              </w:rPr>
              <w:t>Qualitative (grounded theory); South Asian MI patients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C38183">
            <w:pPr>
              <w:rPr>
                <w:rFonts w:hint="default" w:ascii="Arial" w:hAnsi="Arial" w:cs="Arial"/>
                <w:highlight w:val="none"/>
              </w:rPr>
            </w:pPr>
            <w:r>
              <w:rPr>
                <w:rFonts w:hint="default" w:ascii="Arial" w:hAnsi="Arial" w:cs="Arial"/>
                <w:highlight w:val="none"/>
              </w:rPr>
              <w:t>Not stated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4C5CEC">
            <w:pPr>
              <w:rPr>
                <w:rFonts w:hint="default" w:ascii="Arial" w:hAnsi="Arial" w:cs="Arial"/>
                <w:highlight w:val="none"/>
              </w:rPr>
            </w:pPr>
            <w:r>
              <w:rPr>
                <w:rFonts w:hint="default" w:ascii="Arial" w:hAnsi="Arial" w:cs="Arial"/>
                <w:highlight w:val="none"/>
              </w:rPr>
              <w:t>3 &amp; 16 weeks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D95BDE0">
            <w:pPr>
              <w:rPr>
                <w:rFonts w:hint="default" w:ascii="Arial" w:hAnsi="Arial" w:cs="Arial"/>
                <w:highlight w:val="none"/>
              </w:rPr>
            </w:pPr>
            <w:r>
              <w:rPr>
                <w:rFonts w:hint="default" w:ascii="Arial" w:hAnsi="Arial" w:cs="Arial"/>
                <w:highlight w:val="none"/>
              </w:rPr>
              <w:t>Lifestyle modification post-MI</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A202D5">
            <w:pPr>
              <w:rPr>
                <w:rFonts w:hint="default" w:ascii="Arial" w:hAnsi="Arial" w:cs="Arial"/>
                <w:highlight w:val="none"/>
              </w:rPr>
            </w:pPr>
            <w:r>
              <w:rPr>
                <w:rFonts w:hint="default" w:ascii="Arial" w:hAnsi="Arial" w:cs="Arial"/>
                <w:highlight w:val="none"/>
              </w:rPr>
              <w:t>Behaviour changes decisions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5371A9">
            <w:pPr>
              <w:rPr>
                <w:rFonts w:hint="default" w:ascii="Arial" w:hAnsi="Arial" w:cs="Arial"/>
                <w:highlight w:val="none"/>
              </w:rPr>
            </w:pPr>
            <w:r>
              <w:rPr>
                <w:rFonts w:hint="default" w:ascii="Arial" w:hAnsi="Arial" w:cs="Arial"/>
                <w:highlight w:val="none"/>
              </w:rPr>
              <w:t>Grounded theory; cultural &amp; family factors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3C106D">
            <w:pPr>
              <w:rPr>
                <w:rFonts w:hint="default" w:ascii="Arial" w:hAnsi="Arial" w:cs="Arial"/>
                <w:highlight w:val="none"/>
              </w:rPr>
            </w:pPr>
            <w:r>
              <w:rPr>
                <w:rFonts w:hint="default" w:ascii="Arial" w:hAnsi="Arial" w:cs="Arial"/>
                <w:highlight w:val="none"/>
              </w:rPr>
              <w:t>Family priorities override health; “harmony” influences decisions</w:t>
            </w:r>
          </w:p>
        </w:tc>
      </w:tr>
      <w:tr w14:paraId="2CDEF3CD">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65C2FF">
            <w:pPr>
              <w:rPr>
                <w:rFonts w:hint="default" w:ascii="Arial" w:hAnsi="Arial" w:cs="Arial"/>
                <w:highlight w:val="none"/>
              </w:rPr>
            </w:pPr>
            <w:r>
              <w:rPr>
                <w:rFonts w:hint="default" w:ascii="Arial" w:hAnsi="Arial" w:cs="Arial"/>
                <w:highlight w:val="none"/>
              </w:rPr>
              <w:t>Eastwood et al. (2013); UK (London)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F66DA2">
            <w:pPr>
              <w:rPr>
                <w:rFonts w:hint="default" w:ascii="Arial" w:hAnsi="Arial" w:cs="Arial"/>
                <w:highlight w:val="none"/>
              </w:rPr>
            </w:pPr>
            <w:r>
              <w:rPr>
                <w:rFonts w:hint="default" w:ascii="Arial" w:hAnsi="Arial" w:cs="Arial"/>
                <w:highlight w:val="none"/>
              </w:rPr>
              <w:t>Qualitative; community members &amp; stakeholders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D88DC8">
            <w:pPr>
              <w:rPr>
                <w:rFonts w:hint="default" w:ascii="Arial" w:hAnsi="Arial" w:cs="Arial"/>
                <w:highlight w:val="none"/>
              </w:rPr>
            </w:pPr>
            <w:r>
              <w:rPr>
                <w:rFonts w:hint="default" w:ascii="Arial" w:hAnsi="Arial" w:cs="Arial"/>
                <w:highlight w:val="none"/>
              </w:rPr>
              <w:t>24</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C418C1">
            <w:pPr>
              <w:rPr>
                <w:rFonts w:hint="default" w:ascii="Arial" w:hAnsi="Arial" w:cs="Arial"/>
                <w:highlight w:val="none"/>
              </w:rPr>
            </w:pPr>
            <w:r>
              <w:rPr>
                <w:rFonts w:hint="default" w:ascii="Arial" w:hAnsi="Arial" w:cs="Arial"/>
                <w:highlight w:val="none"/>
              </w:rPr>
              <w:t>N/A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F6A1EA">
            <w:pPr>
              <w:rPr>
                <w:rFonts w:hint="default" w:ascii="Arial" w:hAnsi="Arial" w:cs="Arial"/>
                <w:highlight w:val="none"/>
              </w:rPr>
            </w:pPr>
            <w:r>
              <w:rPr>
                <w:rFonts w:hint="default" w:ascii="Arial" w:hAnsi="Arial" w:cs="Arial"/>
                <w:highlight w:val="none"/>
              </w:rPr>
              <w:t>CVD risk assessment participation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AE8D3D">
            <w:pPr>
              <w:rPr>
                <w:rFonts w:hint="default" w:ascii="Arial" w:hAnsi="Arial" w:cs="Arial"/>
                <w:highlight w:val="none"/>
              </w:rPr>
            </w:pPr>
            <w:r>
              <w:rPr>
                <w:rFonts w:hint="default" w:ascii="Arial" w:hAnsi="Arial" w:cs="Arial"/>
                <w:highlight w:val="none"/>
              </w:rPr>
              <w:t>Lifestyle change, engagement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6D211F">
            <w:pPr>
              <w:rPr>
                <w:rFonts w:hint="default" w:ascii="Arial" w:hAnsi="Arial" w:cs="Arial"/>
                <w:highlight w:val="none"/>
              </w:rPr>
            </w:pPr>
            <w:r>
              <w:rPr>
                <w:rFonts w:hint="default" w:ascii="Arial" w:hAnsi="Arial" w:cs="Arial"/>
                <w:highlight w:val="none"/>
              </w:rPr>
              <w:t>Thematic analysis; community context explored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9C7270">
            <w:pPr>
              <w:rPr>
                <w:rFonts w:hint="default" w:ascii="Arial" w:hAnsi="Arial" w:cs="Arial"/>
                <w:highlight w:val="none"/>
              </w:rPr>
            </w:pPr>
            <w:r>
              <w:rPr>
                <w:rFonts w:hint="default" w:ascii="Arial" w:hAnsi="Arial" w:cs="Arial"/>
                <w:highlight w:val="none"/>
              </w:rPr>
              <w:t>Community settings improved access; barriers include privacy &amp; follow-up</w:t>
            </w:r>
          </w:p>
        </w:tc>
      </w:tr>
      <w:tr w14:paraId="0ABC2924">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3BD366">
            <w:pPr>
              <w:rPr>
                <w:rFonts w:hint="default" w:ascii="Arial" w:hAnsi="Arial" w:cs="Arial"/>
                <w:highlight w:val="none"/>
              </w:rPr>
            </w:pPr>
            <w:r>
              <w:rPr>
                <w:rFonts w:hint="default" w:ascii="Arial" w:hAnsi="Arial" w:cs="Arial"/>
                <w:highlight w:val="none"/>
              </w:rPr>
              <w:t>Fowokan et al. (2020); UK</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298DF4">
            <w:pPr>
              <w:rPr>
                <w:rFonts w:hint="default" w:ascii="Arial" w:hAnsi="Arial" w:cs="Arial"/>
                <w:highlight w:val="none"/>
              </w:rPr>
            </w:pPr>
            <w:r>
              <w:rPr>
                <w:rFonts w:hint="default" w:ascii="Arial" w:hAnsi="Arial" w:cs="Arial"/>
                <w:highlight w:val="none"/>
              </w:rPr>
              <w:t>Qualitative; South Asian children &amp; parents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378F53">
            <w:pPr>
              <w:rPr>
                <w:rFonts w:hint="default" w:ascii="Arial" w:hAnsi="Arial" w:cs="Arial"/>
                <w:highlight w:val="none"/>
              </w:rPr>
            </w:pPr>
            <w:r>
              <w:rPr>
                <w:rFonts w:hint="default" w:ascii="Arial" w:hAnsi="Arial" w:cs="Arial"/>
                <w:highlight w:val="none"/>
              </w:rPr>
              <w:t>13 dyads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824882">
            <w:pPr>
              <w:rPr>
                <w:rFonts w:hint="default" w:ascii="Arial" w:hAnsi="Arial" w:cs="Arial"/>
                <w:highlight w:val="none"/>
              </w:rPr>
            </w:pPr>
            <w:r>
              <w:rPr>
                <w:rFonts w:hint="default" w:ascii="Arial" w:hAnsi="Arial" w:cs="Arial"/>
                <w:highlight w:val="none"/>
              </w:rPr>
              <w:t>N/A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24A215">
            <w:pPr>
              <w:rPr>
                <w:rFonts w:hint="default" w:ascii="Arial" w:hAnsi="Arial" w:cs="Arial"/>
                <w:highlight w:val="none"/>
              </w:rPr>
            </w:pPr>
            <w:r>
              <w:rPr>
                <w:rFonts w:hint="default" w:ascii="Arial" w:hAnsi="Arial" w:cs="Arial"/>
                <w:highlight w:val="none"/>
              </w:rPr>
              <w:t>Knowledge of CVD risk, diet, and PA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6AC709">
            <w:pPr>
              <w:rPr>
                <w:rFonts w:hint="default" w:ascii="Arial" w:hAnsi="Arial" w:cs="Arial"/>
                <w:highlight w:val="none"/>
              </w:rPr>
            </w:pPr>
            <w:r>
              <w:rPr>
                <w:rFonts w:hint="default" w:ascii="Arial" w:hAnsi="Arial" w:cs="Arial"/>
                <w:highlight w:val="none"/>
              </w:rPr>
              <w:t>Behaviour vs knowledge gap</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628214">
            <w:pPr>
              <w:rPr>
                <w:rFonts w:hint="default" w:ascii="Arial" w:hAnsi="Arial" w:cs="Arial"/>
                <w:highlight w:val="none"/>
              </w:rPr>
            </w:pPr>
            <w:r>
              <w:rPr>
                <w:rFonts w:hint="default" w:ascii="Arial" w:hAnsi="Arial" w:cs="Arial"/>
                <w:highlight w:val="none"/>
              </w:rPr>
              <w:t>Thematic analysis; family/social dynamics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2522FD">
            <w:pPr>
              <w:rPr>
                <w:rFonts w:hint="default" w:ascii="Arial" w:hAnsi="Arial" w:cs="Arial"/>
                <w:highlight w:val="none"/>
              </w:rPr>
            </w:pPr>
            <w:r>
              <w:rPr>
                <w:rFonts w:hint="default" w:ascii="Arial" w:hAnsi="Arial" w:cs="Arial"/>
                <w:highlight w:val="none"/>
              </w:rPr>
              <w:t>Good knowledge but poor behaviour translation; cultural influence is strong</w:t>
            </w:r>
          </w:p>
        </w:tc>
      </w:tr>
      <w:tr w14:paraId="5B2C5888">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830CD6">
            <w:pPr>
              <w:rPr>
                <w:rFonts w:hint="default" w:ascii="Arial" w:hAnsi="Arial" w:cs="Arial"/>
                <w:highlight w:val="none"/>
              </w:rPr>
            </w:pPr>
            <w:r>
              <w:rPr>
                <w:rFonts w:hint="default" w:ascii="Arial" w:hAnsi="Arial" w:cs="Arial"/>
                <w:highlight w:val="none"/>
              </w:rPr>
              <w:t>Jalal et al. (2018); UK (London)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9067E1">
            <w:pPr>
              <w:rPr>
                <w:rFonts w:hint="default" w:ascii="Arial" w:hAnsi="Arial" w:cs="Arial"/>
                <w:highlight w:val="none"/>
              </w:rPr>
            </w:pPr>
            <w:r>
              <w:rPr>
                <w:rFonts w:hint="default" w:ascii="Arial" w:hAnsi="Arial" w:cs="Arial"/>
                <w:highlight w:val="none"/>
              </w:rPr>
              <w:t>Mixed-method; South Asian &amp; non-South Asian CHD patients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EDD935">
            <w:pPr>
              <w:rPr>
                <w:rFonts w:hint="default" w:ascii="Arial" w:hAnsi="Arial" w:cs="Arial"/>
                <w:highlight w:val="none"/>
              </w:rPr>
            </w:pPr>
            <w:r>
              <w:rPr>
                <w:rFonts w:hint="default" w:ascii="Arial" w:hAnsi="Arial" w:cs="Arial"/>
                <w:highlight w:val="none"/>
              </w:rPr>
              <w:t>71</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B2C87B">
            <w:pPr>
              <w:rPr>
                <w:rFonts w:hint="default" w:ascii="Arial" w:hAnsi="Arial" w:cs="Arial"/>
                <w:highlight w:val="none"/>
              </w:rPr>
            </w:pPr>
            <w:r>
              <w:rPr>
                <w:rFonts w:hint="default" w:ascii="Arial" w:hAnsi="Arial" w:cs="Arial"/>
                <w:highlight w:val="none"/>
              </w:rPr>
              <w:t>6 months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C1E4D5">
            <w:pPr>
              <w:rPr>
                <w:rFonts w:hint="default" w:ascii="Arial" w:hAnsi="Arial" w:cs="Arial"/>
                <w:highlight w:val="none"/>
              </w:rPr>
            </w:pPr>
            <w:r>
              <w:rPr>
                <w:rFonts w:hint="default" w:ascii="Arial" w:hAnsi="Arial" w:cs="Arial"/>
                <w:highlight w:val="none"/>
              </w:rPr>
              <w:t>Medication adherence (Morisky), beliefs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74AA86">
            <w:pPr>
              <w:rPr>
                <w:rFonts w:hint="default" w:ascii="Arial" w:hAnsi="Arial" w:cs="Arial"/>
                <w:highlight w:val="none"/>
              </w:rPr>
            </w:pPr>
            <w:r>
              <w:rPr>
                <w:rFonts w:hint="default" w:ascii="Arial" w:hAnsi="Arial" w:cs="Arial"/>
                <w:highlight w:val="none"/>
              </w:rPr>
              <w:t>Adherence patterns, illness beliefs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BECD24">
            <w:pPr>
              <w:rPr>
                <w:rFonts w:hint="default" w:ascii="Arial" w:hAnsi="Arial" w:cs="Arial"/>
                <w:highlight w:val="none"/>
              </w:rPr>
            </w:pPr>
            <w:r>
              <w:rPr>
                <w:rFonts w:hint="default" w:ascii="Arial" w:hAnsi="Arial" w:cs="Arial"/>
                <w:highlight w:val="none"/>
              </w:rPr>
              <w:t>thematic; group comparison</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D0BE96">
            <w:pPr>
              <w:rPr>
                <w:rFonts w:hint="default" w:ascii="Arial" w:hAnsi="Arial" w:cs="Arial"/>
                <w:highlight w:val="none"/>
              </w:rPr>
            </w:pPr>
            <w:r>
              <w:rPr>
                <w:rFonts w:hint="default" w:ascii="Arial" w:hAnsi="Arial" w:cs="Arial"/>
                <w:highlight w:val="none"/>
              </w:rPr>
              <w:t>Belief in medicines is high; adherence declines over time; cultural beliefs affect understanding.</w:t>
            </w:r>
          </w:p>
        </w:tc>
      </w:tr>
      <w:tr w14:paraId="3A34BCC5">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4D43A7">
            <w:pPr>
              <w:rPr>
                <w:rFonts w:hint="default" w:ascii="Arial" w:hAnsi="Arial" w:cs="Arial"/>
                <w:highlight w:val="none"/>
              </w:rPr>
            </w:pPr>
            <w:r>
              <w:rPr>
                <w:rFonts w:hint="default" w:ascii="Arial" w:hAnsi="Arial" w:cs="Arial"/>
                <w:highlight w:val="none"/>
              </w:rPr>
              <w:t>Jepson et al. (2012); UK (Scotland)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294D3C">
            <w:pPr>
              <w:rPr>
                <w:rFonts w:hint="default" w:ascii="Arial" w:hAnsi="Arial" w:cs="Arial"/>
                <w:highlight w:val="none"/>
              </w:rPr>
            </w:pPr>
            <w:r>
              <w:rPr>
                <w:rFonts w:hint="default" w:ascii="Arial" w:hAnsi="Arial" w:cs="Arial"/>
                <w:highlight w:val="none"/>
              </w:rPr>
              <w:t>Qualitative; South Asian adults &amp;key informants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84E264">
            <w:pPr>
              <w:rPr>
                <w:rFonts w:hint="default" w:ascii="Arial" w:hAnsi="Arial" w:cs="Arial"/>
                <w:highlight w:val="none"/>
              </w:rPr>
            </w:pPr>
            <w:r>
              <w:rPr>
                <w:rFonts w:hint="default" w:ascii="Arial" w:hAnsi="Arial" w:cs="Arial"/>
                <w:highlight w:val="none"/>
              </w:rPr>
              <w:t>69</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EE103D">
            <w:pPr>
              <w:rPr>
                <w:rFonts w:hint="default" w:ascii="Arial" w:hAnsi="Arial" w:cs="Arial"/>
                <w:highlight w:val="none"/>
              </w:rPr>
            </w:pPr>
            <w:r>
              <w:rPr>
                <w:rFonts w:hint="default" w:ascii="Arial" w:hAnsi="Arial" w:cs="Arial"/>
                <w:highlight w:val="none"/>
              </w:rPr>
              <w:t>N/A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F1BBF2">
            <w:pPr>
              <w:rPr>
                <w:rFonts w:hint="default" w:ascii="Arial" w:hAnsi="Arial" w:cs="Arial"/>
                <w:highlight w:val="none"/>
              </w:rPr>
            </w:pPr>
            <w:r>
              <w:rPr>
                <w:rFonts w:hint="default" w:ascii="Arial" w:hAnsi="Arial" w:cs="Arial"/>
                <w:highlight w:val="none"/>
              </w:rPr>
              <w:t>Physical activity behaviours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C3E6D7">
            <w:pPr>
              <w:rPr>
                <w:rFonts w:hint="default" w:ascii="Arial" w:hAnsi="Arial" w:cs="Arial"/>
                <w:highlight w:val="none"/>
              </w:rPr>
            </w:pPr>
            <w:r>
              <w:rPr>
                <w:rFonts w:hint="default" w:ascii="Arial" w:hAnsi="Arial" w:cs="Arial"/>
                <w:highlight w:val="none"/>
              </w:rPr>
              <w:t>Motivators &amp; facilitators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7B9B39">
            <w:pPr>
              <w:rPr>
                <w:rFonts w:hint="default" w:ascii="Arial" w:hAnsi="Arial" w:cs="Arial"/>
                <w:highlight w:val="none"/>
              </w:rPr>
            </w:pPr>
            <w:r>
              <w:rPr>
                <w:rFonts w:hint="default" w:ascii="Arial" w:hAnsi="Arial" w:cs="Arial"/>
                <w:highlight w:val="none"/>
              </w:rPr>
              <w:t>Thematic analysis; social/gender factors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FEC0BC">
            <w:pPr>
              <w:rPr>
                <w:rFonts w:hint="default" w:ascii="Arial" w:hAnsi="Arial" w:cs="Arial"/>
                <w:highlight w:val="none"/>
              </w:rPr>
            </w:pPr>
            <w:r>
              <w:rPr>
                <w:rFonts w:hint="default" w:ascii="Arial" w:hAnsi="Arial" w:cs="Arial"/>
                <w:highlight w:val="none"/>
              </w:rPr>
              <w:t>External motivators dominate; social support &amp; role models key</w:t>
            </w:r>
          </w:p>
        </w:tc>
      </w:tr>
      <w:tr w14:paraId="55F8E449">
        <w:tblPrEx>
          <w:tblCellMar>
            <w:top w:w="15" w:type="dxa"/>
            <w:left w:w="15" w:type="dxa"/>
            <w:bottom w:w="15" w:type="dxa"/>
            <w:right w:w="15"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3AAE8E">
            <w:pPr>
              <w:rPr>
                <w:rFonts w:hint="default" w:ascii="Arial" w:hAnsi="Arial" w:cs="Arial"/>
                <w:highlight w:val="none"/>
              </w:rPr>
            </w:pPr>
            <w:r>
              <w:rPr>
                <w:rFonts w:hint="default" w:ascii="Arial" w:hAnsi="Arial" w:cs="Arial"/>
                <w:highlight w:val="none"/>
              </w:rPr>
              <w:t>Singh et al. (2025); UK (Birmingham)</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474106">
            <w:pPr>
              <w:rPr>
                <w:rFonts w:hint="default" w:ascii="Arial" w:hAnsi="Arial" w:cs="Arial"/>
                <w:highlight w:val="none"/>
              </w:rPr>
            </w:pPr>
            <w:r>
              <w:rPr>
                <w:rFonts w:hint="default" w:ascii="Arial" w:hAnsi="Arial" w:cs="Arial"/>
                <w:highlight w:val="none"/>
              </w:rPr>
              <w:t>Qualitative; South Asian healthcare students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9648F1">
            <w:pPr>
              <w:rPr>
                <w:rFonts w:hint="default" w:ascii="Arial" w:hAnsi="Arial" w:cs="Arial"/>
                <w:highlight w:val="none"/>
              </w:rPr>
            </w:pPr>
            <w:r>
              <w:rPr>
                <w:rFonts w:hint="default" w:ascii="Arial" w:hAnsi="Arial" w:cs="Arial"/>
                <w:highlight w:val="none"/>
              </w:rPr>
              <w:t>10</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78FD26">
            <w:pPr>
              <w:rPr>
                <w:rFonts w:hint="default" w:ascii="Arial" w:hAnsi="Arial" w:cs="Arial"/>
                <w:highlight w:val="none"/>
              </w:rPr>
            </w:pPr>
            <w:r>
              <w:rPr>
                <w:rFonts w:hint="default" w:ascii="Arial" w:hAnsi="Arial" w:cs="Arial"/>
                <w:highlight w:val="none"/>
              </w:rPr>
              <w:t>N/A</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946C1A">
            <w:pPr>
              <w:rPr>
                <w:rFonts w:hint="default" w:ascii="Arial" w:hAnsi="Arial" w:cs="Arial"/>
                <w:highlight w:val="none"/>
              </w:rPr>
            </w:pPr>
            <w:r>
              <w:rPr>
                <w:rFonts w:hint="default" w:ascii="Arial" w:hAnsi="Arial" w:cs="Arial"/>
                <w:highlight w:val="none"/>
              </w:rPr>
              <w:t>Alcohol &amp; CVD knowledge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03FE5A">
            <w:pPr>
              <w:rPr>
                <w:rFonts w:hint="default" w:ascii="Arial" w:hAnsi="Arial" w:cs="Arial"/>
                <w:highlight w:val="none"/>
              </w:rPr>
            </w:pPr>
            <w:r>
              <w:rPr>
                <w:rFonts w:hint="default" w:ascii="Arial" w:hAnsi="Arial" w:cs="Arial"/>
                <w:highlight w:val="none"/>
              </w:rPr>
              <w:t>Awareness, attitudes, behaviours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41CBE3">
            <w:pPr>
              <w:rPr>
                <w:rFonts w:hint="default" w:ascii="Arial" w:hAnsi="Arial" w:cs="Arial"/>
                <w:highlight w:val="none"/>
              </w:rPr>
            </w:pPr>
            <w:r>
              <w:rPr>
                <w:rFonts w:hint="default" w:ascii="Arial" w:hAnsi="Arial" w:cs="Arial"/>
                <w:highlight w:val="none"/>
              </w:rPr>
              <w:t>Thematic analysis; cultural &amp; age factors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37B3C8">
            <w:pPr>
              <w:rPr>
                <w:rFonts w:hint="default" w:ascii="Arial" w:hAnsi="Arial" w:cs="Arial"/>
                <w:highlight w:val="none"/>
              </w:rPr>
            </w:pPr>
            <w:r>
              <w:rPr>
                <w:rFonts w:hint="default" w:ascii="Arial" w:hAnsi="Arial" w:cs="Arial"/>
                <w:highlight w:val="none"/>
              </w:rPr>
              <w:t>Poor understanding of alcohol-CVD link; cultural “clash”; pharmacists underutilised</w:t>
            </w:r>
          </w:p>
        </w:tc>
      </w:tr>
    </w:tbl>
    <w:p w14:paraId="485A9C2F">
      <w:pPr>
        <w:jc w:val="left"/>
        <w:rPr>
          <w:rFonts w:hint="default" w:ascii="Arial" w:hAnsi="Arial" w:cs="Arial"/>
          <w:highlight w:val="none"/>
        </w:rPr>
      </w:pPr>
      <w:r>
        <w:rPr>
          <w:rFonts w:hint="default" w:ascii="Arial" w:hAnsi="Arial" w:cs="Arial"/>
          <w:highlight w:val="none"/>
        </w:rPr>
        <w:br w:type="page"/>
      </w:r>
    </w:p>
    <w:p w14:paraId="5726A4D8">
      <w:pPr>
        <w:pStyle w:val="3"/>
        <w:spacing w:line="480" w:lineRule="auto"/>
        <w:ind w:left="0"/>
        <w:rPr>
          <w:rFonts w:hint="default" w:ascii="Arial" w:hAnsi="Arial" w:cs="Arial"/>
          <w:highlight w:val="none"/>
        </w:rPr>
        <w:sectPr>
          <w:pgSz w:w="11906" w:h="16838"/>
          <w:pgMar w:top="1440" w:right="1440" w:bottom="1440" w:left="1440" w:header="708" w:footer="708" w:gutter="0"/>
          <w:cols w:space="708" w:num="1"/>
          <w:docGrid w:linePitch="360" w:charSpace="0"/>
        </w:sectPr>
      </w:pPr>
    </w:p>
    <w:p w14:paraId="008ED048">
      <w:pPr>
        <w:pStyle w:val="3"/>
        <w:spacing w:line="480" w:lineRule="auto"/>
        <w:ind w:left="0"/>
        <w:rPr>
          <w:rFonts w:hint="default" w:ascii="Arial" w:hAnsi="Arial" w:cs="Arial"/>
          <w:highlight w:val="none"/>
        </w:rPr>
      </w:pPr>
      <w:bookmarkStart w:id="178" w:name="_Toc3217"/>
      <w:r>
        <w:rPr>
          <w:rFonts w:hint="default" w:ascii="Arial" w:hAnsi="Arial" w:cs="Arial"/>
          <w:highlight w:val="none"/>
        </w:rPr>
        <w:t>Appendix 2: CASP Checklist for Qualitative Studies</w:t>
      </w:r>
      <w:bookmarkEnd w:id="178"/>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4"/>
        <w:gridCol w:w="1843"/>
        <w:gridCol w:w="1072"/>
        <w:gridCol w:w="946"/>
        <w:gridCol w:w="1451"/>
        <w:gridCol w:w="947"/>
        <w:gridCol w:w="1365"/>
        <w:gridCol w:w="1280"/>
        <w:gridCol w:w="1097"/>
        <w:gridCol w:w="949"/>
        <w:gridCol w:w="960"/>
      </w:tblGrid>
      <w:tr w14:paraId="55497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D91D85">
            <w:pPr>
              <w:pStyle w:val="8"/>
              <w:widowControl w:val="0"/>
              <w:autoSpaceDE w:val="0"/>
              <w:autoSpaceDN w:val="0"/>
              <w:rPr>
                <w:rFonts w:hint="default" w:ascii="Arial" w:hAnsi="Arial" w:cs="Arial"/>
                <w:b/>
                <w:bCs/>
                <w:highlight w:val="none"/>
              </w:rPr>
            </w:pPr>
            <w:r>
              <w:rPr>
                <w:rFonts w:hint="default" w:ascii="Arial" w:hAnsi="Arial" w:cs="Arial"/>
                <w:b/>
                <w:bCs/>
                <w:highlight w:val="none"/>
              </w:rPr>
              <w:t>Question</w:t>
            </w:r>
          </w:p>
        </w:tc>
        <w:tc>
          <w:tcPr>
            <w:tcW w:w="0" w:type="auto"/>
          </w:tcPr>
          <w:p w14:paraId="014E361D">
            <w:pPr>
              <w:pStyle w:val="8"/>
              <w:widowControl w:val="0"/>
              <w:autoSpaceDE w:val="0"/>
              <w:autoSpaceDN w:val="0"/>
              <w:rPr>
                <w:rFonts w:hint="default" w:ascii="Arial" w:hAnsi="Arial" w:cs="Arial"/>
                <w:b/>
                <w:bCs/>
                <w:highlight w:val="none"/>
              </w:rPr>
            </w:pPr>
            <w:r>
              <w:rPr>
                <w:rFonts w:hint="default" w:ascii="Arial" w:hAnsi="Arial" w:cs="Arial"/>
                <w:b/>
                <w:bCs/>
                <w:highlight w:val="none"/>
              </w:rPr>
              <w:t>Bhattacharyya et al. (2016)</w:t>
            </w:r>
          </w:p>
        </w:tc>
        <w:tc>
          <w:tcPr>
            <w:tcW w:w="0" w:type="auto"/>
          </w:tcPr>
          <w:p w14:paraId="307E9764">
            <w:pPr>
              <w:pStyle w:val="8"/>
              <w:widowControl w:val="0"/>
              <w:autoSpaceDE w:val="0"/>
              <w:autoSpaceDN w:val="0"/>
              <w:rPr>
                <w:rFonts w:hint="default" w:ascii="Arial" w:hAnsi="Arial" w:cs="Arial"/>
                <w:b/>
                <w:bCs/>
                <w:highlight w:val="none"/>
              </w:rPr>
            </w:pPr>
            <w:r>
              <w:rPr>
                <w:rFonts w:hint="default" w:ascii="Arial" w:hAnsi="Arial" w:cs="Arial"/>
                <w:b/>
                <w:bCs/>
                <w:highlight w:val="none"/>
              </w:rPr>
              <w:t>Bardell et al. (2015)</w:t>
            </w:r>
          </w:p>
        </w:tc>
        <w:tc>
          <w:tcPr>
            <w:tcW w:w="0" w:type="auto"/>
          </w:tcPr>
          <w:p w14:paraId="03829FE9">
            <w:pPr>
              <w:pStyle w:val="8"/>
              <w:widowControl w:val="0"/>
              <w:autoSpaceDE w:val="0"/>
              <w:autoSpaceDN w:val="0"/>
              <w:rPr>
                <w:rFonts w:hint="default" w:ascii="Arial" w:hAnsi="Arial" w:cs="Arial"/>
                <w:b/>
                <w:bCs/>
                <w:highlight w:val="none"/>
              </w:rPr>
            </w:pPr>
            <w:r>
              <w:rPr>
                <w:rFonts w:hint="default" w:ascii="Arial" w:hAnsi="Arial" w:cs="Arial"/>
                <w:b/>
                <w:bCs/>
                <w:highlight w:val="none"/>
              </w:rPr>
              <w:t>Darr et al. (2008)</w:t>
            </w:r>
          </w:p>
        </w:tc>
        <w:tc>
          <w:tcPr>
            <w:tcW w:w="0" w:type="auto"/>
          </w:tcPr>
          <w:p w14:paraId="453D4E93">
            <w:pPr>
              <w:pStyle w:val="8"/>
              <w:widowControl w:val="0"/>
              <w:autoSpaceDE w:val="0"/>
              <w:autoSpaceDN w:val="0"/>
              <w:rPr>
                <w:rFonts w:hint="default" w:ascii="Arial" w:hAnsi="Arial" w:cs="Arial"/>
                <w:b/>
                <w:bCs/>
                <w:highlight w:val="none"/>
              </w:rPr>
            </w:pPr>
            <w:r>
              <w:rPr>
                <w:rFonts w:hint="default" w:ascii="Arial" w:hAnsi="Arial" w:cs="Arial"/>
                <w:b/>
                <w:bCs/>
                <w:highlight w:val="none"/>
              </w:rPr>
              <w:t>Deshmukh et al. (2025)</w:t>
            </w:r>
          </w:p>
        </w:tc>
        <w:tc>
          <w:tcPr>
            <w:tcW w:w="0" w:type="auto"/>
          </w:tcPr>
          <w:p w14:paraId="5BFC43F1">
            <w:pPr>
              <w:pStyle w:val="8"/>
              <w:widowControl w:val="0"/>
              <w:autoSpaceDE w:val="0"/>
              <w:autoSpaceDN w:val="0"/>
              <w:rPr>
                <w:rFonts w:hint="default" w:ascii="Arial" w:hAnsi="Arial" w:cs="Arial"/>
                <w:b/>
                <w:bCs/>
                <w:highlight w:val="none"/>
              </w:rPr>
            </w:pPr>
            <w:r>
              <w:rPr>
                <w:rFonts w:hint="default" w:ascii="Arial" w:hAnsi="Arial" w:cs="Arial"/>
                <w:b/>
                <w:bCs/>
                <w:highlight w:val="none"/>
              </w:rPr>
              <w:t>Dilla et al. (2020)</w:t>
            </w:r>
          </w:p>
        </w:tc>
        <w:tc>
          <w:tcPr>
            <w:tcW w:w="0" w:type="auto"/>
          </w:tcPr>
          <w:p w14:paraId="77C7514F">
            <w:pPr>
              <w:pStyle w:val="8"/>
              <w:widowControl w:val="0"/>
              <w:autoSpaceDE w:val="0"/>
              <w:autoSpaceDN w:val="0"/>
              <w:rPr>
                <w:rFonts w:hint="default" w:ascii="Arial" w:hAnsi="Arial" w:cs="Arial"/>
                <w:b/>
                <w:bCs/>
                <w:highlight w:val="none"/>
              </w:rPr>
            </w:pPr>
            <w:r>
              <w:rPr>
                <w:rFonts w:hint="default" w:ascii="Arial" w:hAnsi="Arial" w:cs="Arial"/>
                <w:b/>
                <w:bCs/>
                <w:highlight w:val="none"/>
              </w:rPr>
              <w:t>Eastwood et al. (2013)</w:t>
            </w:r>
          </w:p>
        </w:tc>
        <w:tc>
          <w:tcPr>
            <w:tcW w:w="0" w:type="auto"/>
          </w:tcPr>
          <w:p w14:paraId="34873EF5">
            <w:pPr>
              <w:pStyle w:val="8"/>
              <w:widowControl w:val="0"/>
              <w:autoSpaceDE w:val="0"/>
              <w:autoSpaceDN w:val="0"/>
              <w:rPr>
                <w:rFonts w:hint="default" w:ascii="Arial" w:hAnsi="Arial" w:cs="Arial"/>
                <w:b/>
                <w:bCs/>
                <w:highlight w:val="none"/>
              </w:rPr>
            </w:pPr>
            <w:r>
              <w:rPr>
                <w:rFonts w:hint="default" w:ascii="Arial" w:hAnsi="Arial" w:cs="Arial"/>
                <w:b/>
                <w:bCs/>
                <w:highlight w:val="none"/>
              </w:rPr>
              <w:t>Fowokan et al. (2020)</w:t>
            </w:r>
          </w:p>
        </w:tc>
        <w:tc>
          <w:tcPr>
            <w:tcW w:w="0" w:type="auto"/>
          </w:tcPr>
          <w:p w14:paraId="43870F33">
            <w:pPr>
              <w:pStyle w:val="8"/>
              <w:widowControl w:val="0"/>
              <w:autoSpaceDE w:val="0"/>
              <w:autoSpaceDN w:val="0"/>
              <w:rPr>
                <w:rFonts w:hint="default" w:ascii="Arial" w:hAnsi="Arial" w:cs="Arial"/>
                <w:b/>
                <w:bCs/>
                <w:highlight w:val="none"/>
              </w:rPr>
            </w:pPr>
            <w:r>
              <w:rPr>
                <w:rFonts w:hint="default" w:ascii="Arial" w:hAnsi="Arial" w:cs="Arial"/>
                <w:b/>
                <w:bCs/>
                <w:highlight w:val="none"/>
              </w:rPr>
              <w:t>Jepson et al. (2012)</w:t>
            </w:r>
          </w:p>
        </w:tc>
        <w:tc>
          <w:tcPr>
            <w:tcW w:w="0" w:type="auto"/>
          </w:tcPr>
          <w:p w14:paraId="2F5EFB55">
            <w:pPr>
              <w:pStyle w:val="8"/>
              <w:widowControl w:val="0"/>
              <w:autoSpaceDE w:val="0"/>
              <w:autoSpaceDN w:val="0"/>
              <w:rPr>
                <w:rFonts w:hint="default" w:ascii="Arial" w:hAnsi="Arial" w:cs="Arial"/>
                <w:b/>
                <w:bCs/>
                <w:highlight w:val="none"/>
              </w:rPr>
            </w:pPr>
            <w:r>
              <w:rPr>
                <w:rFonts w:hint="default" w:ascii="Arial" w:hAnsi="Arial" w:cs="Arial"/>
                <w:b/>
                <w:bCs/>
                <w:highlight w:val="none"/>
              </w:rPr>
              <w:t>Jalal et al. (2018)</w:t>
            </w:r>
          </w:p>
        </w:tc>
        <w:tc>
          <w:tcPr>
            <w:tcW w:w="0" w:type="auto"/>
          </w:tcPr>
          <w:p w14:paraId="69DCC39E">
            <w:pPr>
              <w:pStyle w:val="8"/>
              <w:widowControl w:val="0"/>
              <w:autoSpaceDE w:val="0"/>
              <w:autoSpaceDN w:val="0"/>
              <w:rPr>
                <w:rFonts w:hint="default" w:ascii="Arial" w:hAnsi="Arial" w:cs="Arial"/>
                <w:b/>
                <w:bCs/>
                <w:highlight w:val="none"/>
              </w:rPr>
            </w:pPr>
            <w:r>
              <w:rPr>
                <w:rFonts w:hint="default" w:ascii="Arial" w:hAnsi="Arial" w:cs="Arial"/>
                <w:b/>
                <w:bCs/>
                <w:highlight w:val="none"/>
              </w:rPr>
              <w:t>Singh et al. (2025)</w:t>
            </w:r>
          </w:p>
        </w:tc>
      </w:tr>
      <w:tr w14:paraId="3E91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B90D67">
            <w:pPr>
              <w:pStyle w:val="8"/>
              <w:widowControl w:val="0"/>
              <w:autoSpaceDE w:val="0"/>
              <w:autoSpaceDN w:val="0"/>
              <w:rPr>
                <w:rFonts w:hint="default" w:ascii="Arial" w:hAnsi="Arial" w:cs="Arial"/>
                <w:highlight w:val="none"/>
              </w:rPr>
            </w:pPr>
            <w:r>
              <w:rPr>
                <w:rFonts w:hint="default" w:ascii="Arial" w:hAnsi="Arial" w:cs="Arial"/>
                <w:highlight w:val="none"/>
              </w:rPr>
              <w:t>Was there a clear statement of the aims of the research?</w:t>
            </w:r>
          </w:p>
        </w:tc>
        <w:tc>
          <w:tcPr>
            <w:tcW w:w="0" w:type="auto"/>
          </w:tcPr>
          <w:p w14:paraId="1C44128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A87339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FD2CEF8">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55AD30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85F036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0120E97">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FC6629D">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8C1FDE0">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5353D84">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36859AD7">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59C1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04EB3E">
            <w:pPr>
              <w:pStyle w:val="8"/>
              <w:widowControl w:val="0"/>
              <w:autoSpaceDE w:val="0"/>
              <w:autoSpaceDN w:val="0"/>
              <w:rPr>
                <w:rFonts w:hint="default" w:ascii="Arial" w:hAnsi="Arial" w:cs="Arial"/>
                <w:highlight w:val="none"/>
              </w:rPr>
            </w:pPr>
            <w:r>
              <w:rPr>
                <w:rFonts w:hint="default" w:ascii="Arial" w:hAnsi="Arial" w:cs="Arial"/>
                <w:highlight w:val="none"/>
              </w:rPr>
              <w:t>Is a qualitative methodology appropriate?</w:t>
            </w:r>
          </w:p>
        </w:tc>
        <w:tc>
          <w:tcPr>
            <w:tcW w:w="0" w:type="auto"/>
          </w:tcPr>
          <w:p w14:paraId="57C147CB">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CEC1F46">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97890AD">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1532B4B">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EB0AC33">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ACACCBD">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11D2894">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6AA9F44">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AACC3F4">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0E62FB9">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6B07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8ABD5C">
            <w:pPr>
              <w:pStyle w:val="8"/>
              <w:widowControl w:val="0"/>
              <w:autoSpaceDE w:val="0"/>
              <w:autoSpaceDN w:val="0"/>
              <w:rPr>
                <w:rFonts w:hint="default" w:ascii="Arial" w:hAnsi="Arial" w:cs="Arial"/>
                <w:highlight w:val="none"/>
              </w:rPr>
            </w:pPr>
            <w:r>
              <w:rPr>
                <w:rFonts w:hint="default" w:ascii="Arial" w:hAnsi="Arial" w:cs="Arial"/>
                <w:highlight w:val="none"/>
              </w:rPr>
              <w:t>Was the research design appropriate to address the aims of the research?</w:t>
            </w:r>
          </w:p>
        </w:tc>
        <w:tc>
          <w:tcPr>
            <w:tcW w:w="0" w:type="auto"/>
          </w:tcPr>
          <w:p w14:paraId="2C8F5AF3">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2A0DEBE">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08DD6EC">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C7AE28B">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3151BAED">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77CD411">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AE04BF7">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9CF40FD">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6EFCDFEE">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627AC3D">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54C02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CE8D81">
            <w:pPr>
              <w:pStyle w:val="8"/>
              <w:widowControl w:val="0"/>
              <w:autoSpaceDE w:val="0"/>
              <w:autoSpaceDN w:val="0"/>
              <w:rPr>
                <w:rFonts w:hint="default" w:ascii="Arial" w:hAnsi="Arial" w:cs="Arial"/>
                <w:highlight w:val="none"/>
              </w:rPr>
            </w:pPr>
            <w:r>
              <w:rPr>
                <w:rFonts w:hint="default" w:ascii="Arial" w:hAnsi="Arial" w:cs="Arial"/>
                <w:highlight w:val="none"/>
              </w:rPr>
              <w:t>Was the recruitment strategy appropriate to the aims of the research?</w:t>
            </w:r>
          </w:p>
        </w:tc>
        <w:tc>
          <w:tcPr>
            <w:tcW w:w="0" w:type="auto"/>
          </w:tcPr>
          <w:p w14:paraId="01175C0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831CA3C">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9285643">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B820E1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763B30B">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66D87E4B">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A71E029">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DB1415D">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342556A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77A9559">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18937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768189">
            <w:pPr>
              <w:pStyle w:val="8"/>
              <w:widowControl w:val="0"/>
              <w:autoSpaceDE w:val="0"/>
              <w:autoSpaceDN w:val="0"/>
              <w:rPr>
                <w:rFonts w:hint="default" w:ascii="Arial" w:hAnsi="Arial" w:cs="Arial"/>
                <w:highlight w:val="none"/>
              </w:rPr>
            </w:pPr>
            <w:r>
              <w:rPr>
                <w:rFonts w:hint="default" w:ascii="Arial" w:hAnsi="Arial" w:cs="Arial"/>
                <w:highlight w:val="none"/>
              </w:rPr>
              <w:t>Was the data collected in a way that addressed the research issue?</w:t>
            </w:r>
          </w:p>
        </w:tc>
        <w:tc>
          <w:tcPr>
            <w:tcW w:w="0" w:type="auto"/>
          </w:tcPr>
          <w:p w14:paraId="5F5445B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3F03CC0F">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FB82CF9">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7A217E9">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07C1C1D">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044F4F8B">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1AB3427">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FFC9FE6">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98F0B67">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6FB547E1">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433A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60F150">
            <w:pPr>
              <w:pStyle w:val="8"/>
              <w:widowControl w:val="0"/>
              <w:autoSpaceDE w:val="0"/>
              <w:autoSpaceDN w:val="0"/>
              <w:rPr>
                <w:rFonts w:hint="default" w:ascii="Arial" w:hAnsi="Arial" w:cs="Arial"/>
                <w:highlight w:val="none"/>
              </w:rPr>
            </w:pPr>
            <w:r>
              <w:rPr>
                <w:rFonts w:hint="default" w:ascii="Arial" w:hAnsi="Arial" w:cs="Arial"/>
                <w:highlight w:val="none"/>
              </w:rPr>
              <w:t>Has the relationship between researcher and participants been adequately considered?</w:t>
            </w:r>
          </w:p>
        </w:tc>
        <w:tc>
          <w:tcPr>
            <w:tcW w:w="0" w:type="auto"/>
          </w:tcPr>
          <w:p w14:paraId="3B1683BF">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69C90FA0">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616953C6">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20BFCD4A">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79335B1C">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423B2919">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72A47B85">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2B239C8C">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10396AD3">
            <w:pPr>
              <w:pStyle w:val="8"/>
              <w:widowControl w:val="0"/>
              <w:autoSpaceDE w:val="0"/>
              <w:autoSpaceDN w:val="0"/>
              <w:rPr>
                <w:rFonts w:hint="default" w:ascii="Arial" w:hAnsi="Arial" w:cs="Arial"/>
                <w:highlight w:val="none"/>
              </w:rPr>
            </w:pPr>
            <w:r>
              <w:rPr>
                <w:rFonts w:hint="default" w:ascii="Arial" w:hAnsi="Arial" w:cs="Arial"/>
                <w:highlight w:val="none"/>
              </w:rPr>
              <w:t>No</w:t>
            </w:r>
          </w:p>
        </w:tc>
        <w:tc>
          <w:tcPr>
            <w:tcW w:w="0" w:type="auto"/>
          </w:tcPr>
          <w:p w14:paraId="05C3CA77">
            <w:pPr>
              <w:pStyle w:val="8"/>
              <w:widowControl w:val="0"/>
              <w:autoSpaceDE w:val="0"/>
              <w:autoSpaceDN w:val="0"/>
              <w:rPr>
                <w:rFonts w:hint="default" w:ascii="Arial" w:hAnsi="Arial" w:cs="Arial"/>
                <w:highlight w:val="none"/>
              </w:rPr>
            </w:pPr>
            <w:r>
              <w:rPr>
                <w:rFonts w:hint="default" w:ascii="Arial" w:hAnsi="Arial" w:cs="Arial"/>
                <w:highlight w:val="none"/>
              </w:rPr>
              <w:t>No</w:t>
            </w:r>
          </w:p>
        </w:tc>
      </w:tr>
      <w:tr w14:paraId="14F0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561BE3">
            <w:pPr>
              <w:pStyle w:val="8"/>
              <w:widowControl w:val="0"/>
              <w:autoSpaceDE w:val="0"/>
              <w:autoSpaceDN w:val="0"/>
              <w:rPr>
                <w:rFonts w:hint="default" w:ascii="Arial" w:hAnsi="Arial" w:cs="Arial"/>
                <w:highlight w:val="none"/>
              </w:rPr>
            </w:pPr>
            <w:r>
              <w:rPr>
                <w:rFonts w:hint="default" w:ascii="Arial" w:hAnsi="Arial" w:cs="Arial"/>
                <w:highlight w:val="none"/>
              </w:rPr>
              <w:t>Have ethical issues been taken into consideration?</w:t>
            </w:r>
          </w:p>
        </w:tc>
        <w:tc>
          <w:tcPr>
            <w:tcW w:w="0" w:type="auto"/>
          </w:tcPr>
          <w:p w14:paraId="2A78BE17">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75213E09">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1755DCA1">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53FDBB9E">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48137FE7">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2F1EA326">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4565C7AA">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6CA99CF2">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c>
          <w:tcPr>
            <w:tcW w:w="0" w:type="auto"/>
          </w:tcPr>
          <w:p w14:paraId="41F6E819">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3832EE69">
            <w:pPr>
              <w:pStyle w:val="8"/>
              <w:widowControl w:val="0"/>
              <w:autoSpaceDE w:val="0"/>
              <w:autoSpaceDN w:val="0"/>
              <w:rPr>
                <w:rFonts w:hint="default" w:ascii="Arial" w:hAnsi="Arial" w:cs="Arial"/>
                <w:highlight w:val="none"/>
              </w:rPr>
            </w:pPr>
            <w:r>
              <w:rPr>
                <w:rFonts w:hint="default" w:ascii="Arial" w:hAnsi="Arial" w:cs="Arial"/>
                <w:highlight w:val="none"/>
              </w:rPr>
              <w:t>Not clear</w:t>
            </w:r>
          </w:p>
        </w:tc>
      </w:tr>
      <w:tr w14:paraId="4003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6BD67D">
            <w:pPr>
              <w:pStyle w:val="8"/>
              <w:widowControl w:val="0"/>
              <w:autoSpaceDE w:val="0"/>
              <w:autoSpaceDN w:val="0"/>
              <w:rPr>
                <w:rFonts w:hint="default" w:ascii="Arial" w:hAnsi="Arial" w:cs="Arial"/>
                <w:highlight w:val="none"/>
              </w:rPr>
            </w:pPr>
            <w:r>
              <w:rPr>
                <w:rFonts w:hint="default" w:ascii="Arial" w:hAnsi="Arial" w:cs="Arial"/>
                <w:highlight w:val="none"/>
              </w:rPr>
              <w:t>Was the data analysis sufficiently rigorous?</w:t>
            </w:r>
          </w:p>
        </w:tc>
        <w:tc>
          <w:tcPr>
            <w:tcW w:w="0" w:type="auto"/>
          </w:tcPr>
          <w:p w14:paraId="731064B4">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56F451C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5F28AB8">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4C0BAF6">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0D174F7">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E80FC7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55629881">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28171F1">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AFD05A9">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57CF1FCD">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7A66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0CA4DE">
            <w:pPr>
              <w:pStyle w:val="8"/>
              <w:widowControl w:val="0"/>
              <w:autoSpaceDE w:val="0"/>
              <w:autoSpaceDN w:val="0"/>
              <w:rPr>
                <w:rFonts w:hint="default" w:ascii="Arial" w:hAnsi="Arial" w:cs="Arial"/>
                <w:highlight w:val="none"/>
              </w:rPr>
            </w:pPr>
            <w:r>
              <w:rPr>
                <w:rFonts w:hint="default" w:ascii="Arial" w:hAnsi="Arial" w:cs="Arial"/>
                <w:highlight w:val="none"/>
              </w:rPr>
              <w:t>Is there a clear statement of findings?</w:t>
            </w:r>
          </w:p>
        </w:tc>
        <w:tc>
          <w:tcPr>
            <w:tcW w:w="0" w:type="auto"/>
          </w:tcPr>
          <w:p w14:paraId="531DD780">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3AE1374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6D122FE0">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6DC38E19">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22F3A50">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68DCD1D2">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A6A5F6C">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5DDBA5EC">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4E7939F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1BB14313">
            <w:pPr>
              <w:pStyle w:val="8"/>
              <w:widowControl w:val="0"/>
              <w:autoSpaceDE w:val="0"/>
              <w:autoSpaceDN w:val="0"/>
              <w:rPr>
                <w:rFonts w:hint="default" w:ascii="Arial" w:hAnsi="Arial" w:cs="Arial"/>
                <w:highlight w:val="none"/>
              </w:rPr>
            </w:pPr>
            <w:r>
              <w:rPr>
                <w:rFonts w:hint="default" w:ascii="Arial" w:hAnsi="Arial" w:cs="Arial"/>
                <w:highlight w:val="none"/>
              </w:rPr>
              <w:t>Yes</w:t>
            </w:r>
          </w:p>
        </w:tc>
      </w:tr>
      <w:tr w14:paraId="699A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8F8D83">
            <w:pPr>
              <w:pStyle w:val="8"/>
              <w:widowControl w:val="0"/>
              <w:autoSpaceDE w:val="0"/>
              <w:autoSpaceDN w:val="0"/>
              <w:rPr>
                <w:rFonts w:hint="default" w:ascii="Arial" w:hAnsi="Arial" w:cs="Arial"/>
                <w:highlight w:val="none"/>
              </w:rPr>
            </w:pPr>
            <w:r>
              <w:rPr>
                <w:rFonts w:hint="default" w:ascii="Arial" w:hAnsi="Arial" w:cs="Arial"/>
                <w:highlight w:val="none"/>
              </w:rPr>
              <w:t>How valuable is the research?</w:t>
            </w:r>
          </w:p>
        </w:tc>
        <w:tc>
          <w:tcPr>
            <w:tcW w:w="0" w:type="auto"/>
          </w:tcPr>
          <w:p w14:paraId="1634C152">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0E91B6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9CC9270">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081A94A1">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EC49D78">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57D9F6E5">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5FE19FCF">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6DBCA243">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78A9CAEA">
            <w:pPr>
              <w:pStyle w:val="8"/>
              <w:widowControl w:val="0"/>
              <w:autoSpaceDE w:val="0"/>
              <w:autoSpaceDN w:val="0"/>
              <w:rPr>
                <w:rFonts w:hint="default" w:ascii="Arial" w:hAnsi="Arial" w:cs="Arial"/>
                <w:highlight w:val="none"/>
              </w:rPr>
            </w:pPr>
            <w:r>
              <w:rPr>
                <w:rFonts w:hint="default" w:ascii="Arial" w:hAnsi="Arial" w:cs="Arial"/>
                <w:highlight w:val="none"/>
              </w:rPr>
              <w:t>Yes</w:t>
            </w:r>
          </w:p>
        </w:tc>
        <w:tc>
          <w:tcPr>
            <w:tcW w:w="0" w:type="auto"/>
          </w:tcPr>
          <w:p w14:paraId="24DA6679">
            <w:pPr>
              <w:pStyle w:val="8"/>
              <w:widowControl w:val="0"/>
              <w:autoSpaceDE w:val="0"/>
              <w:autoSpaceDN w:val="0"/>
              <w:rPr>
                <w:rFonts w:hint="default" w:ascii="Arial" w:hAnsi="Arial" w:cs="Arial"/>
                <w:highlight w:val="none"/>
              </w:rPr>
            </w:pPr>
            <w:r>
              <w:rPr>
                <w:rFonts w:hint="default" w:ascii="Arial" w:hAnsi="Arial" w:cs="Arial"/>
                <w:highlight w:val="none"/>
              </w:rPr>
              <w:t>Yes</w:t>
            </w:r>
          </w:p>
        </w:tc>
      </w:tr>
    </w:tbl>
    <w:p w14:paraId="54F26EBB">
      <w:pPr>
        <w:pStyle w:val="8"/>
        <w:rPr>
          <w:rFonts w:hint="default" w:ascii="Arial" w:hAnsi="Arial" w:cs="Arial"/>
          <w:highlight w:val="none"/>
        </w:rPr>
      </w:pPr>
    </w:p>
    <w:p w14:paraId="738ED313">
      <w:pPr>
        <w:jc w:val="left"/>
        <w:rPr>
          <w:rFonts w:hint="default" w:ascii="Arial" w:hAnsi="Arial" w:cs="Arial"/>
          <w:highlight w:val="none"/>
        </w:rPr>
      </w:pPr>
      <w:r>
        <w:rPr>
          <w:rFonts w:hint="default" w:ascii="Arial" w:hAnsi="Arial" w:cs="Arial"/>
          <w:highlight w:val="none"/>
        </w:rPr>
        <w:br w:type="page"/>
      </w:r>
    </w:p>
    <w:p w14:paraId="4001A80F">
      <w:pPr>
        <w:pStyle w:val="3"/>
        <w:spacing w:line="480" w:lineRule="auto"/>
        <w:ind w:left="0"/>
        <w:rPr>
          <w:rFonts w:hint="default" w:ascii="Arial" w:hAnsi="Arial" w:cs="Arial"/>
          <w:highlight w:val="none"/>
        </w:rPr>
      </w:pPr>
      <w:bookmarkStart w:id="179" w:name="_Toc1854"/>
      <w:r>
        <w:rPr>
          <w:rFonts w:hint="default" w:ascii="Arial" w:hAnsi="Arial" w:cs="Arial"/>
          <w:highlight w:val="none"/>
        </w:rPr>
        <w:t>Appendix 3: Critical Appraisal Using the MMAT Tool</w:t>
      </w:r>
      <w:bookmarkEnd w:id="179"/>
    </w:p>
    <w:tbl>
      <w:tblPr>
        <w:tblStyle w:val="19"/>
        <w:tblW w:w="14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2131"/>
        <w:gridCol w:w="2896"/>
        <w:gridCol w:w="2632"/>
        <w:gridCol w:w="2989"/>
        <w:gridCol w:w="2633"/>
      </w:tblGrid>
      <w:tr w14:paraId="1657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DDB16E">
            <w:pPr>
              <w:widowControl/>
              <w:autoSpaceDE/>
              <w:autoSpaceDN/>
              <w:rPr>
                <w:rFonts w:hint="default" w:ascii="Arial" w:hAnsi="Arial" w:cs="Arial"/>
                <w:b/>
                <w:bCs/>
                <w:highlight w:val="none"/>
                <w:lang w:val="en-IN" w:eastAsia="en-IN" w:bidi="ar-SA"/>
              </w:rPr>
            </w:pPr>
            <w:r>
              <w:rPr>
                <w:rFonts w:hint="default" w:ascii="Arial" w:hAnsi="Arial" w:cs="Arial"/>
                <w:b/>
                <w:bCs/>
                <w:highlight w:val="none"/>
                <w:lang w:val="en-IN" w:eastAsia="en-IN" w:bidi="ar-SA"/>
              </w:rPr>
              <w:t>Study</w:t>
            </w:r>
          </w:p>
        </w:tc>
        <w:tc>
          <w:tcPr>
            <w:tcW w:w="0" w:type="auto"/>
          </w:tcPr>
          <w:p w14:paraId="7BEC923D">
            <w:pPr>
              <w:widowControl/>
              <w:autoSpaceDE/>
              <w:autoSpaceDN/>
              <w:rPr>
                <w:rFonts w:hint="default" w:ascii="Arial" w:hAnsi="Arial" w:cs="Arial"/>
                <w:b/>
                <w:bCs/>
                <w:highlight w:val="none"/>
                <w:lang w:val="en-IN" w:eastAsia="en-IN" w:bidi="ar-SA"/>
              </w:rPr>
            </w:pPr>
            <w:r>
              <w:rPr>
                <w:rFonts w:hint="default" w:ascii="Arial" w:hAnsi="Arial" w:cs="Arial"/>
                <w:b/>
                <w:bCs/>
                <w:highlight w:val="none"/>
                <w:lang w:val="en-IN" w:eastAsia="en-IN" w:bidi="ar-SA"/>
              </w:rPr>
              <w:t>Screening Questions</w:t>
            </w:r>
          </w:p>
        </w:tc>
        <w:tc>
          <w:tcPr>
            <w:tcW w:w="0" w:type="auto"/>
          </w:tcPr>
          <w:p w14:paraId="3DB320BA">
            <w:pPr>
              <w:widowControl/>
              <w:autoSpaceDE/>
              <w:autoSpaceDN/>
              <w:rPr>
                <w:rFonts w:hint="default" w:ascii="Arial" w:hAnsi="Arial" w:cs="Arial"/>
                <w:b/>
                <w:bCs/>
                <w:highlight w:val="none"/>
                <w:lang w:val="en-IN" w:eastAsia="en-IN" w:bidi="ar-SA"/>
              </w:rPr>
            </w:pPr>
            <w:r>
              <w:rPr>
                <w:rFonts w:hint="default" w:ascii="Arial" w:hAnsi="Arial" w:cs="Arial"/>
                <w:b/>
                <w:bCs/>
                <w:highlight w:val="none"/>
                <w:lang w:val="en-IN" w:eastAsia="en-IN" w:bidi="ar-SA"/>
              </w:rPr>
              <w:t>Qualitative Component</w:t>
            </w:r>
          </w:p>
        </w:tc>
        <w:tc>
          <w:tcPr>
            <w:tcW w:w="0" w:type="auto"/>
          </w:tcPr>
          <w:p w14:paraId="1BFB4F12">
            <w:pPr>
              <w:widowControl/>
              <w:autoSpaceDE/>
              <w:autoSpaceDN/>
              <w:rPr>
                <w:rFonts w:hint="default" w:ascii="Arial" w:hAnsi="Arial" w:cs="Arial"/>
                <w:b/>
                <w:bCs/>
                <w:highlight w:val="none"/>
                <w:lang w:val="en-IN" w:eastAsia="en-IN" w:bidi="ar-SA"/>
              </w:rPr>
            </w:pPr>
            <w:r>
              <w:rPr>
                <w:rFonts w:hint="default" w:ascii="Arial" w:hAnsi="Arial" w:cs="Arial"/>
                <w:b/>
                <w:bCs/>
                <w:highlight w:val="none"/>
                <w:lang w:val="en-IN" w:eastAsia="en-IN" w:bidi="ar-SA"/>
              </w:rPr>
              <w:t>Quantitative Component</w:t>
            </w:r>
          </w:p>
        </w:tc>
        <w:tc>
          <w:tcPr>
            <w:tcW w:w="0" w:type="auto"/>
          </w:tcPr>
          <w:p w14:paraId="131534AB">
            <w:pPr>
              <w:widowControl/>
              <w:autoSpaceDE/>
              <w:autoSpaceDN/>
              <w:rPr>
                <w:rFonts w:hint="default" w:ascii="Arial" w:hAnsi="Arial" w:cs="Arial"/>
                <w:b/>
                <w:bCs/>
                <w:highlight w:val="none"/>
                <w:lang w:val="en-IN" w:eastAsia="en-IN" w:bidi="ar-SA"/>
              </w:rPr>
            </w:pPr>
            <w:r>
              <w:rPr>
                <w:rFonts w:hint="default" w:ascii="Arial" w:hAnsi="Arial" w:cs="Arial"/>
                <w:b/>
                <w:bCs/>
                <w:highlight w:val="none"/>
                <w:lang w:val="en-IN" w:eastAsia="en-IN" w:bidi="ar-SA"/>
              </w:rPr>
              <w:t>Mixed Methods Component</w:t>
            </w:r>
          </w:p>
        </w:tc>
        <w:tc>
          <w:tcPr>
            <w:tcW w:w="0" w:type="auto"/>
          </w:tcPr>
          <w:p w14:paraId="2F923068">
            <w:pPr>
              <w:widowControl/>
              <w:autoSpaceDE/>
              <w:autoSpaceDN/>
              <w:rPr>
                <w:rFonts w:hint="default" w:ascii="Arial" w:hAnsi="Arial" w:cs="Arial"/>
                <w:b/>
                <w:bCs/>
                <w:highlight w:val="none"/>
                <w:lang w:val="en-IN" w:eastAsia="en-IN" w:bidi="ar-SA"/>
              </w:rPr>
            </w:pPr>
            <w:r>
              <w:rPr>
                <w:rFonts w:hint="default" w:ascii="Arial" w:hAnsi="Arial" w:cs="Arial"/>
                <w:b/>
                <w:bCs/>
                <w:highlight w:val="none"/>
                <w:lang w:val="en-IN" w:eastAsia="en-IN" w:bidi="ar-SA"/>
              </w:rPr>
              <w:t>Overall MMAT Appraisal</w:t>
            </w:r>
          </w:p>
        </w:tc>
      </w:tr>
      <w:tr w14:paraId="7043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6D7380">
            <w:pPr>
              <w:widowControl/>
              <w:autoSpaceDE/>
              <w:autoSpaceDN/>
              <w:rPr>
                <w:rFonts w:hint="default" w:ascii="Arial" w:hAnsi="Arial" w:cs="Arial"/>
                <w:highlight w:val="none"/>
                <w:lang w:val="en-IN" w:eastAsia="en-IN" w:bidi="ar-SA"/>
              </w:rPr>
            </w:pPr>
            <w:r>
              <w:rPr>
                <w:rFonts w:hint="default" w:ascii="Arial" w:hAnsi="Arial" w:cs="Arial"/>
                <w:highlight w:val="none"/>
                <w:lang w:val="en-IN" w:eastAsia="en-IN" w:bidi="ar-SA"/>
              </w:rPr>
              <w:t>Jalal et al. (2018)</w:t>
            </w:r>
          </w:p>
        </w:tc>
        <w:tc>
          <w:tcPr>
            <w:tcW w:w="0" w:type="auto"/>
          </w:tcPr>
          <w:p w14:paraId="41F4C620">
            <w:pPr>
              <w:widowControl/>
              <w:autoSpaceDE/>
              <w:autoSpaceDN/>
              <w:rPr>
                <w:rFonts w:hint="default" w:ascii="Arial" w:hAnsi="Arial" w:cs="Arial"/>
                <w:highlight w:val="none"/>
                <w:lang w:val="en-IN" w:eastAsia="en-IN" w:bidi="ar-SA"/>
              </w:rPr>
            </w:pPr>
            <w:r>
              <w:rPr>
                <w:rFonts w:hint="default" w:ascii="Arial" w:hAnsi="Arial" w:cs="Arial"/>
                <w:highlight w:val="none"/>
                <w:lang w:val="en-IN" w:eastAsia="en-IN" w:bidi="ar-SA"/>
              </w:rPr>
              <w:t>The research questions were clearly stated, and the collected data adequately addressed the objectives relating to medication adherence and illness beliefs among South Asian and non-South Asian CHD patients.</w:t>
            </w:r>
          </w:p>
        </w:tc>
        <w:tc>
          <w:tcPr>
            <w:tcW w:w="0" w:type="auto"/>
          </w:tcPr>
          <w:p w14:paraId="66617E2F">
            <w:pPr>
              <w:widowControl/>
              <w:autoSpaceDE/>
              <w:autoSpaceDN/>
              <w:rPr>
                <w:rFonts w:hint="default" w:ascii="Arial" w:hAnsi="Arial" w:cs="Arial"/>
                <w:highlight w:val="none"/>
                <w:lang w:val="en-IN" w:eastAsia="en-IN" w:bidi="ar-SA"/>
              </w:rPr>
            </w:pPr>
            <w:r>
              <w:rPr>
                <w:rFonts w:hint="default" w:ascii="Arial" w:hAnsi="Arial" w:cs="Arial"/>
                <w:highlight w:val="none"/>
                <w:lang w:val="en-IN" w:eastAsia="en-IN" w:bidi="ar-SA"/>
              </w:rPr>
              <w:t>The qualitative approach was appropriate because the study explored beliefs, cultural perceptions, and understanding of illness and medicines. Thematic analysis enabled meaningful interpretation of participant experiences and comparisons between groups. Data collection methods were suitable for addressing the research objectives.</w:t>
            </w:r>
          </w:p>
        </w:tc>
        <w:tc>
          <w:tcPr>
            <w:tcW w:w="0" w:type="auto"/>
          </w:tcPr>
          <w:p w14:paraId="4532B2A2">
            <w:pPr>
              <w:widowControl/>
              <w:autoSpaceDE/>
              <w:autoSpaceDN/>
              <w:rPr>
                <w:rFonts w:hint="default" w:ascii="Arial" w:hAnsi="Arial" w:cs="Arial"/>
                <w:highlight w:val="none"/>
                <w:lang w:val="en-IN" w:eastAsia="en-IN" w:bidi="ar-SA"/>
              </w:rPr>
            </w:pPr>
            <w:r>
              <w:rPr>
                <w:rFonts w:hint="default" w:ascii="Arial" w:hAnsi="Arial" w:cs="Arial"/>
                <w:highlight w:val="none"/>
                <w:lang w:val="en-IN" w:eastAsia="en-IN" w:bidi="ar-SA"/>
              </w:rPr>
              <w:t>The quantitative component appropriately measured medication adherence patterns and illness beliefs over six months. Participant selection was relevant to the study aim, and the measurements used were consistent with the research objectives.</w:t>
            </w:r>
          </w:p>
        </w:tc>
        <w:tc>
          <w:tcPr>
            <w:tcW w:w="0" w:type="auto"/>
          </w:tcPr>
          <w:p w14:paraId="44FBB75C">
            <w:pPr>
              <w:widowControl/>
              <w:autoSpaceDE/>
              <w:autoSpaceDN/>
              <w:rPr>
                <w:rFonts w:hint="default" w:ascii="Arial" w:hAnsi="Arial" w:cs="Arial"/>
                <w:highlight w:val="none"/>
                <w:lang w:val="en-IN" w:eastAsia="en-IN" w:bidi="ar-SA"/>
              </w:rPr>
            </w:pPr>
            <w:r>
              <w:rPr>
                <w:rFonts w:hint="default" w:ascii="Arial" w:hAnsi="Arial" w:cs="Arial"/>
                <w:highlight w:val="none"/>
                <w:lang w:val="en-IN" w:eastAsia="en-IN" w:bidi="ar-SA"/>
              </w:rPr>
              <w:t>The integration of qualitative and quantitative findings was appropriate because both methods complemented each other in explaining how cultural beliefs influenced adherence behaviours and illness understanding. The mixed-methods design provided a more comprehensive interpretation of cardiovascular management behaviours among participants.</w:t>
            </w:r>
          </w:p>
        </w:tc>
        <w:tc>
          <w:tcPr>
            <w:tcW w:w="0" w:type="auto"/>
          </w:tcPr>
          <w:p w14:paraId="07B61B58">
            <w:pPr>
              <w:widowControl/>
              <w:autoSpaceDE/>
              <w:autoSpaceDN/>
              <w:rPr>
                <w:rFonts w:hint="default" w:ascii="Arial" w:hAnsi="Arial" w:cs="Arial"/>
                <w:highlight w:val="none"/>
                <w:lang w:val="en-IN" w:eastAsia="en-IN" w:bidi="ar-SA"/>
              </w:rPr>
            </w:pPr>
            <w:r>
              <w:rPr>
                <w:rFonts w:hint="default" w:ascii="Arial" w:hAnsi="Arial" w:cs="Arial"/>
                <w:highlight w:val="none"/>
                <w:lang w:val="en-IN" w:eastAsia="en-IN" w:bidi="ar-SA"/>
              </w:rPr>
              <w:t>Based on MMAT criteria, the study demonstrated acceptable methodological quality with appropriate integration of mixed methods, relevant participant recruitment, coherent interpretation of findings, and clear relevance to the present review.</w:t>
            </w:r>
          </w:p>
        </w:tc>
      </w:tr>
    </w:tbl>
    <w:p w14:paraId="555A5AF6">
      <w:pPr>
        <w:rPr>
          <w:rFonts w:hint="default" w:ascii="Arial" w:hAnsi="Arial" w:cs="Arial"/>
          <w:highlight w:val="none"/>
        </w:rPr>
      </w:pPr>
    </w:p>
    <w:p w14:paraId="6BA74044">
      <w:pPr>
        <w:spacing w:line="240" w:lineRule="auto"/>
        <w:jc w:val="left"/>
        <w:rPr>
          <w:rFonts w:hint="default" w:ascii="Arial" w:hAnsi="Arial" w:cs="Arial"/>
          <w:b/>
          <w:sz w:val="26"/>
          <w:szCs w:val="28"/>
          <w:highlight w:val="none"/>
        </w:rPr>
      </w:pPr>
      <w:r>
        <w:rPr>
          <w:rFonts w:hint="default" w:ascii="Arial" w:hAnsi="Arial" w:cs="Arial"/>
          <w:highlight w:val="none"/>
        </w:rPr>
        <w:br w:type="page"/>
      </w:r>
    </w:p>
    <w:p w14:paraId="49446342">
      <w:pPr>
        <w:pStyle w:val="3"/>
        <w:spacing w:line="480" w:lineRule="auto"/>
        <w:ind w:left="0"/>
        <w:rPr>
          <w:rFonts w:hint="default" w:ascii="Arial" w:hAnsi="Arial" w:cs="Arial"/>
          <w:highlight w:val="none"/>
        </w:rPr>
      </w:pPr>
      <w:bookmarkStart w:id="180" w:name="_Toc30300"/>
      <w:r>
        <w:rPr>
          <w:rFonts w:hint="default" w:ascii="Arial" w:hAnsi="Arial" w:cs="Arial"/>
          <w:highlight w:val="none"/>
        </w:rPr>
        <w:t>Appendix 4: Thematic Table</w:t>
      </w:r>
      <w:bookmarkEnd w:id="180"/>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68"/>
        <w:gridCol w:w="2383"/>
        <w:gridCol w:w="8023"/>
      </w:tblGrid>
      <w:tr w14:paraId="28607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FA0AF6B">
            <w:pPr>
              <w:widowControl/>
              <w:autoSpaceDE/>
              <w:autoSpaceDN/>
              <w:jc w:val="center"/>
              <w:rPr>
                <w:rFonts w:hint="default" w:ascii="Arial" w:hAnsi="Arial" w:cs="Arial"/>
                <w:highlight w:val="none"/>
              </w:rPr>
            </w:pPr>
            <w:r>
              <w:rPr>
                <w:rFonts w:hint="default" w:ascii="Arial" w:hAnsi="Arial" w:cs="Arial"/>
                <w:highlight w:val="none"/>
              </w:rPr>
              <w:t>Theme</w:t>
            </w:r>
          </w:p>
        </w:tc>
        <w:tc>
          <w:tcPr>
            <w:tcW w:w="0" w:type="auto"/>
          </w:tcPr>
          <w:p w14:paraId="327690E9">
            <w:pPr>
              <w:widowControl/>
              <w:autoSpaceDE/>
              <w:autoSpaceDN/>
              <w:jc w:val="center"/>
              <w:rPr>
                <w:rFonts w:hint="default" w:ascii="Arial" w:hAnsi="Arial" w:cs="Arial"/>
                <w:highlight w:val="none"/>
              </w:rPr>
            </w:pPr>
            <w:r>
              <w:rPr>
                <w:rFonts w:hint="default" w:ascii="Arial" w:hAnsi="Arial" w:cs="Arial"/>
                <w:highlight w:val="none"/>
              </w:rPr>
              <w:t>Authors (Year)</w:t>
            </w:r>
          </w:p>
        </w:tc>
        <w:tc>
          <w:tcPr>
            <w:tcW w:w="0" w:type="auto"/>
          </w:tcPr>
          <w:p w14:paraId="09A209D9">
            <w:pPr>
              <w:widowControl/>
              <w:autoSpaceDE/>
              <w:autoSpaceDN/>
              <w:jc w:val="center"/>
              <w:rPr>
                <w:rFonts w:hint="default" w:ascii="Arial" w:hAnsi="Arial" w:cs="Arial"/>
                <w:highlight w:val="none"/>
              </w:rPr>
            </w:pPr>
            <w:r>
              <w:rPr>
                <w:rFonts w:hint="default" w:ascii="Arial" w:hAnsi="Arial" w:cs="Arial"/>
                <w:highlight w:val="none"/>
              </w:rPr>
              <w:t>Main Findings</w:t>
            </w:r>
          </w:p>
        </w:tc>
      </w:tr>
      <w:tr w14:paraId="0F02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8AB71C3">
            <w:pPr>
              <w:widowControl/>
              <w:autoSpaceDE/>
              <w:autoSpaceDN/>
              <w:jc w:val="center"/>
              <w:rPr>
                <w:rFonts w:hint="default" w:ascii="Arial" w:hAnsi="Arial" w:cs="Arial"/>
                <w:highlight w:val="none"/>
              </w:rPr>
            </w:pPr>
            <w:r>
              <w:rPr>
                <w:rFonts w:hint="default" w:ascii="Arial" w:hAnsi="Arial" w:cs="Arial"/>
                <w:highlight w:val="none"/>
              </w:rPr>
              <w:t>1. Lifestyle Behaviours and Cardiovascular Risk</w:t>
            </w:r>
          </w:p>
        </w:tc>
        <w:tc>
          <w:tcPr>
            <w:tcW w:w="0" w:type="auto"/>
          </w:tcPr>
          <w:p w14:paraId="0438053C">
            <w:pPr>
              <w:widowControl/>
              <w:autoSpaceDE/>
              <w:autoSpaceDN/>
              <w:jc w:val="center"/>
              <w:rPr>
                <w:rFonts w:hint="default" w:ascii="Arial" w:hAnsi="Arial" w:cs="Arial"/>
                <w:highlight w:val="none"/>
              </w:rPr>
            </w:pPr>
            <w:r>
              <w:rPr>
                <w:rFonts w:hint="default" w:ascii="Arial" w:hAnsi="Arial" w:cs="Arial"/>
                <w:highlight w:val="none"/>
              </w:rPr>
              <w:t>Bardell et al. (2015)</w:t>
            </w:r>
          </w:p>
        </w:tc>
        <w:tc>
          <w:tcPr>
            <w:tcW w:w="0" w:type="auto"/>
          </w:tcPr>
          <w:p w14:paraId="742D7588">
            <w:pPr>
              <w:widowControl/>
              <w:autoSpaceDE/>
              <w:autoSpaceDN/>
              <w:jc w:val="center"/>
              <w:rPr>
                <w:rFonts w:hint="default" w:ascii="Arial" w:hAnsi="Arial" w:cs="Arial"/>
                <w:highlight w:val="none"/>
              </w:rPr>
            </w:pPr>
            <w:r>
              <w:rPr>
                <w:rFonts w:hint="default" w:ascii="Arial" w:hAnsi="Arial" w:cs="Arial"/>
                <w:highlight w:val="none"/>
              </w:rPr>
              <w:t>Cultural dietary practices and cost/time barriers negatively influence healthy eating; walking is seen as a feasible activity.</w:t>
            </w:r>
          </w:p>
        </w:tc>
      </w:tr>
      <w:tr w14:paraId="14DA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C35326B">
            <w:pPr>
              <w:widowControl/>
              <w:autoSpaceDE/>
              <w:autoSpaceDN/>
              <w:jc w:val="center"/>
              <w:rPr>
                <w:rFonts w:hint="default" w:ascii="Arial" w:hAnsi="Arial" w:cs="Arial"/>
                <w:highlight w:val="none"/>
              </w:rPr>
            </w:pPr>
          </w:p>
        </w:tc>
        <w:tc>
          <w:tcPr>
            <w:tcW w:w="0" w:type="auto"/>
          </w:tcPr>
          <w:p w14:paraId="1FDC3480">
            <w:pPr>
              <w:widowControl/>
              <w:autoSpaceDE/>
              <w:autoSpaceDN/>
              <w:jc w:val="center"/>
              <w:rPr>
                <w:rFonts w:hint="default" w:ascii="Arial" w:hAnsi="Arial" w:cs="Arial"/>
                <w:highlight w:val="none"/>
              </w:rPr>
            </w:pPr>
            <w:r>
              <w:rPr>
                <w:rFonts w:hint="default" w:ascii="Arial" w:hAnsi="Arial" w:cs="Arial"/>
                <w:highlight w:val="none"/>
              </w:rPr>
              <w:t>Deshmukh et al. (2025)</w:t>
            </w:r>
          </w:p>
        </w:tc>
        <w:tc>
          <w:tcPr>
            <w:tcW w:w="0" w:type="auto"/>
          </w:tcPr>
          <w:p w14:paraId="5DD6CF44">
            <w:pPr>
              <w:widowControl/>
              <w:autoSpaceDE/>
              <w:autoSpaceDN/>
              <w:jc w:val="center"/>
              <w:rPr>
                <w:rFonts w:hint="default" w:ascii="Arial" w:hAnsi="Arial" w:cs="Arial"/>
                <w:highlight w:val="none"/>
              </w:rPr>
            </w:pPr>
            <w:r>
              <w:rPr>
                <w:rFonts w:hint="default" w:ascii="Arial" w:hAnsi="Arial" w:cs="Arial"/>
                <w:highlight w:val="none"/>
              </w:rPr>
              <w:t>Good awareness of physical activity but poor understanding of guidelines; limited knowledge of resistance training.</w:t>
            </w:r>
          </w:p>
        </w:tc>
      </w:tr>
      <w:tr w14:paraId="1209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40DA9C">
            <w:pPr>
              <w:widowControl/>
              <w:autoSpaceDE/>
              <w:autoSpaceDN/>
              <w:jc w:val="center"/>
              <w:rPr>
                <w:rFonts w:hint="default" w:ascii="Arial" w:hAnsi="Arial" w:cs="Arial"/>
                <w:highlight w:val="none"/>
              </w:rPr>
            </w:pPr>
          </w:p>
        </w:tc>
        <w:tc>
          <w:tcPr>
            <w:tcW w:w="0" w:type="auto"/>
          </w:tcPr>
          <w:p w14:paraId="740F42A0">
            <w:pPr>
              <w:widowControl/>
              <w:autoSpaceDE/>
              <w:autoSpaceDN/>
              <w:jc w:val="center"/>
              <w:rPr>
                <w:rFonts w:hint="default" w:ascii="Arial" w:hAnsi="Arial" w:cs="Arial"/>
                <w:highlight w:val="none"/>
              </w:rPr>
            </w:pPr>
            <w:r>
              <w:rPr>
                <w:rFonts w:hint="default" w:ascii="Arial" w:hAnsi="Arial" w:cs="Arial"/>
                <w:highlight w:val="none"/>
              </w:rPr>
              <w:t>Fowokan et al. (2020)</w:t>
            </w:r>
          </w:p>
        </w:tc>
        <w:tc>
          <w:tcPr>
            <w:tcW w:w="0" w:type="auto"/>
          </w:tcPr>
          <w:p w14:paraId="087BD78F">
            <w:pPr>
              <w:widowControl/>
              <w:autoSpaceDE/>
              <w:autoSpaceDN/>
              <w:jc w:val="center"/>
              <w:rPr>
                <w:rFonts w:hint="default" w:ascii="Arial" w:hAnsi="Arial" w:cs="Arial"/>
                <w:highlight w:val="none"/>
              </w:rPr>
            </w:pPr>
            <w:r>
              <w:rPr>
                <w:rFonts w:hint="default" w:ascii="Arial" w:hAnsi="Arial" w:cs="Arial"/>
                <w:highlight w:val="none"/>
              </w:rPr>
              <w:t>There is a clear gap between knowledge of CVD risk and actual health behaviours, influenced by family and culture.</w:t>
            </w:r>
          </w:p>
        </w:tc>
      </w:tr>
      <w:tr w14:paraId="11DF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9970B0">
            <w:pPr>
              <w:widowControl/>
              <w:autoSpaceDE/>
              <w:autoSpaceDN/>
              <w:jc w:val="center"/>
              <w:rPr>
                <w:rFonts w:hint="default" w:ascii="Arial" w:hAnsi="Arial" w:cs="Arial"/>
                <w:highlight w:val="none"/>
              </w:rPr>
            </w:pPr>
          </w:p>
        </w:tc>
        <w:tc>
          <w:tcPr>
            <w:tcW w:w="0" w:type="auto"/>
          </w:tcPr>
          <w:p w14:paraId="2484BD45">
            <w:pPr>
              <w:widowControl/>
              <w:autoSpaceDE/>
              <w:autoSpaceDN/>
              <w:jc w:val="center"/>
              <w:rPr>
                <w:rFonts w:hint="default" w:ascii="Arial" w:hAnsi="Arial" w:cs="Arial"/>
                <w:highlight w:val="none"/>
              </w:rPr>
            </w:pPr>
            <w:r>
              <w:rPr>
                <w:rFonts w:hint="default" w:ascii="Arial" w:hAnsi="Arial" w:cs="Arial"/>
                <w:highlight w:val="none"/>
              </w:rPr>
              <w:t>Bhattacharyya et al. (2016)</w:t>
            </w:r>
          </w:p>
        </w:tc>
        <w:tc>
          <w:tcPr>
            <w:tcW w:w="0" w:type="auto"/>
          </w:tcPr>
          <w:p w14:paraId="135DD5CA">
            <w:pPr>
              <w:widowControl/>
              <w:autoSpaceDE/>
              <w:autoSpaceDN/>
              <w:jc w:val="center"/>
              <w:rPr>
                <w:rFonts w:hint="default" w:ascii="Arial" w:hAnsi="Arial" w:cs="Arial"/>
                <w:highlight w:val="none"/>
              </w:rPr>
            </w:pPr>
            <w:r>
              <w:rPr>
                <w:rFonts w:hint="default" w:ascii="Arial" w:hAnsi="Arial" w:cs="Arial"/>
                <w:highlight w:val="none"/>
              </w:rPr>
              <w:t>Psychological factors such as anxiety and depression affect recovery and lifestyle behaviours post-cardiac events.</w:t>
            </w:r>
          </w:p>
        </w:tc>
      </w:tr>
      <w:tr w14:paraId="2CFC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F5C2C0B">
            <w:pPr>
              <w:widowControl/>
              <w:autoSpaceDE/>
              <w:autoSpaceDN/>
              <w:jc w:val="center"/>
              <w:rPr>
                <w:rFonts w:hint="default" w:ascii="Arial" w:hAnsi="Arial" w:cs="Arial"/>
                <w:highlight w:val="none"/>
              </w:rPr>
            </w:pPr>
            <w:r>
              <w:rPr>
                <w:rFonts w:hint="default" w:ascii="Arial" w:hAnsi="Arial" w:cs="Arial"/>
                <w:highlight w:val="none"/>
              </w:rPr>
              <w:t>2. Cultural, Social, and Migration Influences</w:t>
            </w:r>
          </w:p>
        </w:tc>
        <w:tc>
          <w:tcPr>
            <w:tcW w:w="0" w:type="auto"/>
          </w:tcPr>
          <w:p w14:paraId="4E1281FB">
            <w:pPr>
              <w:widowControl/>
              <w:autoSpaceDE/>
              <w:autoSpaceDN/>
              <w:jc w:val="center"/>
              <w:rPr>
                <w:rFonts w:hint="default" w:ascii="Arial" w:hAnsi="Arial" w:cs="Arial"/>
                <w:highlight w:val="none"/>
              </w:rPr>
            </w:pPr>
            <w:r>
              <w:rPr>
                <w:rFonts w:hint="default" w:ascii="Arial" w:hAnsi="Arial" w:cs="Arial"/>
                <w:highlight w:val="none"/>
              </w:rPr>
              <w:t>Dilla et al. (2020)</w:t>
            </w:r>
          </w:p>
        </w:tc>
        <w:tc>
          <w:tcPr>
            <w:tcW w:w="0" w:type="auto"/>
          </w:tcPr>
          <w:p w14:paraId="371147CF">
            <w:pPr>
              <w:widowControl/>
              <w:autoSpaceDE/>
              <w:autoSpaceDN/>
              <w:jc w:val="center"/>
              <w:rPr>
                <w:rFonts w:hint="default" w:ascii="Arial" w:hAnsi="Arial" w:cs="Arial"/>
                <w:highlight w:val="none"/>
              </w:rPr>
            </w:pPr>
            <w:r>
              <w:rPr>
                <w:rFonts w:hint="default" w:ascii="Arial" w:hAnsi="Arial" w:cs="Arial"/>
                <w:highlight w:val="none"/>
              </w:rPr>
              <w:t>Family priorities and cultural “harmony” often override individual health decisions.</w:t>
            </w:r>
          </w:p>
        </w:tc>
      </w:tr>
      <w:tr w14:paraId="1B15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1C8767">
            <w:pPr>
              <w:widowControl/>
              <w:autoSpaceDE/>
              <w:autoSpaceDN/>
              <w:jc w:val="center"/>
              <w:rPr>
                <w:rFonts w:hint="default" w:ascii="Arial" w:hAnsi="Arial" w:cs="Arial"/>
                <w:highlight w:val="none"/>
              </w:rPr>
            </w:pPr>
          </w:p>
        </w:tc>
        <w:tc>
          <w:tcPr>
            <w:tcW w:w="0" w:type="auto"/>
          </w:tcPr>
          <w:p w14:paraId="62837EAA">
            <w:pPr>
              <w:widowControl/>
              <w:autoSpaceDE/>
              <w:autoSpaceDN/>
              <w:jc w:val="center"/>
              <w:rPr>
                <w:rFonts w:hint="default" w:ascii="Arial" w:hAnsi="Arial" w:cs="Arial"/>
                <w:highlight w:val="none"/>
              </w:rPr>
            </w:pPr>
            <w:r>
              <w:rPr>
                <w:rFonts w:hint="default" w:ascii="Arial" w:hAnsi="Arial" w:cs="Arial"/>
                <w:highlight w:val="none"/>
              </w:rPr>
              <w:t>Darr et al. (2008)</w:t>
            </w:r>
          </w:p>
        </w:tc>
        <w:tc>
          <w:tcPr>
            <w:tcW w:w="0" w:type="auto"/>
          </w:tcPr>
          <w:p w14:paraId="699F3086">
            <w:pPr>
              <w:widowControl/>
              <w:autoSpaceDE/>
              <w:autoSpaceDN/>
              <w:jc w:val="center"/>
              <w:rPr>
                <w:rFonts w:hint="default" w:ascii="Arial" w:hAnsi="Arial" w:cs="Arial"/>
                <w:highlight w:val="none"/>
              </w:rPr>
            </w:pPr>
            <w:r>
              <w:rPr>
                <w:rFonts w:hint="default" w:ascii="Arial" w:hAnsi="Arial" w:cs="Arial"/>
                <w:highlight w:val="none"/>
              </w:rPr>
              <w:t>Misconceptions about CHD are common; South Asians struggle with dietary changes but are more likely to quit smoking.</w:t>
            </w:r>
          </w:p>
        </w:tc>
      </w:tr>
      <w:tr w14:paraId="45AC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F72D8C">
            <w:pPr>
              <w:widowControl/>
              <w:autoSpaceDE/>
              <w:autoSpaceDN/>
              <w:jc w:val="center"/>
              <w:rPr>
                <w:rFonts w:hint="default" w:ascii="Arial" w:hAnsi="Arial" w:cs="Arial"/>
                <w:highlight w:val="none"/>
              </w:rPr>
            </w:pPr>
          </w:p>
        </w:tc>
        <w:tc>
          <w:tcPr>
            <w:tcW w:w="0" w:type="auto"/>
          </w:tcPr>
          <w:p w14:paraId="689B21A2">
            <w:pPr>
              <w:widowControl/>
              <w:autoSpaceDE/>
              <w:autoSpaceDN/>
              <w:jc w:val="center"/>
              <w:rPr>
                <w:rFonts w:hint="default" w:ascii="Arial" w:hAnsi="Arial" w:cs="Arial"/>
                <w:highlight w:val="none"/>
              </w:rPr>
            </w:pPr>
            <w:r>
              <w:rPr>
                <w:rFonts w:hint="default" w:ascii="Arial" w:hAnsi="Arial" w:cs="Arial"/>
                <w:highlight w:val="none"/>
              </w:rPr>
              <w:t>Jalal et al. (2018)</w:t>
            </w:r>
          </w:p>
        </w:tc>
        <w:tc>
          <w:tcPr>
            <w:tcW w:w="0" w:type="auto"/>
          </w:tcPr>
          <w:p w14:paraId="22663286">
            <w:pPr>
              <w:widowControl/>
              <w:autoSpaceDE/>
              <w:autoSpaceDN/>
              <w:jc w:val="center"/>
              <w:rPr>
                <w:rFonts w:hint="default" w:ascii="Arial" w:hAnsi="Arial" w:cs="Arial"/>
                <w:highlight w:val="none"/>
              </w:rPr>
            </w:pPr>
            <w:r>
              <w:rPr>
                <w:rFonts w:hint="default" w:ascii="Arial" w:hAnsi="Arial" w:cs="Arial"/>
                <w:highlight w:val="none"/>
              </w:rPr>
              <w:t>Cultural beliefs influence medication adherence and understanding of illness over time.</w:t>
            </w:r>
          </w:p>
        </w:tc>
      </w:tr>
      <w:tr w14:paraId="720E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8738774">
            <w:pPr>
              <w:widowControl/>
              <w:autoSpaceDE/>
              <w:autoSpaceDN/>
              <w:jc w:val="center"/>
              <w:rPr>
                <w:rFonts w:hint="default" w:ascii="Arial" w:hAnsi="Arial" w:cs="Arial"/>
                <w:highlight w:val="none"/>
              </w:rPr>
            </w:pPr>
          </w:p>
        </w:tc>
        <w:tc>
          <w:tcPr>
            <w:tcW w:w="0" w:type="auto"/>
          </w:tcPr>
          <w:p w14:paraId="2320306E">
            <w:pPr>
              <w:widowControl/>
              <w:autoSpaceDE/>
              <w:autoSpaceDN/>
              <w:jc w:val="center"/>
              <w:rPr>
                <w:rFonts w:hint="default" w:ascii="Arial" w:hAnsi="Arial" w:cs="Arial"/>
                <w:highlight w:val="none"/>
              </w:rPr>
            </w:pPr>
            <w:r>
              <w:rPr>
                <w:rFonts w:hint="default" w:ascii="Arial" w:hAnsi="Arial" w:cs="Arial"/>
                <w:highlight w:val="none"/>
              </w:rPr>
              <w:t>Jepson et al. (2012)</w:t>
            </w:r>
          </w:p>
        </w:tc>
        <w:tc>
          <w:tcPr>
            <w:tcW w:w="0" w:type="auto"/>
          </w:tcPr>
          <w:p w14:paraId="24EEA3C9">
            <w:pPr>
              <w:widowControl/>
              <w:autoSpaceDE/>
              <w:autoSpaceDN/>
              <w:jc w:val="center"/>
              <w:rPr>
                <w:rFonts w:hint="default" w:ascii="Arial" w:hAnsi="Arial" w:cs="Arial"/>
                <w:highlight w:val="none"/>
              </w:rPr>
            </w:pPr>
            <w:r>
              <w:rPr>
                <w:rFonts w:hint="default" w:ascii="Arial" w:hAnsi="Arial" w:cs="Arial"/>
                <w:highlight w:val="none"/>
              </w:rPr>
              <w:t>Social support and cultural expectations strongly influence physical activity behaviours.</w:t>
            </w:r>
          </w:p>
        </w:tc>
      </w:tr>
      <w:tr w14:paraId="6EED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696979">
            <w:pPr>
              <w:widowControl/>
              <w:autoSpaceDE/>
              <w:autoSpaceDN/>
              <w:jc w:val="center"/>
              <w:rPr>
                <w:rFonts w:hint="default" w:ascii="Arial" w:hAnsi="Arial" w:cs="Arial"/>
                <w:highlight w:val="none"/>
              </w:rPr>
            </w:pPr>
            <w:r>
              <w:rPr>
                <w:rFonts w:hint="default" w:ascii="Arial" w:hAnsi="Arial" w:cs="Arial"/>
                <w:highlight w:val="none"/>
              </w:rPr>
              <w:t>3. Barriers, Facilitators, and Prevention Strategies</w:t>
            </w:r>
          </w:p>
        </w:tc>
        <w:tc>
          <w:tcPr>
            <w:tcW w:w="0" w:type="auto"/>
          </w:tcPr>
          <w:p w14:paraId="6400049F">
            <w:pPr>
              <w:widowControl/>
              <w:autoSpaceDE/>
              <w:autoSpaceDN/>
              <w:jc w:val="center"/>
              <w:rPr>
                <w:rFonts w:hint="default" w:ascii="Arial" w:hAnsi="Arial" w:cs="Arial"/>
                <w:highlight w:val="none"/>
              </w:rPr>
            </w:pPr>
            <w:r>
              <w:rPr>
                <w:rFonts w:hint="default" w:ascii="Arial" w:hAnsi="Arial" w:cs="Arial"/>
                <w:highlight w:val="none"/>
              </w:rPr>
              <w:t>Eastwood et al. (2013)</w:t>
            </w:r>
          </w:p>
        </w:tc>
        <w:tc>
          <w:tcPr>
            <w:tcW w:w="0" w:type="auto"/>
          </w:tcPr>
          <w:p w14:paraId="6FBE3468">
            <w:pPr>
              <w:widowControl/>
              <w:autoSpaceDE/>
              <w:autoSpaceDN/>
              <w:jc w:val="center"/>
              <w:rPr>
                <w:rFonts w:hint="default" w:ascii="Arial" w:hAnsi="Arial" w:cs="Arial"/>
                <w:highlight w:val="none"/>
              </w:rPr>
            </w:pPr>
            <w:r>
              <w:rPr>
                <w:rFonts w:hint="default" w:ascii="Arial" w:hAnsi="Arial" w:cs="Arial"/>
                <w:highlight w:val="none"/>
              </w:rPr>
              <w:t>Community-based interventions improve engagement, but privacy and follow-up remain barriers.</w:t>
            </w:r>
          </w:p>
        </w:tc>
      </w:tr>
      <w:tr w14:paraId="4F90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DB736C">
            <w:pPr>
              <w:widowControl/>
              <w:autoSpaceDE/>
              <w:autoSpaceDN/>
              <w:jc w:val="center"/>
              <w:rPr>
                <w:rFonts w:hint="default" w:ascii="Arial" w:hAnsi="Arial" w:cs="Arial"/>
                <w:highlight w:val="none"/>
              </w:rPr>
            </w:pPr>
          </w:p>
        </w:tc>
        <w:tc>
          <w:tcPr>
            <w:tcW w:w="0" w:type="auto"/>
          </w:tcPr>
          <w:p w14:paraId="34E7B673">
            <w:pPr>
              <w:widowControl/>
              <w:autoSpaceDE/>
              <w:autoSpaceDN/>
              <w:jc w:val="center"/>
              <w:rPr>
                <w:rFonts w:hint="default" w:ascii="Arial" w:hAnsi="Arial" w:cs="Arial"/>
                <w:highlight w:val="none"/>
              </w:rPr>
            </w:pPr>
            <w:r>
              <w:rPr>
                <w:rFonts w:hint="default" w:ascii="Arial" w:hAnsi="Arial" w:cs="Arial"/>
                <w:highlight w:val="none"/>
              </w:rPr>
              <w:t>Bhattacharyya et al. (2016)</w:t>
            </w:r>
          </w:p>
        </w:tc>
        <w:tc>
          <w:tcPr>
            <w:tcW w:w="0" w:type="auto"/>
          </w:tcPr>
          <w:p w14:paraId="384F26CE">
            <w:pPr>
              <w:widowControl/>
              <w:autoSpaceDE/>
              <w:autoSpaceDN/>
              <w:jc w:val="center"/>
              <w:rPr>
                <w:rFonts w:hint="default" w:ascii="Arial" w:hAnsi="Arial" w:cs="Arial"/>
                <w:highlight w:val="none"/>
              </w:rPr>
            </w:pPr>
            <w:r>
              <w:rPr>
                <w:rFonts w:hint="default" w:ascii="Arial" w:hAnsi="Arial" w:cs="Arial"/>
                <w:highlight w:val="none"/>
              </w:rPr>
              <w:t>Socioeconomic factors such as employment and income significantly influence health outcomes.</w:t>
            </w:r>
          </w:p>
        </w:tc>
      </w:tr>
      <w:tr w14:paraId="7FAE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4F8FE9F">
            <w:pPr>
              <w:widowControl/>
              <w:autoSpaceDE/>
              <w:autoSpaceDN/>
              <w:jc w:val="center"/>
              <w:rPr>
                <w:rFonts w:hint="default" w:ascii="Arial" w:hAnsi="Arial" w:cs="Arial"/>
                <w:highlight w:val="none"/>
              </w:rPr>
            </w:pPr>
          </w:p>
        </w:tc>
        <w:tc>
          <w:tcPr>
            <w:tcW w:w="0" w:type="auto"/>
          </w:tcPr>
          <w:p w14:paraId="0F4D1B04">
            <w:pPr>
              <w:widowControl/>
              <w:autoSpaceDE/>
              <w:autoSpaceDN/>
              <w:jc w:val="center"/>
              <w:rPr>
                <w:rFonts w:hint="default" w:ascii="Arial" w:hAnsi="Arial" w:cs="Arial"/>
                <w:highlight w:val="none"/>
              </w:rPr>
            </w:pPr>
            <w:r>
              <w:rPr>
                <w:rFonts w:hint="default" w:ascii="Arial" w:hAnsi="Arial" w:cs="Arial"/>
                <w:highlight w:val="none"/>
              </w:rPr>
              <w:t>Jepson et al. (2012)</w:t>
            </w:r>
          </w:p>
        </w:tc>
        <w:tc>
          <w:tcPr>
            <w:tcW w:w="0" w:type="auto"/>
          </w:tcPr>
          <w:p w14:paraId="1C1228AB">
            <w:pPr>
              <w:widowControl/>
              <w:autoSpaceDE/>
              <w:autoSpaceDN/>
              <w:jc w:val="center"/>
              <w:rPr>
                <w:rFonts w:hint="default" w:ascii="Arial" w:hAnsi="Arial" w:cs="Arial"/>
                <w:highlight w:val="none"/>
              </w:rPr>
            </w:pPr>
            <w:r>
              <w:rPr>
                <w:rFonts w:hint="default" w:ascii="Arial" w:hAnsi="Arial" w:cs="Arial"/>
                <w:highlight w:val="none"/>
              </w:rPr>
              <w:t>External motivators and role models are key facilitators for behaviour change.</w:t>
            </w:r>
          </w:p>
        </w:tc>
      </w:tr>
      <w:tr w14:paraId="1298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FF8227">
            <w:pPr>
              <w:widowControl/>
              <w:autoSpaceDE/>
              <w:autoSpaceDN/>
              <w:jc w:val="center"/>
              <w:rPr>
                <w:rFonts w:hint="default" w:ascii="Arial" w:hAnsi="Arial" w:cs="Arial"/>
                <w:highlight w:val="none"/>
              </w:rPr>
            </w:pPr>
          </w:p>
        </w:tc>
        <w:tc>
          <w:tcPr>
            <w:tcW w:w="0" w:type="auto"/>
          </w:tcPr>
          <w:p w14:paraId="6630F9CB">
            <w:pPr>
              <w:widowControl/>
              <w:autoSpaceDE/>
              <w:autoSpaceDN/>
              <w:jc w:val="center"/>
              <w:rPr>
                <w:rFonts w:hint="default" w:ascii="Arial" w:hAnsi="Arial" w:cs="Arial"/>
                <w:highlight w:val="none"/>
              </w:rPr>
            </w:pPr>
            <w:r>
              <w:rPr>
                <w:rFonts w:hint="default" w:ascii="Arial" w:hAnsi="Arial" w:cs="Arial"/>
                <w:highlight w:val="none"/>
              </w:rPr>
              <w:t>Singh et al. (2025)</w:t>
            </w:r>
          </w:p>
        </w:tc>
        <w:tc>
          <w:tcPr>
            <w:tcW w:w="0" w:type="auto"/>
          </w:tcPr>
          <w:p w14:paraId="7FEBC2AC">
            <w:pPr>
              <w:widowControl/>
              <w:autoSpaceDE/>
              <w:autoSpaceDN/>
              <w:jc w:val="center"/>
              <w:rPr>
                <w:rFonts w:hint="default" w:ascii="Arial" w:hAnsi="Arial" w:cs="Arial"/>
                <w:highlight w:val="none"/>
              </w:rPr>
            </w:pPr>
            <w:r>
              <w:rPr>
                <w:rFonts w:hint="default" w:ascii="Arial" w:hAnsi="Arial" w:cs="Arial"/>
                <w:highlight w:val="none"/>
              </w:rPr>
              <w:t>Poor awareness of alcohol-related CVD risk; cultural conflicts affect behaviour and decision-making.</w:t>
            </w:r>
          </w:p>
        </w:tc>
      </w:tr>
    </w:tbl>
    <w:p w14:paraId="784976FC">
      <w:pPr>
        <w:rPr>
          <w:rFonts w:hint="default" w:ascii="Arial" w:hAnsi="Arial" w:cs="Arial"/>
          <w:highlight w:val="none"/>
        </w:rPr>
      </w:pPr>
    </w:p>
    <w:p w14:paraId="3566A62C">
      <w:pPr>
        <w:rPr>
          <w:rFonts w:hint="default" w:ascii="Arial" w:hAnsi="Arial" w:cs="Arial"/>
          <w:highlight w:val="none"/>
        </w:rPr>
      </w:pPr>
    </w:p>
    <w:p w14:paraId="3E01ACF1">
      <w:pPr>
        <w:rPr>
          <w:rFonts w:hint="default" w:ascii="Arial" w:hAnsi="Arial" w:cs="Arial"/>
          <w:highlight w:val="none"/>
        </w:rPr>
      </w:pPr>
    </w:p>
    <w:p w14:paraId="615473EA">
      <w:pPr>
        <w:rPr>
          <w:rFonts w:hint="default" w:ascii="Arial" w:hAnsi="Arial" w:cs="Arial"/>
          <w:highlight w:val="none"/>
        </w:rPr>
      </w:pPr>
    </w:p>
    <w:p w14:paraId="7FEFB417">
      <w:pPr>
        <w:rPr>
          <w:rFonts w:hint="default" w:ascii="Arial" w:hAnsi="Arial" w:cs="Arial"/>
          <w:highlight w:val="none"/>
        </w:rPr>
      </w:pPr>
    </w:p>
    <w:p w14:paraId="29DCDFA0">
      <w:pPr>
        <w:rPr>
          <w:rFonts w:hint="default" w:ascii="Arial" w:hAnsi="Arial" w:cs="Arial"/>
          <w:highlight w:val="none"/>
        </w:rPr>
      </w:pPr>
    </w:p>
    <w:p w14:paraId="197BCDFA">
      <w:pPr>
        <w:rPr>
          <w:rFonts w:hint="default" w:ascii="Arial" w:hAnsi="Arial" w:cs="Arial"/>
          <w:highlight w:val="none"/>
        </w:rPr>
      </w:pPr>
    </w:p>
    <w:p w14:paraId="3D99A2EC">
      <w:pPr>
        <w:rPr>
          <w:rFonts w:hint="default" w:ascii="Arial" w:hAnsi="Arial" w:cs="Arial"/>
          <w:highlight w:val="none"/>
        </w:rPr>
      </w:pPr>
    </w:p>
    <w:p w14:paraId="4A0C0CED">
      <w:pPr>
        <w:rPr>
          <w:rFonts w:hint="default" w:ascii="Arial" w:hAnsi="Arial" w:cs="Arial"/>
          <w:highlight w:val="none"/>
        </w:rPr>
      </w:pPr>
    </w:p>
    <w:p w14:paraId="4B58CE18">
      <w:pPr>
        <w:rPr>
          <w:rFonts w:hint="default" w:ascii="Arial" w:hAnsi="Arial" w:cs="Arial"/>
          <w:highlight w:val="none"/>
        </w:rPr>
      </w:pPr>
    </w:p>
    <w:p w14:paraId="28E73B13">
      <w:pPr>
        <w:rPr>
          <w:rFonts w:hint="default" w:ascii="Arial" w:hAnsi="Arial" w:cs="Arial"/>
          <w:highlight w:val="none"/>
        </w:rPr>
      </w:pPr>
    </w:p>
    <w:p w14:paraId="49D1FEE6">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hint="default" w:ascii="Arial" w:hAnsi="Arial" w:cs="Arial"/>
          <w:highlight w:val="none"/>
        </w:rPr>
      </w:pPr>
    </w:p>
    <w:p w14:paraId="182CA3D6">
      <w:pPr>
        <w:pStyle w:val="3"/>
        <w:spacing w:line="480" w:lineRule="auto"/>
        <w:ind w:left="0"/>
        <w:rPr>
          <w:rFonts w:hint="default" w:ascii="Arial" w:hAnsi="Arial" w:cs="Arial"/>
          <w:highlight w:val="none"/>
        </w:rPr>
      </w:pPr>
    </w:p>
    <w:sectPr>
      <w:pgSz w:w="16838" w:h="11906"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AF43A">
    <w:pPr>
      <w:pStyle w:val="8"/>
      <w:spacing w:line="14" w:lineRule="auto"/>
      <w:rPr>
        <w:sz w:val="20"/>
      </w:rPr>
    </w:pPr>
    <w:r>
      <w:rPr>
        <w:lang w:bidi="ar-SA"/>
      </w:rPr>
      <mc:AlternateContent>
        <mc:Choice Requires="wps">
          <w:drawing>
            <wp:anchor distT="0" distB="0" distL="114300" distR="114300" simplePos="0" relativeHeight="251659264" behindDoc="1" locked="0" layoutInCell="1" allowOverlap="1">
              <wp:simplePos x="0" y="0"/>
              <wp:positionH relativeFrom="page">
                <wp:posOffset>3785235</wp:posOffset>
              </wp:positionH>
              <wp:positionV relativeFrom="page">
                <wp:posOffset>9250045</wp:posOffset>
              </wp:positionV>
              <wp:extent cx="203200" cy="194310"/>
              <wp:effectExtent l="0" t="0" r="0" b="0"/>
              <wp:wrapNone/>
              <wp:docPr id="682184946" name="Text Box 1"/>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04A76490">
                          <w:pPr>
                            <w:spacing w:before="10"/>
                            <w:ind w:left="40"/>
                            <w:rPr>
                              <w:rFonts w:ascii="Times New Roman"/>
                            </w:rPr>
                          </w:pPr>
                          <w:r>
                            <w:fldChar w:fldCharType="begin"/>
                          </w:r>
                          <w:r>
                            <w:rPr>
                              <w:rFonts w:ascii="Times New Roman"/>
                            </w:rPr>
                            <w:instrText xml:space="preserve"> PAGE </w:instrText>
                          </w:r>
                          <w:r>
                            <w:fldChar w:fldCharType="separate"/>
                          </w:r>
                          <w:r>
                            <w:rPr>
                              <w:rFonts w:ascii="Times New Roman"/>
                            </w:rPr>
                            <w:t>1</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8.05pt;margin-top:728.35pt;height:15.3pt;width:16pt;mso-position-horizontal-relative:page;mso-position-vertical-relative:page;z-index:-251657216;mso-width-relative:page;mso-height-relative:page;" filled="f" stroked="f" coordsize="21600,21600" o:gfxdata="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&#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rrGKraAAAADQEAAA8AAAAAAAAAAQAgAAAAIgAAAGRy&#10;cy9kb3ducmV2LnhtbFBLAQIUABQAAAAIAIdO4kDyUYZeAwIAAAsEAAAOAAAAAAAAAAEAIAAAACkB&#10;AABkcnMvZTJvRG9jLnhtbFBLBQYAAAAABgAGAFkBAACeBQAAAAA=&#10;">
              <v:fill on="f" focussize="0,0"/>
              <v:stroke on="f"/>
              <v:imagedata o:title=""/>
              <o:lock v:ext="edit" aspectratio="f"/>
              <v:textbox inset="0mm,0mm,0mm,0mm">
                <w:txbxContent>
                  <w:p w14:paraId="04A76490">
                    <w:pPr>
                      <w:spacing w:before="10"/>
                      <w:ind w:left="40"/>
                      <w:rPr>
                        <w:rFonts w:ascii="Times New Roman"/>
                      </w:rPr>
                    </w:pPr>
                    <w:r>
                      <w:fldChar w:fldCharType="begin"/>
                    </w:r>
                    <w:r>
                      <w:rPr>
                        <w:rFonts w:ascii="Times New Roman"/>
                      </w:rPr>
                      <w:instrText xml:space="preserve"> PAGE </w:instrText>
                    </w:r>
                    <w:r>
                      <w:fldChar w:fldCharType="separate"/>
                    </w:r>
                    <w:r>
                      <w:rPr>
                        <w:rFonts w:ascii="Times New Roman"/>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1353382"/>
      <w:docPartObj>
        <w:docPartGallery w:val="autotext"/>
      </w:docPartObj>
    </w:sdtPr>
    <w:sdtContent>
      <w:p w14:paraId="59568E31">
        <w:pPr>
          <w:pStyle w:val="14"/>
          <w:jc w:val="center"/>
        </w:pPr>
        <w:r>
          <w:fldChar w:fldCharType="begin"/>
        </w:r>
        <w:r>
          <w:instrText xml:space="preserve"> PAGE   \* MERGEFORMAT </w:instrText>
        </w:r>
        <w:r>
          <w:fldChar w:fldCharType="separate"/>
        </w:r>
        <w:r>
          <w:t>61</w:t>
        </w:r>
        <w:r>
          <w:fldChar w:fldCharType="end"/>
        </w:r>
      </w:p>
    </w:sdtContent>
  </w:sdt>
  <w:p w14:paraId="6899C338">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857A0">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EF636D"/>
    <w:multiLevelType w:val="multilevel"/>
    <w:tmpl w:val="08EF636D"/>
    <w:lvl w:ilvl="0" w:tentative="0">
      <w:start w:val="1"/>
      <w:numFmt w:val="decimal"/>
      <w:lvlText w:val="%1"/>
      <w:lvlJc w:val="left"/>
      <w:pPr>
        <w:ind w:left="480" w:hanging="480"/>
      </w:pPr>
      <w:rPr>
        <w:rFonts w:hint="default"/>
      </w:rPr>
    </w:lvl>
    <w:lvl w:ilvl="1" w:tentative="0">
      <w:start w:val="2"/>
      <w:numFmt w:val="decimal"/>
      <w:lvlText w:val="%1.%2"/>
      <w:lvlJc w:val="left"/>
      <w:pPr>
        <w:ind w:left="500" w:hanging="480"/>
      </w:pPr>
      <w:rPr>
        <w:rFonts w:hint="default"/>
      </w:rPr>
    </w:lvl>
    <w:lvl w:ilvl="2" w:tentative="0">
      <w:start w:val="3"/>
      <w:numFmt w:val="decimal"/>
      <w:lvlText w:val="%1.%2.%3"/>
      <w:lvlJc w:val="left"/>
      <w:pPr>
        <w:ind w:left="760" w:hanging="720"/>
      </w:pPr>
      <w:rPr>
        <w:rFonts w:hint="default"/>
      </w:rPr>
    </w:lvl>
    <w:lvl w:ilvl="3" w:tentative="0">
      <w:start w:val="1"/>
      <w:numFmt w:val="decimal"/>
      <w:lvlText w:val="%1.%2.%3.%4"/>
      <w:lvlJc w:val="left"/>
      <w:pPr>
        <w:ind w:left="780" w:hanging="720"/>
      </w:pPr>
      <w:rPr>
        <w:rFonts w:hint="default"/>
      </w:rPr>
    </w:lvl>
    <w:lvl w:ilvl="4" w:tentative="0">
      <w:start w:val="1"/>
      <w:numFmt w:val="decimal"/>
      <w:lvlText w:val="%1.%2.%3.%4.%5"/>
      <w:lvlJc w:val="left"/>
      <w:pPr>
        <w:ind w:left="1160" w:hanging="1080"/>
      </w:pPr>
      <w:rPr>
        <w:rFonts w:hint="default"/>
      </w:rPr>
    </w:lvl>
    <w:lvl w:ilvl="5" w:tentative="0">
      <w:start w:val="1"/>
      <w:numFmt w:val="decimal"/>
      <w:lvlText w:val="%1.%2.%3.%4.%5.%6"/>
      <w:lvlJc w:val="left"/>
      <w:pPr>
        <w:ind w:left="1180" w:hanging="1080"/>
      </w:pPr>
      <w:rPr>
        <w:rFonts w:hint="default"/>
      </w:rPr>
    </w:lvl>
    <w:lvl w:ilvl="6" w:tentative="0">
      <w:start w:val="1"/>
      <w:numFmt w:val="decimal"/>
      <w:lvlText w:val="%1.%2.%3.%4.%5.%6.%7"/>
      <w:lvlJc w:val="left"/>
      <w:pPr>
        <w:ind w:left="1560" w:hanging="1440"/>
      </w:pPr>
      <w:rPr>
        <w:rFonts w:hint="default"/>
      </w:rPr>
    </w:lvl>
    <w:lvl w:ilvl="7" w:tentative="0">
      <w:start w:val="1"/>
      <w:numFmt w:val="decimal"/>
      <w:lvlText w:val="%1.%2.%3.%4.%5.%6.%7.%8"/>
      <w:lvlJc w:val="left"/>
      <w:pPr>
        <w:ind w:left="1580" w:hanging="1440"/>
      </w:pPr>
      <w:rPr>
        <w:rFonts w:hint="default"/>
      </w:rPr>
    </w:lvl>
    <w:lvl w:ilvl="8" w:tentative="0">
      <w:start w:val="1"/>
      <w:numFmt w:val="decimal"/>
      <w:lvlText w:val="%1.%2.%3.%4.%5.%6.%7.%8.%9"/>
      <w:lvlJc w:val="left"/>
      <w:pPr>
        <w:ind w:left="1960" w:hanging="1800"/>
      </w:pPr>
      <w:rPr>
        <w:rFonts w:hint="default"/>
      </w:rPr>
    </w:lvl>
  </w:abstractNum>
  <w:abstractNum w:abstractNumId="1">
    <w:nsid w:val="09FC334C"/>
    <w:multiLevelType w:val="multilevel"/>
    <w:tmpl w:val="09FC334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CFA23CF"/>
    <w:multiLevelType w:val="multilevel"/>
    <w:tmpl w:val="2CFA23C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4752755"/>
    <w:multiLevelType w:val="multilevel"/>
    <w:tmpl w:val="64752755"/>
    <w:lvl w:ilvl="0" w:tentative="0">
      <w:start w:val="1"/>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67BB3E28"/>
    <w:multiLevelType w:val="multilevel"/>
    <w:tmpl w:val="67BB3E2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3A"/>
    <w:rsid w:val="00001891"/>
    <w:rsid w:val="00001B29"/>
    <w:rsid w:val="00001B6C"/>
    <w:rsid w:val="000028FF"/>
    <w:rsid w:val="00005A1B"/>
    <w:rsid w:val="00005C2B"/>
    <w:rsid w:val="00006B3E"/>
    <w:rsid w:val="00007701"/>
    <w:rsid w:val="00007732"/>
    <w:rsid w:val="00010C5D"/>
    <w:rsid w:val="00013B33"/>
    <w:rsid w:val="00014B97"/>
    <w:rsid w:val="00014F17"/>
    <w:rsid w:val="00022535"/>
    <w:rsid w:val="00022B81"/>
    <w:rsid w:val="00024268"/>
    <w:rsid w:val="00025299"/>
    <w:rsid w:val="00025584"/>
    <w:rsid w:val="00027766"/>
    <w:rsid w:val="00030670"/>
    <w:rsid w:val="00030919"/>
    <w:rsid w:val="000315D1"/>
    <w:rsid w:val="00031C83"/>
    <w:rsid w:val="0003244B"/>
    <w:rsid w:val="00032CF7"/>
    <w:rsid w:val="000339D6"/>
    <w:rsid w:val="00034FE4"/>
    <w:rsid w:val="00037E6C"/>
    <w:rsid w:val="00040C5E"/>
    <w:rsid w:val="00043ADC"/>
    <w:rsid w:val="0004500C"/>
    <w:rsid w:val="000468E5"/>
    <w:rsid w:val="00050C9C"/>
    <w:rsid w:val="00053604"/>
    <w:rsid w:val="00054527"/>
    <w:rsid w:val="00055816"/>
    <w:rsid w:val="00055B54"/>
    <w:rsid w:val="000570DB"/>
    <w:rsid w:val="00071460"/>
    <w:rsid w:val="00071FE3"/>
    <w:rsid w:val="000743D9"/>
    <w:rsid w:val="000752B5"/>
    <w:rsid w:val="000773A2"/>
    <w:rsid w:val="00081477"/>
    <w:rsid w:val="00082194"/>
    <w:rsid w:val="00083216"/>
    <w:rsid w:val="00091C75"/>
    <w:rsid w:val="00091FA5"/>
    <w:rsid w:val="00092170"/>
    <w:rsid w:val="00094B72"/>
    <w:rsid w:val="000967AE"/>
    <w:rsid w:val="00097E3A"/>
    <w:rsid w:val="000A503C"/>
    <w:rsid w:val="000A6A4A"/>
    <w:rsid w:val="000A7868"/>
    <w:rsid w:val="000B5FF3"/>
    <w:rsid w:val="000C15BE"/>
    <w:rsid w:val="000C51B7"/>
    <w:rsid w:val="000C6AA5"/>
    <w:rsid w:val="000D2475"/>
    <w:rsid w:val="000D2BF1"/>
    <w:rsid w:val="000D696C"/>
    <w:rsid w:val="000E2741"/>
    <w:rsid w:val="000E2C1F"/>
    <w:rsid w:val="000E33C3"/>
    <w:rsid w:val="000E4F84"/>
    <w:rsid w:val="000E7BFD"/>
    <w:rsid w:val="000F0F97"/>
    <w:rsid w:val="000F5961"/>
    <w:rsid w:val="000F603B"/>
    <w:rsid w:val="000F7015"/>
    <w:rsid w:val="001032F2"/>
    <w:rsid w:val="00103EDB"/>
    <w:rsid w:val="0010505F"/>
    <w:rsid w:val="001067A5"/>
    <w:rsid w:val="00106B30"/>
    <w:rsid w:val="00111EA8"/>
    <w:rsid w:val="001123A4"/>
    <w:rsid w:val="00113EFE"/>
    <w:rsid w:val="00117BFE"/>
    <w:rsid w:val="00120917"/>
    <w:rsid w:val="001216B3"/>
    <w:rsid w:val="001226B1"/>
    <w:rsid w:val="00126DC2"/>
    <w:rsid w:val="001300C9"/>
    <w:rsid w:val="00130164"/>
    <w:rsid w:val="00132269"/>
    <w:rsid w:val="001417BC"/>
    <w:rsid w:val="00141A70"/>
    <w:rsid w:val="00143063"/>
    <w:rsid w:val="0014352D"/>
    <w:rsid w:val="00143AF7"/>
    <w:rsid w:val="0014461E"/>
    <w:rsid w:val="00146C7F"/>
    <w:rsid w:val="00147D3B"/>
    <w:rsid w:val="00150343"/>
    <w:rsid w:val="00150A0A"/>
    <w:rsid w:val="0015227A"/>
    <w:rsid w:val="00156BEF"/>
    <w:rsid w:val="00157283"/>
    <w:rsid w:val="001618AD"/>
    <w:rsid w:val="001633E9"/>
    <w:rsid w:val="00163F98"/>
    <w:rsid w:val="0016540B"/>
    <w:rsid w:val="0016792E"/>
    <w:rsid w:val="00167DFC"/>
    <w:rsid w:val="001731C5"/>
    <w:rsid w:val="00176FF8"/>
    <w:rsid w:val="00177B85"/>
    <w:rsid w:val="00177C98"/>
    <w:rsid w:val="001831EC"/>
    <w:rsid w:val="00183AD8"/>
    <w:rsid w:val="001842BE"/>
    <w:rsid w:val="00186626"/>
    <w:rsid w:val="00186A5D"/>
    <w:rsid w:val="00190258"/>
    <w:rsid w:val="00191BBE"/>
    <w:rsid w:val="001926A7"/>
    <w:rsid w:val="00195132"/>
    <w:rsid w:val="001A0505"/>
    <w:rsid w:val="001A1947"/>
    <w:rsid w:val="001A4C6F"/>
    <w:rsid w:val="001A506D"/>
    <w:rsid w:val="001B0B88"/>
    <w:rsid w:val="001B0CD4"/>
    <w:rsid w:val="001B1A27"/>
    <w:rsid w:val="001B1AA6"/>
    <w:rsid w:val="001B4019"/>
    <w:rsid w:val="001B598C"/>
    <w:rsid w:val="001B7E17"/>
    <w:rsid w:val="001C0550"/>
    <w:rsid w:val="001C5A8E"/>
    <w:rsid w:val="001C5EAF"/>
    <w:rsid w:val="001C7BBC"/>
    <w:rsid w:val="001D3AC7"/>
    <w:rsid w:val="001D4820"/>
    <w:rsid w:val="001E0C23"/>
    <w:rsid w:val="001E2642"/>
    <w:rsid w:val="001E4229"/>
    <w:rsid w:val="001E48C7"/>
    <w:rsid w:val="001F085F"/>
    <w:rsid w:val="001F0D62"/>
    <w:rsid w:val="001F2606"/>
    <w:rsid w:val="001F485A"/>
    <w:rsid w:val="00201954"/>
    <w:rsid w:val="00204153"/>
    <w:rsid w:val="00204A78"/>
    <w:rsid w:val="0020653A"/>
    <w:rsid w:val="00212FE6"/>
    <w:rsid w:val="00213863"/>
    <w:rsid w:val="00215EBE"/>
    <w:rsid w:val="00216AA8"/>
    <w:rsid w:val="00221C71"/>
    <w:rsid w:val="002224B7"/>
    <w:rsid w:val="00223F7C"/>
    <w:rsid w:val="00225793"/>
    <w:rsid w:val="00226544"/>
    <w:rsid w:val="00233477"/>
    <w:rsid w:val="00236938"/>
    <w:rsid w:val="00236C02"/>
    <w:rsid w:val="00236EFF"/>
    <w:rsid w:val="00237984"/>
    <w:rsid w:val="00243616"/>
    <w:rsid w:val="00245A43"/>
    <w:rsid w:val="00247EDE"/>
    <w:rsid w:val="00250744"/>
    <w:rsid w:val="0025703F"/>
    <w:rsid w:val="002655AA"/>
    <w:rsid w:val="002671E6"/>
    <w:rsid w:val="00272118"/>
    <w:rsid w:val="0027424A"/>
    <w:rsid w:val="00274253"/>
    <w:rsid w:val="00276466"/>
    <w:rsid w:val="0028494A"/>
    <w:rsid w:val="00285992"/>
    <w:rsid w:val="00286CFC"/>
    <w:rsid w:val="00290472"/>
    <w:rsid w:val="0029198F"/>
    <w:rsid w:val="0029769D"/>
    <w:rsid w:val="00297EAD"/>
    <w:rsid w:val="002A149F"/>
    <w:rsid w:val="002A1517"/>
    <w:rsid w:val="002A37A1"/>
    <w:rsid w:val="002A3F7D"/>
    <w:rsid w:val="002A5E00"/>
    <w:rsid w:val="002B0857"/>
    <w:rsid w:val="002B0B4A"/>
    <w:rsid w:val="002B15F1"/>
    <w:rsid w:val="002B1D39"/>
    <w:rsid w:val="002B6B87"/>
    <w:rsid w:val="002C212A"/>
    <w:rsid w:val="002D11E7"/>
    <w:rsid w:val="002D1B8A"/>
    <w:rsid w:val="002D3ECA"/>
    <w:rsid w:val="002D75A5"/>
    <w:rsid w:val="002E5ED5"/>
    <w:rsid w:val="002F12E5"/>
    <w:rsid w:val="002F7106"/>
    <w:rsid w:val="003003DA"/>
    <w:rsid w:val="003007C1"/>
    <w:rsid w:val="00301236"/>
    <w:rsid w:val="00303F3F"/>
    <w:rsid w:val="00304A2B"/>
    <w:rsid w:val="00306A79"/>
    <w:rsid w:val="00307090"/>
    <w:rsid w:val="00307AA1"/>
    <w:rsid w:val="003122B2"/>
    <w:rsid w:val="00313B6F"/>
    <w:rsid w:val="003161B5"/>
    <w:rsid w:val="00321FE3"/>
    <w:rsid w:val="00323841"/>
    <w:rsid w:val="00324ECB"/>
    <w:rsid w:val="003254BD"/>
    <w:rsid w:val="003276BE"/>
    <w:rsid w:val="00333218"/>
    <w:rsid w:val="00333384"/>
    <w:rsid w:val="00333D3A"/>
    <w:rsid w:val="00335A4B"/>
    <w:rsid w:val="003404E1"/>
    <w:rsid w:val="00341000"/>
    <w:rsid w:val="003430D1"/>
    <w:rsid w:val="00347B96"/>
    <w:rsid w:val="0035077C"/>
    <w:rsid w:val="0035460F"/>
    <w:rsid w:val="00354A87"/>
    <w:rsid w:val="00363A20"/>
    <w:rsid w:val="0038032C"/>
    <w:rsid w:val="00382682"/>
    <w:rsid w:val="0038639E"/>
    <w:rsid w:val="00396EC6"/>
    <w:rsid w:val="00397E27"/>
    <w:rsid w:val="003A01CC"/>
    <w:rsid w:val="003A1419"/>
    <w:rsid w:val="003A1BD9"/>
    <w:rsid w:val="003A1F55"/>
    <w:rsid w:val="003A42BF"/>
    <w:rsid w:val="003A5183"/>
    <w:rsid w:val="003B0B04"/>
    <w:rsid w:val="003B0B29"/>
    <w:rsid w:val="003B3E78"/>
    <w:rsid w:val="003B4307"/>
    <w:rsid w:val="003B53A5"/>
    <w:rsid w:val="003B5725"/>
    <w:rsid w:val="003C5D76"/>
    <w:rsid w:val="003D5EDF"/>
    <w:rsid w:val="003D61A2"/>
    <w:rsid w:val="003E3607"/>
    <w:rsid w:val="003E6A27"/>
    <w:rsid w:val="003E70BC"/>
    <w:rsid w:val="003E73A1"/>
    <w:rsid w:val="003F128E"/>
    <w:rsid w:val="003F38B0"/>
    <w:rsid w:val="003F62A5"/>
    <w:rsid w:val="003F7AC6"/>
    <w:rsid w:val="00401852"/>
    <w:rsid w:val="0040283F"/>
    <w:rsid w:val="00402BA5"/>
    <w:rsid w:val="00402D6B"/>
    <w:rsid w:val="00406D05"/>
    <w:rsid w:val="00410B1C"/>
    <w:rsid w:val="004139A0"/>
    <w:rsid w:val="00414215"/>
    <w:rsid w:val="00417A1F"/>
    <w:rsid w:val="00422D06"/>
    <w:rsid w:val="004231C5"/>
    <w:rsid w:val="004231FE"/>
    <w:rsid w:val="00424959"/>
    <w:rsid w:val="004268BF"/>
    <w:rsid w:val="004275C8"/>
    <w:rsid w:val="004278BD"/>
    <w:rsid w:val="00431E8A"/>
    <w:rsid w:val="004340CC"/>
    <w:rsid w:val="00437FCA"/>
    <w:rsid w:val="00440AE0"/>
    <w:rsid w:val="00441A07"/>
    <w:rsid w:val="00443082"/>
    <w:rsid w:val="004478D0"/>
    <w:rsid w:val="004523C2"/>
    <w:rsid w:val="0045241B"/>
    <w:rsid w:val="004559F5"/>
    <w:rsid w:val="00455FF5"/>
    <w:rsid w:val="00460077"/>
    <w:rsid w:val="00462A75"/>
    <w:rsid w:val="00465FDB"/>
    <w:rsid w:val="0046736D"/>
    <w:rsid w:val="004673E8"/>
    <w:rsid w:val="004702FD"/>
    <w:rsid w:val="00471455"/>
    <w:rsid w:val="00471559"/>
    <w:rsid w:val="0047251E"/>
    <w:rsid w:val="00472EC9"/>
    <w:rsid w:val="00473777"/>
    <w:rsid w:val="00474D84"/>
    <w:rsid w:val="00477E12"/>
    <w:rsid w:val="00480361"/>
    <w:rsid w:val="00480DDD"/>
    <w:rsid w:val="00484B39"/>
    <w:rsid w:val="00485B55"/>
    <w:rsid w:val="004867D7"/>
    <w:rsid w:val="00486992"/>
    <w:rsid w:val="00487994"/>
    <w:rsid w:val="00491A51"/>
    <w:rsid w:val="00492C34"/>
    <w:rsid w:val="00495030"/>
    <w:rsid w:val="0049628B"/>
    <w:rsid w:val="004A0F1C"/>
    <w:rsid w:val="004A162F"/>
    <w:rsid w:val="004A2187"/>
    <w:rsid w:val="004A26FE"/>
    <w:rsid w:val="004A2A82"/>
    <w:rsid w:val="004A5642"/>
    <w:rsid w:val="004A5963"/>
    <w:rsid w:val="004A5F77"/>
    <w:rsid w:val="004A6BE9"/>
    <w:rsid w:val="004B40BD"/>
    <w:rsid w:val="004B4C07"/>
    <w:rsid w:val="004B5412"/>
    <w:rsid w:val="004C05A5"/>
    <w:rsid w:val="004C076B"/>
    <w:rsid w:val="004C0A2A"/>
    <w:rsid w:val="004C43B3"/>
    <w:rsid w:val="004C5715"/>
    <w:rsid w:val="004C6B88"/>
    <w:rsid w:val="004C7E5E"/>
    <w:rsid w:val="004D1044"/>
    <w:rsid w:val="004D156A"/>
    <w:rsid w:val="004D2A03"/>
    <w:rsid w:val="004D7846"/>
    <w:rsid w:val="004E150E"/>
    <w:rsid w:val="004E552B"/>
    <w:rsid w:val="004F2938"/>
    <w:rsid w:val="004F3CA1"/>
    <w:rsid w:val="004F3E79"/>
    <w:rsid w:val="004F49A0"/>
    <w:rsid w:val="004F50E0"/>
    <w:rsid w:val="00500515"/>
    <w:rsid w:val="0050245A"/>
    <w:rsid w:val="00504721"/>
    <w:rsid w:val="005052FD"/>
    <w:rsid w:val="00512F91"/>
    <w:rsid w:val="005136F5"/>
    <w:rsid w:val="0051488A"/>
    <w:rsid w:val="00514895"/>
    <w:rsid w:val="00515A78"/>
    <w:rsid w:val="00516452"/>
    <w:rsid w:val="00520D81"/>
    <w:rsid w:val="00521D50"/>
    <w:rsid w:val="0052319D"/>
    <w:rsid w:val="00523CA2"/>
    <w:rsid w:val="00526B57"/>
    <w:rsid w:val="00527AF9"/>
    <w:rsid w:val="00527E67"/>
    <w:rsid w:val="00530CD8"/>
    <w:rsid w:val="0053374D"/>
    <w:rsid w:val="0053436F"/>
    <w:rsid w:val="00535D2A"/>
    <w:rsid w:val="00536240"/>
    <w:rsid w:val="005416C7"/>
    <w:rsid w:val="00541C85"/>
    <w:rsid w:val="00543C5C"/>
    <w:rsid w:val="005464DC"/>
    <w:rsid w:val="0054658D"/>
    <w:rsid w:val="005517B9"/>
    <w:rsid w:val="00552685"/>
    <w:rsid w:val="005527C3"/>
    <w:rsid w:val="005542C8"/>
    <w:rsid w:val="00554E10"/>
    <w:rsid w:val="00557981"/>
    <w:rsid w:val="00557B86"/>
    <w:rsid w:val="005611BF"/>
    <w:rsid w:val="005618F7"/>
    <w:rsid w:val="005620FE"/>
    <w:rsid w:val="00572677"/>
    <w:rsid w:val="00574B1A"/>
    <w:rsid w:val="00575FB0"/>
    <w:rsid w:val="00585286"/>
    <w:rsid w:val="00585418"/>
    <w:rsid w:val="00585B51"/>
    <w:rsid w:val="00585B62"/>
    <w:rsid w:val="00586701"/>
    <w:rsid w:val="0058672E"/>
    <w:rsid w:val="005867AD"/>
    <w:rsid w:val="00586958"/>
    <w:rsid w:val="00587003"/>
    <w:rsid w:val="00587B29"/>
    <w:rsid w:val="00592373"/>
    <w:rsid w:val="00593E64"/>
    <w:rsid w:val="005943A1"/>
    <w:rsid w:val="0059497B"/>
    <w:rsid w:val="0059591F"/>
    <w:rsid w:val="005A210D"/>
    <w:rsid w:val="005A2CC7"/>
    <w:rsid w:val="005A3315"/>
    <w:rsid w:val="005A3BD3"/>
    <w:rsid w:val="005A4BCC"/>
    <w:rsid w:val="005A5259"/>
    <w:rsid w:val="005B1FA8"/>
    <w:rsid w:val="005B21DB"/>
    <w:rsid w:val="005B237B"/>
    <w:rsid w:val="005B452B"/>
    <w:rsid w:val="005B4F38"/>
    <w:rsid w:val="005B5D20"/>
    <w:rsid w:val="005C06A7"/>
    <w:rsid w:val="005C2C7A"/>
    <w:rsid w:val="005D3FE9"/>
    <w:rsid w:val="005D417B"/>
    <w:rsid w:val="005D4785"/>
    <w:rsid w:val="005D704E"/>
    <w:rsid w:val="005E082D"/>
    <w:rsid w:val="005E1819"/>
    <w:rsid w:val="005E1C5D"/>
    <w:rsid w:val="005E397B"/>
    <w:rsid w:val="005E7485"/>
    <w:rsid w:val="005F14CE"/>
    <w:rsid w:val="005F4CBF"/>
    <w:rsid w:val="005F4F16"/>
    <w:rsid w:val="005F7E30"/>
    <w:rsid w:val="006004E4"/>
    <w:rsid w:val="00601426"/>
    <w:rsid w:val="006018FE"/>
    <w:rsid w:val="006052F4"/>
    <w:rsid w:val="00605399"/>
    <w:rsid w:val="00605BE6"/>
    <w:rsid w:val="00606E1B"/>
    <w:rsid w:val="00606FE4"/>
    <w:rsid w:val="006076CF"/>
    <w:rsid w:val="00611412"/>
    <w:rsid w:val="00611C2C"/>
    <w:rsid w:val="006126BA"/>
    <w:rsid w:val="006130F4"/>
    <w:rsid w:val="00614DD9"/>
    <w:rsid w:val="006207DC"/>
    <w:rsid w:val="00620D31"/>
    <w:rsid w:val="00623A94"/>
    <w:rsid w:val="00624667"/>
    <w:rsid w:val="00625475"/>
    <w:rsid w:val="00625AC0"/>
    <w:rsid w:val="006260B5"/>
    <w:rsid w:val="00632069"/>
    <w:rsid w:val="00633646"/>
    <w:rsid w:val="00641BBB"/>
    <w:rsid w:val="006431C5"/>
    <w:rsid w:val="0064431B"/>
    <w:rsid w:val="00645316"/>
    <w:rsid w:val="006516B7"/>
    <w:rsid w:val="00651A1F"/>
    <w:rsid w:val="0065314E"/>
    <w:rsid w:val="00655F14"/>
    <w:rsid w:val="006568EC"/>
    <w:rsid w:val="00656E98"/>
    <w:rsid w:val="00664A07"/>
    <w:rsid w:val="00666E8C"/>
    <w:rsid w:val="00671BA8"/>
    <w:rsid w:val="00671E9D"/>
    <w:rsid w:val="006722A5"/>
    <w:rsid w:val="00675E6D"/>
    <w:rsid w:val="00680E40"/>
    <w:rsid w:val="00682D0A"/>
    <w:rsid w:val="00684A1B"/>
    <w:rsid w:val="00685958"/>
    <w:rsid w:val="00686547"/>
    <w:rsid w:val="00687120"/>
    <w:rsid w:val="00687819"/>
    <w:rsid w:val="00691475"/>
    <w:rsid w:val="00691A89"/>
    <w:rsid w:val="0069251E"/>
    <w:rsid w:val="00697EAF"/>
    <w:rsid w:val="006A2997"/>
    <w:rsid w:val="006A4F3D"/>
    <w:rsid w:val="006A5C09"/>
    <w:rsid w:val="006A7158"/>
    <w:rsid w:val="006A747B"/>
    <w:rsid w:val="006A7B49"/>
    <w:rsid w:val="006B19F6"/>
    <w:rsid w:val="006B2FD8"/>
    <w:rsid w:val="006B5084"/>
    <w:rsid w:val="006B7C10"/>
    <w:rsid w:val="006C1761"/>
    <w:rsid w:val="006C195E"/>
    <w:rsid w:val="006C3CA4"/>
    <w:rsid w:val="006C4D7C"/>
    <w:rsid w:val="006D22BB"/>
    <w:rsid w:val="006D31AE"/>
    <w:rsid w:val="006D33EA"/>
    <w:rsid w:val="006D3C14"/>
    <w:rsid w:val="006D4BB4"/>
    <w:rsid w:val="006D7428"/>
    <w:rsid w:val="006D7FB2"/>
    <w:rsid w:val="006E23C5"/>
    <w:rsid w:val="006E2F2B"/>
    <w:rsid w:val="006E3B95"/>
    <w:rsid w:val="006E3CFB"/>
    <w:rsid w:val="006F7F10"/>
    <w:rsid w:val="00702317"/>
    <w:rsid w:val="0070306D"/>
    <w:rsid w:val="007039A0"/>
    <w:rsid w:val="00707030"/>
    <w:rsid w:val="0071149B"/>
    <w:rsid w:val="00711BB8"/>
    <w:rsid w:val="0071280C"/>
    <w:rsid w:val="00713568"/>
    <w:rsid w:val="00720826"/>
    <w:rsid w:val="007213FA"/>
    <w:rsid w:val="00721A55"/>
    <w:rsid w:val="00722CA1"/>
    <w:rsid w:val="00724265"/>
    <w:rsid w:val="0072438E"/>
    <w:rsid w:val="007306C6"/>
    <w:rsid w:val="00732B5A"/>
    <w:rsid w:val="00733329"/>
    <w:rsid w:val="00733F86"/>
    <w:rsid w:val="00737672"/>
    <w:rsid w:val="00737A30"/>
    <w:rsid w:val="00737BB7"/>
    <w:rsid w:val="00737E90"/>
    <w:rsid w:val="007409BC"/>
    <w:rsid w:val="007442C4"/>
    <w:rsid w:val="007465AE"/>
    <w:rsid w:val="00751AF7"/>
    <w:rsid w:val="00752564"/>
    <w:rsid w:val="00754428"/>
    <w:rsid w:val="00757455"/>
    <w:rsid w:val="00757B37"/>
    <w:rsid w:val="007604C9"/>
    <w:rsid w:val="0076097C"/>
    <w:rsid w:val="007610AD"/>
    <w:rsid w:val="0076324D"/>
    <w:rsid w:val="00764302"/>
    <w:rsid w:val="00765CCB"/>
    <w:rsid w:val="00766D97"/>
    <w:rsid w:val="0077366F"/>
    <w:rsid w:val="00774A16"/>
    <w:rsid w:val="007810DB"/>
    <w:rsid w:val="0078415F"/>
    <w:rsid w:val="00790835"/>
    <w:rsid w:val="00790D04"/>
    <w:rsid w:val="00791334"/>
    <w:rsid w:val="007923C4"/>
    <w:rsid w:val="00795A0E"/>
    <w:rsid w:val="007A0252"/>
    <w:rsid w:val="007A0ADE"/>
    <w:rsid w:val="007A3726"/>
    <w:rsid w:val="007A4FD0"/>
    <w:rsid w:val="007A5A85"/>
    <w:rsid w:val="007A7B6B"/>
    <w:rsid w:val="007B09F4"/>
    <w:rsid w:val="007C0E9D"/>
    <w:rsid w:val="007C385B"/>
    <w:rsid w:val="007C40FA"/>
    <w:rsid w:val="007C5124"/>
    <w:rsid w:val="007D5178"/>
    <w:rsid w:val="007D5D8B"/>
    <w:rsid w:val="007E1F1E"/>
    <w:rsid w:val="007E4010"/>
    <w:rsid w:val="007E65A6"/>
    <w:rsid w:val="007F1C65"/>
    <w:rsid w:val="007F1F9C"/>
    <w:rsid w:val="007F4D74"/>
    <w:rsid w:val="007F4F92"/>
    <w:rsid w:val="00800A6C"/>
    <w:rsid w:val="00802A09"/>
    <w:rsid w:val="0080448A"/>
    <w:rsid w:val="0081234F"/>
    <w:rsid w:val="00812564"/>
    <w:rsid w:val="0081283E"/>
    <w:rsid w:val="00814B1F"/>
    <w:rsid w:val="008167AF"/>
    <w:rsid w:val="008210F6"/>
    <w:rsid w:val="00825C6B"/>
    <w:rsid w:val="00827272"/>
    <w:rsid w:val="008331A3"/>
    <w:rsid w:val="00833B88"/>
    <w:rsid w:val="00834508"/>
    <w:rsid w:val="0083476D"/>
    <w:rsid w:val="008352D8"/>
    <w:rsid w:val="008354B4"/>
    <w:rsid w:val="00835DD6"/>
    <w:rsid w:val="0083789D"/>
    <w:rsid w:val="00843EC9"/>
    <w:rsid w:val="00844821"/>
    <w:rsid w:val="008448B2"/>
    <w:rsid w:val="00851367"/>
    <w:rsid w:val="008513BC"/>
    <w:rsid w:val="0085200F"/>
    <w:rsid w:val="00860CB2"/>
    <w:rsid w:val="00861371"/>
    <w:rsid w:val="00863A87"/>
    <w:rsid w:val="008641F5"/>
    <w:rsid w:val="00865B6F"/>
    <w:rsid w:val="00865FBD"/>
    <w:rsid w:val="008670A9"/>
    <w:rsid w:val="0087294E"/>
    <w:rsid w:val="008731A2"/>
    <w:rsid w:val="00877470"/>
    <w:rsid w:val="00880ABE"/>
    <w:rsid w:val="00882D32"/>
    <w:rsid w:val="00885AB2"/>
    <w:rsid w:val="00890B7E"/>
    <w:rsid w:val="00891935"/>
    <w:rsid w:val="00892CD3"/>
    <w:rsid w:val="008A2D96"/>
    <w:rsid w:val="008A3D05"/>
    <w:rsid w:val="008B31C8"/>
    <w:rsid w:val="008B4C77"/>
    <w:rsid w:val="008B57C7"/>
    <w:rsid w:val="008B60F2"/>
    <w:rsid w:val="008B7107"/>
    <w:rsid w:val="008C5990"/>
    <w:rsid w:val="008C7BD7"/>
    <w:rsid w:val="008D7C4F"/>
    <w:rsid w:val="008E160E"/>
    <w:rsid w:val="008E226F"/>
    <w:rsid w:val="008E6D01"/>
    <w:rsid w:val="008F13E4"/>
    <w:rsid w:val="008F28B7"/>
    <w:rsid w:val="008F458E"/>
    <w:rsid w:val="008F5283"/>
    <w:rsid w:val="00902F3C"/>
    <w:rsid w:val="00905D4C"/>
    <w:rsid w:val="00914E5C"/>
    <w:rsid w:val="00916E4C"/>
    <w:rsid w:val="009233EB"/>
    <w:rsid w:val="00923808"/>
    <w:rsid w:val="009252D4"/>
    <w:rsid w:val="00927599"/>
    <w:rsid w:val="00927D91"/>
    <w:rsid w:val="00933DFB"/>
    <w:rsid w:val="00934E01"/>
    <w:rsid w:val="00936B72"/>
    <w:rsid w:val="00937CCC"/>
    <w:rsid w:val="00944F00"/>
    <w:rsid w:val="0094683E"/>
    <w:rsid w:val="009507CB"/>
    <w:rsid w:val="009516E2"/>
    <w:rsid w:val="0095187D"/>
    <w:rsid w:val="00951C10"/>
    <w:rsid w:val="00953739"/>
    <w:rsid w:val="009565F3"/>
    <w:rsid w:val="00962388"/>
    <w:rsid w:val="009633A4"/>
    <w:rsid w:val="00963743"/>
    <w:rsid w:val="009666D4"/>
    <w:rsid w:val="00970034"/>
    <w:rsid w:val="00970181"/>
    <w:rsid w:val="009708E1"/>
    <w:rsid w:val="00973033"/>
    <w:rsid w:val="00974347"/>
    <w:rsid w:val="009759E1"/>
    <w:rsid w:val="00977D23"/>
    <w:rsid w:val="009804B7"/>
    <w:rsid w:val="00982D66"/>
    <w:rsid w:val="0098583C"/>
    <w:rsid w:val="009861D4"/>
    <w:rsid w:val="0098653D"/>
    <w:rsid w:val="009929F7"/>
    <w:rsid w:val="009A24D5"/>
    <w:rsid w:val="009A3ED8"/>
    <w:rsid w:val="009B0F51"/>
    <w:rsid w:val="009B354F"/>
    <w:rsid w:val="009B46BF"/>
    <w:rsid w:val="009C08FD"/>
    <w:rsid w:val="009C36D4"/>
    <w:rsid w:val="009C3FC8"/>
    <w:rsid w:val="009C5ACC"/>
    <w:rsid w:val="009C629D"/>
    <w:rsid w:val="009C71EC"/>
    <w:rsid w:val="009D0AF5"/>
    <w:rsid w:val="009D4AE7"/>
    <w:rsid w:val="009D5E53"/>
    <w:rsid w:val="009D5F95"/>
    <w:rsid w:val="009E0439"/>
    <w:rsid w:val="009E1BDC"/>
    <w:rsid w:val="009E600F"/>
    <w:rsid w:val="009E65E6"/>
    <w:rsid w:val="009E70F5"/>
    <w:rsid w:val="009F0B7D"/>
    <w:rsid w:val="009F201B"/>
    <w:rsid w:val="009F304B"/>
    <w:rsid w:val="009F5228"/>
    <w:rsid w:val="00A004C6"/>
    <w:rsid w:val="00A02B85"/>
    <w:rsid w:val="00A03104"/>
    <w:rsid w:val="00A0479C"/>
    <w:rsid w:val="00A061FB"/>
    <w:rsid w:val="00A07A8B"/>
    <w:rsid w:val="00A07F08"/>
    <w:rsid w:val="00A105D7"/>
    <w:rsid w:val="00A11058"/>
    <w:rsid w:val="00A11332"/>
    <w:rsid w:val="00A11B8F"/>
    <w:rsid w:val="00A11C04"/>
    <w:rsid w:val="00A11FF6"/>
    <w:rsid w:val="00A1495A"/>
    <w:rsid w:val="00A149D1"/>
    <w:rsid w:val="00A15201"/>
    <w:rsid w:val="00A15A38"/>
    <w:rsid w:val="00A16403"/>
    <w:rsid w:val="00A17114"/>
    <w:rsid w:val="00A21540"/>
    <w:rsid w:val="00A22ACF"/>
    <w:rsid w:val="00A24E76"/>
    <w:rsid w:val="00A251BB"/>
    <w:rsid w:val="00A27A63"/>
    <w:rsid w:val="00A3494F"/>
    <w:rsid w:val="00A34FDC"/>
    <w:rsid w:val="00A40898"/>
    <w:rsid w:val="00A40F9C"/>
    <w:rsid w:val="00A4136D"/>
    <w:rsid w:val="00A428B9"/>
    <w:rsid w:val="00A42B72"/>
    <w:rsid w:val="00A43039"/>
    <w:rsid w:val="00A4532A"/>
    <w:rsid w:val="00A45EA5"/>
    <w:rsid w:val="00A470D1"/>
    <w:rsid w:val="00A52929"/>
    <w:rsid w:val="00A52952"/>
    <w:rsid w:val="00A5454F"/>
    <w:rsid w:val="00A5577D"/>
    <w:rsid w:val="00A568E2"/>
    <w:rsid w:val="00A572B0"/>
    <w:rsid w:val="00A6008F"/>
    <w:rsid w:val="00A61C66"/>
    <w:rsid w:val="00A61CBE"/>
    <w:rsid w:val="00A63C36"/>
    <w:rsid w:val="00A65CEF"/>
    <w:rsid w:val="00A65D31"/>
    <w:rsid w:val="00A666E9"/>
    <w:rsid w:val="00A670C5"/>
    <w:rsid w:val="00A71529"/>
    <w:rsid w:val="00A71818"/>
    <w:rsid w:val="00A73675"/>
    <w:rsid w:val="00A76D09"/>
    <w:rsid w:val="00A8288E"/>
    <w:rsid w:val="00A82D7D"/>
    <w:rsid w:val="00A84C70"/>
    <w:rsid w:val="00A855DF"/>
    <w:rsid w:val="00A8616F"/>
    <w:rsid w:val="00A903D3"/>
    <w:rsid w:val="00A90D50"/>
    <w:rsid w:val="00A9431D"/>
    <w:rsid w:val="00A95EE7"/>
    <w:rsid w:val="00AA120E"/>
    <w:rsid w:val="00AA15AB"/>
    <w:rsid w:val="00AA1EEF"/>
    <w:rsid w:val="00AA1F5A"/>
    <w:rsid w:val="00AA221B"/>
    <w:rsid w:val="00AA3321"/>
    <w:rsid w:val="00AA3FCA"/>
    <w:rsid w:val="00AA497B"/>
    <w:rsid w:val="00AA7C63"/>
    <w:rsid w:val="00AB111C"/>
    <w:rsid w:val="00AB12AA"/>
    <w:rsid w:val="00AB2BCB"/>
    <w:rsid w:val="00AB3A10"/>
    <w:rsid w:val="00AB47C6"/>
    <w:rsid w:val="00AC4FA5"/>
    <w:rsid w:val="00AD0EFB"/>
    <w:rsid w:val="00AD15D2"/>
    <w:rsid w:val="00AD2763"/>
    <w:rsid w:val="00AD57E8"/>
    <w:rsid w:val="00AE071B"/>
    <w:rsid w:val="00AE3B7B"/>
    <w:rsid w:val="00AF1853"/>
    <w:rsid w:val="00AF2C2D"/>
    <w:rsid w:val="00AF3B23"/>
    <w:rsid w:val="00AF579A"/>
    <w:rsid w:val="00AF60D6"/>
    <w:rsid w:val="00AF63A1"/>
    <w:rsid w:val="00B0146C"/>
    <w:rsid w:val="00B0585C"/>
    <w:rsid w:val="00B058A2"/>
    <w:rsid w:val="00B05FD3"/>
    <w:rsid w:val="00B10A6A"/>
    <w:rsid w:val="00B1257D"/>
    <w:rsid w:val="00B13DAF"/>
    <w:rsid w:val="00B16F54"/>
    <w:rsid w:val="00B20415"/>
    <w:rsid w:val="00B21657"/>
    <w:rsid w:val="00B218DC"/>
    <w:rsid w:val="00B26940"/>
    <w:rsid w:val="00B31165"/>
    <w:rsid w:val="00B324A8"/>
    <w:rsid w:val="00B327A4"/>
    <w:rsid w:val="00B3416F"/>
    <w:rsid w:val="00B34FF3"/>
    <w:rsid w:val="00B40BE8"/>
    <w:rsid w:val="00B4298F"/>
    <w:rsid w:val="00B4354D"/>
    <w:rsid w:val="00B465DE"/>
    <w:rsid w:val="00B472B2"/>
    <w:rsid w:val="00B4730E"/>
    <w:rsid w:val="00B501D7"/>
    <w:rsid w:val="00B5258D"/>
    <w:rsid w:val="00B52F50"/>
    <w:rsid w:val="00B5775B"/>
    <w:rsid w:val="00B60434"/>
    <w:rsid w:val="00B614E2"/>
    <w:rsid w:val="00B62A5E"/>
    <w:rsid w:val="00B6591B"/>
    <w:rsid w:val="00B6659D"/>
    <w:rsid w:val="00B7012F"/>
    <w:rsid w:val="00B71E45"/>
    <w:rsid w:val="00B73F89"/>
    <w:rsid w:val="00B757AD"/>
    <w:rsid w:val="00B7727C"/>
    <w:rsid w:val="00B84342"/>
    <w:rsid w:val="00B844B7"/>
    <w:rsid w:val="00B91FEE"/>
    <w:rsid w:val="00B928DC"/>
    <w:rsid w:val="00B93E80"/>
    <w:rsid w:val="00B93FAF"/>
    <w:rsid w:val="00BA0C5D"/>
    <w:rsid w:val="00BA5038"/>
    <w:rsid w:val="00BA6C6F"/>
    <w:rsid w:val="00BB1F3A"/>
    <w:rsid w:val="00BB4E2B"/>
    <w:rsid w:val="00BC1C53"/>
    <w:rsid w:val="00BC254B"/>
    <w:rsid w:val="00BC6DB2"/>
    <w:rsid w:val="00BD1000"/>
    <w:rsid w:val="00BD5D88"/>
    <w:rsid w:val="00BD6316"/>
    <w:rsid w:val="00BD7935"/>
    <w:rsid w:val="00BE71D5"/>
    <w:rsid w:val="00BE72A8"/>
    <w:rsid w:val="00BF18CA"/>
    <w:rsid w:val="00BF1A9F"/>
    <w:rsid w:val="00BF27B5"/>
    <w:rsid w:val="00BF7346"/>
    <w:rsid w:val="00BF7BD4"/>
    <w:rsid w:val="00C024C8"/>
    <w:rsid w:val="00C06AC6"/>
    <w:rsid w:val="00C120B1"/>
    <w:rsid w:val="00C13121"/>
    <w:rsid w:val="00C15995"/>
    <w:rsid w:val="00C22B23"/>
    <w:rsid w:val="00C22C0E"/>
    <w:rsid w:val="00C231F1"/>
    <w:rsid w:val="00C23291"/>
    <w:rsid w:val="00C24BCC"/>
    <w:rsid w:val="00C27062"/>
    <w:rsid w:val="00C27550"/>
    <w:rsid w:val="00C326BE"/>
    <w:rsid w:val="00C4081D"/>
    <w:rsid w:val="00C41F95"/>
    <w:rsid w:val="00C434E3"/>
    <w:rsid w:val="00C436E0"/>
    <w:rsid w:val="00C45F4A"/>
    <w:rsid w:val="00C46BAD"/>
    <w:rsid w:val="00C50447"/>
    <w:rsid w:val="00C51192"/>
    <w:rsid w:val="00C5164A"/>
    <w:rsid w:val="00C53331"/>
    <w:rsid w:val="00C54003"/>
    <w:rsid w:val="00C54E1C"/>
    <w:rsid w:val="00C56A9D"/>
    <w:rsid w:val="00C62F1A"/>
    <w:rsid w:val="00C65208"/>
    <w:rsid w:val="00C6772A"/>
    <w:rsid w:val="00C70576"/>
    <w:rsid w:val="00C71B4F"/>
    <w:rsid w:val="00C737FF"/>
    <w:rsid w:val="00C758FB"/>
    <w:rsid w:val="00C760D9"/>
    <w:rsid w:val="00C764A3"/>
    <w:rsid w:val="00C76DF6"/>
    <w:rsid w:val="00C77CC6"/>
    <w:rsid w:val="00C8264E"/>
    <w:rsid w:val="00C8355D"/>
    <w:rsid w:val="00C85C84"/>
    <w:rsid w:val="00C8693A"/>
    <w:rsid w:val="00C93C3A"/>
    <w:rsid w:val="00C94A1E"/>
    <w:rsid w:val="00C96BDC"/>
    <w:rsid w:val="00CA1CD4"/>
    <w:rsid w:val="00CA2E58"/>
    <w:rsid w:val="00CA72B6"/>
    <w:rsid w:val="00CB2B31"/>
    <w:rsid w:val="00CB4FE4"/>
    <w:rsid w:val="00CB63A7"/>
    <w:rsid w:val="00CB70A7"/>
    <w:rsid w:val="00CC5101"/>
    <w:rsid w:val="00CC5A34"/>
    <w:rsid w:val="00CD2805"/>
    <w:rsid w:val="00CD2EE1"/>
    <w:rsid w:val="00CD354B"/>
    <w:rsid w:val="00CD7E8A"/>
    <w:rsid w:val="00CE0675"/>
    <w:rsid w:val="00CE10CA"/>
    <w:rsid w:val="00CE1DBC"/>
    <w:rsid w:val="00CE29E9"/>
    <w:rsid w:val="00CE6097"/>
    <w:rsid w:val="00CE7AA0"/>
    <w:rsid w:val="00CF014F"/>
    <w:rsid w:val="00CF073A"/>
    <w:rsid w:val="00CF30C4"/>
    <w:rsid w:val="00CF36E5"/>
    <w:rsid w:val="00CF4D20"/>
    <w:rsid w:val="00CF6BC2"/>
    <w:rsid w:val="00CF707D"/>
    <w:rsid w:val="00D018EB"/>
    <w:rsid w:val="00D01B70"/>
    <w:rsid w:val="00D03D87"/>
    <w:rsid w:val="00D0648E"/>
    <w:rsid w:val="00D07A1C"/>
    <w:rsid w:val="00D11EDB"/>
    <w:rsid w:val="00D13A00"/>
    <w:rsid w:val="00D20305"/>
    <w:rsid w:val="00D21E45"/>
    <w:rsid w:val="00D26887"/>
    <w:rsid w:val="00D26952"/>
    <w:rsid w:val="00D269B4"/>
    <w:rsid w:val="00D30355"/>
    <w:rsid w:val="00D30F8E"/>
    <w:rsid w:val="00D31EFD"/>
    <w:rsid w:val="00D350FF"/>
    <w:rsid w:val="00D40127"/>
    <w:rsid w:val="00D40D2C"/>
    <w:rsid w:val="00D41694"/>
    <w:rsid w:val="00D43E54"/>
    <w:rsid w:val="00D44120"/>
    <w:rsid w:val="00D44776"/>
    <w:rsid w:val="00D47538"/>
    <w:rsid w:val="00D47FFD"/>
    <w:rsid w:val="00D5499C"/>
    <w:rsid w:val="00D57F6F"/>
    <w:rsid w:val="00D65A4A"/>
    <w:rsid w:val="00D66DD9"/>
    <w:rsid w:val="00D7004B"/>
    <w:rsid w:val="00D7071B"/>
    <w:rsid w:val="00D70DCB"/>
    <w:rsid w:val="00D71043"/>
    <w:rsid w:val="00D75F71"/>
    <w:rsid w:val="00D76A32"/>
    <w:rsid w:val="00D839CC"/>
    <w:rsid w:val="00D84A68"/>
    <w:rsid w:val="00D855CD"/>
    <w:rsid w:val="00D863B5"/>
    <w:rsid w:val="00D90B15"/>
    <w:rsid w:val="00D948AC"/>
    <w:rsid w:val="00D964ED"/>
    <w:rsid w:val="00D97013"/>
    <w:rsid w:val="00DA0BAA"/>
    <w:rsid w:val="00DA4DF0"/>
    <w:rsid w:val="00DA599A"/>
    <w:rsid w:val="00DA5D26"/>
    <w:rsid w:val="00DA7717"/>
    <w:rsid w:val="00DA79D1"/>
    <w:rsid w:val="00DA7AF0"/>
    <w:rsid w:val="00DB1C4B"/>
    <w:rsid w:val="00DB4A8C"/>
    <w:rsid w:val="00DB5957"/>
    <w:rsid w:val="00DB670C"/>
    <w:rsid w:val="00DB69C9"/>
    <w:rsid w:val="00DC1EEA"/>
    <w:rsid w:val="00DC2699"/>
    <w:rsid w:val="00DC2E73"/>
    <w:rsid w:val="00DD0254"/>
    <w:rsid w:val="00DD28B0"/>
    <w:rsid w:val="00DD5EB2"/>
    <w:rsid w:val="00DE0A2D"/>
    <w:rsid w:val="00DE0AE7"/>
    <w:rsid w:val="00DE0F98"/>
    <w:rsid w:val="00DE2F03"/>
    <w:rsid w:val="00DE3A94"/>
    <w:rsid w:val="00DE579F"/>
    <w:rsid w:val="00DE5F1A"/>
    <w:rsid w:val="00DE6FF8"/>
    <w:rsid w:val="00DF5515"/>
    <w:rsid w:val="00DF572A"/>
    <w:rsid w:val="00E00466"/>
    <w:rsid w:val="00E01DB3"/>
    <w:rsid w:val="00E02506"/>
    <w:rsid w:val="00E05C54"/>
    <w:rsid w:val="00E0645C"/>
    <w:rsid w:val="00E06629"/>
    <w:rsid w:val="00E10636"/>
    <w:rsid w:val="00E12506"/>
    <w:rsid w:val="00E13327"/>
    <w:rsid w:val="00E17DAA"/>
    <w:rsid w:val="00E202D3"/>
    <w:rsid w:val="00E209FC"/>
    <w:rsid w:val="00E23813"/>
    <w:rsid w:val="00E2439C"/>
    <w:rsid w:val="00E26599"/>
    <w:rsid w:val="00E30535"/>
    <w:rsid w:val="00E30677"/>
    <w:rsid w:val="00E30AC5"/>
    <w:rsid w:val="00E31CCC"/>
    <w:rsid w:val="00E322E9"/>
    <w:rsid w:val="00E3485B"/>
    <w:rsid w:val="00E41BCA"/>
    <w:rsid w:val="00E4547F"/>
    <w:rsid w:val="00E45CAD"/>
    <w:rsid w:val="00E504C2"/>
    <w:rsid w:val="00E51922"/>
    <w:rsid w:val="00E53C06"/>
    <w:rsid w:val="00E562B1"/>
    <w:rsid w:val="00E567FC"/>
    <w:rsid w:val="00E6125F"/>
    <w:rsid w:val="00E612BB"/>
    <w:rsid w:val="00E615FC"/>
    <w:rsid w:val="00E618F2"/>
    <w:rsid w:val="00E649C1"/>
    <w:rsid w:val="00E6543C"/>
    <w:rsid w:val="00E72E5E"/>
    <w:rsid w:val="00E73750"/>
    <w:rsid w:val="00E73790"/>
    <w:rsid w:val="00E74B3E"/>
    <w:rsid w:val="00E74B72"/>
    <w:rsid w:val="00E769C7"/>
    <w:rsid w:val="00E8406F"/>
    <w:rsid w:val="00E872BE"/>
    <w:rsid w:val="00E9124A"/>
    <w:rsid w:val="00E9299A"/>
    <w:rsid w:val="00E94BA2"/>
    <w:rsid w:val="00E955DA"/>
    <w:rsid w:val="00E95620"/>
    <w:rsid w:val="00E95AA3"/>
    <w:rsid w:val="00EA016B"/>
    <w:rsid w:val="00EA1450"/>
    <w:rsid w:val="00EA161A"/>
    <w:rsid w:val="00EA38DA"/>
    <w:rsid w:val="00EA3939"/>
    <w:rsid w:val="00EA42BE"/>
    <w:rsid w:val="00EA4708"/>
    <w:rsid w:val="00EB0F17"/>
    <w:rsid w:val="00EB255F"/>
    <w:rsid w:val="00EB3D28"/>
    <w:rsid w:val="00EB4D8A"/>
    <w:rsid w:val="00EB5640"/>
    <w:rsid w:val="00EB6FA9"/>
    <w:rsid w:val="00EB7E9C"/>
    <w:rsid w:val="00EC0139"/>
    <w:rsid w:val="00EC07D0"/>
    <w:rsid w:val="00EC26D9"/>
    <w:rsid w:val="00EC468D"/>
    <w:rsid w:val="00EC5E1C"/>
    <w:rsid w:val="00EC6793"/>
    <w:rsid w:val="00EC6B43"/>
    <w:rsid w:val="00ED12D5"/>
    <w:rsid w:val="00ED762E"/>
    <w:rsid w:val="00EE14E9"/>
    <w:rsid w:val="00EE1B9B"/>
    <w:rsid w:val="00EE21AE"/>
    <w:rsid w:val="00EE543F"/>
    <w:rsid w:val="00EE701D"/>
    <w:rsid w:val="00EF0653"/>
    <w:rsid w:val="00EF4A16"/>
    <w:rsid w:val="00EF6EBA"/>
    <w:rsid w:val="00F02454"/>
    <w:rsid w:val="00F05611"/>
    <w:rsid w:val="00F07848"/>
    <w:rsid w:val="00F1562E"/>
    <w:rsid w:val="00F163FD"/>
    <w:rsid w:val="00F20EEB"/>
    <w:rsid w:val="00F21F57"/>
    <w:rsid w:val="00F24E8D"/>
    <w:rsid w:val="00F3026B"/>
    <w:rsid w:val="00F338DD"/>
    <w:rsid w:val="00F40875"/>
    <w:rsid w:val="00F413B4"/>
    <w:rsid w:val="00F41A96"/>
    <w:rsid w:val="00F42388"/>
    <w:rsid w:val="00F46419"/>
    <w:rsid w:val="00F5061A"/>
    <w:rsid w:val="00F51F4C"/>
    <w:rsid w:val="00F52CA1"/>
    <w:rsid w:val="00F53549"/>
    <w:rsid w:val="00F54DF9"/>
    <w:rsid w:val="00F55F13"/>
    <w:rsid w:val="00F60763"/>
    <w:rsid w:val="00F627B3"/>
    <w:rsid w:val="00F6541B"/>
    <w:rsid w:val="00F707BB"/>
    <w:rsid w:val="00F7186B"/>
    <w:rsid w:val="00F7339B"/>
    <w:rsid w:val="00F76B24"/>
    <w:rsid w:val="00F828C7"/>
    <w:rsid w:val="00F82B17"/>
    <w:rsid w:val="00F86299"/>
    <w:rsid w:val="00F90231"/>
    <w:rsid w:val="00F91771"/>
    <w:rsid w:val="00F9271C"/>
    <w:rsid w:val="00F9290C"/>
    <w:rsid w:val="00F950AD"/>
    <w:rsid w:val="00F95EFB"/>
    <w:rsid w:val="00F978CE"/>
    <w:rsid w:val="00F97DFE"/>
    <w:rsid w:val="00FA16F8"/>
    <w:rsid w:val="00FA3701"/>
    <w:rsid w:val="00FA3A0C"/>
    <w:rsid w:val="00FA646E"/>
    <w:rsid w:val="00FA6994"/>
    <w:rsid w:val="00FA7F94"/>
    <w:rsid w:val="00FB0068"/>
    <w:rsid w:val="00FB0096"/>
    <w:rsid w:val="00FB36FE"/>
    <w:rsid w:val="00FB62BF"/>
    <w:rsid w:val="00FB7557"/>
    <w:rsid w:val="00FC2FBA"/>
    <w:rsid w:val="00FC426C"/>
    <w:rsid w:val="00FC5E7F"/>
    <w:rsid w:val="00FC79DE"/>
    <w:rsid w:val="00FD1C47"/>
    <w:rsid w:val="00FD498C"/>
    <w:rsid w:val="00FD4E6D"/>
    <w:rsid w:val="00FD52C8"/>
    <w:rsid w:val="00FD581D"/>
    <w:rsid w:val="00FD71C7"/>
    <w:rsid w:val="00FE2514"/>
    <w:rsid w:val="00FE6207"/>
    <w:rsid w:val="00FE70AB"/>
    <w:rsid w:val="00FE7B92"/>
    <w:rsid w:val="00FF0EEF"/>
    <w:rsid w:val="00FF3BB6"/>
    <w:rsid w:val="00FF660C"/>
    <w:rsid w:val="213CC21C"/>
    <w:rsid w:val="430F4784"/>
    <w:rsid w:val="45CF731D"/>
    <w:rsid w:val="63024A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line="360" w:lineRule="auto"/>
      <w:jc w:val="both"/>
    </w:pPr>
    <w:rPr>
      <w:rFonts w:ascii="Arial" w:hAnsi="Arial" w:eastAsia="Calibri Light" w:cs="Calibri Light"/>
      <w:sz w:val="22"/>
      <w:szCs w:val="22"/>
      <w:lang w:val="en-GB" w:eastAsia="en-GB" w:bidi="en-GB"/>
    </w:rPr>
  </w:style>
  <w:style w:type="paragraph" w:styleId="2">
    <w:name w:val="heading 1"/>
    <w:basedOn w:val="1"/>
    <w:link w:val="49"/>
    <w:qFormat/>
    <w:uiPriority w:val="9"/>
    <w:pPr>
      <w:ind w:left="220"/>
      <w:jc w:val="center"/>
      <w:outlineLvl w:val="0"/>
    </w:pPr>
    <w:rPr>
      <w:b/>
      <w:sz w:val="28"/>
      <w:szCs w:val="32"/>
    </w:rPr>
  </w:style>
  <w:style w:type="paragraph" w:styleId="3">
    <w:name w:val="heading 2"/>
    <w:basedOn w:val="1"/>
    <w:link w:val="34"/>
    <w:qFormat/>
    <w:uiPriority w:val="9"/>
    <w:pPr>
      <w:ind w:left="220"/>
      <w:outlineLvl w:val="1"/>
    </w:pPr>
    <w:rPr>
      <w:b/>
      <w:sz w:val="26"/>
      <w:szCs w:val="28"/>
    </w:rPr>
  </w:style>
  <w:style w:type="paragraph" w:styleId="4">
    <w:name w:val="heading 3"/>
    <w:basedOn w:val="1"/>
    <w:link w:val="50"/>
    <w:qFormat/>
    <w:uiPriority w:val="9"/>
    <w:pPr>
      <w:spacing w:before="10"/>
      <w:ind w:left="40"/>
      <w:outlineLvl w:val="2"/>
    </w:pPr>
    <w:rPr>
      <w:b/>
      <w:szCs w:val="24"/>
    </w:rPr>
  </w:style>
  <w:style w:type="character" w:default="1" w:styleId="5">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41"/>
    <w:semiHidden/>
    <w:unhideWhenUsed/>
    <w:qFormat/>
    <w:uiPriority w:val="99"/>
    <w:rPr>
      <w:rFonts w:ascii="Tahoma" w:hAnsi="Tahoma" w:cs="Tahoma"/>
      <w:sz w:val="16"/>
      <w:szCs w:val="16"/>
    </w:rPr>
  </w:style>
  <w:style w:type="paragraph" w:styleId="8">
    <w:name w:val="Body Text"/>
    <w:basedOn w:val="1"/>
    <w:link w:val="35"/>
    <w:qFormat/>
    <w:uiPriority w:val="1"/>
  </w:style>
  <w:style w:type="paragraph" w:styleId="9">
    <w:name w:val="caption"/>
    <w:basedOn w:val="1"/>
    <w:next w:val="1"/>
    <w:unhideWhenUsed/>
    <w:qFormat/>
    <w:uiPriority w:val="35"/>
    <w:pPr>
      <w:spacing w:after="200" w:line="240" w:lineRule="auto"/>
    </w:pPr>
    <w:rPr>
      <w:b/>
      <w:bCs/>
      <w:color w:val="4F81BD" w:themeColor="accent1"/>
      <w:sz w:val="18"/>
      <w:szCs w:val="18"/>
      <w14:textFill>
        <w14:solidFill>
          <w14:schemeClr w14:val="accent1"/>
        </w14:solidFill>
      </w14:textFill>
    </w:rPr>
  </w:style>
  <w:style w:type="character" w:styleId="10">
    <w:name w:val="annotation reference"/>
    <w:basedOn w:val="5"/>
    <w:semiHidden/>
    <w:unhideWhenUsed/>
    <w:qFormat/>
    <w:uiPriority w:val="99"/>
    <w:rPr>
      <w:sz w:val="16"/>
      <w:szCs w:val="16"/>
    </w:rPr>
  </w:style>
  <w:style w:type="paragraph" w:styleId="11">
    <w:name w:val="annotation text"/>
    <w:basedOn w:val="1"/>
    <w:link w:val="46"/>
    <w:unhideWhenUsed/>
    <w:qFormat/>
    <w:uiPriority w:val="99"/>
    <w:pPr>
      <w:spacing w:line="240" w:lineRule="auto"/>
    </w:pPr>
    <w:rPr>
      <w:sz w:val="20"/>
      <w:szCs w:val="20"/>
    </w:rPr>
  </w:style>
  <w:style w:type="paragraph" w:styleId="12">
    <w:name w:val="annotation subject"/>
    <w:basedOn w:val="11"/>
    <w:next w:val="11"/>
    <w:link w:val="47"/>
    <w:semiHidden/>
    <w:unhideWhenUsed/>
    <w:qFormat/>
    <w:uiPriority w:val="99"/>
    <w:rPr>
      <w:b/>
      <w:bCs/>
    </w:rPr>
  </w:style>
  <w:style w:type="character" w:styleId="13">
    <w:name w:val="Emphasis"/>
    <w:basedOn w:val="5"/>
    <w:qFormat/>
    <w:uiPriority w:val="20"/>
    <w:rPr>
      <w:i/>
      <w:iCs/>
    </w:rPr>
  </w:style>
  <w:style w:type="paragraph" w:styleId="14">
    <w:name w:val="footer"/>
    <w:basedOn w:val="1"/>
    <w:link w:val="33"/>
    <w:unhideWhenUsed/>
    <w:qFormat/>
    <w:uiPriority w:val="99"/>
    <w:pPr>
      <w:widowControl/>
      <w:tabs>
        <w:tab w:val="center" w:pos="4513"/>
        <w:tab w:val="right" w:pos="9026"/>
      </w:tabs>
      <w:autoSpaceDE/>
      <w:autoSpaceDN/>
    </w:pPr>
    <w:rPr>
      <w:rFonts w:asciiTheme="minorHAnsi" w:hAnsiTheme="minorHAnsi" w:eastAsiaTheme="minorHAnsi" w:cstheme="minorBidi"/>
      <w:lang w:eastAsia="en-US" w:bidi="ar-SA"/>
    </w:rPr>
  </w:style>
  <w:style w:type="paragraph" w:styleId="15">
    <w:name w:val="header"/>
    <w:basedOn w:val="1"/>
    <w:link w:val="32"/>
    <w:unhideWhenUsed/>
    <w:qFormat/>
    <w:uiPriority w:val="99"/>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16">
    <w:name w:val="Hyperlink"/>
    <w:basedOn w:val="5"/>
    <w:unhideWhenUsed/>
    <w:qFormat/>
    <w:uiPriority w:val="99"/>
    <w:rPr>
      <w:color w:val="0000FF" w:themeColor="hyperlink"/>
      <w:u w:val="single"/>
      <w14:textFill>
        <w14:solidFill>
          <w14:schemeClr w14:val="hlink"/>
        </w14:solidFill>
      </w14:textFill>
    </w:rPr>
  </w:style>
  <w:style w:type="paragraph" w:styleId="17">
    <w:name w:val="Normal (Web)"/>
    <w:basedOn w:val="1"/>
    <w:unhideWhenUsed/>
    <w:qFormat/>
    <w:uiPriority w:val="99"/>
    <w:pPr>
      <w:widowControl/>
      <w:autoSpaceDE/>
      <w:autoSpaceDN/>
      <w:spacing w:before="100" w:beforeAutospacing="1" w:after="100" w:afterAutospacing="1"/>
    </w:pPr>
    <w:rPr>
      <w:rFonts w:ascii="Times New Roman" w:hAnsi="Times New Roman" w:eastAsia="Times New Roman" w:cs="Times New Roman"/>
      <w:szCs w:val="24"/>
      <w:lang w:bidi="ar-SA"/>
    </w:rPr>
  </w:style>
  <w:style w:type="character" w:styleId="18">
    <w:name w:val="Strong"/>
    <w:basedOn w:val="5"/>
    <w:qFormat/>
    <w:uiPriority w:val="22"/>
    <w:rPr>
      <w:b/>
      <w:bCs/>
    </w:rPr>
  </w:style>
  <w:style w:type="table" w:styleId="19">
    <w:name w:val="Table Grid"/>
    <w:basedOn w:val="6"/>
    <w:qFormat/>
    <w:uiPriority w:val="39"/>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able of figures"/>
    <w:basedOn w:val="1"/>
    <w:next w:val="1"/>
    <w:unhideWhenUsed/>
    <w:qFormat/>
    <w:uiPriority w:val="99"/>
    <w:pPr>
      <w:widowControl/>
      <w:autoSpaceDE/>
      <w:autoSpaceDN/>
      <w:spacing w:line="259" w:lineRule="auto"/>
    </w:pPr>
    <w:rPr>
      <w:rFonts w:asciiTheme="minorHAnsi" w:hAnsiTheme="minorHAnsi" w:eastAsiaTheme="minorHAnsi" w:cstheme="minorBidi"/>
      <w:lang w:eastAsia="en-US" w:bidi="ar-SA"/>
    </w:rPr>
  </w:style>
  <w:style w:type="paragraph" w:styleId="21">
    <w:name w:val="toc 1"/>
    <w:basedOn w:val="1"/>
    <w:next w:val="1"/>
    <w:unhideWhenUsed/>
    <w:qFormat/>
    <w:uiPriority w:val="39"/>
    <w:pPr>
      <w:widowControl/>
      <w:autoSpaceDE/>
      <w:autoSpaceDN/>
      <w:spacing w:after="100" w:line="259" w:lineRule="auto"/>
    </w:pPr>
    <w:rPr>
      <w:rFonts w:asciiTheme="minorHAnsi" w:hAnsiTheme="minorHAnsi" w:eastAsiaTheme="minorHAnsi" w:cstheme="minorBidi"/>
      <w:lang w:eastAsia="en-US" w:bidi="ar-SA"/>
    </w:rPr>
  </w:style>
  <w:style w:type="paragraph" w:styleId="22">
    <w:name w:val="toc 2"/>
    <w:basedOn w:val="1"/>
    <w:next w:val="1"/>
    <w:unhideWhenUsed/>
    <w:qFormat/>
    <w:uiPriority w:val="39"/>
    <w:pPr>
      <w:widowControl/>
      <w:autoSpaceDE/>
      <w:autoSpaceDN/>
      <w:spacing w:after="100" w:line="259" w:lineRule="auto"/>
      <w:ind w:left="220"/>
    </w:pPr>
    <w:rPr>
      <w:rFonts w:asciiTheme="minorHAnsi" w:hAnsiTheme="minorHAnsi" w:eastAsiaTheme="minorHAnsi" w:cstheme="minorBidi"/>
      <w:lang w:eastAsia="en-US" w:bidi="ar-SA"/>
    </w:rPr>
  </w:style>
  <w:style w:type="paragraph" w:styleId="23">
    <w:name w:val="toc 3"/>
    <w:basedOn w:val="1"/>
    <w:next w:val="1"/>
    <w:autoRedefine/>
    <w:unhideWhenUsed/>
    <w:qFormat/>
    <w:uiPriority w:val="39"/>
    <w:pPr>
      <w:spacing w:after="100"/>
      <w:ind w:left="440"/>
    </w:pPr>
  </w:style>
  <w:style w:type="paragraph" w:styleId="24">
    <w:name w:val="toc 4"/>
    <w:basedOn w:val="1"/>
    <w:next w:val="1"/>
    <w:autoRedefine/>
    <w:unhideWhenUsed/>
    <w:qFormat/>
    <w:uiPriority w:val="39"/>
    <w:pPr>
      <w:widowControl/>
      <w:autoSpaceDE/>
      <w:autoSpaceDN/>
      <w:spacing w:after="100" w:line="278" w:lineRule="auto"/>
      <w:ind w:left="720"/>
      <w:jc w:val="left"/>
    </w:pPr>
    <w:rPr>
      <w:rFonts w:asciiTheme="minorHAnsi" w:hAnsiTheme="minorHAnsi" w:eastAsiaTheme="minorEastAsia" w:cstheme="minorBidi"/>
      <w:kern w:val="2"/>
      <w:sz w:val="24"/>
      <w:szCs w:val="24"/>
      <w:lang w:val="en-IN" w:eastAsia="en-IN" w:bidi="ar-SA"/>
    </w:rPr>
  </w:style>
  <w:style w:type="paragraph" w:styleId="25">
    <w:name w:val="toc 5"/>
    <w:basedOn w:val="1"/>
    <w:next w:val="1"/>
    <w:autoRedefine/>
    <w:unhideWhenUsed/>
    <w:qFormat/>
    <w:uiPriority w:val="39"/>
    <w:pPr>
      <w:widowControl/>
      <w:autoSpaceDE/>
      <w:autoSpaceDN/>
      <w:spacing w:after="100" w:line="278" w:lineRule="auto"/>
      <w:ind w:left="960"/>
      <w:jc w:val="left"/>
    </w:pPr>
    <w:rPr>
      <w:rFonts w:asciiTheme="minorHAnsi" w:hAnsiTheme="minorHAnsi" w:eastAsiaTheme="minorEastAsia" w:cstheme="minorBidi"/>
      <w:kern w:val="2"/>
      <w:sz w:val="24"/>
      <w:szCs w:val="24"/>
      <w:lang w:val="en-IN" w:eastAsia="en-IN" w:bidi="ar-SA"/>
    </w:rPr>
  </w:style>
  <w:style w:type="paragraph" w:styleId="26">
    <w:name w:val="toc 6"/>
    <w:basedOn w:val="1"/>
    <w:next w:val="1"/>
    <w:autoRedefine/>
    <w:unhideWhenUsed/>
    <w:qFormat/>
    <w:uiPriority w:val="39"/>
    <w:pPr>
      <w:widowControl/>
      <w:autoSpaceDE/>
      <w:autoSpaceDN/>
      <w:spacing w:after="100" w:line="278" w:lineRule="auto"/>
      <w:ind w:left="1200"/>
      <w:jc w:val="left"/>
    </w:pPr>
    <w:rPr>
      <w:rFonts w:asciiTheme="minorHAnsi" w:hAnsiTheme="minorHAnsi" w:eastAsiaTheme="minorEastAsia" w:cstheme="minorBidi"/>
      <w:kern w:val="2"/>
      <w:sz w:val="24"/>
      <w:szCs w:val="24"/>
      <w:lang w:val="en-IN" w:eastAsia="en-IN" w:bidi="ar-SA"/>
    </w:rPr>
  </w:style>
  <w:style w:type="paragraph" w:styleId="27">
    <w:name w:val="toc 7"/>
    <w:basedOn w:val="1"/>
    <w:next w:val="1"/>
    <w:autoRedefine/>
    <w:unhideWhenUsed/>
    <w:qFormat/>
    <w:uiPriority w:val="39"/>
    <w:pPr>
      <w:widowControl/>
      <w:autoSpaceDE/>
      <w:autoSpaceDN/>
      <w:spacing w:after="100" w:line="278" w:lineRule="auto"/>
      <w:ind w:left="1440"/>
      <w:jc w:val="left"/>
    </w:pPr>
    <w:rPr>
      <w:rFonts w:asciiTheme="minorHAnsi" w:hAnsiTheme="minorHAnsi" w:eastAsiaTheme="minorEastAsia" w:cstheme="minorBidi"/>
      <w:kern w:val="2"/>
      <w:sz w:val="24"/>
      <w:szCs w:val="24"/>
      <w:lang w:val="en-IN" w:eastAsia="en-IN" w:bidi="ar-SA"/>
    </w:rPr>
  </w:style>
  <w:style w:type="paragraph" w:styleId="28">
    <w:name w:val="toc 8"/>
    <w:basedOn w:val="1"/>
    <w:next w:val="1"/>
    <w:autoRedefine/>
    <w:unhideWhenUsed/>
    <w:qFormat/>
    <w:uiPriority w:val="39"/>
    <w:pPr>
      <w:widowControl/>
      <w:autoSpaceDE/>
      <w:autoSpaceDN/>
      <w:spacing w:after="100" w:line="278" w:lineRule="auto"/>
      <w:ind w:left="1680"/>
      <w:jc w:val="left"/>
    </w:pPr>
    <w:rPr>
      <w:rFonts w:asciiTheme="minorHAnsi" w:hAnsiTheme="minorHAnsi" w:eastAsiaTheme="minorEastAsia" w:cstheme="minorBidi"/>
      <w:kern w:val="2"/>
      <w:sz w:val="24"/>
      <w:szCs w:val="24"/>
      <w:lang w:val="en-IN" w:eastAsia="en-IN" w:bidi="ar-SA"/>
    </w:rPr>
  </w:style>
  <w:style w:type="paragraph" w:styleId="29">
    <w:name w:val="toc 9"/>
    <w:basedOn w:val="1"/>
    <w:next w:val="1"/>
    <w:autoRedefine/>
    <w:unhideWhenUsed/>
    <w:qFormat/>
    <w:uiPriority w:val="39"/>
    <w:pPr>
      <w:widowControl/>
      <w:autoSpaceDE/>
      <w:autoSpaceDN/>
      <w:spacing w:after="100" w:line="278" w:lineRule="auto"/>
      <w:ind w:left="1920"/>
      <w:jc w:val="left"/>
    </w:pPr>
    <w:rPr>
      <w:rFonts w:asciiTheme="minorHAnsi" w:hAnsiTheme="minorHAnsi" w:eastAsiaTheme="minorEastAsia" w:cstheme="minorBidi"/>
      <w:kern w:val="2"/>
      <w:sz w:val="24"/>
      <w:szCs w:val="24"/>
      <w:lang w:val="en-IN" w:eastAsia="en-IN" w:bidi="ar-SA"/>
    </w:rPr>
  </w:style>
  <w:style w:type="paragraph" w:styleId="30">
    <w:name w:val="List Paragraph"/>
    <w:basedOn w:val="1"/>
    <w:qFormat/>
    <w:uiPriority w:val="34"/>
    <w:pPr>
      <w:ind w:left="940" w:hanging="360"/>
    </w:pPr>
  </w:style>
  <w:style w:type="paragraph" w:customStyle="1" w:styleId="31">
    <w:name w:val="Table Paragraph"/>
    <w:basedOn w:val="1"/>
    <w:qFormat/>
    <w:uiPriority w:val="1"/>
    <w:pPr>
      <w:ind w:left="107"/>
    </w:pPr>
  </w:style>
  <w:style w:type="character" w:customStyle="1" w:styleId="32">
    <w:name w:val="Header Char"/>
    <w:basedOn w:val="5"/>
    <w:link w:val="15"/>
    <w:qFormat/>
    <w:uiPriority w:val="99"/>
    <w:rPr>
      <w:lang w:val="en-GB"/>
    </w:rPr>
  </w:style>
  <w:style w:type="character" w:customStyle="1" w:styleId="33">
    <w:name w:val="Footer Char"/>
    <w:basedOn w:val="5"/>
    <w:link w:val="14"/>
    <w:qFormat/>
    <w:uiPriority w:val="99"/>
    <w:rPr>
      <w:lang w:val="en-GB"/>
    </w:rPr>
  </w:style>
  <w:style w:type="character" w:customStyle="1" w:styleId="34">
    <w:name w:val="Heading 2 Char"/>
    <w:basedOn w:val="5"/>
    <w:link w:val="3"/>
    <w:qFormat/>
    <w:uiPriority w:val="9"/>
    <w:rPr>
      <w:rFonts w:ascii="Arial" w:hAnsi="Arial" w:eastAsia="Calibri Light" w:cs="Calibri Light"/>
      <w:b/>
      <w:sz w:val="26"/>
      <w:szCs w:val="28"/>
      <w:lang w:val="en-GB" w:eastAsia="en-GB" w:bidi="en-GB"/>
    </w:rPr>
  </w:style>
  <w:style w:type="character" w:customStyle="1" w:styleId="35">
    <w:name w:val="Body Text Char"/>
    <w:basedOn w:val="5"/>
    <w:link w:val="8"/>
    <w:qFormat/>
    <w:uiPriority w:val="1"/>
    <w:rPr>
      <w:rFonts w:ascii="Arial" w:hAnsi="Arial" w:eastAsia="Calibri Light" w:cs="Calibri Light"/>
      <w:lang w:val="en-GB" w:eastAsia="en-GB" w:bidi="en-GB"/>
    </w:rPr>
  </w:style>
  <w:style w:type="paragraph" w:customStyle="1" w:styleId="36">
    <w:name w:val="Caption1"/>
    <w:basedOn w:val="1"/>
    <w:next w:val="1"/>
    <w:unhideWhenUsed/>
    <w:qFormat/>
    <w:uiPriority w:val="35"/>
    <w:pPr>
      <w:widowControl/>
      <w:autoSpaceDE/>
      <w:autoSpaceDN/>
      <w:spacing w:after="200"/>
    </w:pPr>
    <w:rPr>
      <w:rFonts w:ascii="Calibri" w:hAnsi="Calibri" w:eastAsia="Calibri" w:cs="Arial"/>
      <w:i/>
      <w:iCs/>
      <w:color w:val="44546A"/>
      <w:sz w:val="18"/>
      <w:szCs w:val="18"/>
      <w:lang w:eastAsia="en-US" w:bidi="ar-SA"/>
    </w:rPr>
  </w:style>
  <w:style w:type="character" w:customStyle="1" w:styleId="37">
    <w:name w:val="Unresolved Mention1"/>
    <w:basedOn w:val="5"/>
    <w:semiHidden/>
    <w:unhideWhenUsed/>
    <w:qFormat/>
    <w:uiPriority w:val="99"/>
    <w:rPr>
      <w:color w:val="605E5C"/>
      <w:shd w:val="clear" w:color="auto" w:fill="E1DFDD"/>
    </w:rPr>
  </w:style>
  <w:style w:type="character" w:customStyle="1" w:styleId="38">
    <w:name w:val="cf01"/>
    <w:basedOn w:val="5"/>
    <w:qFormat/>
    <w:uiPriority w:val="0"/>
    <w:rPr>
      <w:rFonts w:hint="default" w:ascii="Segoe UI" w:hAnsi="Segoe UI" w:cs="Segoe UI"/>
      <w:sz w:val="18"/>
      <w:szCs w:val="18"/>
    </w:rPr>
  </w:style>
  <w:style w:type="paragraph" w:customStyle="1" w:styleId="39">
    <w:name w:val="Normal1"/>
    <w:qFormat/>
    <w:uiPriority w:val="0"/>
    <w:pPr>
      <w:widowControl w:val="0"/>
      <w:autoSpaceDE/>
      <w:autoSpaceDN/>
    </w:pPr>
    <w:rPr>
      <w:rFonts w:ascii="Arial" w:hAnsi="Arial" w:eastAsia="Arial" w:cs="Arial"/>
      <w:sz w:val="22"/>
      <w:szCs w:val="22"/>
      <w:lang w:val="en-US" w:eastAsia="en-US" w:bidi="ar-SA"/>
    </w:rPr>
  </w:style>
  <w:style w:type="paragraph" w:customStyle="1" w:styleId="40">
    <w:name w:val="TOC Heading"/>
    <w:basedOn w:val="2"/>
    <w:next w:val="1"/>
    <w:semiHidden/>
    <w:unhideWhenUsed/>
    <w:qFormat/>
    <w:uiPriority w:val="39"/>
    <w:pPr>
      <w:keepNext/>
      <w:keepLines/>
      <w:widowControl/>
      <w:autoSpaceDE/>
      <w:autoSpaceDN/>
      <w:spacing w:before="480" w:line="276" w:lineRule="auto"/>
      <w:ind w:left="0"/>
      <w:outlineLvl w:val="9"/>
    </w:pPr>
    <w:rPr>
      <w:rFonts w:asciiTheme="majorHAnsi" w:hAnsiTheme="majorHAnsi" w:eastAsiaTheme="majorEastAsia" w:cstheme="majorBidi"/>
      <w:bCs/>
      <w:color w:val="376092" w:themeColor="accent1" w:themeShade="BF"/>
      <w:szCs w:val="28"/>
      <w:lang w:val="en-US" w:eastAsia="en-US" w:bidi="ar-SA"/>
    </w:rPr>
  </w:style>
  <w:style w:type="character" w:customStyle="1" w:styleId="41">
    <w:name w:val="Balloon Text Char"/>
    <w:basedOn w:val="5"/>
    <w:link w:val="7"/>
    <w:semiHidden/>
    <w:qFormat/>
    <w:uiPriority w:val="99"/>
    <w:rPr>
      <w:rFonts w:ascii="Tahoma" w:hAnsi="Tahoma" w:eastAsia="Calibri Light" w:cs="Tahoma"/>
      <w:sz w:val="16"/>
      <w:szCs w:val="16"/>
      <w:lang w:val="en-GB" w:eastAsia="en-GB" w:bidi="en-GB"/>
    </w:rPr>
  </w:style>
  <w:style w:type="character" w:customStyle="1" w:styleId="42">
    <w:name w:val="Unresolved Mention2"/>
    <w:basedOn w:val="5"/>
    <w:semiHidden/>
    <w:unhideWhenUsed/>
    <w:qFormat/>
    <w:uiPriority w:val="99"/>
    <w:rPr>
      <w:color w:val="605E5C"/>
      <w:shd w:val="clear" w:color="auto" w:fill="E1DFDD"/>
    </w:rPr>
  </w:style>
  <w:style w:type="paragraph" w:customStyle="1" w:styleId="43">
    <w:name w:val="Normal2"/>
    <w:qFormat/>
    <w:uiPriority w:val="0"/>
    <w:pPr>
      <w:widowControl/>
      <w:autoSpaceDE/>
      <w:autoSpaceDN/>
      <w:spacing w:line="360" w:lineRule="auto"/>
      <w:jc w:val="both"/>
    </w:pPr>
    <w:rPr>
      <w:rFonts w:ascii="Arial" w:hAnsi="Arial" w:eastAsia="Arial" w:cs="Arial"/>
      <w:sz w:val="22"/>
      <w:szCs w:val="22"/>
      <w:lang w:val="en-US" w:eastAsia="en-US" w:bidi="ar-SA"/>
    </w:rPr>
  </w:style>
  <w:style w:type="character" w:customStyle="1" w:styleId="44">
    <w:name w:val="Unresolved Mention3"/>
    <w:basedOn w:val="5"/>
    <w:semiHidden/>
    <w:unhideWhenUsed/>
    <w:qFormat/>
    <w:uiPriority w:val="99"/>
    <w:rPr>
      <w:color w:val="605E5C"/>
      <w:shd w:val="clear" w:color="auto" w:fill="E1DFDD"/>
    </w:rPr>
  </w:style>
  <w:style w:type="paragraph" w:customStyle="1" w:styleId="45">
    <w:name w:val="Revision"/>
    <w:hidden/>
    <w:semiHidden/>
    <w:qFormat/>
    <w:uiPriority w:val="99"/>
    <w:pPr>
      <w:widowControl/>
      <w:autoSpaceDE/>
      <w:autoSpaceDN/>
    </w:pPr>
    <w:rPr>
      <w:rFonts w:ascii="Arial" w:hAnsi="Arial" w:eastAsia="Calibri Light" w:cs="Calibri Light"/>
      <w:sz w:val="22"/>
      <w:szCs w:val="22"/>
      <w:lang w:val="en-GB" w:eastAsia="en-GB" w:bidi="en-GB"/>
    </w:rPr>
  </w:style>
  <w:style w:type="character" w:customStyle="1" w:styleId="46">
    <w:name w:val="Comment Text Char"/>
    <w:basedOn w:val="5"/>
    <w:link w:val="11"/>
    <w:qFormat/>
    <w:uiPriority w:val="99"/>
    <w:rPr>
      <w:rFonts w:ascii="Arial" w:hAnsi="Arial" w:eastAsia="Calibri Light" w:cs="Calibri Light"/>
      <w:sz w:val="20"/>
      <w:szCs w:val="20"/>
      <w:lang w:val="en-GB" w:eastAsia="en-GB" w:bidi="en-GB"/>
    </w:rPr>
  </w:style>
  <w:style w:type="character" w:customStyle="1" w:styleId="47">
    <w:name w:val="Comment Subject Char"/>
    <w:basedOn w:val="46"/>
    <w:link w:val="12"/>
    <w:semiHidden/>
    <w:qFormat/>
    <w:uiPriority w:val="99"/>
    <w:rPr>
      <w:rFonts w:ascii="Arial" w:hAnsi="Arial" w:eastAsia="Calibri Light" w:cs="Calibri Light"/>
      <w:b/>
      <w:bCs/>
      <w:sz w:val="20"/>
      <w:szCs w:val="20"/>
      <w:lang w:val="en-GB" w:eastAsia="en-GB" w:bidi="en-GB"/>
    </w:rPr>
  </w:style>
  <w:style w:type="table" w:customStyle="1" w:styleId="48">
    <w:name w:val="Table Grid Light1"/>
    <w:basedOn w:val="6"/>
    <w:qFormat/>
    <w:uiPriority w:val="40"/>
    <w:pPr>
      <w:widowControl/>
      <w:autoSpaceDE/>
      <w:autoSpaceDN/>
    </w:pPr>
    <w:rPr>
      <w:kern w:val="2"/>
      <w:sz w:val="24"/>
      <w:szCs w:val="24"/>
      <w:lang w:val="en-IN"/>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9">
    <w:name w:val="Heading 1 Char"/>
    <w:basedOn w:val="5"/>
    <w:link w:val="2"/>
    <w:qFormat/>
    <w:uiPriority w:val="9"/>
    <w:rPr>
      <w:rFonts w:ascii="Arial" w:hAnsi="Arial" w:eastAsia="Calibri Light" w:cs="Calibri Light"/>
      <w:b/>
      <w:sz w:val="28"/>
      <w:szCs w:val="32"/>
      <w:lang w:val="en-GB" w:eastAsia="en-GB" w:bidi="en-GB"/>
    </w:rPr>
  </w:style>
  <w:style w:type="character" w:customStyle="1" w:styleId="50">
    <w:name w:val="Heading 3 Char"/>
    <w:basedOn w:val="5"/>
    <w:link w:val="4"/>
    <w:qFormat/>
    <w:uiPriority w:val="9"/>
    <w:rPr>
      <w:rFonts w:ascii="Arial" w:hAnsi="Arial" w:eastAsia="Calibri Light" w:cs="Calibri Light"/>
      <w:b/>
      <w:sz w:val="24"/>
      <w:szCs w:val="24"/>
      <w:lang w:val="en-GB" w:eastAsia="en-GB" w:bidi="en-GB"/>
    </w:rPr>
  </w:style>
  <w:style w:type="character" w:customStyle="1" w:styleId="51">
    <w:name w:val="Unresolved Mention4"/>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D62E48-12EF-4A88-AC1D-F030DE89570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82</Pages>
  <Words>1068</Words>
  <Characters>6061</Characters>
  <DocSecurity>0</DocSecurity>
  <Lines>1153</Lines>
  <Paragraphs>324</Paragraphs>
  <ScaleCrop>false</ScaleCrop>
  <LinksUpToDate>false</LinksUpToDate>
  <CharactersWithSpaces>7014</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2024-05-17T09:49:00Z</cp:lastPrinted>
  <dcterms:created xsi:type="dcterms:W3CDTF">2026-05-07T14:25:00Z</dcterms:created>
  <dcterms:modified xsi:type="dcterms:W3CDTF">2026-05-12T07:16:53Z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68bf0485-affe-4cb0-a151-65b29165d0a5</vt:lpwstr>
  </property>
  <property fmtid="{D5CDD505-2E9C-101B-9397-08002B2CF9AE}" pid="6" name="KSOTemplateDocerSaveRecord">
    <vt:lpwstr>eyJoZGlkIjoiN2E0ZWVkZDJmNTI2NWMzZDY2ZDY1ZGI3YjdkNDhlZmMiLCJ1c2VySWQiOiI1Njc1NjA4NjcyNTUifQ==</vt:lpwstr>
  </property>
  <property fmtid="{D5CDD505-2E9C-101B-9397-08002B2CF9AE}" pid="7" name="KSOProductBuildVer">
    <vt:lpwstr>1033-12.1.0.25862</vt:lpwstr>
  </property>
  <property fmtid="{D5CDD505-2E9C-101B-9397-08002B2CF9AE}" pid="8" name="ICV">
    <vt:lpwstr>97F9AA0EB9894742822E5F4BDF75B074_12</vt:lpwstr>
  </property>
</Properties>
</file>