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F9B08ED" w14:textId="78387096" w:rsidR="00BF20C9" w:rsidRPr="00565C9C" w:rsidRDefault="00067DAF" w:rsidP="00565C9C">
      <w:pPr>
        <w:spacing w:line="360" w:lineRule="auto"/>
        <w:jc w:val="center"/>
        <w:rPr>
          <w:rFonts w:asciiTheme="majorBidi" w:hAnsiTheme="majorBidi" w:cstheme="majorBidi"/>
          <w:color w:val="000000" w:themeColor="text1"/>
          <w:sz w:val="32"/>
          <w:szCs w:val="32"/>
        </w:rPr>
      </w:pPr>
      <w:r w:rsidRPr="00565C9C">
        <w:rPr>
          <w:rFonts w:asciiTheme="majorBidi" w:hAnsiTheme="majorBidi" w:cstheme="majorBidi"/>
          <w:noProof/>
          <w:color w:val="000000" w:themeColor="text1"/>
          <w:sz w:val="32"/>
          <w:szCs w:val="32"/>
        </w:rPr>
        <w:drawing>
          <wp:inline distT="0" distB="0" distL="0" distR="0" wp14:anchorId="284417E4" wp14:editId="575540CC">
            <wp:extent cx="2476500" cy="1041400"/>
            <wp:effectExtent l="0" t="0" r="0" b="0"/>
            <wp:docPr id="640705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705700" name=""/>
                    <pic:cNvPicPr/>
                  </pic:nvPicPr>
                  <pic:blipFill>
                    <a:blip r:embed="rId8"/>
                    <a:stretch>
                      <a:fillRect/>
                    </a:stretch>
                  </pic:blipFill>
                  <pic:spPr>
                    <a:xfrm>
                      <a:off x="0" y="0"/>
                      <a:ext cx="2476500" cy="1041400"/>
                    </a:xfrm>
                    <a:prstGeom prst="rect">
                      <a:avLst/>
                    </a:prstGeom>
                  </pic:spPr>
                </pic:pic>
              </a:graphicData>
            </a:graphic>
          </wp:inline>
        </w:drawing>
      </w:r>
    </w:p>
    <w:p w14:paraId="76D1238D" w14:textId="77777777" w:rsidR="00067DAF" w:rsidRPr="00565C9C" w:rsidRDefault="00067DAF" w:rsidP="00565C9C">
      <w:pPr>
        <w:pStyle w:val="Title"/>
        <w:spacing w:line="360" w:lineRule="auto"/>
        <w:rPr>
          <w:rFonts w:asciiTheme="majorBidi" w:hAnsiTheme="majorBidi"/>
          <w:b/>
          <w:bCs/>
          <w:color w:val="000000" w:themeColor="text1"/>
          <w:sz w:val="32"/>
          <w:szCs w:val="32"/>
        </w:rPr>
      </w:pPr>
      <w:r w:rsidRPr="00565C9C">
        <w:rPr>
          <w:rFonts w:asciiTheme="majorBidi" w:hAnsiTheme="majorBidi"/>
          <w:b/>
          <w:bCs/>
          <w:color w:val="000000" w:themeColor="text1"/>
          <w:sz w:val="32"/>
          <w:szCs w:val="32"/>
        </w:rPr>
        <w:t>Financial Performance and Management of IHG Hotels &amp; Resorts</w:t>
      </w:r>
    </w:p>
    <w:p w14:paraId="504DC70B" w14:textId="77777777" w:rsidR="00067DAF" w:rsidRPr="00565C9C" w:rsidRDefault="00067DAF" w:rsidP="00565C9C">
      <w:pPr>
        <w:pStyle w:val="Title"/>
        <w:spacing w:line="360" w:lineRule="auto"/>
        <w:rPr>
          <w:rFonts w:asciiTheme="majorBidi" w:hAnsiTheme="majorBidi"/>
          <w:b/>
          <w:bCs/>
          <w:color w:val="000000" w:themeColor="text1"/>
          <w:sz w:val="32"/>
          <w:szCs w:val="32"/>
        </w:rPr>
      </w:pPr>
      <w:r w:rsidRPr="00565C9C">
        <w:rPr>
          <w:rFonts w:asciiTheme="majorBidi" w:hAnsiTheme="majorBidi"/>
          <w:b/>
          <w:bCs/>
          <w:color w:val="000000" w:themeColor="text1"/>
          <w:sz w:val="32"/>
          <w:szCs w:val="32"/>
        </w:rPr>
        <w:t>A Five-Year Financial Health Check, Working Capital Review, Strategic Restructuring Plan and Investment Appraisal</w:t>
      </w:r>
    </w:p>
    <w:p w14:paraId="7DFA0361" w14:textId="6B998AAD" w:rsidR="00067DAF" w:rsidRPr="00565C9C" w:rsidRDefault="00067DAF" w:rsidP="00565C9C">
      <w:pPr>
        <w:pStyle w:val="Title"/>
        <w:spacing w:line="360" w:lineRule="auto"/>
        <w:rPr>
          <w:rFonts w:asciiTheme="majorBidi" w:hAnsiTheme="majorBidi"/>
          <w:color w:val="000000" w:themeColor="text1"/>
          <w:sz w:val="32"/>
          <w:szCs w:val="32"/>
        </w:rPr>
      </w:pPr>
      <w:r w:rsidRPr="00565C9C">
        <w:rPr>
          <w:rStyle w:val="Strong"/>
          <w:rFonts w:asciiTheme="majorBidi" w:hAnsiTheme="majorBidi"/>
          <w:color w:val="000000" w:themeColor="text1"/>
          <w:sz w:val="32"/>
          <w:szCs w:val="32"/>
        </w:rPr>
        <w:t>Programme:</w:t>
      </w:r>
      <w:r w:rsidRPr="00565C9C">
        <w:rPr>
          <w:rFonts w:asciiTheme="majorBidi" w:hAnsiTheme="majorBidi"/>
          <w:color w:val="000000" w:themeColor="text1"/>
          <w:sz w:val="32"/>
          <w:szCs w:val="32"/>
        </w:rPr>
        <w:t xml:space="preserve"> Master of Business Administration</w:t>
      </w:r>
      <w:r w:rsidRPr="00565C9C">
        <w:rPr>
          <w:rFonts w:asciiTheme="majorBidi" w:hAnsiTheme="majorBidi"/>
          <w:color w:val="000000" w:themeColor="text1"/>
          <w:sz w:val="32"/>
          <w:szCs w:val="32"/>
        </w:rPr>
        <w:br/>
      </w:r>
      <w:r w:rsidRPr="00565C9C">
        <w:rPr>
          <w:rStyle w:val="Strong"/>
          <w:rFonts w:asciiTheme="majorBidi" w:hAnsiTheme="majorBidi"/>
          <w:color w:val="000000" w:themeColor="text1"/>
          <w:sz w:val="32"/>
          <w:szCs w:val="32"/>
        </w:rPr>
        <w:t>Module:</w:t>
      </w:r>
      <w:r w:rsidRPr="00565C9C">
        <w:rPr>
          <w:rFonts w:asciiTheme="majorBidi" w:hAnsiTheme="majorBidi"/>
          <w:color w:val="000000" w:themeColor="text1"/>
          <w:sz w:val="32"/>
          <w:szCs w:val="32"/>
        </w:rPr>
        <w:t xml:space="preserve"> Financial Management</w:t>
      </w:r>
      <w:r w:rsidRPr="00565C9C">
        <w:rPr>
          <w:rFonts w:asciiTheme="majorBidi" w:hAnsiTheme="majorBidi"/>
          <w:color w:val="000000" w:themeColor="text1"/>
          <w:sz w:val="32"/>
          <w:szCs w:val="32"/>
        </w:rPr>
        <w:br/>
      </w:r>
      <w:r w:rsidRPr="00565C9C">
        <w:rPr>
          <w:rStyle w:val="Strong"/>
          <w:rFonts w:asciiTheme="majorBidi" w:hAnsiTheme="majorBidi"/>
          <w:color w:val="000000" w:themeColor="text1"/>
          <w:sz w:val="32"/>
          <w:szCs w:val="32"/>
        </w:rPr>
        <w:t>Module Code:</w:t>
      </w:r>
      <w:r w:rsidRPr="00565C9C">
        <w:rPr>
          <w:rFonts w:asciiTheme="majorBidi" w:hAnsiTheme="majorBidi"/>
          <w:color w:val="000000" w:themeColor="text1"/>
          <w:sz w:val="32"/>
          <w:szCs w:val="32"/>
        </w:rPr>
        <w:t xml:space="preserve"> LCMB7002</w:t>
      </w:r>
      <w:r w:rsidRPr="00565C9C">
        <w:rPr>
          <w:rFonts w:asciiTheme="majorBidi" w:hAnsiTheme="majorBidi"/>
          <w:color w:val="000000" w:themeColor="text1"/>
          <w:sz w:val="32"/>
          <w:szCs w:val="32"/>
        </w:rPr>
        <w:br/>
      </w:r>
      <w:r w:rsidRPr="00565C9C">
        <w:rPr>
          <w:rStyle w:val="Strong"/>
          <w:rFonts w:asciiTheme="majorBidi" w:hAnsiTheme="majorBidi"/>
          <w:color w:val="000000" w:themeColor="text1"/>
          <w:sz w:val="32"/>
          <w:szCs w:val="32"/>
        </w:rPr>
        <w:t>Assessment:</w:t>
      </w:r>
      <w:r w:rsidRPr="00565C9C">
        <w:rPr>
          <w:rFonts w:asciiTheme="majorBidi" w:hAnsiTheme="majorBidi"/>
          <w:color w:val="000000" w:themeColor="text1"/>
          <w:sz w:val="32"/>
          <w:szCs w:val="32"/>
        </w:rPr>
        <w:t xml:space="preserve"> Financial Performance and Management</w:t>
      </w:r>
      <w:r w:rsidRPr="00565C9C">
        <w:rPr>
          <w:rFonts w:asciiTheme="majorBidi" w:hAnsiTheme="majorBidi"/>
          <w:color w:val="000000" w:themeColor="text1"/>
          <w:sz w:val="32"/>
          <w:szCs w:val="32"/>
        </w:rPr>
        <w:br/>
      </w:r>
      <w:r w:rsidRPr="00565C9C">
        <w:rPr>
          <w:rStyle w:val="Strong"/>
          <w:rFonts w:asciiTheme="majorBidi" w:hAnsiTheme="majorBidi"/>
          <w:color w:val="000000" w:themeColor="text1"/>
          <w:sz w:val="32"/>
          <w:szCs w:val="32"/>
        </w:rPr>
        <w:t>Selected Corporation:</w:t>
      </w:r>
      <w:r w:rsidRPr="00565C9C">
        <w:rPr>
          <w:rFonts w:asciiTheme="majorBidi" w:hAnsiTheme="majorBidi"/>
          <w:color w:val="000000" w:themeColor="text1"/>
          <w:sz w:val="32"/>
          <w:szCs w:val="32"/>
        </w:rPr>
        <w:t xml:space="preserve"> InterContinental Hotels Group PLC—IHG Hotels &amp; Resorts</w:t>
      </w:r>
      <w:r w:rsidRPr="00565C9C">
        <w:rPr>
          <w:rFonts w:asciiTheme="majorBidi" w:hAnsiTheme="majorBidi"/>
          <w:color w:val="000000" w:themeColor="text1"/>
          <w:sz w:val="32"/>
          <w:szCs w:val="32"/>
        </w:rPr>
        <w:br/>
      </w:r>
      <w:r w:rsidRPr="00565C9C">
        <w:rPr>
          <w:rStyle w:val="Strong"/>
          <w:rFonts w:asciiTheme="majorBidi" w:hAnsiTheme="majorBidi"/>
          <w:color w:val="000000" w:themeColor="text1"/>
          <w:sz w:val="32"/>
          <w:szCs w:val="32"/>
        </w:rPr>
        <w:t>Assessment Period:</w:t>
      </w:r>
      <w:r w:rsidRPr="00565C9C">
        <w:rPr>
          <w:rFonts w:asciiTheme="majorBidi" w:hAnsiTheme="majorBidi"/>
          <w:color w:val="000000" w:themeColor="text1"/>
          <w:sz w:val="32"/>
          <w:szCs w:val="32"/>
        </w:rPr>
        <w:t xml:space="preserve"> 2021–2025, with 2020 used as the pandemic baseline</w:t>
      </w:r>
    </w:p>
    <w:p w14:paraId="52D9CB95" w14:textId="265BB72A" w:rsidR="00067DAF" w:rsidRPr="00565C9C" w:rsidRDefault="00067DAF" w:rsidP="00565C9C">
      <w:pPr>
        <w:pStyle w:val="Title"/>
        <w:spacing w:line="360" w:lineRule="auto"/>
        <w:rPr>
          <w:rFonts w:asciiTheme="majorBidi" w:hAnsiTheme="majorBidi"/>
          <w:color w:val="000000" w:themeColor="text1"/>
          <w:sz w:val="32"/>
          <w:szCs w:val="32"/>
        </w:rPr>
      </w:pPr>
      <w:r w:rsidRPr="00565C9C">
        <w:rPr>
          <w:rFonts w:asciiTheme="majorBidi" w:eastAsiaTheme="minorEastAsia" w:hAnsiTheme="majorBidi"/>
          <w:b/>
          <w:bCs/>
          <w:color w:val="000000" w:themeColor="text1"/>
          <w:sz w:val="32"/>
          <w:szCs w:val="32"/>
        </w:rPr>
        <w:t xml:space="preserve">Student </w:t>
      </w:r>
      <w:r w:rsidRPr="00565C9C">
        <w:rPr>
          <w:rFonts w:asciiTheme="majorBidi" w:eastAsiaTheme="minorEastAsia" w:hAnsiTheme="majorBidi"/>
          <w:b/>
          <w:bCs/>
          <w:color w:val="000000" w:themeColor="text1"/>
          <w:sz w:val="32"/>
          <w:szCs w:val="32"/>
        </w:rPr>
        <w:t>Name:</w:t>
      </w:r>
      <w:r w:rsidRPr="00565C9C">
        <w:rPr>
          <w:rFonts w:asciiTheme="majorBidi" w:eastAsiaTheme="minorEastAsia" w:hAnsiTheme="majorBidi"/>
          <w:color w:val="000000" w:themeColor="text1"/>
          <w:sz w:val="32"/>
          <w:szCs w:val="32"/>
        </w:rPr>
        <w:t xml:space="preserve"> Rahul Jaymalbhai Modhwadiya</w:t>
      </w:r>
      <w:r w:rsidRPr="00565C9C">
        <w:rPr>
          <w:rFonts w:asciiTheme="majorBidi" w:eastAsiaTheme="minorEastAsia" w:hAnsiTheme="majorBidi"/>
          <w:color w:val="000000" w:themeColor="text1"/>
          <w:sz w:val="32"/>
          <w:szCs w:val="32"/>
        </w:rPr>
        <w:br/>
      </w:r>
      <w:r w:rsidRPr="00565C9C">
        <w:rPr>
          <w:rFonts w:asciiTheme="majorBidi" w:eastAsiaTheme="minorEastAsia" w:hAnsiTheme="majorBidi"/>
          <w:b/>
          <w:bCs/>
          <w:color w:val="000000" w:themeColor="text1"/>
          <w:sz w:val="32"/>
          <w:szCs w:val="32"/>
        </w:rPr>
        <w:t>Student ID:</w:t>
      </w:r>
      <w:r w:rsidRPr="00565C9C">
        <w:rPr>
          <w:rFonts w:asciiTheme="majorBidi" w:eastAsiaTheme="minorEastAsia" w:hAnsiTheme="majorBidi"/>
          <w:color w:val="000000" w:themeColor="text1"/>
          <w:sz w:val="32"/>
          <w:szCs w:val="32"/>
        </w:rPr>
        <w:t xml:space="preserve"> 2539629</w:t>
      </w:r>
      <w:r w:rsidRPr="00565C9C">
        <w:rPr>
          <w:rFonts w:asciiTheme="majorBidi" w:hAnsiTheme="majorBidi"/>
          <w:color w:val="000000" w:themeColor="text1"/>
          <w:sz w:val="32"/>
          <w:szCs w:val="32"/>
        </w:rPr>
        <w:br/>
      </w:r>
      <w:r w:rsidRPr="00565C9C">
        <w:rPr>
          <w:rStyle w:val="Strong"/>
          <w:rFonts w:asciiTheme="majorBidi" w:hAnsiTheme="majorBidi"/>
          <w:color w:val="000000" w:themeColor="text1"/>
          <w:sz w:val="32"/>
          <w:szCs w:val="32"/>
        </w:rPr>
        <w:t>Submission Date:</w:t>
      </w:r>
      <w:r w:rsidRPr="00565C9C">
        <w:rPr>
          <w:rFonts w:asciiTheme="majorBidi" w:hAnsiTheme="majorBidi"/>
          <w:color w:val="000000" w:themeColor="text1"/>
          <w:sz w:val="32"/>
          <w:szCs w:val="32"/>
        </w:rPr>
        <w:t xml:space="preserve"> 24 July 2026</w:t>
      </w:r>
      <w:r w:rsidRPr="00565C9C">
        <w:rPr>
          <w:rFonts w:asciiTheme="majorBidi" w:hAnsiTheme="majorBidi"/>
          <w:color w:val="000000" w:themeColor="text1"/>
          <w:sz w:val="32"/>
          <w:szCs w:val="32"/>
        </w:rPr>
        <w:br/>
      </w:r>
      <w:r w:rsidRPr="00565C9C">
        <w:rPr>
          <w:rStyle w:val="Strong"/>
          <w:rFonts w:asciiTheme="majorBidi" w:hAnsiTheme="majorBidi"/>
          <w:color w:val="000000" w:themeColor="text1"/>
          <w:sz w:val="32"/>
          <w:szCs w:val="32"/>
        </w:rPr>
        <w:t>Word Count:</w:t>
      </w:r>
      <w:r w:rsidRPr="00565C9C">
        <w:rPr>
          <w:rFonts w:asciiTheme="majorBidi" w:hAnsiTheme="majorBidi"/>
          <w:color w:val="000000" w:themeColor="text1"/>
          <w:sz w:val="32"/>
          <w:szCs w:val="32"/>
        </w:rPr>
        <w:t xml:space="preserve"> </w:t>
      </w:r>
      <w:r w:rsidRPr="00565C9C">
        <w:rPr>
          <w:rFonts w:asciiTheme="majorBidi" w:hAnsiTheme="majorBidi"/>
          <w:color w:val="000000" w:themeColor="text1"/>
          <w:sz w:val="32"/>
          <w:szCs w:val="32"/>
        </w:rPr>
        <w:t>5643</w:t>
      </w:r>
    </w:p>
    <w:p w14:paraId="7915E21A" w14:textId="77777777" w:rsidR="00067DAF" w:rsidRPr="00565C9C" w:rsidRDefault="00067DAF" w:rsidP="00565C9C">
      <w:pPr>
        <w:spacing w:line="360" w:lineRule="auto"/>
        <w:jc w:val="center"/>
        <w:rPr>
          <w:rFonts w:asciiTheme="majorBidi" w:hAnsiTheme="majorBidi" w:cstheme="majorBidi"/>
          <w:color w:val="000000" w:themeColor="text1"/>
          <w:sz w:val="32"/>
          <w:szCs w:val="32"/>
        </w:rPr>
      </w:pPr>
    </w:p>
    <w:p w14:paraId="4B212B89" w14:textId="65BD29BF" w:rsidR="00067DAF" w:rsidRPr="00565C9C" w:rsidRDefault="00565C9C" w:rsidP="00565C9C">
      <w:pPr>
        <w:spacing w:line="360" w:lineRule="auto"/>
        <w:jc w:val="center"/>
        <w:rPr>
          <w:rFonts w:asciiTheme="majorBidi" w:hAnsiTheme="majorBidi" w:cstheme="majorBidi"/>
          <w:color w:val="000000" w:themeColor="text1"/>
          <w:sz w:val="32"/>
          <w:szCs w:val="32"/>
        </w:rPr>
      </w:pPr>
      <w:r w:rsidRPr="00565C9C">
        <w:rPr>
          <w:rFonts w:asciiTheme="majorBidi" w:hAnsiTheme="majorBidi" w:cstheme="majorBidi"/>
          <w:color w:val="000000" w:themeColor="text1"/>
          <w:sz w:val="32"/>
          <w:szCs w:val="32"/>
        </w:rPr>
        <w:fldChar w:fldCharType="begin"/>
      </w:r>
      <w:r w:rsidRPr="00565C9C">
        <w:rPr>
          <w:rFonts w:asciiTheme="majorBidi" w:hAnsiTheme="majorBidi" w:cstheme="majorBidi"/>
          <w:color w:val="000000" w:themeColor="text1"/>
          <w:sz w:val="32"/>
          <w:szCs w:val="32"/>
        </w:rPr>
        <w:instrText xml:space="preserve"> INCLUDEPICTURE "https://encrypted-tbn0.gstatic.com/images?q=tbn:ANd9GcQL_9uELJuvlofcL_HrRYZg0ArCdcUnVuQivTOJ1vn8FQ&amp;s=10" \* MERGEFORMATINET </w:instrText>
      </w:r>
      <w:r w:rsidRPr="00565C9C">
        <w:rPr>
          <w:rFonts w:asciiTheme="majorBidi" w:hAnsiTheme="majorBidi" w:cstheme="majorBidi"/>
          <w:color w:val="000000" w:themeColor="text1"/>
          <w:sz w:val="32"/>
          <w:szCs w:val="32"/>
        </w:rPr>
        <w:fldChar w:fldCharType="separate"/>
      </w:r>
      <w:r w:rsidRPr="00565C9C">
        <w:rPr>
          <w:rFonts w:asciiTheme="majorBidi" w:hAnsiTheme="majorBidi" w:cstheme="majorBidi"/>
          <w:noProof/>
          <w:color w:val="000000" w:themeColor="text1"/>
          <w:sz w:val="32"/>
          <w:szCs w:val="32"/>
        </w:rPr>
        <w:drawing>
          <wp:inline distT="0" distB="0" distL="0" distR="0" wp14:anchorId="35DC6B92" wp14:editId="3AF94E03">
            <wp:extent cx="5582209" cy="1302327"/>
            <wp:effectExtent l="0" t="0" r="0" b="6350"/>
            <wp:docPr id="553825332" name="Picture 5" descr="David Wells - IHG Hotels &amp; Res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avid Wells - IHG Hotels &amp; Resor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8128" cy="1320039"/>
                    </a:xfrm>
                    <a:prstGeom prst="rect">
                      <a:avLst/>
                    </a:prstGeom>
                    <a:noFill/>
                    <a:ln>
                      <a:noFill/>
                    </a:ln>
                  </pic:spPr>
                </pic:pic>
              </a:graphicData>
            </a:graphic>
          </wp:inline>
        </w:drawing>
      </w:r>
      <w:r w:rsidRPr="00565C9C">
        <w:rPr>
          <w:rFonts w:asciiTheme="majorBidi" w:hAnsiTheme="majorBidi" w:cstheme="majorBidi"/>
          <w:color w:val="000000" w:themeColor="text1"/>
          <w:sz w:val="32"/>
          <w:szCs w:val="32"/>
        </w:rPr>
        <w:fldChar w:fldCharType="end"/>
      </w:r>
    </w:p>
    <w:p w14:paraId="7A4BC8A4"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p>
    <w:p w14:paraId="3B669DDB"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p>
    <w:p w14:paraId="491CAF69"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p>
    <w:p w14:paraId="5788076F"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p>
    <w:p w14:paraId="37E70860"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p>
    <w:sdt>
      <w:sdtPr>
        <w:rPr>
          <w:sz w:val="24"/>
          <w:szCs w:val="24"/>
        </w:rPr>
        <w:id w:val="-453719798"/>
        <w:docPartObj>
          <w:docPartGallery w:val="Table of Contents"/>
          <w:docPartUnique/>
        </w:docPartObj>
      </w:sdtPr>
      <w:sdtEndPr>
        <w:rPr>
          <w:rFonts w:eastAsiaTheme="minorEastAsia"/>
          <w:noProof/>
        </w:rPr>
      </w:sdtEndPr>
      <w:sdtContent>
        <w:p w14:paraId="547725C6" w14:textId="7B43C8C8" w:rsidR="00565C9C" w:rsidRPr="00565C9C" w:rsidRDefault="00565C9C" w:rsidP="00565C9C">
          <w:pPr>
            <w:pStyle w:val="TOCHeading"/>
            <w:numPr>
              <w:ilvl w:val="0"/>
              <w:numId w:val="0"/>
            </w:numPr>
            <w:ind w:left="432" w:hanging="432"/>
            <w:rPr>
              <w:sz w:val="24"/>
              <w:szCs w:val="24"/>
            </w:rPr>
          </w:pPr>
          <w:r w:rsidRPr="00565C9C">
            <w:rPr>
              <w:sz w:val="24"/>
              <w:szCs w:val="24"/>
            </w:rPr>
            <w:t>Table of Contents</w:t>
          </w:r>
        </w:p>
        <w:p w14:paraId="7ADF5A09" w14:textId="79727010" w:rsidR="00565C9C" w:rsidRPr="00565C9C" w:rsidRDefault="00565C9C" w:rsidP="00565C9C">
          <w:pPr>
            <w:pStyle w:val="TOC1"/>
            <w:tabs>
              <w:tab w:val="left" w:pos="352"/>
              <w:tab w:val="right" w:leader="dot" w:pos="9016"/>
            </w:tabs>
            <w:spacing w:line="360" w:lineRule="auto"/>
            <w:jc w:val="both"/>
            <w:rPr>
              <w:rFonts w:asciiTheme="majorBidi" w:hAnsiTheme="majorBidi" w:cstheme="majorBidi"/>
              <w:b w:val="0"/>
              <w:bCs w:val="0"/>
              <w:caps w:val="0"/>
              <w:noProof/>
              <w:color w:val="000000" w:themeColor="text1"/>
              <w:kern w:val="2"/>
              <w:sz w:val="24"/>
              <w:szCs w:val="24"/>
              <w:u w:val="none"/>
              <w:lang w:eastAsia="en-GB"/>
              <w14:ligatures w14:val="standardContextual"/>
            </w:rPr>
          </w:pPr>
          <w:r w:rsidRPr="00565C9C">
            <w:rPr>
              <w:rFonts w:asciiTheme="majorBidi" w:hAnsiTheme="majorBidi" w:cstheme="majorBidi"/>
              <w:b w:val="0"/>
              <w:bCs w:val="0"/>
              <w:color w:val="000000" w:themeColor="text1"/>
              <w:sz w:val="24"/>
              <w:szCs w:val="24"/>
            </w:rPr>
            <w:fldChar w:fldCharType="begin"/>
          </w:r>
          <w:r w:rsidRPr="00565C9C">
            <w:rPr>
              <w:rFonts w:asciiTheme="majorBidi" w:hAnsiTheme="majorBidi" w:cstheme="majorBidi"/>
              <w:color w:val="000000" w:themeColor="text1"/>
              <w:sz w:val="24"/>
              <w:szCs w:val="24"/>
            </w:rPr>
            <w:instrText xml:space="preserve"> TOC \o "1-3" \h \z \u </w:instrText>
          </w:r>
          <w:r w:rsidRPr="00565C9C">
            <w:rPr>
              <w:rFonts w:asciiTheme="majorBidi" w:hAnsiTheme="majorBidi" w:cstheme="majorBidi"/>
              <w:b w:val="0"/>
              <w:bCs w:val="0"/>
              <w:color w:val="000000" w:themeColor="text1"/>
              <w:sz w:val="24"/>
              <w:szCs w:val="24"/>
            </w:rPr>
            <w:fldChar w:fldCharType="separate"/>
          </w:r>
          <w:hyperlink w:anchor="_Toc235740993" w:history="1">
            <w:r w:rsidRPr="00565C9C">
              <w:rPr>
                <w:rStyle w:val="Hyperlink"/>
                <w:rFonts w:asciiTheme="majorBidi" w:hAnsiTheme="majorBidi" w:cstheme="majorBidi"/>
                <w:noProof/>
                <w:color w:val="000000" w:themeColor="text1"/>
                <w:sz w:val="24"/>
                <w:szCs w:val="24"/>
              </w:rPr>
              <w:t>1</w:t>
            </w:r>
            <w:r w:rsidRPr="00565C9C">
              <w:rPr>
                <w:rFonts w:asciiTheme="majorBidi" w:hAnsiTheme="majorBidi" w:cstheme="majorBidi"/>
                <w:b w:val="0"/>
                <w:bCs w:val="0"/>
                <w:caps w:val="0"/>
                <w:noProof/>
                <w:color w:val="000000" w:themeColor="text1"/>
                <w:kern w:val="2"/>
                <w:sz w:val="24"/>
                <w:szCs w:val="24"/>
                <w:u w:val="none"/>
                <w:lang w:eastAsia="en-GB"/>
                <w14:ligatures w14:val="standardContextual"/>
              </w:rPr>
              <w:tab/>
            </w:r>
            <w:r w:rsidRPr="00565C9C">
              <w:rPr>
                <w:rStyle w:val="Hyperlink"/>
                <w:rFonts w:asciiTheme="majorBidi" w:hAnsiTheme="majorBidi" w:cstheme="majorBidi"/>
                <w:noProof/>
                <w:color w:val="000000" w:themeColor="text1"/>
                <w:sz w:val="24"/>
                <w:szCs w:val="24"/>
              </w:rPr>
              <w:t>Introduction</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_Toc235740993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3</w:t>
            </w:r>
            <w:r w:rsidRPr="00565C9C">
              <w:rPr>
                <w:rFonts w:asciiTheme="majorBidi" w:hAnsiTheme="majorBidi" w:cstheme="majorBidi"/>
                <w:noProof/>
                <w:webHidden/>
                <w:color w:val="000000" w:themeColor="text1"/>
                <w:sz w:val="24"/>
                <w:szCs w:val="24"/>
              </w:rPr>
              <w:fldChar w:fldCharType="end"/>
            </w:r>
          </w:hyperlink>
        </w:p>
        <w:p w14:paraId="658E1283" w14:textId="1D202DFC" w:rsidR="00565C9C" w:rsidRPr="00565C9C" w:rsidRDefault="00565C9C" w:rsidP="00565C9C">
          <w:pPr>
            <w:pStyle w:val="TOC1"/>
            <w:tabs>
              <w:tab w:val="left" w:pos="352"/>
              <w:tab w:val="right" w:leader="dot" w:pos="9016"/>
            </w:tabs>
            <w:spacing w:line="360" w:lineRule="auto"/>
            <w:jc w:val="both"/>
            <w:rPr>
              <w:rFonts w:asciiTheme="majorBidi" w:hAnsiTheme="majorBidi" w:cstheme="majorBidi"/>
              <w:b w:val="0"/>
              <w:bCs w:val="0"/>
              <w:caps w:val="0"/>
              <w:noProof/>
              <w:color w:val="000000" w:themeColor="text1"/>
              <w:kern w:val="2"/>
              <w:sz w:val="24"/>
              <w:szCs w:val="24"/>
              <w:u w:val="none"/>
              <w:lang w:eastAsia="en-GB"/>
              <w14:ligatures w14:val="standardContextual"/>
            </w:rPr>
          </w:pPr>
          <w:hyperlink w:anchor="_Toc235740994" w:history="1">
            <w:r w:rsidRPr="00565C9C">
              <w:rPr>
                <w:rStyle w:val="Hyperlink"/>
                <w:rFonts w:asciiTheme="majorBidi" w:hAnsiTheme="majorBidi" w:cstheme="majorBidi"/>
                <w:noProof/>
                <w:color w:val="000000" w:themeColor="text1"/>
                <w:sz w:val="24"/>
                <w:szCs w:val="24"/>
              </w:rPr>
              <w:t>2</w:t>
            </w:r>
            <w:r w:rsidRPr="00565C9C">
              <w:rPr>
                <w:rFonts w:asciiTheme="majorBidi" w:hAnsiTheme="majorBidi" w:cstheme="majorBidi"/>
                <w:b w:val="0"/>
                <w:bCs w:val="0"/>
                <w:caps w:val="0"/>
                <w:noProof/>
                <w:color w:val="000000" w:themeColor="text1"/>
                <w:kern w:val="2"/>
                <w:sz w:val="24"/>
                <w:szCs w:val="24"/>
                <w:u w:val="none"/>
                <w:lang w:eastAsia="en-GB"/>
                <w14:ligatures w14:val="standardContextual"/>
              </w:rPr>
              <w:tab/>
            </w:r>
            <w:r w:rsidRPr="00565C9C">
              <w:rPr>
                <w:rStyle w:val="Hyperlink"/>
                <w:rFonts w:asciiTheme="majorBidi" w:hAnsiTheme="majorBidi" w:cstheme="majorBidi"/>
                <w:noProof/>
                <w:color w:val="000000" w:themeColor="text1"/>
                <w:sz w:val="24"/>
                <w:szCs w:val="24"/>
              </w:rPr>
              <w:t>Financial Health Check</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_Toc235740994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3</w:t>
            </w:r>
            <w:r w:rsidRPr="00565C9C">
              <w:rPr>
                <w:rFonts w:asciiTheme="majorBidi" w:hAnsiTheme="majorBidi" w:cstheme="majorBidi"/>
                <w:noProof/>
                <w:webHidden/>
                <w:color w:val="000000" w:themeColor="text1"/>
                <w:sz w:val="24"/>
                <w:szCs w:val="24"/>
              </w:rPr>
              <w:fldChar w:fldCharType="end"/>
            </w:r>
          </w:hyperlink>
        </w:p>
        <w:p w14:paraId="1669268D" w14:textId="30017FE4" w:rsidR="00565C9C" w:rsidRPr="00565C9C" w:rsidRDefault="00565C9C" w:rsidP="00565C9C">
          <w:pPr>
            <w:pStyle w:val="TOC2"/>
            <w:tabs>
              <w:tab w:val="left" w:pos="522"/>
              <w:tab w:val="right" w:leader="dot" w:pos="9016"/>
            </w:tabs>
            <w:spacing w:line="360"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740995" w:history="1">
            <w:r w:rsidRPr="00565C9C">
              <w:rPr>
                <w:rStyle w:val="Hyperlink"/>
                <w:rFonts w:asciiTheme="majorBidi" w:hAnsiTheme="majorBidi" w:cstheme="majorBidi"/>
                <w:noProof/>
                <w:color w:val="000000" w:themeColor="text1"/>
                <w:sz w:val="24"/>
                <w:szCs w:val="24"/>
              </w:rPr>
              <w:t>2.1</w:t>
            </w:r>
            <w:r w:rsidRPr="00565C9C">
              <w:rPr>
                <w:rFonts w:asciiTheme="majorBidi" w:hAnsiTheme="majorBidi" w:cstheme="majorBidi"/>
                <w:b w:val="0"/>
                <w:bCs w:val="0"/>
                <w:smallCaps w:val="0"/>
                <w:noProof/>
                <w:color w:val="000000" w:themeColor="text1"/>
                <w:kern w:val="2"/>
                <w:sz w:val="24"/>
                <w:szCs w:val="24"/>
                <w:lang w:eastAsia="en-GB"/>
                <w14:ligatures w14:val="standardContextual"/>
              </w:rPr>
              <w:tab/>
            </w:r>
            <w:r w:rsidRPr="00565C9C">
              <w:rPr>
                <w:rStyle w:val="Hyperlink"/>
                <w:rFonts w:asciiTheme="majorBidi" w:hAnsiTheme="majorBidi" w:cstheme="majorBidi"/>
                <w:noProof/>
                <w:color w:val="000000" w:themeColor="text1"/>
                <w:sz w:val="24"/>
                <w:szCs w:val="24"/>
              </w:rPr>
              <w:t>Industry and Strategic Context</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_Toc235740995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3</w:t>
            </w:r>
            <w:r w:rsidRPr="00565C9C">
              <w:rPr>
                <w:rFonts w:asciiTheme="majorBidi" w:hAnsiTheme="majorBidi" w:cstheme="majorBidi"/>
                <w:noProof/>
                <w:webHidden/>
                <w:color w:val="000000" w:themeColor="text1"/>
                <w:sz w:val="24"/>
                <w:szCs w:val="24"/>
              </w:rPr>
              <w:fldChar w:fldCharType="end"/>
            </w:r>
          </w:hyperlink>
        </w:p>
        <w:p w14:paraId="5AF8A578" w14:textId="0197AA3F" w:rsidR="00565C9C" w:rsidRPr="00565C9C" w:rsidRDefault="00565C9C" w:rsidP="00565C9C">
          <w:pPr>
            <w:pStyle w:val="TOC2"/>
            <w:tabs>
              <w:tab w:val="left" w:pos="522"/>
              <w:tab w:val="right" w:leader="dot" w:pos="9016"/>
            </w:tabs>
            <w:spacing w:line="360"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740996" w:history="1">
            <w:r w:rsidRPr="00565C9C">
              <w:rPr>
                <w:rStyle w:val="Hyperlink"/>
                <w:rFonts w:asciiTheme="majorBidi" w:hAnsiTheme="majorBidi" w:cstheme="majorBidi"/>
                <w:noProof/>
                <w:color w:val="000000" w:themeColor="text1"/>
                <w:sz w:val="24"/>
                <w:szCs w:val="24"/>
              </w:rPr>
              <w:t>2.2</w:t>
            </w:r>
            <w:r w:rsidRPr="00565C9C">
              <w:rPr>
                <w:rFonts w:asciiTheme="majorBidi" w:hAnsiTheme="majorBidi" w:cstheme="majorBidi"/>
                <w:b w:val="0"/>
                <w:bCs w:val="0"/>
                <w:smallCaps w:val="0"/>
                <w:noProof/>
                <w:color w:val="000000" w:themeColor="text1"/>
                <w:kern w:val="2"/>
                <w:sz w:val="24"/>
                <w:szCs w:val="24"/>
                <w:lang w:eastAsia="en-GB"/>
                <w14:ligatures w14:val="standardContextual"/>
              </w:rPr>
              <w:tab/>
            </w:r>
            <w:r w:rsidRPr="00565C9C">
              <w:rPr>
                <w:rStyle w:val="Hyperlink"/>
                <w:rFonts w:asciiTheme="majorBidi" w:hAnsiTheme="majorBidi" w:cstheme="majorBidi"/>
                <w:noProof/>
                <w:color w:val="000000" w:themeColor="text1"/>
                <w:sz w:val="24"/>
                <w:szCs w:val="24"/>
              </w:rPr>
              <w:t>Five-Year Financial Performance</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_Toc235740996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4</w:t>
            </w:r>
            <w:r w:rsidRPr="00565C9C">
              <w:rPr>
                <w:rFonts w:asciiTheme="majorBidi" w:hAnsiTheme="majorBidi" w:cstheme="majorBidi"/>
                <w:noProof/>
                <w:webHidden/>
                <w:color w:val="000000" w:themeColor="text1"/>
                <w:sz w:val="24"/>
                <w:szCs w:val="24"/>
              </w:rPr>
              <w:fldChar w:fldCharType="end"/>
            </w:r>
          </w:hyperlink>
        </w:p>
        <w:p w14:paraId="0FF0D9EB" w14:textId="4B0004DA" w:rsidR="00565C9C" w:rsidRPr="00565C9C" w:rsidRDefault="00565C9C" w:rsidP="00565C9C">
          <w:pPr>
            <w:pStyle w:val="TOC2"/>
            <w:tabs>
              <w:tab w:val="left" w:pos="522"/>
              <w:tab w:val="right" w:leader="dot" w:pos="9016"/>
            </w:tabs>
            <w:spacing w:line="360"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740997" w:history="1">
            <w:r w:rsidRPr="00565C9C">
              <w:rPr>
                <w:rStyle w:val="Hyperlink"/>
                <w:rFonts w:asciiTheme="majorBidi" w:hAnsiTheme="majorBidi" w:cstheme="majorBidi"/>
                <w:noProof/>
                <w:color w:val="000000" w:themeColor="text1"/>
                <w:sz w:val="24"/>
                <w:szCs w:val="24"/>
              </w:rPr>
              <w:t>2.3</w:t>
            </w:r>
            <w:r w:rsidRPr="00565C9C">
              <w:rPr>
                <w:rFonts w:asciiTheme="majorBidi" w:hAnsiTheme="majorBidi" w:cstheme="majorBidi"/>
                <w:b w:val="0"/>
                <w:bCs w:val="0"/>
                <w:smallCaps w:val="0"/>
                <w:noProof/>
                <w:color w:val="000000" w:themeColor="text1"/>
                <w:kern w:val="2"/>
                <w:sz w:val="24"/>
                <w:szCs w:val="24"/>
                <w:lang w:eastAsia="en-GB"/>
                <w14:ligatures w14:val="standardContextual"/>
              </w:rPr>
              <w:tab/>
            </w:r>
            <w:r w:rsidRPr="00565C9C">
              <w:rPr>
                <w:rStyle w:val="Hyperlink"/>
                <w:rFonts w:asciiTheme="majorBidi" w:hAnsiTheme="majorBidi" w:cstheme="majorBidi"/>
                <w:noProof/>
                <w:color w:val="000000" w:themeColor="text1"/>
                <w:sz w:val="24"/>
                <w:szCs w:val="24"/>
              </w:rPr>
              <w:t>Profitability, Investment and Cash-Flow Ratios</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_Toc235740997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5</w:t>
            </w:r>
            <w:r w:rsidRPr="00565C9C">
              <w:rPr>
                <w:rFonts w:asciiTheme="majorBidi" w:hAnsiTheme="majorBidi" w:cstheme="majorBidi"/>
                <w:noProof/>
                <w:webHidden/>
                <w:color w:val="000000" w:themeColor="text1"/>
                <w:sz w:val="24"/>
                <w:szCs w:val="24"/>
              </w:rPr>
              <w:fldChar w:fldCharType="end"/>
            </w:r>
          </w:hyperlink>
        </w:p>
        <w:p w14:paraId="25E4C060" w14:textId="210E503B" w:rsidR="00565C9C" w:rsidRPr="00565C9C" w:rsidRDefault="00565C9C" w:rsidP="00565C9C">
          <w:pPr>
            <w:pStyle w:val="TOC2"/>
            <w:tabs>
              <w:tab w:val="left" w:pos="522"/>
              <w:tab w:val="right" w:leader="dot" w:pos="9016"/>
            </w:tabs>
            <w:spacing w:line="360"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740998" w:history="1">
            <w:r w:rsidRPr="00565C9C">
              <w:rPr>
                <w:rStyle w:val="Hyperlink"/>
                <w:rFonts w:asciiTheme="majorBidi" w:hAnsiTheme="majorBidi" w:cstheme="majorBidi"/>
                <w:noProof/>
                <w:color w:val="000000" w:themeColor="text1"/>
                <w:sz w:val="24"/>
                <w:szCs w:val="24"/>
              </w:rPr>
              <w:t>2.4</w:t>
            </w:r>
            <w:r w:rsidRPr="00565C9C">
              <w:rPr>
                <w:rFonts w:asciiTheme="majorBidi" w:hAnsiTheme="majorBidi" w:cstheme="majorBidi"/>
                <w:b w:val="0"/>
                <w:bCs w:val="0"/>
                <w:smallCaps w:val="0"/>
                <w:noProof/>
                <w:color w:val="000000" w:themeColor="text1"/>
                <w:kern w:val="2"/>
                <w:sz w:val="24"/>
                <w:szCs w:val="24"/>
                <w:lang w:eastAsia="en-GB"/>
                <w14:ligatures w14:val="standardContextual"/>
              </w:rPr>
              <w:tab/>
            </w:r>
            <w:r w:rsidRPr="00565C9C">
              <w:rPr>
                <w:rStyle w:val="Hyperlink"/>
                <w:rFonts w:asciiTheme="majorBidi" w:hAnsiTheme="majorBidi" w:cstheme="majorBidi"/>
                <w:noProof/>
                <w:color w:val="000000" w:themeColor="text1"/>
                <w:sz w:val="24"/>
                <w:szCs w:val="24"/>
              </w:rPr>
              <w:t>Liquidity, Efficiency and Gearing</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_Toc235740998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6</w:t>
            </w:r>
            <w:r w:rsidRPr="00565C9C">
              <w:rPr>
                <w:rFonts w:asciiTheme="majorBidi" w:hAnsiTheme="majorBidi" w:cstheme="majorBidi"/>
                <w:noProof/>
                <w:webHidden/>
                <w:color w:val="000000" w:themeColor="text1"/>
                <w:sz w:val="24"/>
                <w:szCs w:val="24"/>
              </w:rPr>
              <w:fldChar w:fldCharType="end"/>
            </w:r>
          </w:hyperlink>
        </w:p>
        <w:p w14:paraId="53B4D899" w14:textId="5DDC3F80" w:rsidR="00565C9C" w:rsidRPr="00565C9C" w:rsidRDefault="00565C9C" w:rsidP="00565C9C">
          <w:pPr>
            <w:pStyle w:val="TOC1"/>
            <w:tabs>
              <w:tab w:val="left" w:pos="352"/>
              <w:tab w:val="right" w:leader="dot" w:pos="9016"/>
            </w:tabs>
            <w:spacing w:line="360" w:lineRule="auto"/>
            <w:jc w:val="both"/>
            <w:rPr>
              <w:rFonts w:asciiTheme="majorBidi" w:hAnsiTheme="majorBidi" w:cstheme="majorBidi"/>
              <w:b w:val="0"/>
              <w:bCs w:val="0"/>
              <w:caps w:val="0"/>
              <w:noProof/>
              <w:color w:val="000000" w:themeColor="text1"/>
              <w:kern w:val="2"/>
              <w:sz w:val="24"/>
              <w:szCs w:val="24"/>
              <w:u w:val="none"/>
              <w:lang w:eastAsia="en-GB"/>
              <w14:ligatures w14:val="standardContextual"/>
            </w:rPr>
          </w:pPr>
          <w:hyperlink w:anchor="_Toc235740999" w:history="1">
            <w:r w:rsidRPr="00565C9C">
              <w:rPr>
                <w:rStyle w:val="Hyperlink"/>
                <w:rFonts w:asciiTheme="majorBidi" w:hAnsiTheme="majorBidi" w:cstheme="majorBidi"/>
                <w:noProof/>
                <w:color w:val="000000" w:themeColor="text1"/>
                <w:sz w:val="24"/>
                <w:szCs w:val="24"/>
              </w:rPr>
              <w:t>3</w:t>
            </w:r>
            <w:r w:rsidRPr="00565C9C">
              <w:rPr>
                <w:rFonts w:asciiTheme="majorBidi" w:hAnsiTheme="majorBidi" w:cstheme="majorBidi"/>
                <w:b w:val="0"/>
                <w:bCs w:val="0"/>
                <w:caps w:val="0"/>
                <w:noProof/>
                <w:color w:val="000000" w:themeColor="text1"/>
                <w:kern w:val="2"/>
                <w:sz w:val="24"/>
                <w:szCs w:val="24"/>
                <w:u w:val="none"/>
                <w:lang w:eastAsia="en-GB"/>
                <w14:ligatures w14:val="standardContextual"/>
              </w:rPr>
              <w:tab/>
            </w:r>
            <w:r w:rsidRPr="00565C9C">
              <w:rPr>
                <w:rStyle w:val="Hyperlink"/>
                <w:rFonts w:asciiTheme="majorBidi" w:hAnsiTheme="majorBidi" w:cstheme="majorBidi"/>
                <w:noProof/>
                <w:color w:val="000000" w:themeColor="text1"/>
                <w:sz w:val="24"/>
                <w:szCs w:val="24"/>
              </w:rPr>
              <w:t>Working Capital Management Analysis</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_Toc235740999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8</w:t>
            </w:r>
            <w:r w:rsidRPr="00565C9C">
              <w:rPr>
                <w:rFonts w:asciiTheme="majorBidi" w:hAnsiTheme="majorBidi" w:cstheme="majorBidi"/>
                <w:noProof/>
                <w:webHidden/>
                <w:color w:val="000000" w:themeColor="text1"/>
                <w:sz w:val="24"/>
                <w:szCs w:val="24"/>
              </w:rPr>
              <w:fldChar w:fldCharType="end"/>
            </w:r>
          </w:hyperlink>
        </w:p>
        <w:p w14:paraId="5BE6487C" w14:textId="04F2B38E" w:rsidR="00565C9C" w:rsidRPr="00565C9C" w:rsidRDefault="00565C9C" w:rsidP="00565C9C">
          <w:pPr>
            <w:pStyle w:val="TOC2"/>
            <w:tabs>
              <w:tab w:val="left" w:pos="522"/>
              <w:tab w:val="right" w:leader="dot" w:pos="9016"/>
            </w:tabs>
            <w:spacing w:line="360"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741000" w:history="1">
            <w:r w:rsidRPr="00565C9C">
              <w:rPr>
                <w:rStyle w:val="Hyperlink"/>
                <w:rFonts w:asciiTheme="majorBidi" w:hAnsiTheme="majorBidi" w:cstheme="majorBidi"/>
                <w:noProof/>
                <w:color w:val="000000" w:themeColor="text1"/>
                <w:sz w:val="24"/>
                <w:szCs w:val="24"/>
              </w:rPr>
              <w:t>3.1</w:t>
            </w:r>
            <w:r w:rsidRPr="00565C9C">
              <w:rPr>
                <w:rFonts w:asciiTheme="majorBidi" w:hAnsiTheme="majorBidi" w:cstheme="majorBidi"/>
                <w:b w:val="0"/>
                <w:bCs w:val="0"/>
                <w:smallCaps w:val="0"/>
                <w:noProof/>
                <w:color w:val="000000" w:themeColor="text1"/>
                <w:kern w:val="2"/>
                <w:sz w:val="24"/>
                <w:szCs w:val="24"/>
                <w:lang w:eastAsia="en-GB"/>
                <w14:ligatures w14:val="standardContextual"/>
              </w:rPr>
              <w:tab/>
            </w:r>
            <w:r w:rsidRPr="00565C9C">
              <w:rPr>
                <w:rStyle w:val="Hyperlink"/>
                <w:rFonts w:asciiTheme="majorBidi" w:hAnsiTheme="majorBidi" w:cstheme="majorBidi"/>
                <w:noProof/>
                <w:color w:val="000000" w:themeColor="text1"/>
                <w:sz w:val="24"/>
                <w:szCs w:val="24"/>
              </w:rPr>
              <w:t>Cash Operating Cycle</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_Toc235741000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8</w:t>
            </w:r>
            <w:r w:rsidRPr="00565C9C">
              <w:rPr>
                <w:rFonts w:asciiTheme="majorBidi" w:hAnsiTheme="majorBidi" w:cstheme="majorBidi"/>
                <w:noProof/>
                <w:webHidden/>
                <w:color w:val="000000" w:themeColor="text1"/>
                <w:sz w:val="24"/>
                <w:szCs w:val="24"/>
              </w:rPr>
              <w:fldChar w:fldCharType="end"/>
            </w:r>
          </w:hyperlink>
        </w:p>
        <w:p w14:paraId="2C77B442" w14:textId="21AF16D8" w:rsidR="00565C9C" w:rsidRPr="00565C9C" w:rsidRDefault="00565C9C" w:rsidP="00565C9C">
          <w:pPr>
            <w:pStyle w:val="TOC2"/>
            <w:tabs>
              <w:tab w:val="left" w:pos="522"/>
              <w:tab w:val="right" w:leader="dot" w:pos="9016"/>
            </w:tabs>
            <w:spacing w:line="360"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741001" w:history="1">
            <w:r w:rsidRPr="00565C9C">
              <w:rPr>
                <w:rStyle w:val="Hyperlink"/>
                <w:rFonts w:asciiTheme="majorBidi" w:hAnsiTheme="majorBidi" w:cstheme="majorBidi"/>
                <w:noProof/>
                <w:color w:val="000000" w:themeColor="text1"/>
                <w:sz w:val="24"/>
                <w:szCs w:val="24"/>
              </w:rPr>
              <w:t>3.2</w:t>
            </w:r>
            <w:r w:rsidRPr="00565C9C">
              <w:rPr>
                <w:rFonts w:asciiTheme="majorBidi" w:hAnsiTheme="majorBidi" w:cstheme="majorBidi"/>
                <w:b w:val="0"/>
                <w:bCs w:val="0"/>
                <w:smallCaps w:val="0"/>
                <w:noProof/>
                <w:color w:val="000000" w:themeColor="text1"/>
                <w:kern w:val="2"/>
                <w:sz w:val="24"/>
                <w:szCs w:val="24"/>
                <w:lang w:eastAsia="en-GB"/>
                <w14:ligatures w14:val="standardContextual"/>
              </w:rPr>
              <w:tab/>
            </w:r>
            <w:r w:rsidRPr="00565C9C">
              <w:rPr>
                <w:rStyle w:val="Hyperlink"/>
                <w:rFonts w:asciiTheme="majorBidi" w:hAnsiTheme="majorBidi" w:cstheme="majorBidi"/>
                <w:noProof/>
                <w:color w:val="000000" w:themeColor="text1"/>
                <w:sz w:val="24"/>
                <w:szCs w:val="24"/>
              </w:rPr>
              <w:t>Recommended Working Capital Reforms</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_Toc235741001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9</w:t>
            </w:r>
            <w:r w:rsidRPr="00565C9C">
              <w:rPr>
                <w:rFonts w:asciiTheme="majorBidi" w:hAnsiTheme="majorBidi" w:cstheme="majorBidi"/>
                <w:noProof/>
                <w:webHidden/>
                <w:color w:val="000000" w:themeColor="text1"/>
                <w:sz w:val="24"/>
                <w:szCs w:val="24"/>
              </w:rPr>
              <w:fldChar w:fldCharType="end"/>
            </w:r>
          </w:hyperlink>
        </w:p>
        <w:p w14:paraId="074B2172" w14:textId="4FBD4FAF" w:rsidR="00565C9C" w:rsidRPr="00565C9C" w:rsidRDefault="00565C9C" w:rsidP="00565C9C">
          <w:pPr>
            <w:pStyle w:val="TOC2"/>
            <w:tabs>
              <w:tab w:val="left" w:pos="522"/>
              <w:tab w:val="right" w:leader="dot" w:pos="9016"/>
            </w:tabs>
            <w:spacing w:line="360"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741002" w:history="1">
            <w:r w:rsidRPr="00565C9C">
              <w:rPr>
                <w:rStyle w:val="Hyperlink"/>
                <w:rFonts w:asciiTheme="majorBidi" w:hAnsiTheme="majorBidi" w:cstheme="majorBidi"/>
                <w:noProof/>
                <w:color w:val="000000" w:themeColor="text1"/>
                <w:sz w:val="24"/>
                <w:szCs w:val="24"/>
              </w:rPr>
              <w:t>3.3</w:t>
            </w:r>
            <w:r w:rsidRPr="00565C9C">
              <w:rPr>
                <w:rFonts w:asciiTheme="majorBidi" w:hAnsiTheme="majorBidi" w:cstheme="majorBidi"/>
                <w:b w:val="0"/>
                <w:bCs w:val="0"/>
                <w:smallCaps w:val="0"/>
                <w:noProof/>
                <w:color w:val="000000" w:themeColor="text1"/>
                <w:kern w:val="2"/>
                <w:sz w:val="24"/>
                <w:szCs w:val="24"/>
                <w:lang w:eastAsia="en-GB"/>
                <w14:ligatures w14:val="standardContextual"/>
              </w:rPr>
              <w:tab/>
            </w:r>
            <w:r w:rsidRPr="00565C9C">
              <w:rPr>
                <w:rStyle w:val="Hyperlink"/>
                <w:rFonts w:asciiTheme="majorBidi" w:hAnsiTheme="majorBidi" w:cstheme="majorBidi"/>
                <w:noProof/>
                <w:color w:val="000000" w:themeColor="text1"/>
                <w:sz w:val="24"/>
                <w:szCs w:val="24"/>
              </w:rPr>
              <w:t>Short-Term Versus Long-Term Financing</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_Toc235741002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9</w:t>
            </w:r>
            <w:r w:rsidRPr="00565C9C">
              <w:rPr>
                <w:rFonts w:asciiTheme="majorBidi" w:hAnsiTheme="majorBidi" w:cstheme="majorBidi"/>
                <w:noProof/>
                <w:webHidden/>
                <w:color w:val="000000" w:themeColor="text1"/>
                <w:sz w:val="24"/>
                <w:szCs w:val="24"/>
              </w:rPr>
              <w:fldChar w:fldCharType="end"/>
            </w:r>
          </w:hyperlink>
        </w:p>
        <w:p w14:paraId="684EC13E" w14:textId="137E748C" w:rsidR="00565C9C" w:rsidRPr="00565C9C" w:rsidRDefault="00565C9C" w:rsidP="00565C9C">
          <w:pPr>
            <w:pStyle w:val="TOC1"/>
            <w:tabs>
              <w:tab w:val="left" w:pos="352"/>
              <w:tab w:val="right" w:leader="dot" w:pos="9016"/>
            </w:tabs>
            <w:spacing w:line="360" w:lineRule="auto"/>
            <w:jc w:val="both"/>
            <w:rPr>
              <w:rFonts w:asciiTheme="majorBidi" w:hAnsiTheme="majorBidi" w:cstheme="majorBidi"/>
              <w:b w:val="0"/>
              <w:bCs w:val="0"/>
              <w:caps w:val="0"/>
              <w:noProof/>
              <w:color w:val="000000" w:themeColor="text1"/>
              <w:kern w:val="2"/>
              <w:sz w:val="24"/>
              <w:szCs w:val="24"/>
              <w:u w:val="none"/>
              <w:lang w:eastAsia="en-GB"/>
              <w14:ligatures w14:val="standardContextual"/>
            </w:rPr>
          </w:pPr>
          <w:hyperlink w:anchor="_Toc235741003" w:history="1">
            <w:r w:rsidRPr="00565C9C">
              <w:rPr>
                <w:rStyle w:val="Hyperlink"/>
                <w:rFonts w:asciiTheme="majorBidi" w:hAnsiTheme="majorBidi" w:cstheme="majorBidi"/>
                <w:noProof/>
                <w:color w:val="000000" w:themeColor="text1"/>
                <w:sz w:val="24"/>
                <w:szCs w:val="24"/>
              </w:rPr>
              <w:t>4</w:t>
            </w:r>
            <w:r w:rsidRPr="00565C9C">
              <w:rPr>
                <w:rFonts w:asciiTheme="majorBidi" w:hAnsiTheme="majorBidi" w:cstheme="majorBidi"/>
                <w:b w:val="0"/>
                <w:bCs w:val="0"/>
                <w:caps w:val="0"/>
                <w:noProof/>
                <w:color w:val="000000" w:themeColor="text1"/>
                <w:kern w:val="2"/>
                <w:sz w:val="24"/>
                <w:szCs w:val="24"/>
                <w:u w:val="none"/>
                <w:lang w:eastAsia="en-GB"/>
                <w14:ligatures w14:val="standardContextual"/>
              </w:rPr>
              <w:tab/>
            </w:r>
            <w:r w:rsidRPr="00565C9C">
              <w:rPr>
                <w:rStyle w:val="Hyperlink"/>
                <w:rFonts w:asciiTheme="majorBidi" w:hAnsiTheme="majorBidi" w:cstheme="majorBidi"/>
                <w:noProof/>
                <w:color w:val="000000" w:themeColor="text1"/>
                <w:sz w:val="24"/>
                <w:szCs w:val="24"/>
              </w:rPr>
              <w:t>Strategic Financial Restructuring Plan</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_Toc235741003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10</w:t>
            </w:r>
            <w:r w:rsidRPr="00565C9C">
              <w:rPr>
                <w:rFonts w:asciiTheme="majorBidi" w:hAnsiTheme="majorBidi" w:cstheme="majorBidi"/>
                <w:noProof/>
                <w:webHidden/>
                <w:color w:val="000000" w:themeColor="text1"/>
                <w:sz w:val="24"/>
                <w:szCs w:val="24"/>
              </w:rPr>
              <w:fldChar w:fldCharType="end"/>
            </w:r>
          </w:hyperlink>
        </w:p>
        <w:p w14:paraId="30585585" w14:textId="2D7B6EE1" w:rsidR="00565C9C" w:rsidRPr="00565C9C" w:rsidRDefault="00565C9C" w:rsidP="00565C9C">
          <w:pPr>
            <w:pStyle w:val="TOC2"/>
            <w:tabs>
              <w:tab w:val="left" w:pos="522"/>
              <w:tab w:val="right" w:leader="dot" w:pos="9016"/>
            </w:tabs>
            <w:spacing w:line="360"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741004" w:history="1">
            <w:r w:rsidRPr="00565C9C">
              <w:rPr>
                <w:rStyle w:val="Hyperlink"/>
                <w:rFonts w:asciiTheme="majorBidi" w:hAnsiTheme="majorBidi" w:cstheme="majorBidi"/>
                <w:noProof/>
                <w:color w:val="000000" w:themeColor="text1"/>
                <w:sz w:val="24"/>
                <w:szCs w:val="24"/>
              </w:rPr>
              <w:t>4.1</w:t>
            </w:r>
            <w:r w:rsidRPr="00565C9C">
              <w:rPr>
                <w:rFonts w:asciiTheme="majorBidi" w:hAnsiTheme="majorBidi" w:cstheme="majorBidi"/>
                <w:b w:val="0"/>
                <w:bCs w:val="0"/>
                <w:smallCaps w:val="0"/>
                <w:noProof/>
                <w:color w:val="000000" w:themeColor="text1"/>
                <w:kern w:val="2"/>
                <w:sz w:val="24"/>
                <w:szCs w:val="24"/>
                <w:lang w:eastAsia="en-GB"/>
                <w14:ligatures w14:val="standardContextual"/>
              </w:rPr>
              <w:tab/>
            </w:r>
            <w:r w:rsidRPr="00565C9C">
              <w:rPr>
                <w:rStyle w:val="Hyperlink"/>
                <w:rFonts w:asciiTheme="majorBidi" w:hAnsiTheme="majorBidi" w:cstheme="majorBidi"/>
                <w:noProof/>
                <w:color w:val="000000" w:themeColor="text1"/>
                <w:sz w:val="24"/>
                <w:szCs w:val="24"/>
              </w:rPr>
              <w:t>Recommended Restructuring Direction</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_Toc235741004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10</w:t>
            </w:r>
            <w:r w:rsidRPr="00565C9C">
              <w:rPr>
                <w:rFonts w:asciiTheme="majorBidi" w:hAnsiTheme="majorBidi" w:cstheme="majorBidi"/>
                <w:noProof/>
                <w:webHidden/>
                <w:color w:val="000000" w:themeColor="text1"/>
                <w:sz w:val="24"/>
                <w:szCs w:val="24"/>
              </w:rPr>
              <w:fldChar w:fldCharType="end"/>
            </w:r>
          </w:hyperlink>
        </w:p>
        <w:p w14:paraId="47D59BAB" w14:textId="4ACA606C" w:rsidR="00565C9C" w:rsidRPr="00565C9C" w:rsidRDefault="00565C9C" w:rsidP="00565C9C">
          <w:pPr>
            <w:pStyle w:val="TOC2"/>
            <w:tabs>
              <w:tab w:val="left" w:pos="522"/>
              <w:tab w:val="right" w:leader="dot" w:pos="9016"/>
            </w:tabs>
            <w:spacing w:line="360"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741005" w:history="1">
            <w:r w:rsidRPr="00565C9C">
              <w:rPr>
                <w:rStyle w:val="Hyperlink"/>
                <w:rFonts w:asciiTheme="majorBidi" w:hAnsiTheme="majorBidi" w:cstheme="majorBidi"/>
                <w:noProof/>
                <w:color w:val="000000" w:themeColor="text1"/>
                <w:sz w:val="24"/>
                <w:szCs w:val="24"/>
              </w:rPr>
              <w:t>4.2</w:t>
            </w:r>
            <w:r w:rsidRPr="00565C9C">
              <w:rPr>
                <w:rFonts w:asciiTheme="majorBidi" w:hAnsiTheme="majorBidi" w:cstheme="majorBidi"/>
                <w:b w:val="0"/>
                <w:bCs w:val="0"/>
                <w:smallCaps w:val="0"/>
                <w:noProof/>
                <w:color w:val="000000" w:themeColor="text1"/>
                <w:kern w:val="2"/>
                <w:sz w:val="24"/>
                <w:szCs w:val="24"/>
                <w:lang w:eastAsia="en-GB"/>
                <w14:ligatures w14:val="standardContextual"/>
              </w:rPr>
              <w:tab/>
            </w:r>
            <w:r w:rsidRPr="00565C9C">
              <w:rPr>
                <w:rStyle w:val="Hyperlink"/>
                <w:rFonts w:asciiTheme="majorBidi" w:hAnsiTheme="majorBidi" w:cstheme="majorBidi"/>
                <w:noProof/>
                <w:color w:val="000000" w:themeColor="text1"/>
                <w:sz w:val="24"/>
                <w:szCs w:val="24"/>
              </w:rPr>
              <w:t>International and Ethical Considerations</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_Toc235741005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11</w:t>
            </w:r>
            <w:r w:rsidRPr="00565C9C">
              <w:rPr>
                <w:rFonts w:asciiTheme="majorBidi" w:hAnsiTheme="majorBidi" w:cstheme="majorBidi"/>
                <w:noProof/>
                <w:webHidden/>
                <w:color w:val="000000" w:themeColor="text1"/>
                <w:sz w:val="24"/>
                <w:szCs w:val="24"/>
              </w:rPr>
              <w:fldChar w:fldCharType="end"/>
            </w:r>
          </w:hyperlink>
        </w:p>
        <w:p w14:paraId="68C1CC7B" w14:textId="07273F06" w:rsidR="00565C9C" w:rsidRPr="00565C9C" w:rsidRDefault="00565C9C" w:rsidP="00565C9C">
          <w:pPr>
            <w:pStyle w:val="TOC1"/>
            <w:tabs>
              <w:tab w:val="left" w:pos="352"/>
              <w:tab w:val="right" w:leader="dot" w:pos="9016"/>
            </w:tabs>
            <w:spacing w:line="360" w:lineRule="auto"/>
            <w:jc w:val="both"/>
            <w:rPr>
              <w:rFonts w:asciiTheme="majorBidi" w:hAnsiTheme="majorBidi" w:cstheme="majorBidi"/>
              <w:b w:val="0"/>
              <w:bCs w:val="0"/>
              <w:caps w:val="0"/>
              <w:noProof/>
              <w:color w:val="000000" w:themeColor="text1"/>
              <w:kern w:val="2"/>
              <w:sz w:val="24"/>
              <w:szCs w:val="24"/>
              <w:u w:val="none"/>
              <w:lang w:eastAsia="en-GB"/>
              <w14:ligatures w14:val="standardContextual"/>
            </w:rPr>
          </w:pPr>
          <w:hyperlink w:anchor="_Toc235741006" w:history="1">
            <w:r w:rsidRPr="00565C9C">
              <w:rPr>
                <w:rStyle w:val="Hyperlink"/>
                <w:rFonts w:asciiTheme="majorBidi" w:hAnsiTheme="majorBidi" w:cstheme="majorBidi"/>
                <w:noProof/>
                <w:color w:val="000000" w:themeColor="text1"/>
                <w:sz w:val="24"/>
                <w:szCs w:val="24"/>
              </w:rPr>
              <w:t>5</w:t>
            </w:r>
            <w:r w:rsidRPr="00565C9C">
              <w:rPr>
                <w:rFonts w:asciiTheme="majorBidi" w:hAnsiTheme="majorBidi" w:cstheme="majorBidi"/>
                <w:b w:val="0"/>
                <w:bCs w:val="0"/>
                <w:caps w:val="0"/>
                <w:noProof/>
                <w:color w:val="000000" w:themeColor="text1"/>
                <w:kern w:val="2"/>
                <w:sz w:val="24"/>
                <w:szCs w:val="24"/>
                <w:u w:val="none"/>
                <w:lang w:eastAsia="en-GB"/>
                <w14:ligatures w14:val="standardContextual"/>
              </w:rPr>
              <w:tab/>
            </w:r>
            <w:r w:rsidRPr="00565C9C">
              <w:rPr>
                <w:rStyle w:val="Hyperlink"/>
                <w:rFonts w:asciiTheme="majorBidi" w:hAnsiTheme="majorBidi" w:cstheme="majorBidi"/>
                <w:noProof/>
                <w:color w:val="000000" w:themeColor="text1"/>
                <w:sz w:val="24"/>
                <w:szCs w:val="24"/>
              </w:rPr>
              <w:t>Investment Appraisal and Capital Budgeting</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_Toc235741006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11</w:t>
            </w:r>
            <w:r w:rsidRPr="00565C9C">
              <w:rPr>
                <w:rFonts w:asciiTheme="majorBidi" w:hAnsiTheme="majorBidi" w:cstheme="majorBidi"/>
                <w:noProof/>
                <w:webHidden/>
                <w:color w:val="000000" w:themeColor="text1"/>
                <w:sz w:val="24"/>
                <w:szCs w:val="24"/>
              </w:rPr>
              <w:fldChar w:fldCharType="end"/>
            </w:r>
          </w:hyperlink>
        </w:p>
        <w:p w14:paraId="6DCE70F5" w14:textId="0D7EBAEE" w:rsidR="00565C9C" w:rsidRPr="00565C9C" w:rsidRDefault="00565C9C" w:rsidP="00565C9C">
          <w:pPr>
            <w:pStyle w:val="TOC2"/>
            <w:tabs>
              <w:tab w:val="left" w:pos="522"/>
              <w:tab w:val="right" w:leader="dot" w:pos="9016"/>
            </w:tabs>
            <w:spacing w:line="360"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741007" w:history="1">
            <w:r w:rsidRPr="00565C9C">
              <w:rPr>
                <w:rStyle w:val="Hyperlink"/>
                <w:rFonts w:asciiTheme="majorBidi" w:hAnsiTheme="majorBidi" w:cstheme="majorBidi"/>
                <w:noProof/>
                <w:color w:val="000000" w:themeColor="text1"/>
                <w:sz w:val="24"/>
                <w:szCs w:val="24"/>
              </w:rPr>
              <w:t>5.1</w:t>
            </w:r>
            <w:r w:rsidRPr="00565C9C">
              <w:rPr>
                <w:rFonts w:asciiTheme="majorBidi" w:hAnsiTheme="majorBidi" w:cstheme="majorBidi"/>
                <w:b w:val="0"/>
                <w:bCs w:val="0"/>
                <w:smallCaps w:val="0"/>
                <w:noProof/>
                <w:color w:val="000000" w:themeColor="text1"/>
                <w:kern w:val="2"/>
                <w:sz w:val="24"/>
                <w:szCs w:val="24"/>
                <w:lang w:eastAsia="en-GB"/>
                <w14:ligatures w14:val="standardContextual"/>
              </w:rPr>
              <w:tab/>
            </w:r>
            <w:r w:rsidRPr="00565C9C">
              <w:rPr>
                <w:rStyle w:val="Hyperlink"/>
                <w:rFonts w:asciiTheme="majorBidi" w:hAnsiTheme="majorBidi" w:cstheme="majorBidi"/>
                <w:noProof/>
                <w:color w:val="000000" w:themeColor="text1"/>
                <w:sz w:val="24"/>
                <w:szCs w:val="24"/>
              </w:rPr>
              <w:t>Appraisal Assumptions and Methods</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_Toc235741007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12</w:t>
            </w:r>
            <w:r w:rsidRPr="00565C9C">
              <w:rPr>
                <w:rFonts w:asciiTheme="majorBidi" w:hAnsiTheme="majorBidi" w:cstheme="majorBidi"/>
                <w:noProof/>
                <w:webHidden/>
                <w:color w:val="000000" w:themeColor="text1"/>
                <w:sz w:val="24"/>
                <w:szCs w:val="24"/>
              </w:rPr>
              <w:fldChar w:fldCharType="end"/>
            </w:r>
          </w:hyperlink>
        </w:p>
        <w:p w14:paraId="23D064E3" w14:textId="16B6239F" w:rsidR="00565C9C" w:rsidRPr="00565C9C" w:rsidRDefault="00565C9C" w:rsidP="00565C9C">
          <w:pPr>
            <w:pStyle w:val="TOC2"/>
            <w:tabs>
              <w:tab w:val="left" w:pos="522"/>
              <w:tab w:val="right" w:leader="dot" w:pos="9016"/>
            </w:tabs>
            <w:spacing w:line="360"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741008" w:history="1">
            <w:r w:rsidRPr="00565C9C">
              <w:rPr>
                <w:rStyle w:val="Hyperlink"/>
                <w:rFonts w:asciiTheme="majorBidi" w:hAnsiTheme="majorBidi" w:cstheme="majorBidi"/>
                <w:noProof/>
                <w:color w:val="000000" w:themeColor="text1"/>
                <w:sz w:val="24"/>
                <w:szCs w:val="24"/>
              </w:rPr>
              <w:t>5.2</w:t>
            </w:r>
            <w:r w:rsidRPr="00565C9C">
              <w:rPr>
                <w:rFonts w:asciiTheme="majorBidi" w:hAnsiTheme="majorBidi" w:cstheme="majorBidi"/>
                <w:b w:val="0"/>
                <w:bCs w:val="0"/>
                <w:smallCaps w:val="0"/>
                <w:noProof/>
                <w:color w:val="000000" w:themeColor="text1"/>
                <w:kern w:val="2"/>
                <w:sz w:val="24"/>
                <w:szCs w:val="24"/>
                <w:lang w:eastAsia="en-GB"/>
                <w14:ligatures w14:val="standardContextual"/>
              </w:rPr>
              <w:tab/>
            </w:r>
            <w:r w:rsidRPr="00565C9C">
              <w:rPr>
                <w:rStyle w:val="Hyperlink"/>
                <w:rFonts w:asciiTheme="majorBidi" w:hAnsiTheme="majorBidi" w:cstheme="majorBidi"/>
                <w:noProof/>
                <w:color w:val="000000" w:themeColor="text1"/>
                <w:sz w:val="24"/>
                <w:szCs w:val="24"/>
              </w:rPr>
              <w:t>Calculated Results</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_Toc235741008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12</w:t>
            </w:r>
            <w:r w:rsidRPr="00565C9C">
              <w:rPr>
                <w:rFonts w:asciiTheme="majorBidi" w:hAnsiTheme="majorBidi" w:cstheme="majorBidi"/>
                <w:noProof/>
                <w:webHidden/>
                <w:color w:val="000000" w:themeColor="text1"/>
                <w:sz w:val="24"/>
                <w:szCs w:val="24"/>
              </w:rPr>
              <w:fldChar w:fldCharType="end"/>
            </w:r>
          </w:hyperlink>
        </w:p>
        <w:p w14:paraId="0CBB11F0" w14:textId="4FBB9F1F" w:rsidR="00565C9C" w:rsidRPr="00565C9C" w:rsidRDefault="00565C9C" w:rsidP="00565C9C">
          <w:pPr>
            <w:pStyle w:val="TOC2"/>
            <w:tabs>
              <w:tab w:val="left" w:pos="522"/>
              <w:tab w:val="right" w:leader="dot" w:pos="9016"/>
            </w:tabs>
            <w:spacing w:line="360"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741009" w:history="1">
            <w:r w:rsidRPr="00565C9C">
              <w:rPr>
                <w:rStyle w:val="Hyperlink"/>
                <w:rFonts w:asciiTheme="majorBidi" w:hAnsiTheme="majorBidi" w:cstheme="majorBidi"/>
                <w:noProof/>
                <w:color w:val="000000" w:themeColor="text1"/>
                <w:sz w:val="24"/>
                <w:szCs w:val="24"/>
              </w:rPr>
              <w:t>5.3</w:t>
            </w:r>
            <w:r w:rsidRPr="00565C9C">
              <w:rPr>
                <w:rFonts w:asciiTheme="majorBidi" w:hAnsiTheme="majorBidi" w:cstheme="majorBidi"/>
                <w:b w:val="0"/>
                <w:bCs w:val="0"/>
                <w:smallCaps w:val="0"/>
                <w:noProof/>
                <w:color w:val="000000" w:themeColor="text1"/>
                <w:kern w:val="2"/>
                <w:sz w:val="24"/>
                <w:szCs w:val="24"/>
                <w:lang w:eastAsia="en-GB"/>
                <w14:ligatures w14:val="standardContextual"/>
              </w:rPr>
              <w:tab/>
            </w:r>
            <w:r w:rsidRPr="00565C9C">
              <w:rPr>
                <w:rStyle w:val="Hyperlink"/>
                <w:rFonts w:asciiTheme="majorBidi" w:hAnsiTheme="majorBidi" w:cstheme="majorBidi"/>
                <w:noProof/>
                <w:color w:val="000000" w:themeColor="text1"/>
                <w:sz w:val="24"/>
                <w:szCs w:val="24"/>
              </w:rPr>
              <w:t>Relationship to IHG’s Financial Position</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_Toc235741009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13</w:t>
            </w:r>
            <w:r w:rsidRPr="00565C9C">
              <w:rPr>
                <w:rFonts w:asciiTheme="majorBidi" w:hAnsiTheme="majorBidi" w:cstheme="majorBidi"/>
                <w:noProof/>
                <w:webHidden/>
                <w:color w:val="000000" w:themeColor="text1"/>
                <w:sz w:val="24"/>
                <w:szCs w:val="24"/>
              </w:rPr>
              <w:fldChar w:fldCharType="end"/>
            </w:r>
          </w:hyperlink>
        </w:p>
        <w:p w14:paraId="7FABE3DF" w14:textId="49C7A7CE" w:rsidR="00565C9C" w:rsidRPr="00565C9C" w:rsidRDefault="00565C9C" w:rsidP="00565C9C">
          <w:pPr>
            <w:pStyle w:val="TOC2"/>
            <w:tabs>
              <w:tab w:val="left" w:pos="522"/>
              <w:tab w:val="right" w:leader="dot" w:pos="9016"/>
            </w:tabs>
            <w:spacing w:line="360"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741010" w:history="1">
            <w:r w:rsidRPr="00565C9C">
              <w:rPr>
                <w:rStyle w:val="Hyperlink"/>
                <w:rFonts w:asciiTheme="majorBidi" w:hAnsiTheme="majorBidi" w:cstheme="majorBidi"/>
                <w:noProof/>
                <w:color w:val="000000" w:themeColor="text1"/>
                <w:sz w:val="24"/>
                <w:szCs w:val="24"/>
              </w:rPr>
              <w:t>5.4</w:t>
            </w:r>
            <w:r w:rsidRPr="00565C9C">
              <w:rPr>
                <w:rFonts w:asciiTheme="majorBidi" w:hAnsiTheme="majorBidi" w:cstheme="majorBidi"/>
                <w:b w:val="0"/>
                <w:bCs w:val="0"/>
                <w:smallCaps w:val="0"/>
                <w:noProof/>
                <w:color w:val="000000" w:themeColor="text1"/>
                <w:kern w:val="2"/>
                <w:sz w:val="24"/>
                <w:szCs w:val="24"/>
                <w:lang w:eastAsia="en-GB"/>
                <w14:ligatures w14:val="standardContextual"/>
              </w:rPr>
              <w:tab/>
            </w:r>
            <w:r w:rsidRPr="00565C9C">
              <w:rPr>
                <w:rStyle w:val="Hyperlink"/>
                <w:rFonts w:asciiTheme="majorBidi" w:hAnsiTheme="majorBidi" w:cstheme="majorBidi"/>
                <w:noProof/>
                <w:color w:val="000000" w:themeColor="text1"/>
                <w:sz w:val="24"/>
                <w:szCs w:val="24"/>
              </w:rPr>
              <w:t>Capital Rationing</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_Toc235741010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14</w:t>
            </w:r>
            <w:r w:rsidRPr="00565C9C">
              <w:rPr>
                <w:rFonts w:asciiTheme="majorBidi" w:hAnsiTheme="majorBidi" w:cstheme="majorBidi"/>
                <w:noProof/>
                <w:webHidden/>
                <w:color w:val="000000" w:themeColor="text1"/>
                <w:sz w:val="24"/>
                <w:szCs w:val="24"/>
              </w:rPr>
              <w:fldChar w:fldCharType="end"/>
            </w:r>
          </w:hyperlink>
        </w:p>
        <w:p w14:paraId="0051F15B" w14:textId="65DB64B5" w:rsidR="00565C9C" w:rsidRPr="00565C9C" w:rsidRDefault="00565C9C" w:rsidP="00565C9C">
          <w:pPr>
            <w:pStyle w:val="TOC1"/>
            <w:tabs>
              <w:tab w:val="left" w:pos="352"/>
              <w:tab w:val="right" w:leader="dot" w:pos="9016"/>
            </w:tabs>
            <w:spacing w:line="360" w:lineRule="auto"/>
            <w:jc w:val="both"/>
            <w:rPr>
              <w:rFonts w:asciiTheme="majorBidi" w:hAnsiTheme="majorBidi" w:cstheme="majorBidi"/>
              <w:b w:val="0"/>
              <w:bCs w:val="0"/>
              <w:caps w:val="0"/>
              <w:noProof/>
              <w:color w:val="000000" w:themeColor="text1"/>
              <w:kern w:val="2"/>
              <w:sz w:val="24"/>
              <w:szCs w:val="24"/>
              <w:u w:val="none"/>
              <w:lang w:eastAsia="en-GB"/>
              <w14:ligatures w14:val="standardContextual"/>
            </w:rPr>
          </w:pPr>
          <w:hyperlink w:anchor="_Toc235741011" w:history="1">
            <w:r w:rsidRPr="00565C9C">
              <w:rPr>
                <w:rStyle w:val="Hyperlink"/>
                <w:rFonts w:asciiTheme="majorBidi" w:hAnsiTheme="majorBidi" w:cstheme="majorBidi"/>
                <w:noProof/>
                <w:color w:val="000000" w:themeColor="text1"/>
                <w:sz w:val="24"/>
                <w:szCs w:val="24"/>
              </w:rPr>
              <w:t>6</w:t>
            </w:r>
            <w:r w:rsidRPr="00565C9C">
              <w:rPr>
                <w:rFonts w:asciiTheme="majorBidi" w:hAnsiTheme="majorBidi" w:cstheme="majorBidi"/>
                <w:b w:val="0"/>
                <w:bCs w:val="0"/>
                <w:caps w:val="0"/>
                <w:noProof/>
                <w:color w:val="000000" w:themeColor="text1"/>
                <w:kern w:val="2"/>
                <w:sz w:val="24"/>
                <w:szCs w:val="24"/>
                <w:u w:val="none"/>
                <w:lang w:eastAsia="en-GB"/>
                <w14:ligatures w14:val="standardContextual"/>
              </w:rPr>
              <w:tab/>
            </w:r>
            <w:r w:rsidRPr="00565C9C">
              <w:rPr>
                <w:rStyle w:val="Hyperlink"/>
                <w:rFonts w:asciiTheme="majorBidi" w:hAnsiTheme="majorBidi" w:cstheme="majorBidi"/>
                <w:noProof/>
                <w:color w:val="000000" w:themeColor="text1"/>
                <w:sz w:val="24"/>
                <w:szCs w:val="24"/>
              </w:rPr>
              <w:t>Critical Reflection on Artificial Intelligence Usage</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_Toc235741011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14</w:t>
            </w:r>
            <w:r w:rsidRPr="00565C9C">
              <w:rPr>
                <w:rFonts w:asciiTheme="majorBidi" w:hAnsiTheme="majorBidi" w:cstheme="majorBidi"/>
                <w:noProof/>
                <w:webHidden/>
                <w:color w:val="000000" w:themeColor="text1"/>
                <w:sz w:val="24"/>
                <w:szCs w:val="24"/>
              </w:rPr>
              <w:fldChar w:fldCharType="end"/>
            </w:r>
          </w:hyperlink>
        </w:p>
        <w:p w14:paraId="62A4CF9A" w14:textId="75D71056" w:rsidR="00565C9C" w:rsidRPr="00565C9C" w:rsidRDefault="00565C9C" w:rsidP="00565C9C">
          <w:pPr>
            <w:pStyle w:val="TOC2"/>
            <w:tabs>
              <w:tab w:val="left" w:pos="522"/>
              <w:tab w:val="right" w:leader="dot" w:pos="9016"/>
            </w:tabs>
            <w:spacing w:line="360"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741012" w:history="1">
            <w:r w:rsidRPr="00565C9C">
              <w:rPr>
                <w:rStyle w:val="Hyperlink"/>
                <w:rFonts w:asciiTheme="majorBidi" w:hAnsiTheme="majorBidi" w:cstheme="majorBidi"/>
                <w:noProof/>
                <w:color w:val="000000" w:themeColor="text1"/>
                <w:sz w:val="24"/>
                <w:szCs w:val="24"/>
              </w:rPr>
              <w:t>6.1</w:t>
            </w:r>
            <w:r w:rsidRPr="00565C9C">
              <w:rPr>
                <w:rFonts w:asciiTheme="majorBidi" w:hAnsiTheme="majorBidi" w:cstheme="majorBidi"/>
                <w:b w:val="0"/>
                <w:bCs w:val="0"/>
                <w:smallCaps w:val="0"/>
                <w:noProof/>
                <w:color w:val="000000" w:themeColor="text1"/>
                <w:kern w:val="2"/>
                <w:sz w:val="24"/>
                <w:szCs w:val="24"/>
                <w:lang w:eastAsia="en-GB"/>
                <w14:ligatures w14:val="standardContextual"/>
              </w:rPr>
              <w:tab/>
            </w:r>
            <w:r w:rsidRPr="00565C9C">
              <w:rPr>
                <w:rStyle w:val="Hyperlink"/>
                <w:rFonts w:asciiTheme="majorBidi" w:hAnsiTheme="majorBidi" w:cstheme="majorBidi"/>
                <w:noProof/>
                <w:color w:val="000000" w:themeColor="text1"/>
                <w:sz w:val="24"/>
                <w:szCs w:val="24"/>
              </w:rPr>
              <w:t>Tool Disclosure</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_Toc235741012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14</w:t>
            </w:r>
            <w:r w:rsidRPr="00565C9C">
              <w:rPr>
                <w:rFonts w:asciiTheme="majorBidi" w:hAnsiTheme="majorBidi" w:cstheme="majorBidi"/>
                <w:noProof/>
                <w:webHidden/>
                <w:color w:val="000000" w:themeColor="text1"/>
                <w:sz w:val="24"/>
                <w:szCs w:val="24"/>
              </w:rPr>
              <w:fldChar w:fldCharType="end"/>
            </w:r>
          </w:hyperlink>
        </w:p>
        <w:p w14:paraId="67BD32D7" w14:textId="06284215" w:rsidR="00565C9C" w:rsidRPr="00565C9C" w:rsidRDefault="00565C9C" w:rsidP="00565C9C">
          <w:pPr>
            <w:pStyle w:val="TOC2"/>
            <w:tabs>
              <w:tab w:val="left" w:pos="522"/>
              <w:tab w:val="right" w:leader="dot" w:pos="9016"/>
            </w:tabs>
            <w:spacing w:line="360"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741013" w:history="1">
            <w:r w:rsidRPr="00565C9C">
              <w:rPr>
                <w:rStyle w:val="Hyperlink"/>
                <w:rFonts w:asciiTheme="majorBidi" w:hAnsiTheme="majorBidi" w:cstheme="majorBidi"/>
                <w:noProof/>
                <w:color w:val="000000" w:themeColor="text1"/>
                <w:sz w:val="24"/>
                <w:szCs w:val="24"/>
              </w:rPr>
              <w:t>6.2</w:t>
            </w:r>
            <w:r w:rsidRPr="00565C9C">
              <w:rPr>
                <w:rFonts w:asciiTheme="majorBidi" w:hAnsiTheme="majorBidi" w:cstheme="majorBidi"/>
                <w:b w:val="0"/>
                <w:bCs w:val="0"/>
                <w:smallCaps w:val="0"/>
                <w:noProof/>
                <w:color w:val="000000" w:themeColor="text1"/>
                <w:kern w:val="2"/>
                <w:sz w:val="24"/>
                <w:szCs w:val="24"/>
                <w:lang w:eastAsia="en-GB"/>
                <w14:ligatures w14:val="standardContextual"/>
              </w:rPr>
              <w:tab/>
            </w:r>
            <w:r w:rsidRPr="00565C9C">
              <w:rPr>
                <w:rStyle w:val="Hyperlink"/>
                <w:rFonts w:asciiTheme="majorBidi" w:hAnsiTheme="majorBidi" w:cstheme="majorBidi"/>
                <w:noProof/>
                <w:color w:val="000000" w:themeColor="text1"/>
                <w:sz w:val="24"/>
                <w:szCs w:val="24"/>
              </w:rPr>
              <w:t>Verification of Calculations and AI Output</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_Toc235741013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14</w:t>
            </w:r>
            <w:r w:rsidRPr="00565C9C">
              <w:rPr>
                <w:rFonts w:asciiTheme="majorBidi" w:hAnsiTheme="majorBidi" w:cstheme="majorBidi"/>
                <w:noProof/>
                <w:webHidden/>
                <w:color w:val="000000" w:themeColor="text1"/>
                <w:sz w:val="24"/>
                <w:szCs w:val="24"/>
              </w:rPr>
              <w:fldChar w:fldCharType="end"/>
            </w:r>
          </w:hyperlink>
        </w:p>
        <w:p w14:paraId="60545FE9" w14:textId="14B7F77F" w:rsidR="00565C9C" w:rsidRPr="00565C9C" w:rsidRDefault="00565C9C" w:rsidP="00565C9C">
          <w:pPr>
            <w:pStyle w:val="TOC2"/>
            <w:tabs>
              <w:tab w:val="left" w:pos="522"/>
              <w:tab w:val="right" w:leader="dot" w:pos="9016"/>
            </w:tabs>
            <w:spacing w:line="360"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741014" w:history="1">
            <w:r w:rsidRPr="00565C9C">
              <w:rPr>
                <w:rStyle w:val="Hyperlink"/>
                <w:rFonts w:asciiTheme="majorBidi" w:hAnsiTheme="majorBidi" w:cstheme="majorBidi"/>
                <w:noProof/>
                <w:color w:val="000000" w:themeColor="text1"/>
                <w:sz w:val="24"/>
                <w:szCs w:val="24"/>
              </w:rPr>
              <w:t>6.3</w:t>
            </w:r>
            <w:r w:rsidRPr="00565C9C">
              <w:rPr>
                <w:rFonts w:asciiTheme="majorBidi" w:hAnsiTheme="majorBidi" w:cstheme="majorBidi"/>
                <w:b w:val="0"/>
                <w:bCs w:val="0"/>
                <w:smallCaps w:val="0"/>
                <w:noProof/>
                <w:color w:val="000000" w:themeColor="text1"/>
                <w:kern w:val="2"/>
                <w:sz w:val="24"/>
                <w:szCs w:val="24"/>
                <w:lang w:eastAsia="en-GB"/>
                <w14:ligatures w14:val="standardContextual"/>
              </w:rPr>
              <w:tab/>
            </w:r>
            <w:r w:rsidRPr="00565C9C">
              <w:rPr>
                <w:rStyle w:val="Hyperlink"/>
                <w:rFonts w:asciiTheme="majorBidi" w:hAnsiTheme="majorBidi" w:cstheme="majorBidi"/>
                <w:noProof/>
                <w:color w:val="000000" w:themeColor="text1"/>
                <w:sz w:val="24"/>
                <w:szCs w:val="24"/>
              </w:rPr>
              <w:t>Contribution and Professional Judgement</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_Toc235741014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15</w:t>
            </w:r>
            <w:r w:rsidRPr="00565C9C">
              <w:rPr>
                <w:rFonts w:asciiTheme="majorBidi" w:hAnsiTheme="majorBidi" w:cstheme="majorBidi"/>
                <w:noProof/>
                <w:webHidden/>
                <w:color w:val="000000" w:themeColor="text1"/>
                <w:sz w:val="24"/>
                <w:szCs w:val="24"/>
              </w:rPr>
              <w:fldChar w:fldCharType="end"/>
            </w:r>
          </w:hyperlink>
        </w:p>
        <w:p w14:paraId="1FF04683" w14:textId="08F46553" w:rsidR="00565C9C" w:rsidRPr="00565C9C" w:rsidRDefault="00565C9C" w:rsidP="00565C9C">
          <w:pPr>
            <w:pStyle w:val="TOC2"/>
            <w:tabs>
              <w:tab w:val="left" w:pos="522"/>
              <w:tab w:val="right" w:leader="dot" w:pos="9016"/>
            </w:tabs>
            <w:spacing w:line="360"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741015" w:history="1">
            <w:r w:rsidRPr="00565C9C">
              <w:rPr>
                <w:rStyle w:val="Hyperlink"/>
                <w:rFonts w:asciiTheme="majorBidi" w:hAnsiTheme="majorBidi" w:cstheme="majorBidi"/>
                <w:noProof/>
                <w:color w:val="000000" w:themeColor="text1"/>
                <w:sz w:val="24"/>
                <w:szCs w:val="24"/>
              </w:rPr>
              <w:t>6.4</w:t>
            </w:r>
            <w:r w:rsidRPr="00565C9C">
              <w:rPr>
                <w:rFonts w:asciiTheme="majorBidi" w:hAnsiTheme="majorBidi" w:cstheme="majorBidi"/>
                <w:b w:val="0"/>
                <w:bCs w:val="0"/>
                <w:smallCaps w:val="0"/>
                <w:noProof/>
                <w:color w:val="000000" w:themeColor="text1"/>
                <w:kern w:val="2"/>
                <w:sz w:val="24"/>
                <w:szCs w:val="24"/>
                <w:lang w:eastAsia="en-GB"/>
                <w14:ligatures w14:val="standardContextual"/>
              </w:rPr>
              <w:tab/>
            </w:r>
            <w:r w:rsidRPr="00565C9C">
              <w:rPr>
                <w:rStyle w:val="Hyperlink"/>
                <w:rFonts w:asciiTheme="majorBidi" w:hAnsiTheme="majorBidi" w:cstheme="majorBidi"/>
                <w:noProof/>
                <w:color w:val="000000" w:themeColor="text1"/>
                <w:sz w:val="24"/>
                <w:szCs w:val="24"/>
              </w:rPr>
              <w:t>Ethical and Professional Reflection</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_Toc235741015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15</w:t>
            </w:r>
            <w:r w:rsidRPr="00565C9C">
              <w:rPr>
                <w:rFonts w:asciiTheme="majorBidi" w:hAnsiTheme="majorBidi" w:cstheme="majorBidi"/>
                <w:noProof/>
                <w:webHidden/>
                <w:color w:val="000000" w:themeColor="text1"/>
                <w:sz w:val="24"/>
                <w:szCs w:val="24"/>
              </w:rPr>
              <w:fldChar w:fldCharType="end"/>
            </w:r>
          </w:hyperlink>
        </w:p>
        <w:p w14:paraId="5FCDD366" w14:textId="00AAADA1" w:rsidR="00565C9C" w:rsidRPr="00565C9C" w:rsidRDefault="00565C9C" w:rsidP="00565C9C">
          <w:pPr>
            <w:pStyle w:val="TOC1"/>
            <w:tabs>
              <w:tab w:val="left" w:pos="352"/>
              <w:tab w:val="right" w:leader="dot" w:pos="9016"/>
            </w:tabs>
            <w:spacing w:line="360" w:lineRule="auto"/>
            <w:jc w:val="both"/>
            <w:rPr>
              <w:rFonts w:asciiTheme="majorBidi" w:hAnsiTheme="majorBidi" w:cstheme="majorBidi"/>
              <w:b w:val="0"/>
              <w:bCs w:val="0"/>
              <w:caps w:val="0"/>
              <w:noProof/>
              <w:color w:val="000000" w:themeColor="text1"/>
              <w:kern w:val="2"/>
              <w:sz w:val="24"/>
              <w:szCs w:val="24"/>
              <w:u w:val="none"/>
              <w:lang w:eastAsia="en-GB"/>
              <w14:ligatures w14:val="standardContextual"/>
            </w:rPr>
          </w:pPr>
          <w:hyperlink w:anchor="_Toc235741016" w:history="1">
            <w:r w:rsidRPr="00565C9C">
              <w:rPr>
                <w:rStyle w:val="Hyperlink"/>
                <w:rFonts w:asciiTheme="majorBidi" w:hAnsiTheme="majorBidi" w:cstheme="majorBidi"/>
                <w:noProof/>
                <w:color w:val="000000" w:themeColor="text1"/>
                <w:sz w:val="24"/>
                <w:szCs w:val="24"/>
              </w:rPr>
              <w:t>7</w:t>
            </w:r>
            <w:r w:rsidRPr="00565C9C">
              <w:rPr>
                <w:rFonts w:asciiTheme="majorBidi" w:hAnsiTheme="majorBidi" w:cstheme="majorBidi"/>
                <w:b w:val="0"/>
                <w:bCs w:val="0"/>
                <w:caps w:val="0"/>
                <w:noProof/>
                <w:color w:val="000000" w:themeColor="text1"/>
                <w:kern w:val="2"/>
                <w:sz w:val="24"/>
                <w:szCs w:val="24"/>
                <w:u w:val="none"/>
                <w:lang w:eastAsia="en-GB"/>
                <w14:ligatures w14:val="standardContextual"/>
              </w:rPr>
              <w:tab/>
            </w:r>
            <w:r w:rsidRPr="00565C9C">
              <w:rPr>
                <w:rStyle w:val="Hyperlink"/>
                <w:rFonts w:asciiTheme="majorBidi" w:hAnsiTheme="majorBidi" w:cstheme="majorBidi"/>
                <w:noProof/>
                <w:color w:val="000000" w:themeColor="text1"/>
                <w:sz w:val="24"/>
                <w:szCs w:val="24"/>
              </w:rPr>
              <w:t>Conclusion</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_Toc235741016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15</w:t>
            </w:r>
            <w:r w:rsidRPr="00565C9C">
              <w:rPr>
                <w:rFonts w:asciiTheme="majorBidi" w:hAnsiTheme="majorBidi" w:cstheme="majorBidi"/>
                <w:noProof/>
                <w:webHidden/>
                <w:color w:val="000000" w:themeColor="text1"/>
                <w:sz w:val="24"/>
                <w:szCs w:val="24"/>
              </w:rPr>
              <w:fldChar w:fldCharType="end"/>
            </w:r>
          </w:hyperlink>
        </w:p>
        <w:p w14:paraId="7633D8A7" w14:textId="0909D822" w:rsidR="00565C9C" w:rsidRPr="00565C9C" w:rsidRDefault="00565C9C" w:rsidP="00565C9C">
          <w:pPr>
            <w:pStyle w:val="TOC1"/>
            <w:tabs>
              <w:tab w:val="left" w:pos="352"/>
              <w:tab w:val="right" w:leader="dot" w:pos="9016"/>
            </w:tabs>
            <w:spacing w:line="360" w:lineRule="auto"/>
            <w:jc w:val="both"/>
            <w:rPr>
              <w:rFonts w:asciiTheme="majorBidi" w:hAnsiTheme="majorBidi" w:cstheme="majorBidi"/>
              <w:b w:val="0"/>
              <w:bCs w:val="0"/>
              <w:caps w:val="0"/>
              <w:noProof/>
              <w:color w:val="000000" w:themeColor="text1"/>
              <w:kern w:val="2"/>
              <w:sz w:val="24"/>
              <w:szCs w:val="24"/>
              <w:u w:val="none"/>
              <w:lang w:eastAsia="en-GB"/>
              <w14:ligatures w14:val="standardContextual"/>
            </w:rPr>
          </w:pPr>
          <w:hyperlink w:anchor="_Toc235741017" w:history="1">
            <w:r w:rsidRPr="00565C9C">
              <w:rPr>
                <w:rStyle w:val="Hyperlink"/>
                <w:rFonts w:asciiTheme="majorBidi" w:hAnsiTheme="majorBidi" w:cstheme="majorBidi"/>
                <w:noProof/>
                <w:color w:val="000000" w:themeColor="text1"/>
                <w:sz w:val="24"/>
                <w:szCs w:val="24"/>
              </w:rPr>
              <w:t>8</w:t>
            </w:r>
            <w:r w:rsidRPr="00565C9C">
              <w:rPr>
                <w:rFonts w:asciiTheme="majorBidi" w:hAnsiTheme="majorBidi" w:cstheme="majorBidi"/>
                <w:b w:val="0"/>
                <w:bCs w:val="0"/>
                <w:caps w:val="0"/>
                <w:noProof/>
                <w:color w:val="000000" w:themeColor="text1"/>
                <w:kern w:val="2"/>
                <w:sz w:val="24"/>
                <w:szCs w:val="24"/>
                <w:u w:val="none"/>
                <w:lang w:eastAsia="en-GB"/>
                <w14:ligatures w14:val="standardContextual"/>
              </w:rPr>
              <w:tab/>
            </w:r>
            <w:r w:rsidRPr="00565C9C">
              <w:rPr>
                <w:rStyle w:val="Hyperlink"/>
                <w:rFonts w:asciiTheme="majorBidi" w:hAnsiTheme="majorBidi" w:cstheme="majorBidi"/>
                <w:noProof/>
                <w:color w:val="000000" w:themeColor="text1"/>
                <w:sz w:val="24"/>
                <w:szCs w:val="24"/>
              </w:rPr>
              <w:t>References</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_Toc235741017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17</w:t>
            </w:r>
            <w:r w:rsidRPr="00565C9C">
              <w:rPr>
                <w:rFonts w:asciiTheme="majorBidi" w:hAnsiTheme="majorBidi" w:cstheme="majorBidi"/>
                <w:noProof/>
                <w:webHidden/>
                <w:color w:val="000000" w:themeColor="text1"/>
                <w:sz w:val="24"/>
                <w:szCs w:val="24"/>
              </w:rPr>
              <w:fldChar w:fldCharType="end"/>
            </w:r>
          </w:hyperlink>
        </w:p>
        <w:p w14:paraId="3E0B6E63" w14:textId="193E8608" w:rsidR="00565C9C" w:rsidRPr="00565C9C" w:rsidRDefault="00565C9C" w:rsidP="00565C9C">
          <w:pPr>
            <w:pStyle w:val="TOC1"/>
            <w:tabs>
              <w:tab w:val="left" w:pos="352"/>
              <w:tab w:val="right" w:leader="dot" w:pos="9016"/>
            </w:tabs>
            <w:spacing w:line="360" w:lineRule="auto"/>
            <w:jc w:val="both"/>
            <w:rPr>
              <w:rFonts w:asciiTheme="majorBidi" w:hAnsiTheme="majorBidi" w:cstheme="majorBidi"/>
              <w:b w:val="0"/>
              <w:bCs w:val="0"/>
              <w:caps w:val="0"/>
              <w:noProof/>
              <w:color w:val="000000" w:themeColor="text1"/>
              <w:kern w:val="2"/>
              <w:sz w:val="24"/>
              <w:szCs w:val="24"/>
              <w:u w:val="none"/>
              <w:lang w:eastAsia="en-GB"/>
              <w14:ligatures w14:val="standardContextual"/>
            </w:rPr>
          </w:pPr>
          <w:hyperlink w:anchor="_Toc235741018" w:history="1">
            <w:r w:rsidRPr="00565C9C">
              <w:rPr>
                <w:rStyle w:val="Hyperlink"/>
                <w:rFonts w:asciiTheme="majorBidi" w:hAnsiTheme="majorBidi" w:cstheme="majorBidi"/>
                <w:noProof/>
                <w:color w:val="000000" w:themeColor="text1"/>
                <w:sz w:val="24"/>
                <w:szCs w:val="24"/>
              </w:rPr>
              <w:t>9</w:t>
            </w:r>
            <w:r w:rsidRPr="00565C9C">
              <w:rPr>
                <w:rFonts w:asciiTheme="majorBidi" w:hAnsiTheme="majorBidi" w:cstheme="majorBidi"/>
                <w:b w:val="0"/>
                <w:bCs w:val="0"/>
                <w:caps w:val="0"/>
                <w:noProof/>
                <w:color w:val="000000" w:themeColor="text1"/>
                <w:kern w:val="2"/>
                <w:sz w:val="24"/>
                <w:szCs w:val="24"/>
                <w:u w:val="none"/>
                <w:lang w:eastAsia="en-GB"/>
                <w14:ligatures w14:val="standardContextual"/>
              </w:rPr>
              <w:tab/>
            </w:r>
            <w:r w:rsidRPr="00565C9C">
              <w:rPr>
                <w:rStyle w:val="Hyperlink"/>
                <w:rFonts w:asciiTheme="majorBidi" w:hAnsiTheme="majorBidi" w:cstheme="majorBidi"/>
                <w:noProof/>
                <w:color w:val="000000" w:themeColor="text1"/>
                <w:sz w:val="24"/>
                <w:szCs w:val="24"/>
              </w:rPr>
              <w:t>Appendices</w:t>
            </w:r>
            <w:r w:rsidRPr="00565C9C">
              <w:rPr>
                <w:rFonts w:asciiTheme="majorBidi" w:hAnsiTheme="majorBidi" w:cstheme="majorBidi"/>
                <w:noProof/>
                <w:webHidden/>
                <w:color w:val="000000" w:themeColor="text1"/>
                <w:sz w:val="24"/>
                <w:szCs w:val="24"/>
              </w:rPr>
              <w:tab/>
            </w:r>
            <w:r w:rsidRPr="00565C9C">
              <w:rPr>
                <w:rFonts w:asciiTheme="majorBidi" w:hAnsiTheme="majorBidi" w:cstheme="majorBidi"/>
                <w:noProof/>
                <w:webHidden/>
                <w:color w:val="000000" w:themeColor="text1"/>
                <w:sz w:val="24"/>
                <w:szCs w:val="24"/>
              </w:rPr>
              <w:fldChar w:fldCharType="begin"/>
            </w:r>
            <w:r w:rsidRPr="00565C9C">
              <w:rPr>
                <w:rFonts w:asciiTheme="majorBidi" w:hAnsiTheme="majorBidi" w:cstheme="majorBidi"/>
                <w:noProof/>
                <w:webHidden/>
                <w:color w:val="000000" w:themeColor="text1"/>
                <w:sz w:val="24"/>
                <w:szCs w:val="24"/>
              </w:rPr>
              <w:instrText xml:space="preserve"> PAGEREF _Toc235741018 \h </w:instrText>
            </w:r>
            <w:r w:rsidRPr="00565C9C">
              <w:rPr>
                <w:rFonts w:asciiTheme="majorBidi" w:hAnsiTheme="majorBidi" w:cstheme="majorBidi"/>
                <w:noProof/>
                <w:webHidden/>
                <w:color w:val="000000" w:themeColor="text1"/>
                <w:sz w:val="24"/>
                <w:szCs w:val="24"/>
              </w:rPr>
            </w:r>
            <w:r w:rsidRPr="00565C9C">
              <w:rPr>
                <w:rFonts w:asciiTheme="majorBidi" w:hAnsiTheme="majorBidi" w:cstheme="majorBidi"/>
                <w:noProof/>
                <w:webHidden/>
                <w:color w:val="000000" w:themeColor="text1"/>
                <w:sz w:val="24"/>
                <w:szCs w:val="24"/>
              </w:rPr>
              <w:fldChar w:fldCharType="separate"/>
            </w:r>
            <w:r w:rsidRPr="00565C9C">
              <w:rPr>
                <w:rFonts w:asciiTheme="majorBidi" w:hAnsiTheme="majorBidi" w:cstheme="majorBidi"/>
                <w:noProof/>
                <w:webHidden/>
                <w:color w:val="000000" w:themeColor="text1"/>
                <w:sz w:val="24"/>
                <w:szCs w:val="24"/>
              </w:rPr>
              <w:t>21</w:t>
            </w:r>
            <w:r w:rsidRPr="00565C9C">
              <w:rPr>
                <w:rFonts w:asciiTheme="majorBidi" w:hAnsiTheme="majorBidi" w:cstheme="majorBidi"/>
                <w:noProof/>
                <w:webHidden/>
                <w:color w:val="000000" w:themeColor="text1"/>
                <w:sz w:val="24"/>
                <w:szCs w:val="24"/>
              </w:rPr>
              <w:fldChar w:fldCharType="end"/>
            </w:r>
          </w:hyperlink>
        </w:p>
        <w:p w14:paraId="79F105FA" w14:textId="57969F36"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b/>
              <w:bCs/>
              <w:noProof/>
              <w:color w:val="000000" w:themeColor="text1"/>
              <w:sz w:val="24"/>
              <w:szCs w:val="24"/>
            </w:rPr>
            <w:fldChar w:fldCharType="end"/>
          </w:r>
        </w:p>
      </w:sdtContent>
    </w:sdt>
    <w:p w14:paraId="68CB009C"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p>
    <w:p w14:paraId="7FFA91BB"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p>
    <w:p w14:paraId="365006C7"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p>
    <w:p w14:paraId="010CCB29"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p>
    <w:p w14:paraId="6AFAA0E5"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p>
    <w:p w14:paraId="63D33422"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p>
    <w:p w14:paraId="3657F4FB" w14:textId="77777777" w:rsidR="00067DAF" w:rsidRDefault="00067DAF" w:rsidP="00565C9C">
      <w:pPr>
        <w:spacing w:line="360" w:lineRule="auto"/>
        <w:jc w:val="both"/>
        <w:rPr>
          <w:rFonts w:asciiTheme="majorBidi" w:hAnsiTheme="majorBidi" w:cstheme="majorBidi"/>
          <w:color w:val="000000" w:themeColor="text1"/>
          <w:sz w:val="24"/>
          <w:szCs w:val="24"/>
        </w:rPr>
      </w:pPr>
    </w:p>
    <w:p w14:paraId="5928DA90" w14:textId="77777777" w:rsidR="00565C9C" w:rsidRDefault="00565C9C" w:rsidP="00565C9C">
      <w:pPr>
        <w:spacing w:line="360" w:lineRule="auto"/>
        <w:jc w:val="both"/>
        <w:rPr>
          <w:rFonts w:asciiTheme="majorBidi" w:hAnsiTheme="majorBidi" w:cstheme="majorBidi"/>
          <w:color w:val="000000" w:themeColor="text1"/>
          <w:sz w:val="24"/>
          <w:szCs w:val="24"/>
        </w:rPr>
      </w:pPr>
    </w:p>
    <w:p w14:paraId="626C6FA8" w14:textId="77777777" w:rsidR="00565C9C" w:rsidRDefault="00565C9C" w:rsidP="00565C9C">
      <w:pPr>
        <w:spacing w:line="360" w:lineRule="auto"/>
        <w:jc w:val="both"/>
        <w:rPr>
          <w:rFonts w:asciiTheme="majorBidi" w:hAnsiTheme="majorBidi" w:cstheme="majorBidi"/>
          <w:color w:val="000000" w:themeColor="text1"/>
          <w:sz w:val="24"/>
          <w:szCs w:val="24"/>
        </w:rPr>
      </w:pPr>
    </w:p>
    <w:p w14:paraId="47B2BB3D" w14:textId="77777777" w:rsidR="00565C9C" w:rsidRDefault="00565C9C" w:rsidP="00565C9C">
      <w:pPr>
        <w:spacing w:line="360" w:lineRule="auto"/>
        <w:jc w:val="both"/>
        <w:rPr>
          <w:rFonts w:asciiTheme="majorBidi" w:hAnsiTheme="majorBidi" w:cstheme="majorBidi"/>
          <w:color w:val="000000" w:themeColor="text1"/>
          <w:sz w:val="24"/>
          <w:szCs w:val="24"/>
        </w:rPr>
      </w:pPr>
    </w:p>
    <w:p w14:paraId="78C8FA30" w14:textId="77777777" w:rsidR="00565C9C" w:rsidRDefault="00565C9C" w:rsidP="00565C9C">
      <w:pPr>
        <w:spacing w:line="360" w:lineRule="auto"/>
        <w:jc w:val="both"/>
        <w:rPr>
          <w:rFonts w:asciiTheme="majorBidi" w:hAnsiTheme="majorBidi" w:cstheme="majorBidi"/>
          <w:color w:val="000000" w:themeColor="text1"/>
          <w:sz w:val="24"/>
          <w:szCs w:val="24"/>
        </w:rPr>
      </w:pPr>
    </w:p>
    <w:p w14:paraId="2C6D4458" w14:textId="77777777" w:rsidR="00565C9C" w:rsidRDefault="00565C9C" w:rsidP="00565C9C">
      <w:pPr>
        <w:spacing w:line="360" w:lineRule="auto"/>
        <w:jc w:val="both"/>
        <w:rPr>
          <w:rFonts w:asciiTheme="majorBidi" w:hAnsiTheme="majorBidi" w:cstheme="majorBidi"/>
          <w:color w:val="000000" w:themeColor="text1"/>
          <w:sz w:val="24"/>
          <w:szCs w:val="24"/>
        </w:rPr>
      </w:pPr>
    </w:p>
    <w:p w14:paraId="18FB6B20" w14:textId="77777777" w:rsidR="00565C9C" w:rsidRDefault="00565C9C" w:rsidP="00565C9C">
      <w:pPr>
        <w:spacing w:line="360" w:lineRule="auto"/>
        <w:jc w:val="both"/>
        <w:rPr>
          <w:rFonts w:asciiTheme="majorBidi" w:hAnsiTheme="majorBidi" w:cstheme="majorBidi"/>
          <w:color w:val="000000" w:themeColor="text1"/>
          <w:sz w:val="24"/>
          <w:szCs w:val="24"/>
        </w:rPr>
      </w:pPr>
    </w:p>
    <w:p w14:paraId="1B9A46E0" w14:textId="77777777" w:rsidR="00565C9C" w:rsidRDefault="00565C9C" w:rsidP="00565C9C">
      <w:pPr>
        <w:spacing w:line="360" w:lineRule="auto"/>
        <w:jc w:val="both"/>
        <w:rPr>
          <w:rFonts w:asciiTheme="majorBidi" w:hAnsiTheme="majorBidi" w:cstheme="majorBidi"/>
          <w:color w:val="000000" w:themeColor="text1"/>
          <w:sz w:val="24"/>
          <w:szCs w:val="24"/>
        </w:rPr>
      </w:pPr>
    </w:p>
    <w:p w14:paraId="27D4535F" w14:textId="77777777" w:rsidR="00565C9C" w:rsidRDefault="00565C9C" w:rsidP="00565C9C">
      <w:pPr>
        <w:spacing w:line="360" w:lineRule="auto"/>
        <w:jc w:val="both"/>
        <w:rPr>
          <w:rFonts w:asciiTheme="majorBidi" w:hAnsiTheme="majorBidi" w:cstheme="majorBidi"/>
          <w:color w:val="000000" w:themeColor="text1"/>
          <w:sz w:val="24"/>
          <w:szCs w:val="24"/>
        </w:rPr>
      </w:pPr>
    </w:p>
    <w:p w14:paraId="6B9389FD" w14:textId="77777777" w:rsidR="00565C9C" w:rsidRDefault="00565C9C" w:rsidP="00565C9C">
      <w:pPr>
        <w:spacing w:line="360" w:lineRule="auto"/>
        <w:jc w:val="both"/>
        <w:rPr>
          <w:rFonts w:asciiTheme="majorBidi" w:hAnsiTheme="majorBidi" w:cstheme="majorBidi"/>
          <w:color w:val="000000" w:themeColor="text1"/>
          <w:sz w:val="24"/>
          <w:szCs w:val="24"/>
        </w:rPr>
      </w:pPr>
    </w:p>
    <w:p w14:paraId="2228A13D" w14:textId="77777777" w:rsidR="00565C9C" w:rsidRDefault="00565C9C" w:rsidP="00565C9C">
      <w:pPr>
        <w:spacing w:line="360" w:lineRule="auto"/>
        <w:jc w:val="both"/>
        <w:rPr>
          <w:rFonts w:asciiTheme="majorBidi" w:hAnsiTheme="majorBidi" w:cstheme="majorBidi"/>
          <w:color w:val="000000" w:themeColor="text1"/>
          <w:sz w:val="24"/>
          <w:szCs w:val="24"/>
        </w:rPr>
      </w:pPr>
    </w:p>
    <w:p w14:paraId="1FF2A0B1" w14:textId="77777777" w:rsidR="00565C9C" w:rsidRDefault="00565C9C" w:rsidP="00565C9C">
      <w:pPr>
        <w:spacing w:line="360" w:lineRule="auto"/>
        <w:jc w:val="both"/>
        <w:rPr>
          <w:rFonts w:asciiTheme="majorBidi" w:hAnsiTheme="majorBidi" w:cstheme="majorBidi"/>
          <w:color w:val="000000" w:themeColor="text1"/>
          <w:sz w:val="24"/>
          <w:szCs w:val="24"/>
        </w:rPr>
      </w:pPr>
    </w:p>
    <w:p w14:paraId="616E8E3B" w14:textId="77777777" w:rsidR="00565C9C" w:rsidRDefault="00565C9C" w:rsidP="00565C9C">
      <w:pPr>
        <w:spacing w:line="360" w:lineRule="auto"/>
        <w:jc w:val="both"/>
        <w:rPr>
          <w:rFonts w:asciiTheme="majorBidi" w:hAnsiTheme="majorBidi" w:cstheme="majorBidi"/>
          <w:color w:val="000000" w:themeColor="text1"/>
          <w:sz w:val="24"/>
          <w:szCs w:val="24"/>
        </w:rPr>
      </w:pPr>
    </w:p>
    <w:p w14:paraId="3B4C7551" w14:textId="77777777" w:rsidR="00565C9C" w:rsidRDefault="00565C9C" w:rsidP="00565C9C">
      <w:pPr>
        <w:spacing w:line="360" w:lineRule="auto"/>
        <w:jc w:val="both"/>
        <w:rPr>
          <w:rFonts w:asciiTheme="majorBidi" w:hAnsiTheme="majorBidi" w:cstheme="majorBidi"/>
          <w:color w:val="000000" w:themeColor="text1"/>
          <w:sz w:val="24"/>
          <w:szCs w:val="24"/>
        </w:rPr>
      </w:pPr>
    </w:p>
    <w:p w14:paraId="7535E777" w14:textId="77777777" w:rsidR="00565C9C" w:rsidRDefault="00565C9C" w:rsidP="00565C9C">
      <w:pPr>
        <w:spacing w:line="360" w:lineRule="auto"/>
        <w:jc w:val="both"/>
        <w:rPr>
          <w:rFonts w:asciiTheme="majorBidi" w:hAnsiTheme="majorBidi" w:cstheme="majorBidi"/>
          <w:color w:val="000000" w:themeColor="text1"/>
          <w:sz w:val="24"/>
          <w:szCs w:val="24"/>
        </w:rPr>
      </w:pPr>
    </w:p>
    <w:p w14:paraId="362AE44B"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1E1A7F8E"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p>
    <w:p w14:paraId="78229BFC"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p>
    <w:p w14:paraId="0B1E5661"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p>
    <w:p w14:paraId="53B7CF4F" w14:textId="6A76FF65" w:rsidR="00067DAF" w:rsidRPr="00565C9C" w:rsidRDefault="00067DAF" w:rsidP="00565C9C">
      <w:pPr>
        <w:spacing w:line="360" w:lineRule="auto"/>
        <w:jc w:val="both"/>
        <w:rPr>
          <w:rFonts w:asciiTheme="majorBidi" w:hAnsiTheme="majorBidi" w:cstheme="majorBidi"/>
          <w:color w:val="000000" w:themeColor="text1"/>
          <w:sz w:val="24"/>
          <w:szCs w:val="24"/>
        </w:rPr>
      </w:pPr>
    </w:p>
    <w:p w14:paraId="4D98DCDE" w14:textId="1FFD131B" w:rsidR="00067DAF" w:rsidRPr="00565C9C" w:rsidRDefault="00067DAF" w:rsidP="00565C9C">
      <w:pPr>
        <w:pStyle w:val="Heading1"/>
        <w:rPr>
          <w:sz w:val="24"/>
          <w:szCs w:val="24"/>
        </w:rPr>
      </w:pPr>
      <w:bookmarkStart w:id="0" w:name="_Toc235740993"/>
      <w:r w:rsidRPr="00565C9C">
        <w:rPr>
          <w:sz w:val="24"/>
          <w:szCs w:val="24"/>
        </w:rPr>
        <w:t>Introduction</w:t>
      </w:r>
      <w:bookmarkEnd w:id="0"/>
    </w:p>
    <w:p w14:paraId="6E8685CE" w14:textId="77777777" w:rsidR="00565C9C" w:rsidRPr="00565C9C" w:rsidRDefault="00067DAF" w:rsidP="00565C9C">
      <w:pPr>
        <w:pStyle w:val="NormalWeb"/>
        <w:spacing w:line="360" w:lineRule="auto"/>
        <w:ind w:firstLine="360"/>
        <w:jc w:val="both"/>
        <w:rPr>
          <w:rFonts w:asciiTheme="majorBidi" w:hAnsiTheme="majorBidi" w:cstheme="majorBidi"/>
          <w:color w:val="000000" w:themeColor="text1"/>
        </w:rPr>
      </w:pPr>
      <w:r w:rsidRPr="00565C9C">
        <w:rPr>
          <w:rFonts w:asciiTheme="majorBidi" w:hAnsiTheme="majorBidi" w:cstheme="majorBidi"/>
          <w:color w:val="000000" w:themeColor="text1"/>
        </w:rPr>
        <w:t>InterContinental Hotels Group PLC, trading as IHG Hotels &amp; Resorts, is an international hospitality corporation operating predominantly through franchised and managed hotels. Its asset-light, fee-oriented model allows it to expand its hotel system without directly financing most hotel properties. This reduces capital intensity and generates recurring franchise, management and ancillary fees, but it also creates distinctive accounting characteristics.</w:t>
      </w:r>
    </w:p>
    <w:p w14:paraId="795CF188"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These include relatively small amounts of tangible assets, very high amounts of deferred-revenue and loyalty liabilities, and negative book equity and liquidity ratios that aren't quite as meaningful as for the property-owning hotel companies. Despite the advantages of asset-light and fee-oriented strategies found in research, the associated risks of agency, reporting and franchise-governance (and the risks from too much leverage) may outweigh the benefits, especially when the strategy is overused.</w:t>
      </w:r>
    </w:p>
    <w:p w14:paraId="7DAAF473"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The report fulfills the needs of the assessment directly by analyzing the financial statements of IHG, the financial ratios of IHG, working capital of IHG, financing structure of IHG, strategic restructuring alternatives and the three proposed investment projects. The brief should involve the use and analysis of financial assessment methods and careful analysis of frameworks of financial resources. It also demands calculation of payback period, accounting rate of return, net present value, profitability index and internal rate of return and a capital-rationing decision and reflection on using AI. The analysis includes the period 2021–2025 formally, with 2020 being included as a baseline to give context to the shock of COVID-19 and the following recovery, as it is an extreme event.</w:t>
      </w:r>
    </w:p>
    <w:p w14:paraId="5607B885" w14:textId="3F9F252B" w:rsidR="00067DAF" w:rsidRPr="00565C9C" w:rsidRDefault="00067DAF" w:rsidP="00565C9C">
      <w:pPr>
        <w:pStyle w:val="Heading1"/>
        <w:rPr>
          <w:sz w:val="24"/>
          <w:szCs w:val="24"/>
        </w:rPr>
      </w:pPr>
      <w:bookmarkStart w:id="1" w:name="_Toc235740994"/>
      <w:r w:rsidRPr="00565C9C">
        <w:rPr>
          <w:sz w:val="24"/>
          <w:szCs w:val="24"/>
        </w:rPr>
        <w:t>Financial Health Check</w:t>
      </w:r>
      <w:bookmarkEnd w:id="1"/>
    </w:p>
    <w:p w14:paraId="013EB118" w14:textId="5761B963" w:rsidR="00067DAF" w:rsidRPr="00565C9C" w:rsidRDefault="00067DAF" w:rsidP="00565C9C">
      <w:pPr>
        <w:pStyle w:val="Heading2"/>
        <w:spacing w:line="360" w:lineRule="auto"/>
        <w:jc w:val="both"/>
      </w:pPr>
      <w:bookmarkStart w:id="2" w:name="_Toc235740995"/>
      <w:r w:rsidRPr="00565C9C">
        <w:lastRenderedPageBreak/>
        <w:t>Industry and Strategic Context</w:t>
      </w:r>
      <w:bookmarkEnd w:id="2"/>
    </w:p>
    <w:p w14:paraId="69F6143D"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The hospitality industry started out the assessment period from a very weak position. In 2020, IHG's global revenue generated per room was 52.5% lower, total revenue dropped to $2.394 billion and the group's operating loss was $153 million. International tourism then bounced back to nearly 1.4 billion arrivals in 2024, at 99% of the pre-pandemic level, while travel and tourism contributed some $11.6 trillion, or 9.8% of global GDP, in 2025 (IHG, 2021; UN Tourism, 2025; WTTC, 2026). The recovery generated positive demand dynamics, yet growth was not uniform across markets and recovery posed inflation, currency and geopolitical risk, and varying speeds of recovery in the Americas, EMEAA and Greater China to hotel companies.</w:t>
      </w:r>
    </w:p>
    <w:p w14:paraId="207355DC"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The asset-light strategy has a bearing on the interpretation of financial results, especially in the case of IHG. IHG doesn't make its money from owning hotels, but rather from fee income from intellectual property, brands, technology and loyalty infrastructure and also hotel owner contracts. The franchisee and third-party owners contribute a significant portion of the physical capital, and this can enhance growth flexibility and returns, as well as asset turnover, according to such models (Li &amp; Singal, 2019; Liang et al., 2023; Lussi et al., 2023). But the strategy involves passing some of the risk of service delivery to the owners of the hotels and relying on the financial strength of the franchisee, consistency and contractual control. It can also lead to seemingly poor book equity as internally created brand value is not fully captured as an accounting asset (Poretti &amp; Blal, 2020 and Poretti et al., 2023).</w:t>
      </w:r>
    </w:p>
    <w:p w14:paraId="13DC75AC" w14:textId="5B11F1D7" w:rsidR="00067DAF" w:rsidRPr="00565C9C" w:rsidRDefault="00067DAF" w:rsidP="00565C9C">
      <w:pPr>
        <w:pStyle w:val="Heading2"/>
        <w:spacing w:line="360" w:lineRule="auto"/>
        <w:jc w:val="both"/>
      </w:pPr>
      <w:bookmarkStart w:id="3" w:name="_Toc235740996"/>
      <w:r w:rsidRPr="00565C9C">
        <w:t>Five-Year Financial Performance</w:t>
      </w:r>
      <w:bookmarkEnd w:id="3"/>
    </w:p>
    <w:p w14:paraId="4AA39601"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IHG's key financial performance data is shown in table 1. Figures for 2020 have been added as a pandemic baseline – the formal five-year assessment will be 2021-2025.</w:t>
      </w:r>
    </w:p>
    <w:p w14:paraId="62C6BE15" w14:textId="22149422" w:rsidR="00067DAF" w:rsidRPr="00565C9C" w:rsidRDefault="00067DAF" w:rsidP="00565C9C">
      <w:pPr>
        <w:spacing w:line="360" w:lineRule="auto"/>
        <w:jc w:val="both"/>
        <w:rPr>
          <w:rFonts w:asciiTheme="majorBidi" w:hAnsiTheme="majorBidi" w:cstheme="majorBidi"/>
          <w:b/>
          <w:bCs/>
          <w:color w:val="000000" w:themeColor="text1"/>
          <w:sz w:val="24"/>
          <w:szCs w:val="24"/>
        </w:rPr>
      </w:pPr>
      <w:r w:rsidRPr="00565C9C">
        <w:rPr>
          <w:rFonts w:asciiTheme="majorBidi" w:hAnsiTheme="majorBidi" w:cstheme="majorBidi"/>
          <w:b/>
          <w:bCs/>
          <w:color w:val="000000" w:themeColor="text1"/>
          <w:sz w:val="24"/>
          <w:szCs w:val="24"/>
        </w:rPr>
        <w:t>Table 1</w:t>
      </w:r>
      <w:r w:rsidR="00565C9C" w:rsidRPr="00565C9C">
        <w:rPr>
          <w:rFonts w:asciiTheme="majorBidi" w:hAnsiTheme="majorBidi" w:cstheme="majorBidi"/>
          <w:b/>
          <w:bCs/>
          <w:color w:val="000000" w:themeColor="text1"/>
          <w:sz w:val="24"/>
          <w:szCs w:val="24"/>
        </w:rPr>
        <w:t xml:space="preserve">: </w:t>
      </w:r>
      <w:r w:rsidRPr="00565C9C">
        <w:rPr>
          <w:rFonts w:asciiTheme="majorBidi" w:hAnsiTheme="majorBidi" w:cstheme="majorBidi"/>
          <w:b/>
          <w:bCs/>
          <w:color w:val="000000" w:themeColor="text1"/>
          <w:sz w:val="24"/>
          <w:szCs w:val="24"/>
        </w:rPr>
        <w:t>IHG Financial Performance, 2020–2025</w:t>
      </w:r>
    </w:p>
    <w:tbl>
      <w:tblPr>
        <w:tblStyle w:val="GridTable4-Accent4"/>
        <w:tblW w:w="0" w:type="auto"/>
        <w:tblLook w:val="04A0" w:firstRow="1" w:lastRow="0" w:firstColumn="1" w:lastColumn="0" w:noHBand="0" w:noVBand="1"/>
      </w:tblPr>
      <w:tblGrid>
        <w:gridCol w:w="1800"/>
        <w:gridCol w:w="1356"/>
        <w:gridCol w:w="1196"/>
        <w:gridCol w:w="1236"/>
        <w:gridCol w:w="1196"/>
        <w:gridCol w:w="1116"/>
        <w:gridCol w:w="1116"/>
      </w:tblGrid>
      <w:tr w:rsidR="00067DAF" w:rsidRPr="00565C9C" w14:paraId="285BCAC2" w14:textId="77777777" w:rsidTr="00565C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7708C3"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b w:val="0"/>
                <w:bCs w:val="0"/>
                <w:color w:val="000000" w:themeColor="text1"/>
                <w:sz w:val="24"/>
                <w:szCs w:val="24"/>
              </w:rPr>
              <w:t>Measure, US$ million unless stated</w:t>
            </w:r>
          </w:p>
        </w:tc>
        <w:tc>
          <w:tcPr>
            <w:tcW w:w="0" w:type="auto"/>
            <w:hideMark/>
          </w:tcPr>
          <w:p w14:paraId="5A981893" w14:textId="77777777" w:rsidR="00067DAF" w:rsidRPr="00565C9C" w:rsidRDefault="00067DAF"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565C9C">
              <w:rPr>
                <w:rFonts w:asciiTheme="majorBidi" w:hAnsiTheme="majorBidi" w:cstheme="majorBidi"/>
                <w:b w:val="0"/>
                <w:bCs w:val="0"/>
                <w:color w:val="000000" w:themeColor="text1"/>
                <w:sz w:val="24"/>
                <w:szCs w:val="24"/>
              </w:rPr>
              <w:t>2020</w:t>
            </w:r>
          </w:p>
        </w:tc>
        <w:tc>
          <w:tcPr>
            <w:tcW w:w="0" w:type="auto"/>
            <w:hideMark/>
          </w:tcPr>
          <w:p w14:paraId="17F3A349" w14:textId="77777777" w:rsidR="00067DAF" w:rsidRPr="00565C9C" w:rsidRDefault="00067DAF"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565C9C">
              <w:rPr>
                <w:rFonts w:asciiTheme="majorBidi" w:hAnsiTheme="majorBidi" w:cstheme="majorBidi"/>
                <w:b w:val="0"/>
                <w:bCs w:val="0"/>
                <w:color w:val="000000" w:themeColor="text1"/>
                <w:sz w:val="24"/>
                <w:szCs w:val="24"/>
              </w:rPr>
              <w:t>2021</w:t>
            </w:r>
          </w:p>
        </w:tc>
        <w:tc>
          <w:tcPr>
            <w:tcW w:w="0" w:type="auto"/>
            <w:hideMark/>
          </w:tcPr>
          <w:p w14:paraId="78CBDFDD" w14:textId="77777777" w:rsidR="00067DAF" w:rsidRPr="00565C9C" w:rsidRDefault="00067DAF"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565C9C">
              <w:rPr>
                <w:rFonts w:asciiTheme="majorBidi" w:hAnsiTheme="majorBidi" w:cstheme="majorBidi"/>
                <w:b w:val="0"/>
                <w:bCs w:val="0"/>
                <w:color w:val="000000" w:themeColor="text1"/>
                <w:sz w:val="24"/>
                <w:szCs w:val="24"/>
              </w:rPr>
              <w:t>2022</w:t>
            </w:r>
          </w:p>
        </w:tc>
        <w:tc>
          <w:tcPr>
            <w:tcW w:w="0" w:type="auto"/>
            <w:hideMark/>
          </w:tcPr>
          <w:p w14:paraId="405811E7" w14:textId="77777777" w:rsidR="00067DAF" w:rsidRPr="00565C9C" w:rsidRDefault="00067DAF"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565C9C">
              <w:rPr>
                <w:rFonts w:asciiTheme="majorBidi" w:hAnsiTheme="majorBidi" w:cstheme="majorBidi"/>
                <w:b w:val="0"/>
                <w:bCs w:val="0"/>
                <w:color w:val="000000" w:themeColor="text1"/>
                <w:sz w:val="24"/>
                <w:szCs w:val="24"/>
              </w:rPr>
              <w:t>2023</w:t>
            </w:r>
          </w:p>
        </w:tc>
        <w:tc>
          <w:tcPr>
            <w:tcW w:w="0" w:type="auto"/>
            <w:hideMark/>
          </w:tcPr>
          <w:p w14:paraId="0DB3A50F" w14:textId="77777777" w:rsidR="00067DAF" w:rsidRPr="00565C9C" w:rsidRDefault="00067DAF"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565C9C">
              <w:rPr>
                <w:rFonts w:asciiTheme="majorBidi" w:hAnsiTheme="majorBidi" w:cstheme="majorBidi"/>
                <w:b w:val="0"/>
                <w:bCs w:val="0"/>
                <w:color w:val="000000" w:themeColor="text1"/>
                <w:sz w:val="24"/>
                <w:szCs w:val="24"/>
              </w:rPr>
              <w:t>2024</w:t>
            </w:r>
          </w:p>
        </w:tc>
        <w:tc>
          <w:tcPr>
            <w:tcW w:w="0" w:type="auto"/>
            <w:hideMark/>
          </w:tcPr>
          <w:p w14:paraId="3FCFF7A2" w14:textId="77777777" w:rsidR="00067DAF" w:rsidRPr="00565C9C" w:rsidRDefault="00067DAF"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565C9C">
              <w:rPr>
                <w:rFonts w:asciiTheme="majorBidi" w:hAnsiTheme="majorBidi" w:cstheme="majorBidi"/>
                <w:b w:val="0"/>
                <w:bCs w:val="0"/>
                <w:color w:val="000000" w:themeColor="text1"/>
                <w:sz w:val="24"/>
                <w:szCs w:val="24"/>
              </w:rPr>
              <w:t>2025</w:t>
            </w:r>
          </w:p>
        </w:tc>
      </w:tr>
      <w:tr w:rsidR="00067DAF" w:rsidRPr="00565C9C" w14:paraId="1EB3686F"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7E4433" w14:textId="77777777" w:rsidR="00067DAF" w:rsidRPr="00565C9C" w:rsidRDefault="00067DAF" w:rsidP="00565C9C">
            <w:pPr>
              <w:spacing w:line="360" w:lineRule="auto"/>
              <w:jc w:val="both"/>
              <w:rPr>
                <w:rFonts w:asciiTheme="majorBidi" w:hAnsiTheme="majorBidi" w:cstheme="majorBidi"/>
                <w:b w:val="0"/>
                <w:bCs w:val="0"/>
                <w:color w:val="000000" w:themeColor="text1"/>
                <w:sz w:val="24"/>
                <w:szCs w:val="24"/>
              </w:rPr>
            </w:pPr>
            <w:r w:rsidRPr="00565C9C">
              <w:rPr>
                <w:rFonts w:asciiTheme="majorBidi" w:hAnsiTheme="majorBidi" w:cstheme="majorBidi"/>
                <w:color w:val="000000" w:themeColor="text1"/>
                <w:sz w:val="24"/>
                <w:szCs w:val="24"/>
              </w:rPr>
              <w:t>Total revenue</w:t>
            </w:r>
          </w:p>
        </w:tc>
        <w:tc>
          <w:tcPr>
            <w:tcW w:w="0" w:type="auto"/>
            <w:hideMark/>
          </w:tcPr>
          <w:p w14:paraId="5B0B3C8E"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2,394</w:t>
            </w:r>
          </w:p>
        </w:tc>
        <w:tc>
          <w:tcPr>
            <w:tcW w:w="0" w:type="auto"/>
            <w:hideMark/>
          </w:tcPr>
          <w:p w14:paraId="591F003B"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2,907</w:t>
            </w:r>
          </w:p>
        </w:tc>
        <w:tc>
          <w:tcPr>
            <w:tcW w:w="0" w:type="auto"/>
            <w:hideMark/>
          </w:tcPr>
          <w:p w14:paraId="1558BFD0"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3,892</w:t>
            </w:r>
          </w:p>
        </w:tc>
        <w:tc>
          <w:tcPr>
            <w:tcW w:w="0" w:type="auto"/>
            <w:hideMark/>
          </w:tcPr>
          <w:p w14:paraId="08C34304"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4,624</w:t>
            </w:r>
          </w:p>
        </w:tc>
        <w:tc>
          <w:tcPr>
            <w:tcW w:w="0" w:type="auto"/>
            <w:hideMark/>
          </w:tcPr>
          <w:p w14:paraId="45EEA9A0"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4,923</w:t>
            </w:r>
          </w:p>
        </w:tc>
        <w:tc>
          <w:tcPr>
            <w:tcW w:w="0" w:type="auto"/>
            <w:hideMark/>
          </w:tcPr>
          <w:p w14:paraId="6FEE294D"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5,189</w:t>
            </w:r>
          </w:p>
        </w:tc>
      </w:tr>
      <w:tr w:rsidR="00067DAF" w:rsidRPr="00565C9C" w14:paraId="7D5E6236"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63BA2EBB"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Fee revenue</w:t>
            </w:r>
          </w:p>
        </w:tc>
        <w:tc>
          <w:tcPr>
            <w:tcW w:w="0" w:type="auto"/>
            <w:hideMark/>
          </w:tcPr>
          <w:p w14:paraId="789FB5EA"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823</w:t>
            </w:r>
          </w:p>
        </w:tc>
        <w:tc>
          <w:tcPr>
            <w:tcW w:w="0" w:type="auto"/>
            <w:hideMark/>
          </w:tcPr>
          <w:p w14:paraId="2212C71F"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1,153</w:t>
            </w:r>
          </w:p>
        </w:tc>
        <w:tc>
          <w:tcPr>
            <w:tcW w:w="0" w:type="auto"/>
            <w:hideMark/>
          </w:tcPr>
          <w:p w14:paraId="456DC681"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1,434*</w:t>
            </w:r>
          </w:p>
        </w:tc>
        <w:tc>
          <w:tcPr>
            <w:tcW w:w="0" w:type="auto"/>
            <w:hideMark/>
          </w:tcPr>
          <w:p w14:paraId="1F651F54"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1,672</w:t>
            </w:r>
          </w:p>
        </w:tc>
        <w:tc>
          <w:tcPr>
            <w:tcW w:w="0" w:type="auto"/>
            <w:hideMark/>
          </w:tcPr>
          <w:p w14:paraId="056F928A"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1,774</w:t>
            </w:r>
          </w:p>
        </w:tc>
        <w:tc>
          <w:tcPr>
            <w:tcW w:w="0" w:type="auto"/>
            <w:hideMark/>
          </w:tcPr>
          <w:p w14:paraId="24557461"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1,897</w:t>
            </w:r>
          </w:p>
        </w:tc>
      </w:tr>
      <w:tr w:rsidR="00067DAF" w:rsidRPr="00565C9C" w14:paraId="17E0F379"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EA9B91"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lastRenderedPageBreak/>
              <w:t>IFRS operating profit/(loss)</w:t>
            </w:r>
          </w:p>
        </w:tc>
        <w:tc>
          <w:tcPr>
            <w:tcW w:w="0" w:type="auto"/>
            <w:hideMark/>
          </w:tcPr>
          <w:p w14:paraId="4B5EDD5F"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(153)</w:t>
            </w:r>
          </w:p>
        </w:tc>
        <w:tc>
          <w:tcPr>
            <w:tcW w:w="0" w:type="auto"/>
            <w:hideMark/>
          </w:tcPr>
          <w:p w14:paraId="115F5B3C"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494</w:t>
            </w:r>
          </w:p>
        </w:tc>
        <w:tc>
          <w:tcPr>
            <w:tcW w:w="0" w:type="auto"/>
            <w:hideMark/>
          </w:tcPr>
          <w:p w14:paraId="123BB87C"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628</w:t>
            </w:r>
          </w:p>
        </w:tc>
        <w:tc>
          <w:tcPr>
            <w:tcW w:w="0" w:type="auto"/>
            <w:hideMark/>
          </w:tcPr>
          <w:p w14:paraId="18211C8E"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1,066</w:t>
            </w:r>
          </w:p>
        </w:tc>
        <w:tc>
          <w:tcPr>
            <w:tcW w:w="0" w:type="auto"/>
            <w:hideMark/>
          </w:tcPr>
          <w:p w14:paraId="49512D35"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1,041</w:t>
            </w:r>
          </w:p>
        </w:tc>
        <w:tc>
          <w:tcPr>
            <w:tcW w:w="0" w:type="auto"/>
            <w:hideMark/>
          </w:tcPr>
          <w:p w14:paraId="4A4017E1"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1,198</w:t>
            </w:r>
          </w:p>
        </w:tc>
      </w:tr>
      <w:tr w:rsidR="00067DAF" w:rsidRPr="00565C9C" w14:paraId="26F302E8"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2BE92F8B"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Profit/(loss) for the year</w:t>
            </w:r>
          </w:p>
        </w:tc>
        <w:tc>
          <w:tcPr>
            <w:tcW w:w="0" w:type="auto"/>
            <w:hideMark/>
          </w:tcPr>
          <w:p w14:paraId="2BD19F05"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(260)</w:t>
            </w:r>
          </w:p>
        </w:tc>
        <w:tc>
          <w:tcPr>
            <w:tcW w:w="0" w:type="auto"/>
            <w:hideMark/>
          </w:tcPr>
          <w:p w14:paraId="23CE4D26"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265</w:t>
            </w:r>
          </w:p>
        </w:tc>
        <w:tc>
          <w:tcPr>
            <w:tcW w:w="0" w:type="auto"/>
            <w:hideMark/>
          </w:tcPr>
          <w:p w14:paraId="3C726579"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376</w:t>
            </w:r>
          </w:p>
        </w:tc>
        <w:tc>
          <w:tcPr>
            <w:tcW w:w="0" w:type="auto"/>
            <w:hideMark/>
          </w:tcPr>
          <w:p w14:paraId="0BABB56B"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750</w:t>
            </w:r>
          </w:p>
        </w:tc>
        <w:tc>
          <w:tcPr>
            <w:tcW w:w="0" w:type="auto"/>
            <w:hideMark/>
          </w:tcPr>
          <w:p w14:paraId="555B70E8"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628</w:t>
            </w:r>
          </w:p>
        </w:tc>
        <w:tc>
          <w:tcPr>
            <w:tcW w:w="0" w:type="auto"/>
            <w:hideMark/>
          </w:tcPr>
          <w:p w14:paraId="30076679"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759</w:t>
            </w:r>
          </w:p>
        </w:tc>
      </w:tr>
      <w:tr w:rsidR="00067DAF" w:rsidRPr="00565C9C" w14:paraId="4C35A692"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C334AE"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Operating cash flow</w:t>
            </w:r>
          </w:p>
        </w:tc>
        <w:tc>
          <w:tcPr>
            <w:tcW w:w="0" w:type="auto"/>
            <w:hideMark/>
          </w:tcPr>
          <w:p w14:paraId="02C8CC1C"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137</w:t>
            </w:r>
          </w:p>
        </w:tc>
        <w:tc>
          <w:tcPr>
            <w:tcW w:w="0" w:type="auto"/>
            <w:hideMark/>
          </w:tcPr>
          <w:p w14:paraId="6C4AF9ED"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636</w:t>
            </w:r>
          </w:p>
        </w:tc>
        <w:tc>
          <w:tcPr>
            <w:tcW w:w="0" w:type="auto"/>
            <w:hideMark/>
          </w:tcPr>
          <w:p w14:paraId="1362FC4D"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646</w:t>
            </w:r>
          </w:p>
        </w:tc>
        <w:tc>
          <w:tcPr>
            <w:tcW w:w="0" w:type="auto"/>
            <w:hideMark/>
          </w:tcPr>
          <w:p w14:paraId="5775E279"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893</w:t>
            </w:r>
          </w:p>
        </w:tc>
        <w:tc>
          <w:tcPr>
            <w:tcW w:w="0" w:type="auto"/>
            <w:hideMark/>
          </w:tcPr>
          <w:p w14:paraId="607E2741"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724</w:t>
            </w:r>
          </w:p>
        </w:tc>
        <w:tc>
          <w:tcPr>
            <w:tcW w:w="0" w:type="auto"/>
            <w:hideMark/>
          </w:tcPr>
          <w:p w14:paraId="62B4C6A6"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898</w:t>
            </w:r>
          </w:p>
        </w:tc>
      </w:tr>
      <w:tr w:rsidR="00067DAF" w:rsidRPr="00565C9C" w14:paraId="002D4BD6"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414407D4"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Net debt</w:t>
            </w:r>
          </w:p>
        </w:tc>
        <w:tc>
          <w:tcPr>
            <w:tcW w:w="0" w:type="auto"/>
            <w:hideMark/>
          </w:tcPr>
          <w:p w14:paraId="69ED3338"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2,529</w:t>
            </w:r>
          </w:p>
        </w:tc>
        <w:tc>
          <w:tcPr>
            <w:tcW w:w="0" w:type="auto"/>
            <w:hideMark/>
          </w:tcPr>
          <w:p w14:paraId="4BD2D810"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1,881</w:t>
            </w:r>
          </w:p>
        </w:tc>
        <w:tc>
          <w:tcPr>
            <w:tcW w:w="0" w:type="auto"/>
            <w:hideMark/>
          </w:tcPr>
          <w:p w14:paraId="72B7CD27"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1,851</w:t>
            </w:r>
          </w:p>
        </w:tc>
        <w:tc>
          <w:tcPr>
            <w:tcW w:w="0" w:type="auto"/>
            <w:hideMark/>
          </w:tcPr>
          <w:p w14:paraId="10464E3A"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2,272</w:t>
            </w:r>
          </w:p>
        </w:tc>
        <w:tc>
          <w:tcPr>
            <w:tcW w:w="0" w:type="auto"/>
            <w:hideMark/>
          </w:tcPr>
          <w:p w14:paraId="7433C0B0"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2,782</w:t>
            </w:r>
          </w:p>
        </w:tc>
        <w:tc>
          <w:tcPr>
            <w:tcW w:w="0" w:type="auto"/>
            <w:hideMark/>
          </w:tcPr>
          <w:p w14:paraId="007413EE"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3,333</w:t>
            </w:r>
          </w:p>
        </w:tc>
      </w:tr>
      <w:tr w:rsidR="00067DAF" w:rsidRPr="00565C9C" w14:paraId="63304017"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C2F0F6"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Basic EPS, cents</w:t>
            </w:r>
          </w:p>
        </w:tc>
        <w:tc>
          <w:tcPr>
            <w:tcW w:w="0" w:type="auto"/>
            <w:hideMark/>
          </w:tcPr>
          <w:p w14:paraId="25A2F6C1"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(142.9)</w:t>
            </w:r>
          </w:p>
        </w:tc>
        <w:tc>
          <w:tcPr>
            <w:tcW w:w="0" w:type="auto"/>
            <w:hideMark/>
          </w:tcPr>
          <w:p w14:paraId="77E10EF8"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145.4</w:t>
            </w:r>
          </w:p>
        </w:tc>
        <w:tc>
          <w:tcPr>
            <w:tcW w:w="0" w:type="auto"/>
            <w:hideMark/>
          </w:tcPr>
          <w:p w14:paraId="10083D87"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207.2</w:t>
            </w:r>
          </w:p>
        </w:tc>
        <w:tc>
          <w:tcPr>
            <w:tcW w:w="0" w:type="auto"/>
            <w:hideMark/>
          </w:tcPr>
          <w:p w14:paraId="272D1A11"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443.8</w:t>
            </w:r>
          </w:p>
        </w:tc>
        <w:tc>
          <w:tcPr>
            <w:tcW w:w="0" w:type="auto"/>
            <w:hideMark/>
          </w:tcPr>
          <w:p w14:paraId="084DD698"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389.6</w:t>
            </w:r>
          </w:p>
        </w:tc>
        <w:tc>
          <w:tcPr>
            <w:tcW w:w="0" w:type="auto"/>
            <w:hideMark/>
          </w:tcPr>
          <w:p w14:paraId="2D2E4595"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490.9</w:t>
            </w:r>
          </w:p>
        </w:tc>
      </w:tr>
      <w:tr w:rsidR="00067DAF" w:rsidRPr="00565C9C" w14:paraId="619F8DA8"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4D179FD3"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Dividend per share, cents</w:t>
            </w:r>
          </w:p>
        </w:tc>
        <w:tc>
          <w:tcPr>
            <w:tcW w:w="0" w:type="auto"/>
            <w:hideMark/>
          </w:tcPr>
          <w:p w14:paraId="1E5B49F4"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w:t>
            </w:r>
          </w:p>
        </w:tc>
        <w:tc>
          <w:tcPr>
            <w:tcW w:w="0" w:type="auto"/>
            <w:hideMark/>
          </w:tcPr>
          <w:p w14:paraId="2F30E97D"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85.9</w:t>
            </w:r>
          </w:p>
        </w:tc>
        <w:tc>
          <w:tcPr>
            <w:tcW w:w="0" w:type="auto"/>
            <w:hideMark/>
          </w:tcPr>
          <w:p w14:paraId="027A1DB5"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138.4</w:t>
            </w:r>
          </w:p>
        </w:tc>
        <w:tc>
          <w:tcPr>
            <w:tcW w:w="0" w:type="auto"/>
            <w:hideMark/>
          </w:tcPr>
          <w:p w14:paraId="21D24C32"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152.3</w:t>
            </w:r>
          </w:p>
        </w:tc>
        <w:tc>
          <w:tcPr>
            <w:tcW w:w="0" w:type="auto"/>
            <w:hideMark/>
          </w:tcPr>
          <w:p w14:paraId="1BC1F0C9"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167.6</w:t>
            </w:r>
          </w:p>
        </w:tc>
        <w:tc>
          <w:tcPr>
            <w:tcW w:w="0" w:type="auto"/>
            <w:hideMark/>
          </w:tcPr>
          <w:p w14:paraId="7A3F1899"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184.5</w:t>
            </w:r>
          </w:p>
        </w:tc>
      </w:tr>
      <w:tr w:rsidR="00067DAF" w:rsidRPr="00565C9C" w14:paraId="276B41DC"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0A4B69"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Global RevPAR growth</w:t>
            </w:r>
          </w:p>
        </w:tc>
        <w:tc>
          <w:tcPr>
            <w:tcW w:w="0" w:type="auto"/>
            <w:hideMark/>
          </w:tcPr>
          <w:p w14:paraId="42FBCBC4"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(52.5%)</w:t>
            </w:r>
          </w:p>
        </w:tc>
        <w:tc>
          <w:tcPr>
            <w:tcW w:w="0" w:type="auto"/>
            <w:hideMark/>
          </w:tcPr>
          <w:p w14:paraId="50C50920"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46.0%</w:t>
            </w:r>
          </w:p>
        </w:tc>
        <w:tc>
          <w:tcPr>
            <w:tcW w:w="0" w:type="auto"/>
            <w:hideMark/>
          </w:tcPr>
          <w:p w14:paraId="31FBF22F"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37.0%</w:t>
            </w:r>
          </w:p>
        </w:tc>
        <w:tc>
          <w:tcPr>
            <w:tcW w:w="0" w:type="auto"/>
            <w:hideMark/>
          </w:tcPr>
          <w:p w14:paraId="2986BB95"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16.1%</w:t>
            </w:r>
          </w:p>
        </w:tc>
        <w:tc>
          <w:tcPr>
            <w:tcW w:w="0" w:type="auto"/>
            <w:hideMark/>
          </w:tcPr>
          <w:p w14:paraId="30D71A0C"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3.0%</w:t>
            </w:r>
          </w:p>
        </w:tc>
        <w:tc>
          <w:tcPr>
            <w:tcW w:w="0" w:type="auto"/>
            <w:hideMark/>
          </w:tcPr>
          <w:p w14:paraId="470F0CCF"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1.5%</w:t>
            </w:r>
          </w:p>
        </w:tc>
      </w:tr>
    </w:tbl>
    <w:p w14:paraId="6519EDC6" w14:textId="77777777" w:rsidR="00067DAF" w:rsidRPr="00565C9C" w:rsidRDefault="00067DAF" w:rsidP="00565C9C">
      <w:pPr>
        <w:pStyle w:val="NormalWeb"/>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Source:</w:t>
      </w:r>
      <w:r w:rsidRPr="00565C9C">
        <w:rPr>
          <w:rFonts w:asciiTheme="majorBidi" w:hAnsiTheme="majorBidi" w:cstheme="majorBidi"/>
          <w:color w:val="000000" w:themeColor="text1"/>
        </w:rPr>
        <w:t xml:space="preserve"> Author’s calculations based on IHG annual results (IHG, 2021, 2022, 2023, 2024, 2025, 2026a).</w:t>
      </w:r>
    </w:p>
    <w:p w14:paraId="393C9FAC"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The IHG revenue from 2021 to 2025 grew at an annual compounded rate of 15.6 percent, and the total revenue over the period rose by 78.5 percent. The highest growth was recorded in 2022, with the revenue increasing by 33.9%, and by 18.8% in 2023. Comparisons evened out and RevPAR growth cooled, leading to growth becoming more moderate in 2024 and 2025, respectively. This trend suggests that the early growth was partially due to reopening and pent-up demand, while the growth for later (2019 onward) was mainly dependent on hotel openings, fee streams, pricing and scale. As of 2025, IHG managed 6,963 hotels, comprising of around 1.026 million rooms, and a pipeline of 340,000 rooms, which further supports IHG's future fee-generation capacity without an equivalent investment in properties (IHG, 2024, 2025, 2026a; Breier et al., 2021).</w:t>
      </w:r>
    </w:p>
    <w:p w14:paraId="19C23899" w14:textId="513A14DD" w:rsidR="00565C9C" w:rsidRPr="00565C9C" w:rsidRDefault="00565C9C" w:rsidP="00565C9C">
      <w:pPr>
        <w:pStyle w:val="NormalWeb"/>
        <w:spacing w:line="360" w:lineRule="auto"/>
        <w:jc w:val="both"/>
        <w:rPr>
          <w:rFonts w:asciiTheme="majorBidi" w:hAnsiTheme="majorBidi" w:cstheme="majorBidi"/>
          <w:color w:val="000000" w:themeColor="text1"/>
        </w:rPr>
      </w:pPr>
      <w:r w:rsidRPr="00565C9C">
        <w:rPr>
          <w:rFonts w:asciiTheme="majorBidi" w:hAnsiTheme="majorBidi" w:cstheme="majorBidi"/>
          <w:color w:val="000000" w:themeColor="text1"/>
        </w:rPr>
        <w:lastRenderedPageBreak/>
        <w:drawing>
          <wp:inline distT="0" distB="0" distL="0" distR="0" wp14:anchorId="3C3F5321" wp14:editId="6464E198">
            <wp:extent cx="4711700" cy="2133600"/>
            <wp:effectExtent l="0" t="0" r="0" b="0"/>
            <wp:docPr id="2101672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672926" name=""/>
                    <pic:cNvPicPr/>
                  </pic:nvPicPr>
                  <pic:blipFill>
                    <a:blip r:embed="rId10"/>
                    <a:stretch>
                      <a:fillRect/>
                    </a:stretch>
                  </pic:blipFill>
                  <pic:spPr>
                    <a:xfrm>
                      <a:off x="0" y="0"/>
                      <a:ext cx="4711700" cy="2133600"/>
                    </a:xfrm>
                    <a:prstGeom prst="rect">
                      <a:avLst/>
                    </a:prstGeom>
                  </pic:spPr>
                </pic:pic>
              </a:graphicData>
            </a:graphic>
          </wp:inline>
        </w:drawing>
      </w:r>
    </w:p>
    <w:p w14:paraId="0222BDC1" w14:textId="4B020E90" w:rsidR="00067DAF" w:rsidRPr="00565C9C" w:rsidRDefault="00067DAF" w:rsidP="00565C9C">
      <w:pPr>
        <w:pStyle w:val="NormalWeb"/>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Figure 1. IHG Revenue and Operating Profit, 2020–2025</w:t>
      </w:r>
      <w:r w:rsidRPr="00565C9C">
        <w:rPr>
          <w:rFonts w:asciiTheme="majorBidi" w:hAnsiTheme="majorBidi" w:cstheme="majorBidi"/>
          <w:color w:val="000000" w:themeColor="text1"/>
        </w:rPr>
        <w:br/>
      </w:r>
      <w:r w:rsidRPr="00565C9C">
        <w:rPr>
          <w:rStyle w:val="Strong"/>
          <w:rFonts w:asciiTheme="majorBidi" w:hAnsiTheme="majorBidi" w:cstheme="majorBidi"/>
          <w:color w:val="000000" w:themeColor="text1"/>
        </w:rPr>
        <w:t>Source:</w:t>
      </w:r>
      <w:r w:rsidRPr="00565C9C">
        <w:rPr>
          <w:rFonts w:asciiTheme="majorBidi" w:hAnsiTheme="majorBidi" w:cstheme="majorBidi"/>
          <w:color w:val="000000" w:themeColor="text1"/>
        </w:rPr>
        <w:t xml:space="preserve"> Author’s own work based on IHG annual results (IHG, 2021–2026a).</w:t>
      </w:r>
    </w:p>
    <w:p w14:paraId="41FDF700"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Operating performance grew faster than was revenue. IHG moved from a $153 million operating loss in 2020 to a $494 million profit in 2021 and $1.198 billion in 2025. This resulted in an improvement from 17.0% to 23.1% for the IFRS operating margin in 2021 and 2025, respectively. In 2025, the reportable-segment fee margin was 64.8% compared to 49.6% in 2021. This is a good sign of the operating leverage – with the existing central brand, technology and administrative platform in place, incremental fees can be relatively low. The evidence corroborates studies that have found a positive relationship between Fee Orientation and the performance of hotel companies, which is contingent on the quality of Intellectual Capital, Owner Relationships and service consistency (Babajee et al., 2020; Liang et al., 2023; Lussi et al., 2023; IHG, 2026a).</w:t>
      </w:r>
    </w:p>
    <w:p w14:paraId="46F9997C"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Net profit margin rose from 9.1% in 2021 to 14.6% in 2025, although it peaked at 16.2% in 2023. The decline to 12.8% in 2024 was not only due to a decline in underlying fee economics, as a planned $83 million loss in 2024 on the System Fund and reimbursable activities impacted IFRS profit (compared to a $19 million profit in 2023). Profitability improved in 2025 with an 15% rise in IFRS operating profit and a 26% rise in basic EPS. This separation is significant as it could make the recurring profitability more visible with adjusted measures, while also making the fee business less visible with IFRS measures. Thus, the distinction-level evaluation aligns with both metrics and acknowledges that the complexity of the asset-light business model can increase both reporting and auditing complexity (IHG, 2024, 2025, 2026a; Poretti et al., 2023).</w:t>
      </w:r>
    </w:p>
    <w:p w14:paraId="17CB1C50" w14:textId="28F58102" w:rsidR="00067DAF" w:rsidRPr="00565C9C" w:rsidRDefault="00067DAF" w:rsidP="00565C9C">
      <w:pPr>
        <w:pStyle w:val="Heading2"/>
        <w:spacing w:line="360" w:lineRule="auto"/>
        <w:jc w:val="both"/>
      </w:pPr>
      <w:bookmarkStart w:id="4" w:name="_Toc235740997"/>
      <w:r w:rsidRPr="00565C9C">
        <w:t>Profitability, Investment and Cash-Flow Ratios</w:t>
      </w:r>
      <w:bookmarkEnd w:id="4"/>
    </w:p>
    <w:p w14:paraId="24839E9E" w14:textId="3D39BC14" w:rsidR="00067DAF" w:rsidRPr="00565C9C" w:rsidRDefault="00067DAF" w:rsidP="00565C9C">
      <w:pPr>
        <w:spacing w:line="360" w:lineRule="auto"/>
        <w:jc w:val="both"/>
        <w:rPr>
          <w:rFonts w:asciiTheme="majorBidi" w:hAnsiTheme="majorBidi" w:cstheme="majorBidi"/>
          <w:b/>
          <w:bCs/>
          <w:color w:val="000000" w:themeColor="text1"/>
          <w:sz w:val="24"/>
          <w:szCs w:val="24"/>
        </w:rPr>
      </w:pPr>
      <w:r w:rsidRPr="00565C9C">
        <w:rPr>
          <w:rFonts w:asciiTheme="majorBidi" w:hAnsiTheme="majorBidi" w:cstheme="majorBidi"/>
          <w:b/>
          <w:bCs/>
          <w:color w:val="000000" w:themeColor="text1"/>
          <w:sz w:val="24"/>
          <w:szCs w:val="24"/>
        </w:rPr>
        <w:lastRenderedPageBreak/>
        <w:t>Table 2</w:t>
      </w:r>
      <w:r w:rsidR="00565C9C" w:rsidRPr="00565C9C">
        <w:rPr>
          <w:rFonts w:asciiTheme="majorBidi" w:hAnsiTheme="majorBidi" w:cstheme="majorBidi"/>
          <w:b/>
          <w:bCs/>
          <w:color w:val="000000" w:themeColor="text1"/>
          <w:sz w:val="24"/>
          <w:szCs w:val="24"/>
        </w:rPr>
        <w:t xml:space="preserve">: </w:t>
      </w:r>
      <w:r w:rsidRPr="00565C9C">
        <w:rPr>
          <w:rFonts w:asciiTheme="majorBidi" w:hAnsiTheme="majorBidi" w:cstheme="majorBidi"/>
          <w:b/>
          <w:bCs/>
          <w:color w:val="000000" w:themeColor="text1"/>
          <w:sz w:val="24"/>
          <w:szCs w:val="24"/>
        </w:rPr>
        <w:t>Selected Financial Ratios</w:t>
      </w:r>
    </w:p>
    <w:tbl>
      <w:tblPr>
        <w:tblStyle w:val="GridTable4-Accent2"/>
        <w:tblW w:w="0" w:type="auto"/>
        <w:tblLook w:val="04A0" w:firstRow="1" w:lastRow="0" w:firstColumn="1" w:lastColumn="0" w:noHBand="0" w:noVBand="1"/>
      </w:tblPr>
      <w:tblGrid>
        <w:gridCol w:w="3036"/>
        <w:gridCol w:w="1196"/>
        <w:gridCol w:w="1196"/>
        <w:gridCol w:w="1196"/>
        <w:gridCol w:w="1196"/>
        <w:gridCol w:w="1196"/>
      </w:tblGrid>
      <w:tr w:rsidR="00067DAF" w:rsidRPr="00565C9C" w14:paraId="03507699" w14:textId="77777777" w:rsidTr="00565C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68C812"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b w:val="0"/>
                <w:bCs w:val="0"/>
                <w:color w:val="000000" w:themeColor="text1"/>
                <w:sz w:val="24"/>
                <w:szCs w:val="24"/>
              </w:rPr>
              <w:t>Ratio</w:t>
            </w:r>
          </w:p>
        </w:tc>
        <w:tc>
          <w:tcPr>
            <w:tcW w:w="0" w:type="auto"/>
            <w:hideMark/>
          </w:tcPr>
          <w:p w14:paraId="16D04EFB" w14:textId="77777777" w:rsidR="00067DAF" w:rsidRPr="00565C9C" w:rsidRDefault="00067DAF"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565C9C">
              <w:rPr>
                <w:rFonts w:asciiTheme="majorBidi" w:hAnsiTheme="majorBidi" w:cstheme="majorBidi"/>
                <w:b w:val="0"/>
                <w:bCs w:val="0"/>
                <w:color w:val="000000" w:themeColor="text1"/>
                <w:sz w:val="24"/>
                <w:szCs w:val="24"/>
              </w:rPr>
              <w:t>2021</w:t>
            </w:r>
          </w:p>
        </w:tc>
        <w:tc>
          <w:tcPr>
            <w:tcW w:w="0" w:type="auto"/>
            <w:hideMark/>
          </w:tcPr>
          <w:p w14:paraId="5072B100" w14:textId="77777777" w:rsidR="00067DAF" w:rsidRPr="00565C9C" w:rsidRDefault="00067DAF"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565C9C">
              <w:rPr>
                <w:rFonts w:asciiTheme="majorBidi" w:hAnsiTheme="majorBidi" w:cstheme="majorBidi"/>
                <w:b w:val="0"/>
                <w:bCs w:val="0"/>
                <w:color w:val="000000" w:themeColor="text1"/>
                <w:sz w:val="24"/>
                <w:szCs w:val="24"/>
              </w:rPr>
              <w:t>2022</w:t>
            </w:r>
          </w:p>
        </w:tc>
        <w:tc>
          <w:tcPr>
            <w:tcW w:w="0" w:type="auto"/>
            <w:hideMark/>
          </w:tcPr>
          <w:p w14:paraId="5AFD2138" w14:textId="77777777" w:rsidR="00067DAF" w:rsidRPr="00565C9C" w:rsidRDefault="00067DAF"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565C9C">
              <w:rPr>
                <w:rFonts w:asciiTheme="majorBidi" w:hAnsiTheme="majorBidi" w:cstheme="majorBidi"/>
                <w:b w:val="0"/>
                <w:bCs w:val="0"/>
                <w:color w:val="000000" w:themeColor="text1"/>
                <w:sz w:val="24"/>
                <w:szCs w:val="24"/>
              </w:rPr>
              <w:t>2023</w:t>
            </w:r>
          </w:p>
        </w:tc>
        <w:tc>
          <w:tcPr>
            <w:tcW w:w="0" w:type="auto"/>
            <w:hideMark/>
          </w:tcPr>
          <w:p w14:paraId="3BF0417A" w14:textId="77777777" w:rsidR="00067DAF" w:rsidRPr="00565C9C" w:rsidRDefault="00067DAF"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565C9C">
              <w:rPr>
                <w:rFonts w:asciiTheme="majorBidi" w:hAnsiTheme="majorBidi" w:cstheme="majorBidi"/>
                <w:b w:val="0"/>
                <w:bCs w:val="0"/>
                <w:color w:val="000000" w:themeColor="text1"/>
                <w:sz w:val="24"/>
                <w:szCs w:val="24"/>
              </w:rPr>
              <w:t>2024</w:t>
            </w:r>
          </w:p>
        </w:tc>
        <w:tc>
          <w:tcPr>
            <w:tcW w:w="0" w:type="auto"/>
            <w:hideMark/>
          </w:tcPr>
          <w:p w14:paraId="0B0CC0E3" w14:textId="77777777" w:rsidR="00067DAF" w:rsidRPr="00565C9C" w:rsidRDefault="00067DAF"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565C9C">
              <w:rPr>
                <w:rFonts w:asciiTheme="majorBidi" w:hAnsiTheme="majorBidi" w:cstheme="majorBidi"/>
                <w:b w:val="0"/>
                <w:bCs w:val="0"/>
                <w:color w:val="000000" w:themeColor="text1"/>
                <w:sz w:val="24"/>
                <w:szCs w:val="24"/>
              </w:rPr>
              <w:t>2025</w:t>
            </w:r>
          </w:p>
        </w:tc>
      </w:tr>
      <w:tr w:rsidR="00067DAF" w:rsidRPr="00565C9C" w14:paraId="31D580D8"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E26C8D" w14:textId="77777777" w:rsidR="00067DAF" w:rsidRPr="00565C9C" w:rsidRDefault="00067DAF" w:rsidP="00565C9C">
            <w:pPr>
              <w:spacing w:line="360" w:lineRule="auto"/>
              <w:jc w:val="both"/>
              <w:rPr>
                <w:rFonts w:asciiTheme="majorBidi" w:hAnsiTheme="majorBidi" w:cstheme="majorBidi"/>
                <w:b w:val="0"/>
                <w:bCs w:val="0"/>
                <w:color w:val="000000" w:themeColor="text1"/>
                <w:sz w:val="24"/>
                <w:szCs w:val="24"/>
              </w:rPr>
            </w:pPr>
            <w:r w:rsidRPr="00565C9C">
              <w:rPr>
                <w:rFonts w:asciiTheme="majorBidi" w:hAnsiTheme="majorBidi" w:cstheme="majorBidi"/>
                <w:color w:val="000000" w:themeColor="text1"/>
                <w:sz w:val="24"/>
                <w:szCs w:val="24"/>
              </w:rPr>
              <w:t>Revenue growth</w:t>
            </w:r>
          </w:p>
        </w:tc>
        <w:tc>
          <w:tcPr>
            <w:tcW w:w="0" w:type="auto"/>
            <w:hideMark/>
          </w:tcPr>
          <w:p w14:paraId="496B3411"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21.4%</w:t>
            </w:r>
          </w:p>
        </w:tc>
        <w:tc>
          <w:tcPr>
            <w:tcW w:w="0" w:type="auto"/>
            <w:hideMark/>
          </w:tcPr>
          <w:p w14:paraId="30B94EA9"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33.9%</w:t>
            </w:r>
          </w:p>
        </w:tc>
        <w:tc>
          <w:tcPr>
            <w:tcW w:w="0" w:type="auto"/>
            <w:hideMark/>
          </w:tcPr>
          <w:p w14:paraId="500B851B"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18.8%</w:t>
            </w:r>
          </w:p>
        </w:tc>
        <w:tc>
          <w:tcPr>
            <w:tcW w:w="0" w:type="auto"/>
            <w:hideMark/>
          </w:tcPr>
          <w:p w14:paraId="64FE433C"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6.5%</w:t>
            </w:r>
          </w:p>
        </w:tc>
        <w:tc>
          <w:tcPr>
            <w:tcW w:w="0" w:type="auto"/>
            <w:hideMark/>
          </w:tcPr>
          <w:p w14:paraId="09663A41"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5.4%</w:t>
            </w:r>
          </w:p>
        </w:tc>
      </w:tr>
      <w:tr w:rsidR="00067DAF" w:rsidRPr="00565C9C" w14:paraId="4291C39A"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66BC9EE8"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IFRS operating margin</w:t>
            </w:r>
          </w:p>
        </w:tc>
        <w:tc>
          <w:tcPr>
            <w:tcW w:w="0" w:type="auto"/>
            <w:hideMark/>
          </w:tcPr>
          <w:p w14:paraId="6D290C36"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17.0%</w:t>
            </w:r>
          </w:p>
        </w:tc>
        <w:tc>
          <w:tcPr>
            <w:tcW w:w="0" w:type="auto"/>
            <w:hideMark/>
          </w:tcPr>
          <w:p w14:paraId="5AC65CF7"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16.1%</w:t>
            </w:r>
          </w:p>
        </w:tc>
        <w:tc>
          <w:tcPr>
            <w:tcW w:w="0" w:type="auto"/>
            <w:hideMark/>
          </w:tcPr>
          <w:p w14:paraId="06E95869"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23.1%</w:t>
            </w:r>
          </w:p>
        </w:tc>
        <w:tc>
          <w:tcPr>
            <w:tcW w:w="0" w:type="auto"/>
            <w:hideMark/>
          </w:tcPr>
          <w:p w14:paraId="40F15E1B"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21.1%</w:t>
            </w:r>
          </w:p>
        </w:tc>
        <w:tc>
          <w:tcPr>
            <w:tcW w:w="0" w:type="auto"/>
            <w:hideMark/>
          </w:tcPr>
          <w:p w14:paraId="06B400DD"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23.1%</w:t>
            </w:r>
          </w:p>
        </w:tc>
      </w:tr>
      <w:tr w:rsidR="00067DAF" w:rsidRPr="00565C9C" w14:paraId="018EE4F1"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09AFF4"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Net profit margin</w:t>
            </w:r>
          </w:p>
        </w:tc>
        <w:tc>
          <w:tcPr>
            <w:tcW w:w="0" w:type="auto"/>
            <w:hideMark/>
          </w:tcPr>
          <w:p w14:paraId="27B008A5"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9.1%</w:t>
            </w:r>
          </w:p>
        </w:tc>
        <w:tc>
          <w:tcPr>
            <w:tcW w:w="0" w:type="auto"/>
            <w:hideMark/>
          </w:tcPr>
          <w:p w14:paraId="27487616"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9.7%</w:t>
            </w:r>
          </w:p>
        </w:tc>
        <w:tc>
          <w:tcPr>
            <w:tcW w:w="0" w:type="auto"/>
            <w:hideMark/>
          </w:tcPr>
          <w:p w14:paraId="21E70329"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16.2%</w:t>
            </w:r>
          </w:p>
        </w:tc>
        <w:tc>
          <w:tcPr>
            <w:tcW w:w="0" w:type="auto"/>
            <w:hideMark/>
          </w:tcPr>
          <w:p w14:paraId="3670F537"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12.8%</w:t>
            </w:r>
          </w:p>
        </w:tc>
        <w:tc>
          <w:tcPr>
            <w:tcW w:w="0" w:type="auto"/>
            <w:hideMark/>
          </w:tcPr>
          <w:p w14:paraId="267C1719"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14.6%</w:t>
            </w:r>
          </w:p>
        </w:tc>
      </w:tr>
      <w:tr w:rsidR="00067DAF" w:rsidRPr="00565C9C" w14:paraId="2BD1A29A"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61F19045"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Return on average assets</w:t>
            </w:r>
          </w:p>
        </w:tc>
        <w:tc>
          <w:tcPr>
            <w:tcW w:w="0" w:type="auto"/>
            <w:hideMark/>
          </w:tcPr>
          <w:p w14:paraId="0B38930B"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5.4%</w:t>
            </w:r>
          </w:p>
        </w:tc>
        <w:tc>
          <w:tcPr>
            <w:tcW w:w="0" w:type="auto"/>
            <w:hideMark/>
          </w:tcPr>
          <w:p w14:paraId="146DC220"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8.4%</w:t>
            </w:r>
          </w:p>
        </w:tc>
        <w:tc>
          <w:tcPr>
            <w:tcW w:w="0" w:type="auto"/>
            <w:hideMark/>
          </w:tcPr>
          <w:p w14:paraId="51BCF0C8"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16.6%</w:t>
            </w:r>
          </w:p>
        </w:tc>
        <w:tc>
          <w:tcPr>
            <w:tcW w:w="0" w:type="auto"/>
            <w:hideMark/>
          </w:tcPr>
          <w:p w14:paraId="586E1A79"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13.1%</w:t>
            </w:r>
          </w:p>
        </w:tc>
        <w:tc>
          <w:tcPr>
            <w:tcW w:w="0" w:type="auto"/>
            <w:hideMark/>
          </w:tcPr>
          <w:p w14:paraId="12FA6A6D"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15.0%</w:t>
            </w:r>
          </w:p>
        </w:tc>
      </w:tr>
      <w:tr w:rsidR="00067DAF" w:rsidRPr="00565C9C" w14:paraId="300BF6B6"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57C0F8"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Operating cash-flow margin</w:t>
            </w:r>
          </w:p>
        </w:tc>
        <w:tc>
          <w:tcPr>
            <w:tcW w:w="0" w:type="auto"/>
            <w:hideMark/>
          </w:tcPr>
          <w:p w14:paraId="5592A776"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21.9%</w:t>
            </w:r>
          </w:p>
        </w:tc>
        <w:tc>
          <w:tcPr>
            <w:tcW w:w="0" w:type="auto"/>
            <w:hideMark/>
          </w:tcPr>
          <w:p w14:paraId="762F2AA3"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16.6%</w:t>
            </w:r>
          </w:p>
        </w:tc>
        <w:tc>
          <w:tcPr>
            <w:tcW w:w="0" w:type="auto"/>
            <w:hideMark/>
          </w:tcPr>
          <w:p w14:paraId="0A83A814"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19.3%</w:t>
            </w:r>
          </w:p>
        </w:tc>
        <w:tc>
          <w:tcPr>
            <w:tcW w:w="0" w:type="auto"/>
            <w:hideMark/>
          </w:tcPr>
          <w:p w14:paraId="77D3BA4A"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14.7%</w:t>
            </w:r>
          </w:p>
        </w:tc>
        <w:tc>
          <w:tcPr>
            <w:tcW w:w="0" w:type="auto"/>
            <w:hideMark/>
          </w:tcPr>
          <w:p w14:paraId="109E9D79"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17.3%</w:t>
            </w:r>
          </w:p>
        </w:tc>
      </w:tr>
      <w:tr w:rsidR="00067DAF" w:rsidRPr="00565C9C" w14:paraId="315864E7"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56047018"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Cash conversion: CFO/profit</w:t>
            </w:r>
          </w:p>
        </w:tc>
        <w:tc>
          <w:tcPr>
            <w:tcW w:w="0" w:type="auto"/>
            <w:hideMark/>
          </w:tcPr>
          <w:p w14:paraId="034D299B"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2.40x</w:t>
            </w:r>
          </w:p>
        </w:tc>
        <w:tc>
          <w:tcPr>
            <w:tcW w:w="0" w:type="auto"/>
            <w:hideMark/>
          </w:tcPr>
          <w:p w14:paraId="4241CD77"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1.72x</w:t>
            </w:r>
          </w:p>
        </w:tc>
        <w:tc>
          <w:tcPr>
            <w:tcW w:w="0" w:type="auto"/>
            <w:hideMark/>
          </w:tcPr>
          <w:p w14:paraId="717423E0"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1.19x</w:t>
            </w:r>
          </w:p>
        </w:tc>
        <w:tc>
          <w:tcPr>
            <w:tcW w:w="0" w:type="auto"/>
            <w:hideMark/>
          </w:tcPr>
          <w:p w14:paraId="0F912A76"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1.15x</w:t>
            </w:r>
          </w:p>
        </w:tc>
        <w:tc>
          <w:tcPr>
            <w:tcW w:w="0" w:type="auto"/>
            <w:hideMark/>
          </w:tcPr>
          <w:p w14:paraId="4F169B80"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1.18x</w:t>
            </w:r>
          </w:p>
        </w:tc>
      </w:tr>
      <w:tr w:rsidR="00067DAF" w:rsidRPr="00565C9C" w14:paraId="55B873A0"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23BEDF"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Dividend cover</w:t>
            </w:r>
          </w:p>
        </w:tc>
        <w:tc>
          <w:tcPr>
            <w:tcW w:w="0" w:type="auto"/>
            <w:hideMark/>
          </w:tcPr>
          <w:p w14:paraId="215E3965"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1.69x</w:t>
            </w:r>
          </w:p>
        </w:tc>
        <w:tc>
          <w:tcPr>
            <w:tcW w:w="0" w:type="auto"/>
            <w:hideMark/>
          </w:tcPr>
          <w:p w14:paraId="36CC9D00"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1.50x</w:t>
            </w:r>
          </w:p>
        </w:tc>
        <w:tc>
          <w:tcPr>
            <w:tcW w:w="0" w:type="auto"/>
            <w:hideMark/>
          </w:tcPr>
          <w:p w14:paraId="62AFE383"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2.91x</w:t>
            </w:r>
          </w:p>
        </w:tc>
        <w:tc>
          <w:tcPr>
            <w:tcW w:w="0" w:type="auto"/>
            <w:hideMark/>
          </w:tcPr>
          <w:p w14:paraId="10B8029E"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2.32x</w:t>
            </w:r>
          </w:p>
        </w:tc>
        <w:tc>
          <w:tcPr>
            <w:tcW w:w="0" w:type="auto"/>
            <w:hideMark/>
          </w:tcPr>
          <w:p w14:paraId="7E491BB2"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2.66x</w:t>
            </w:r>
          </w:p>
        </w:tc>
      </w:tr>
      <w:tr w:rsidR="00067DAF" w:rsidRPr="00565C9C" w14:paraId="07A44B3C"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203893A0"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Interest coverage</w:t>
            </w:r>
          </w:p>
        </w:tc>
        <w:tc>
          <w:tcPr>
            <w:tcW w:w="0" w:type="auto"/>
            <w:hideMark/>
          </w:tcPr>
          <w:p w14:paraId="35841414"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3.36x</w:t>
            </w:r>
          </w:p>
        </w:tc>
        <w:tc>
          <w:tcPr>
            <w:tcW w:w="0" w:type="auto"/>
            <w:hideMark/>
          </w:tcPr>
          <w:p w14:paraId="27030A86"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5.32x</w:t>
            </w:r>
          </w:p>
        </w:tc>
        <w:tc>
          <w:tcPr>
            <w:tcW w:w="0" w:type="auto"/>
            <w:hideMark/>
          </w:tcPr>
          <w:p w14:paraId="3AB7868E"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8.46x</w:t>
            </w:r>
          </w:p>
        </w:tc>
        <w:tc>
          <w:tcPr>
            <w:tcW w:w="0" w:type="auto"/>
            <w:hideMark/>
          </w:tcPr>
          <w:p w14:paraId="2DB1C131"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5.85x</w:t>
            </w:r>
          </w:p>
        </w:tc>
        <w:tc>
          <w:tcPr>
            <w:tcW w:w="0" w:type="auto"/>
            <w:hideMark/>
          </w:tcPr>
          <w:p w14:paraId="174D32D8"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5.93x</w:t>
            </w:r>
          </w:p>
        </w:tc>
      </w:tr>
    </w:tbl>
    <w:p w14:paraId="44E6EA34" w14:textId="77777777" w:rsidR="00067DAF" w:rsidRPr="00565C9C" w:rsidRDefault="00067DAF" w:rsidP="00565C9C">
      <w:pPr>
        <w:pStyle w:val="NormalWeb"/>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Source:</w:t>
      </w:r>
      <w:r w:rsidRPr="00565C9C">
        <w:rPr>
          <w:rFonts w:asciiTheme="majorBidi" w:hAnsiTheme="majorBidi" w:cstheme="majorBidi"/>
          <w:color w:val="000000" w:themeColor="text1"/>
        </w:rPr>
        <w:t xml:space="preserve"> Author’s calculations based on IHG annual reports and results.</w:t>
      </w:r>
    </w:p>
    <w:p w14:paraId="70A4E9D9"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Return on average assets increased from 5.4% in 2021 to 15.0% in 2025. A high ROA is expected for an asset-light business since most hotel real estate is financed by third party owners. However, ROA should be analysed with caution because many of the investments in intangible brand assets that take place internally are not included in the denominator, and liabilities stemming from loyalty programs and the System Fund are still recognised. This therefore represents an effective use of recognised assets and is not reflective of the full economic capital deployed throughout IHG's hotel business. Intellectual-capital research also reveals that hotel performance is related to relational, human and structural resources which are inadequately represented in traditional balance sheets (Babajee et al., 2020; Li &amp; Singal, 2019; Lussi et al., 2023).</w:t>
      </w:r>
    </w:p>
    <w:p w14:paraId="01AC1FD9"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 xml:space="preserve">There's more evidence of financial quality in cash generation. Operating cash flow has been higher than accounting profit in all the years 2021 to 2025, and the cash conversion ratio has varied between 1.15x and 2.40x. Operating cash flow is $898 million in 2025, compared with $724 million in 2024, and adjusted free cash flow is $893 million in 2025. This means that IHG's reported earnings were significantly driven by cash than by just non-cash accounting adjustments. However, in 2024, there was a drop in operating cash flow, reflecting that even in the context of rising segment profit, there can be significant volatility arising from the timing </w:t>
      </w:r>
      <w:r w:rsidRPr="00565C9C">
        <w:rPr>
          <w:rFonts w:asciiTheme="majorBidi" w:hAnsiTheme="majorBidi" w:cstheme="majorBidi"/>
          <w:color w:val="000000" w:themeColor="text1"/>
          <w:sz w:val="24"/>
          <w:szCs w:val="24"/>
        </w:rPr>
        <w:lastRenderedPageBreak/>
        <w:t>of the System Fund and planned investment (IHG, 2023, 2024, 2025, 2026a; Boisjoly et al., 2020).</w:t>
      </w:r>
    </w:p>
    <w:p w14:paraId="434E7E9B"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The investment returns to shareholders also improved. The basic EPS rose from 145.4 cents in 2021 to 490.9 cents in 2025, and dividend per share rose from 85.9 cents to 184.5 cents. Dividend cover rose from 1.69x to 2.66x suggesting that ordinary dividend was backed by earnings. In part though this was due to a decreasing weighted-average-share count as a result of buybacks by EPS. So, EPS growth should not be considered as equal to operating growth. In 2025, IHG spent $270 million on ordinary dividends and it undertook a $900 million share-repurchase programme, which directly drove up the amount of net debt. Although buybacks can be a sign of confidence, they can also be a sign of the efficiency of capital use when buybacks are not valued based on the price at which they are repurchased, or the source of financing or preservation of investment-grade flexibility (Alderson et al., 2020; Poretti &amp; Blal, 2020; Wang et al., 2024; IHG, 2026a).</w:t>
      </w:r>
    </w:p>
    <w:p w14:paraId="6E667CF5" w14:textId="14DFC7B6" w:rsidR="00067DAF" w:rsidRPr="00565C9C" w:rsidRDefault="00067DAF" w:rsidP="00565C9C">
      <w:pPr>
        <w:pStyle w:val="Heading2"/>
        <w:spacing w:line="360" w:lineRule="auto"/>
        <w:jc w:val="both"/>
      </w:pPr>
      <w:bookmarkStart w:id="5" w:name="_Toc235740998"/>
      <w:r w:rsidRPr="00565C9C">
        <w:t>Liquidity, Efficiency and Gearing</w:t>
      </w:r>
      <w:bookmarkEnd w:id="5"/>
    </w:p>
    <w:p w14:paraId="20925DD6"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IHG’s current ratio fell from 1.27x in 2021 to 0.98x in 2025, while the cash ratio declined from 0.89x to 0.54x. Since inventory is immaterial, its quick ratio was nearly the same as the current ratio. Under the traditional view, a current ratio less than 1.0 signifies that the business has more current liabilities than current assets, and may signal refinancing or payment problems. For hotel companies that are more fee-driven, however, static liquidity ratios can be less telling since current liabilities will include terms such as deferred revenue, loyalty obligations, owner-related balances and amounts in the System Fund that do not necessarily need to be settled with cash. The operating cash-flow ratio has improved to 0.43x in 2025, which is a more favourable reflection of the short-term payment capacity.</w:t>
      </w:r>
    </w:p>
    <w:p w14:paraId="6D469679" w14:textId="2E3927DA" w:rsidR="00565C9C" w:rsidRPr="00565C9C" w:rsidRDefault="00565C9C" w:rsidP="00565C9C">
      <w:pPr>
        <w:pStyle w:val="NormalWeb"/>
        <w:spacing w:line="360" w:lineRule="auto"/>
        <w:jc w:val="both"/>
        <w:rPr>
          <w:rFonts w:asciiTheme="majorBidi" w:hAnsiTheme="majorBidi" w:cstheme="majorBidi"/>
          <w:color w:val="000000" w:themeColor="text1"/>
        </w:rPr>
      </w:pPr>
      <w:r w:rsidRPr="00565C9C">
        <w:rPr>
          <w:rFonts w:asciiTheme="majorBidi" w:hAnsiTheme="majorBidi" w:cstheme="majorBidi"/>
          <w:color w:val="000000" w:themeColor="text1"/>
        </w:rPr>
        <w:lastRenderedPageBreak/>
        <w:drawing>
          <wp:inline distT="0" distB="0" distL="0" distR="0" wp14:anchorId="61BAA0BF" wp14:editId="4FB5B553">
            <wp:extent cx="4876800" cy="2603500"/>
            <wp:effectExtent l="0" t="0" r="0" b="0"/>
            <wp:docPr id="1910241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41399" name=""/>
                    <pic:cNvPicPr/>
                  </pic:nvPicPr>
                  <pic:blipFill>
                    <a:blip r:embed="rId11"/>
                    <a:stretch>
                      <a:fillRect/>
                    </a:stretch>
                  </pic:blipFill>
                  <pic:spPr>
                    <a:xfrm>
                      <a:off x="0" y="0"/>
                      <a:ext cx="4876800" cy="2603500"/>
                    </a:xfrm>
                    <a:prstGeom prst="rect">
                      <a:avLst/>
                    </a:prstGeom>
                  </pic:spPr>
                </pic:pic>
              </a:graphicData>
            </a:graphic>
          </wp:inline>
        </w:drawing>
      </w:r>
    </w:p>
    <w:p w14:paraId="5E14A652" w14:textId="41993C13" w:rsidR="00067DAF" w:rsidRPr="00565C9C" w:rsidRDefault="00067DAF" w:rsidP="00565C9C">
      <w:pPr>
        <w:pStyle w:val="NormalWeb"/>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Figure 2. IHG Liquidity Ratios, 2020–2025</w:t>
      </w:r>
      <w:r w:rsidRPr="00565C9C">
        <w:rPr>
          <w:rFonts w:asciiTheme="majorBidi" w:hAnsiTheme="majorBidi" w:cstheme="majorBidi"/>
          <w:color w:val="000000" w:themeColor="text1"/>
        </w:rPr>
        <w:br/>
      </w:r>
      <w:r w:rsidRPr="00565C9C">
        <w:rPr>
          <w:rStyle w:val="Strong"/>
          <w:rFonts w:asciiTheme="majorBidi" w:hAnsiTheme="majorBidi" w:cstheme="majorBidi"/>
          <w:color w:val="000000" w:themeColor="text1"/>
        </w:rPr>
        <w:t>Source:</w:t>
      </w:r>
      <w:r w:rsidRPr="00565C9C">
        <w:rPr>
          <w:rFonts w:asciiTheme="majorBidi" w:hAnsiTheme="majorBidi" w:cstheme="majorBidi"/>
          <w:color w:val="000000" w:themeColor="text1"/>
        </w:rPr>
        <w:t xml:space="preserve"> Author’s own work based on IHG annual reports.</w:t>
      </w:r>
    </w:p>
    <w:p w14:paraId="114C3958"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This is reinforced by a peer benchmark. IHG's ratio (0.98x) was higher than both Marriott's (0.43x) and Hilton's (0.66x) ratios but slightly lower than Accor's (1.02x) ratio, based on the 2025 annual statements. The average of the four companies was around 0.77x. IHG was thus lower than the generic 1.0, and higher than the peer average selected. This is not to suggest that this eliminates liquidity risk, it rather shows that with large asset-light hotel groups with recurring fee cash flows and significant loyalty liabilities, as well as committed borrowing facilities (Accor, 2026; Hilton Worldwide Holdings, 2026; Marriott International, 2026), sub-1 ratios are not unusual.</w:t>
      </w:r>
    </w:p>
    <w:p w14:paraId="3440A34F"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Similar cautions are required with efficiency ratios. The DSO stood at 57 days in 2025, vs ~68 days in 2021, which indicates that they were more disciplined in their receivables than the early recovery phase. IHG does not operate material inventories of its hotels and inventory days stayed close to two. The reason for the payables days being greater than 300 is because payables reported are large compared to IHG's small accounting cost-of-sales base. The simplified cash conversion cycle proved to be very negative. This is not to be regarded as outstanding efficiency on the part of suppliers being financed; rather it is a representation of the incompatibility of traditional manufacturing concepts and the reimbursable/loyalty and System Fund concept of IHG. Based on the existing research in the field of Hospitality, the proper level of working capital, as opposed to a minimum level, should be maintained and the relationship between working capital and performance is not linear (Altaf, 2024; Boisjoly et al., 2020; Chambers &amp; Cifter, 2022).</w:t>
      </w:r>
    </w:p>
    <w:p w14:paraId="2EC5EC56"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lastRenderedPageBreak/>
        <w:t>Gearing is the biggest monetary risk. Net debt fell from $2.529 billion in 2020 to $1.851 billion in 2022 but then increased to $3.333 billion by 2025. Net debt to adjusted EBITDA increased to 2.5x and borrowings accounted for around 78.6% of the reported assets. The interest coverage was acceptable, around 5.9x, but it was not as high as it was in 2023 when it reached 8.5x. Modest leverage can lead to disciplining managerial behavior and optimizing a hotel's capital structure, while high leverage can diminish the value benefits of an asset-light hotel business model and lower the flexibility to react during demand shocks (Ji et al., 2024; Li &amp; Singal, 2019; Poretti &amp; Blal, 2020). The increase in debt is particularly worrisome as this increase in debt was largely due to distribution and not just value creating investment.</w:t>
      </w:r>
    </w:p>
    <w:p w14:paraId="7AF4CA69" w14:textId="1567C913" w:rsidR="00565C9C" w:rsidRPr="00565C9C" w:rsidRDefault="00565C9C" w:rsidP="00565C9C">
      <w:pPr>
        <w:pStyle w:val="NormalWeb"/>
        <w:spacing w:line="360" w:lineRule="auto"/>
        <w:jc w:val="both"/>
        <w:rPr>
          <w:rFonts w:asciiTheme="majorBidi" w:hAnsiTheme="majorBidi" w:cstheme="majorBidi"/>
          <w:color w:val="000000" w:themeColor="text1"/>
        </w:rPr>
      </w:pPr>
      <w:r w:rsidRPr="00565C9C">
        <w:rPr>
          <w:rFonts w:asciiTheme="majorBidi" w:hAnsiTheme="majorBidi" w:cstheme="majorBidi"/>
          <w:color w:val="000000" w:themeColor="text1"/>
        </w:rPr>
        <w:drawing>
          <wp:inline distT="0" distB="0" distL="0" distR="0" wp14:anchorId="4999A349" wp14:editId="261A0901">
            <wp:extent cx="4813300" cy="2540000"/>
            <wp:effectExtent l="0" t="0" r="0" b="0"/>
            <wp:docPr id="92973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73829" name=""/>
                    <pic:cNvPicPr/>
                  </pic:nvPicPr>
                  <pic:blipFill>
                    <a:blip r:embed="rId12"/>
                    <a:stretch>
                      <a:fillRect/>
                    </a:stretch>
                  </pic:blipFill>
                  <pic:spPr>
                    <a:xfrm>
                      <a:off x="0" y="0"/>
                      <a:ext cx="4813300" cy="2540000"/>
                    </a:xfrm>
                    <a:prstGeom prst="rect">
                      <a:avLst/>
                    </a:prstGeom>
                  </pic:spPr>
                </pic:pic>
              </a:graphicData>
            </a:graphic>
          </wp:inline>
        </w:drawing>
      </w:r>
    </w:p>
    <w:p w14:paraId="5DCAB27E" w14:textId="3B6338B4" w:rsidR="00067DAF" w:rsidRPr="00565C9C" w:rsidRDefault="00067DAF" w:rsidP="00565C9C">
      <w:pPr>
        <w:pStyle w:val="NormalWeb"/>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Figure 3. IHG Net Debt and Operating Cash Flow, 2020–2025</w:t>
      </w:r>
      <w:r w:rsidRPr="00565C9C">
        <w:rPr>
          <w:rFonts w:asciiTheme="majorBidi" w:hAnsiTheme="majorBidi" w:cstheme="majorBidi"/>
          <w:color w:val="000000" w:themeColor="text1"/>
        </w:rPr>
        <w:br/>
      </w:r>
      <w:r w:rsidRPr="00565C9C">
        <w:rPr>
          <w:rStyle w:val="Strong"/>
          <w:rFonts w:asciiTheme="majorBidi" w:hAnsiTheme="majorBidi" w:cstheme="majorBidi"/>
          <w:color w:val="000000" w:themeColor="text1"/>
        </w:rPr>
        <w:t>Source:</w:t>
      </w:r>
      <w:r w:rsidRPr="00565C9C">
        <w:rPr>
          <w:rFonts w:asciiTheme="majorBidi" w:hAnsiTheme="majorBidi" w:cstheme="majorBidi"/>
          <w:color w:val="000000" w:themeColor="text1"/>
        </w:rPr>
        <w:t xml:space="preserve"> Author’s own work based on IHG annual reports.</w:t>
      </w:r>
    </w:p>
    <w:p w14:paraId="66CDAC51"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In general, IHG shows good financial performance with respect to profitability, expansion of fee margins, quality of earnings and generation of operating cash. The key disadvantages are the reliance on continuing access to the capital markets, negative accounting equity, rising leverage and slowing RevPAR-driven growth. The company is not at this time in immediate financial distress, but the distribution policy has taken away the cushion provided by the recovery.</w:t>
      </w:r>
    </w:p>
    <w:p w14:paraId="6A091428" w14:textId="33DBB095" w:rsidR="00067DAF" w:rsidRPr="00565C9C" w:rsidRDefault="00067DAF" w:rsidP="00565C9C">
      <w:pPr>
        <w:pStyle w:val="Heading1"/>
        <w:rPr>
          <w:sz w:val="24"/>
          <w:szCs w:val="24"/>
        </w:rPr>
      </w:pPr>
      <w:bookmarkStart w:id="6" w:name="_Toc235740999"/>
      <w:r w:rsidRPr="00565C9C">
        <w:rPr>
          <w:sz w:val="24"/>
          <w:szCs w:val="24"/>
        </w:rPr>
        <w:t>Working Capital Management Analysis</w:t>
      </w:r>
      <w:bookmarkEnd w:id="6"/>
    </w:p>
    <w:p w14:paraId="79572D87" w14:textId="3A6C8727" w:rsidR="00067DAF" w:rsidRPr="00565C9C" w:rsidRDefault="00067DAF" w:rsidP="00565C9C">
      <w:pPr>
        <w:pStyle w:val="Heading2"/>
        <w:spacing w:line="360" w:lineRule="auto"/>
        <w:jc w:val="both"/>
      </w:pPr>
      <w:bookmarkStart w:id="7" w:name="_Toc235741000"/>
      <w:r w:rsidRPr="00565C9C">
        <w:t>Cash Operating Cycle</w:t>
      </w:r>
      <w:bookmarkEnd w:id="7"/>
    </w:p>
    <w:p w14:paraId="2814591A"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lastRenderedPageBreak/>
        <w:t>The conventional cash operating cycle is the time interval between the payment of cash to suppliers and receipt of cash from customers. IHG's simplified 2025 calculation is:</w:t>
      </w:r>
    </w:p>
    <w:p w14:paraId="5D23B921" w14:textId="4A6FCA0E" w:rsidR="00565C9C" w:rsidRPr="00565C9C" w:rsidRDefault="00565C9C" w:rsidP="00565C9C">
      <w:pPr>
        <w:pStyle w:val="NormalWeb"/>
        <w:spacing w:line="360" w:lineRule="auto"/>
        <w:jc w:val="both"/>
        <w:rPr>
          <w:rFonts w:asciiTheme="majorBidi" w:hAnsiTheme="majorBidi" w:cstheme="majorBidi"/>
          <w:color w:val="000000" w:themeColor="text1"/>
        </w:rPr>
      </w:pPr>
      <w:r w:rsidRPr="00565C9C">
        <w:rPr>
          <w:rFonts w:asciiTheme="majorBidi" w:hAnsiTheme="majorBidi" w:cstheme="majorBidi"/>
          <w:color w:val="000000" w:themeColor="text1"/>
        </w:rPr>
        <w:t>56.91 receivable days + 2.15 inventory days − 316.75 payable days = −257.69 days</w:t>
      </w:r>
    </w:p>
    <w:p w14:paraId="375FD3F9"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A negative cycle usually indicates that a company is able to pay its suppliers before it's paid by its customers. But IHG's performance is skewed due to the fact that it is an asset-light company. Inventory is largely insignificant and balances in trade and other payables are related to the hotel-owner reimbursements, loyalty points, reservations, marketing programmes and the System Fund. Total revenue also comprises reimbursable income which has a different economic margin from the franchise fee. Therefore, the negative cycle cannot be considered a structural accounting fact and an indication that payments can be indefinitely delayed. Hotel standards, data infrastructure, and franchise relationships might be negatively affected by excessive stretching of owner or supplier balances (Chambers &amp; Cifter, 2022; Naz et al., 2022; Poretti et al., 2023).</w:t>
      </w:r>
    </w:p>
    <w:p w14:paraId="7253B99E"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More decision-useful indicators are net working capital, cash, operating cash flow and committed liquidity. IHG saw a negative net working capital of $51 million in 2025 compared to positive $442 million in 2021. However, its cash balance of $1.129 billion and operating cash inflow of $898 million provided some comfort with respect to its near-term needs. The proper target instead is thus not to materially drive up the current ratio above 1.0 – thereby risking cash idle – but to maintain sufficient resiliency under the stress scenarios of RevPAR declines and owner defaults and refinancing. Based on empirical studies, an inverted U shape relationship exists between working capital and performance in the hospitality sector: too much or too little working capital increases the distress risk and too much current assets decreases the returns (Altaf, 2024; Chambers &amp; Cifter, 2022; Boisjoly et al., 2020).</w:t>
      </w:r>
    </w:p>
    <w:p w14:paraId="5A2F26BB" w14:textId="7D845639" w:rsidR="00067DAF" w:rsidRPr="00565C9C" w:rsidRDefault="00067DAF" w:rsidP="00565C9C">
      <w:pPr>
        <w:pStyle w:val="Heading2"/>
        <w:spacing w:line="360" w:lineRule="auto"/>
        <w:jc w:val="both"/>
      </w:pPr>
      <w:bookmarkStart w:id="8" w:name="_Toc235741001"/>
      <w:r w:rsidRPr="00565C9C">
        <w:t>Recommended Working Capital Reforms</w:t>
      </w:r>
      <w:bookmarkEnd w:id="8"/>
    </w:p>
    <w:p w14:paraId="03C2C480" w14:textId="364E5473" w:rsidR="00067DAF" w:rsidRPr="00565C9C" w:rsidRDefault="00067DAF" w:rsidP="00565C9C">
      <w:pPr>
        <w:spacing w:line="360" w:lineRule="auto"/>
        <w:jc w:val="both"/>
        <w:rPr>
          <w:rFonts w:asciiTheme="majorBidi" w:hAnsiTheme="majorBidi" w:cstheme="majorBidi"/>
          <w:b/>
          <w:bCs/>
          <w:color w:val="000000" w:themeColor="text1"/>
          <w:sz w:val="24"/>
          <w:szCs w:val="24"/>
        </w:rPr>
      </w:pPr>
      <w:r w:rsidRPr="00565C9C">
        <w:rPr>
          <w:rFonts w:asciiTheme="majorBidi" w:hAnsiTheme="majorBidi" w:cstheme="majorBidi"/>
          <w:b/>
          <w:bCs/>
          <w:color w:val="000000" w:themeColor="text1"/>
          <w:sz w:val="24"/>
          <w:szCs w:val="24"/>
        </w:rPr>
        <w:t>Table 3</w:t>
      </w:r>
      <w:r w:rsidR="00565C9C" w:rsidRPr="00565C9C">
        <w:rPr>
          <w:rFonts w:asciiTheme="majorBidi" w:hAnsiTheme="majorBidi" w:cstheme="majorBidi"/>
          <w:b/>
          <w:bCs/>
          <w:color w:val="000000" w:themeColor="text1"/>
          <w:sz w:val="24"/>
          <w:szCs w:val="24"/>
        </w:rPr>
        <w:t xml:space="preserve">: </w:t>
      </w:r>
      <w:r w:rsidRPr="00565C9C">
        <w:rPr>
          <w:rFonts w:asciiTheme="majorBidi" w:hAnsiTheme="majorBidi" w:cstheme="majorBidi"/>
          <w:b/>
          <w:bCs/>
          <w:color w:val="000000" w:themeColor="text1"/>
          <w:sz w:val="24"/>
          <w:szCs w:val="24"/>
        </w:rPr>
        <w:t>Working Capital Reform Programme</w:t>
      </w:r>
    </w:p>
    <w:tbl>
      <w:tblPr>
        <w:tblStyle w:val="GridTable4-Accent4"/>
        <w:tblW w:w="0" w:type="auto"/>
        <w:tblLook w:val="04A0" w:firstRow="1" w:lastRow="0" w:firstColumn="1" w:lastColumn="0" w:noHBand="0" w:noVBand="1"/>
      </w:tblPr>
      <w:tblGrid>
        <w:gridCol w:w="2728"/>
        <w:gridCol w:w="3350"/>
        <w:gridCol w:w="2938"/>
      </w:tblGrid>
      <w:tr w:rsidR="00067DAF" w:rsidRPr="00565C9C" w14:paraId="5883D436" w14:textId="77777777" w:rsidTr="00565C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F91407"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b w:val="0"/>
                <w:bCs w:val="0"/>
                <w:color w:val="000000" w:themeColor="text1"/>
                <w:sz w:val="24"/>
                <w:szCs w:val="24"/>
              </w:rPr>
              <w:t>Reform</w:t>
            </w:r>
          </w:p>
        </w:tc>
        <w:tc>
          <w:tcPr>
            <w:tcW w:w="0" w:type="auto"/>
            <w:hideMark/>
          </w:tcPr>
          <w:p w14:paraId="2B822CDB" w14:textId="77777777" w:rsidR="00067DAF" w:rsidRPr="00565C9C" w:rsidRDefault="00067DAF"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565C9C">
              <w:rPr>
                <w:rFonts w:asciiTheme="majorBidi" w:hAnsiTheme="majorBidi" w:cstheme="majorBidi"/>
                <w:b w:val="0"/>
                <w:bCs w:val="0"/>
                <w:color w:val="000000" w:themeColor="text1"/>
                <w:sz w:val="24"/>
                <w:szCs w:val="24"/>
              </w:rPr>
              <w:t>Financial rationale</w:t>
            </w:r>
          </w:p>
        </w:tc>
        <w:tc>
          <w:tcPr>
            <w:tcW w:w="0" w:type="auto"/>
            <w:hideMark/>
          </w:tcPr>
          <w:p w14:paraId="3BFF9F02" w14:textId="77777777" w:rsidR="00067DAF" w:rsidRPr="00565C9C" w:rsidRDefault="00067DAF"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565C9C">
              <w:rPr>
                <w:rFonts w:asciiTheme="majorBidi" w:hAnsiTheme="majorBidi" w:cstheme="majorBidi"/>
                <w:b w:val="0"/>
                <w:bCs w:val="0"/>
                <w:color w:val="000000" w:themeColor="text1"/>
                <w:sz w:val="24"/>
                <w:szCs w:val="24"/>
              </w:rPr>
              <w:t>Proposed target</w:t>
            </w:r>
          </w:p>
        </w:tc>
      </w:tr>
      <w:tr w:rsidR="00067DAF" w:rsidRPr="00565C9C" w14:paraId="288F90EA"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70F634" w14:textId="77777777" w:rsidR="00067DAF" w:rsidRPr="00565C9C" w:rsidRDefault="00067DAF" w:rsidP="00565C9C">
            <w:pPr>
              <w:spacing w:line="360" w:lineRule="auto"/>
              <w:jc w:val="both"/>
              <w:rPr>
                <w:rFonts w:asciiTheme="majorBidi" w:hAnsiTheme="majorBidi" w:cstheme="majorBidi"/>
                <w:b w:val="0"/>
                <w:bCs w:val="0"/>
                <w:color w:val="000000" w:themeColor="text1"/>
                <w:sz w:val="24"/>
                <w:szCs w:val="24"/>
              </w:rPr>
            </w:pPr>
            <w:r w:rsidRPr="00565C9C">
              <w:rPr>
                <w:rFonts w:asciiTheme="majorBidi" w:hAnsiTheme="majorBidi" w:cstheme="majorBidi"/>
                <w:color w:val="000000" w:themeColor="text1"/>
                <w:sz w:val="24"/>
                <w:szCs w:val="24"/>
              </w:rPr>
              <w:t>Strengthen owner-receivable controls</w:t>
            </w:r>
          </w:p>
        </w:tc>
        <w:tc>
          <w:tcPr>
            <w:tcW w:w="0" w:type="auto"/>
            <w:hideMark/>
          </w:tcPr>
          <w:p w14:paraId="0CA219E3"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Reduces overdue balances and expected credit losses</w:t>
            </w:r>
          </w:p>
        </w:tc>
        <w:tc>
          <w:tcPr>
            <w:tcW w:w="0" w:type="auto"/>
            <w:hideMark/>
          </w:tcPr>
          <w:p w14:paraId="41C7C9A5"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DSO below 52 days</w:t>
            </w:r>
          </w:p>
        </w:tc>
      </w:tr>
      <w:tr w:rsidR="00067DAF" w:rsidRPr="00565C9C" w14:paraId="09102C3D"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26B72FE9"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Establish a minimum cash floor</w:t>
            </w:r>
          </w:p>
        </w:tc>
        <w:tc>
          <w:tcPr>
            <w:tcW w:w="0" w:type="auto"/>
            <w:hideMark/>
          </w:tcPr>
          <w:p w14:paraId="5CB5BB62"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Protects operations during regional demand shocks</w:t>
            </w:r>
          </w:p>
        </w:tc>
        <w:tc>
          <w:tcPr>
            <w:tcW w:w="0" w:type="auto"/>
            <w:hideMark/>
          </w:tcPr>
          <w:p w14:paraId="42E29237"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Cash ratio of at least 0.55x</w:t>
            </w:r>
          </w:p>
        </w:tc>
      </w:tr>
      <w:tr w:rsidR="00067DAF" w:rsidRPr="00565C9C" w14:paraId="70B0596E"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7DD4FC"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lastRenderedPageBreak/>
              <w:t>Link buybacks to liquidity tests</w:t>
            </w:r>
          </w:p>
        </w:tc>
        <w:tc>
          <w:tcPr>
            <w:tcW w:w="0" w:type="auto"/>
            <w:hideMark/>
          </w:tcPr>
          <w:p w14:paraId="1260A390"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Prevents distributions from weakening payment capacity</w:t>
            </w:r>
          </w:p>
        </w:tc>
        <w:tc>
          <w:tcPr>
            <w:tcW w:w="0" w:type="auto"/>
            <w:hideMark/>
          </w:tcPr>
          <w:p w14:paraId="206F80E3"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No buyback if stressed liquidity falls below policy floor</w:t>
            </w:r>
          </w:p>
        </w:tc>
      </w:tr>
      <w:tr w:rsidR="00067DAF" w:rsidRPr="00565C9C" w14:paraId="16726949"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3863D06A"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Improve owner and supplier segmentation</w:t>
            </w:r>
          </w:p>
        </w:tc>
        <w:tc>
          <w:tcPr>
            <w:tcW w:w="0" w:type="auto"/>
            <w:hideMark/>
          </w:tcPr>
          <w:p w14:paraId="683F4B4C"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Protects strategic relationships while accelerating disputed collections</w:t>
            </w:r>
          </w:p>
        </w:tc>
        <w:tc>
          <w:tcPr>
            <w:tcW w:w="0" w:type="auto"/>
            <w:hideMark/>
          </w:tcPr>
          <w:p w14:paraId="5F3885D0"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Monthly ageing and dispute-resolution dashboard</w:t>
            </w:r>
          </w:p>
        </w:tc>
      </w:tr>
      <w:tr w:rsidR="00067DAF" w:rsidRPr="00565C9C" w14:paraId="23244AC7"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3DDE80"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Integrate rolling cash forecasting</w:t>
            </w:r>
          </w:p>
        </w:tc>
        <w:tc>
          <w:tcPr>
            <w:tcW w:w="0" w:type="auto"/>
            <w:hideMark/>
          </w:tcPr>
          <w:p w14:paraId="668DAB31"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Captures System Fund, loyalty, tax and currency timing</w:t>
            </w:r>
          </w:p>
        </w:tc>
        <w:tc>
          <w:tcPr>
            <w:tcW w:w="0" w:type="auto"/>
            <w:hideMark/>
          </w:tcPr>
          <w:p w14:paraId="63ED56B5"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Weekly 13-week forecast and monthly 24-month forecast</w:t>
            </w:r>
          </w:p>
        </w:tc>
      </w:tr>
      <w:tr w:rsidR="00067DAF" w:rsidRPr="00565C9C" w14:paraId="031B3842"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425572C9"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Pre-fund debt maturities</w:t>
            </w:r>
          </w:p>
        </w:tc>
        <w:tc>
          <w:tcPr>
            <w:tcW w:w="0" w:type="auto"/>
            <w:hideMark/>
          </w:tcPr>
          <w:p w14:paraId="63214F3A"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Reduces refinancing concentration</w:t>
            </w:r>
          </w:p>
        </w:tc>
        <w:tc>
          <w:tcPr>
            <w:tcW w:w="0" w:type="auto"/>
            <w:hideMark/>
          </w:tcPr>
          <w:p w14:paraId="0FE9457B"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No more than 20% of debt maturing in one year</w:t>
            </w:r>
          </w:p>
        </w:tc>
      </w:tr>
    </w:tbl>
    <w:p w14:paraId="4649F4C6" w14:textId="77777777" w:rsidR="00067DAF" w:rsidRPr="00565C9C" w:rsidRDefault="00067DAF" w:rsidP="00565C9C">
      <w:pPr>
        <w:pStyle w:val="NormalWeb"/>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Source:</w:t>
      </w:r>
      <w:r w:rsidRPr="00565C9C">
        <w:rPr>
          <w:rFonts w:asciiTheme="majorBidi" w:hAnsiTheme="majorBidi" w:cstheme="majorBidi"/>
          <w:color w:val="000000" w:themeColor="text1"/>
        </w:rPr>
        <w:t xml:space="preserve"> Author’s own work based on Chambers and Cifter (2022), Altaf (2024) and IHG’s financial position.</w:t>
      </w:r>
    </w:p>
    <w:p w14:paraId="516BF990"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Firstly, IHG should implement a group-wide owner-receivables programme which incorporates automated ageing, contractual direct-debit and credit scoring, and escalation of disputed balances. The goal should be to move DSO from ~57 days to &lt;52 days. The cash release from a five-day change in the 2025 revenue would be around $71 million, but the exact amount would vary based on the revenue streams that have receivables. The reform needs to differentiate between higher-risk counterparts and good, strong strategic owners to not affect valuable franchise relationships.</w:t>
      </w:r>
    </w:p>
    <w:p w14:paraId="3651E001"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Second, IHG should have a liquidity floor that is board approved comprised of unrestricted cash, committed revolving facilities and forecast operating cash flow. The floor should be tested with a scenario where there is a simultaneous drop in RevPAR, owner payments are delayed, loyalty redemptions increase and debt-market access is restricted. This is better than the current ratio alone, since it includes not only the timing issue, but cash availability as well. The policy should also provide for automatic termination of discretionary buybacks should the stressed cash ratio drop below 0.55x or the net debt to adjusted EBITDA exceed 2.75x.</w:t>
      </w:r>
    </w:p>
    <w:p w14:paraId="7E0B6645"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 xml:space="preserve">Thirdly, management should embed the System Fund and loyalty programme in a rolling cash-flow forecast and not as largely annual accounting reconciliations. Implementing business model innovation and digital integration has helped hospitality to be resilient during the pandemic, however technology investment needs to create reliable cash-flow visibility, not just customer facing benefits (Breier et al., 2021; Poretti et al., 2023). A weekly 13-week cash </w:t>
      </w:r>
      <w:r w:rsidRPr="00565C9C">
        <w:rPr>
          <w:rFonts w:asciiTheme="majorBidi" w:hAnsiTheme="majorBidi" w:cstheme="majorBidi"/>
          <w:color w:val="000000" w:themeColor="text1"/>
          <w:sz w:val="24"/>
          <w:szCs w:val="24"/>
        </w:rPr>
        <w:lastRenderedPageBreak/>
        <w:t>forecast could be used to inform treasury decisions and a 24-month forecast could reveal debt-refinancing and distribution constraints.</w:t>
      </w:r>
    </w:p>
    <w:p w14:paraId="5F953008" w14:textId="37848B77" w:rsidR="00067DAF" w:rsidRPr="00565C9C" w:rsidRDefault="00067DAF" w:rsidP="00565C9C">
      <w:pPr>
        <w:pStyle w:val="Heading2"/>
        <w:spacing w:line="360" w:lineRule="auto"/>
        <w:jc w:val="both"/>
      </w:pPr>
      <w:bookmarkStart w:id="9" w:name="_Toc235741002"/>
      <w:r w:rsidRPr="00565C9C">
        <w:t>Short-Term Versus Long-Term Financing</w:t>
      </w:r>
      <w:bookmarkEnd w:id="9"/>
    </w:p>
    <w:p w14:paraId="3D9E03BD"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The short-term financing consists of supplier credit, short-term bank facilities, commercial paper and overdrafts, and revolving credit. Its main benefits are flexibility, fairly quick access and the possibility to match the temporary seasonal or timing requirements. But there are risks of rollover with repeated refinancing, and the company is vulnerable to interest-rate fluctuations on floating rates. For example, Bank Rate has increased from 0.10% in 2020 to 5.25% in August 2023, only to drop to 3.75% in December 2025 (Bank of England, 2026).</w:t>
      </w:r>
    </w:p>
    <w:p w14:paraId="72023EB3"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Long-term bonds, private placements and term loans offer maturity certainty, and can be tailored to acquisitions, technology infrastructure and brand investments. They have drawbacks of commitment fees, issuance fees, refinancing premiums and lack of flexibility when capital is abundant. IHG would like temporary System Fund, tax and working-capital fluctuations to be funded using short-term facilities and acquisitions and structural capital needs to be funded using long-term financing. A permanent shortfall in working-capital should not be met by continuing short-term borrowing. This ‘maturity matching' method safeguards the liquidity of the firm, while maintaining the flexibility of IHG's asset-light model (Altaf, 2024; Ji et al., 2024; Li &amp; Singal, 2019).</w:t>
      </w:r>
    </w:p>
    <w:p w14:paraId="2B914750" w14:textId="539BD129" w:rsidR="00067DAF" w:rsidRPr="00565C9C" w:rsidRDefault="00067DAF" w:rsidP="00565C9C">
      <w:pPr>
        <w:pStyle w:val="Heading1"/>
        <w:rPr>
          <w:sz w:val="24"/>
          <w:szCs w:val="24"/>
        </w:rPr>
      </w:pPr>
      <w:bookmarkStart w:id="10" w:name="_Toc235741003"/>
      <w:r w:rsidRPr="00565C9C">
        <w:rPr>
          <w:sz w:val="24"/>
          <w:szCs w:val="24"/>
        </w:rPr>
        <w:t>Strategic Financial Restructuring Plan</w:t>
      </w:r>
      <w:bookmarkEnd w:id="10"/>
    </w:p>
    <w:p w14:paraId="7F699F5A" w14:textId="41F9AE95" w:rsidR="00067DAF" w:rsidRPr="00565C9C" w:rsidRDefault="00067DAF" w:rsidP="00565C9C">
      <w:pPr>
        <w:pStyle w:val="Heading2"/>
        <w:spacing w:line="360" w:lineRule="auto"/>
        <w:jc w:val="both"/>
      </w:pPr>
      <w:bookmarkStart w:id="11" w:name="_Toc235741004"/>
      <w:r w:rsidRPr="00565C9C">
        <w:t>Recommended Restructuring Direction</w:t>
      </w:r>
      <w:bookmarkEnd w:id="11"/>
    </w:p>
    <w:p w14:paraId="787C14EA"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There is no need to turnaround IHG as there is good profitability and cash generation. It does, however, need to be restructured for prevention to avoid any leverage drift and to guarantee growth investment will receive the greater priority over debt-financed distributions. The four elements of the recommended plan are: moderate shareholder distributions, refinancing and hedging debt, divesting non-core owned and leased exposures, and selective equity/partnership capital to fund acquisitions.</w:t>
      </w:r>
    </w:p>
    <w:p w14:paraId="2EFC3638" w14:textId="239F4358" w:rsidR="00067DAF" w:rsidRPr="00565C9C" w:rsidRDefault="00067DAF" w:rsidP="00565C9C">
      <w:pPr>
        <w:spacing w:line="360" w:lineRule="auto"/>
        <w:jc w:val="both"/>
        <w:rPr>
          <w:rFonts w:asciiTheme="majorBidi" w:hAnsiTheme="majorBidi" w:cstheme="majorBidi"/>
          <w:b/>
          <w:bCs/>
          <w:color w:val="000000" w:themeColor="text1"/>
          <w:sz w:val="24"/>
          <w:szCs w:val="24"/>
        </w:rPr>
      </w:pPr>
      <w:r w:rsidRPr="00565C9C">
        <w:rPr>
          <w:rFonts w:asciiTheme="majorBidi" w:hAnsiTheme="majorBidi" w:cstheme="majorBidi"/>
          <w:b/>
          <w:bCs/>
          <w:color w:val="000000" w:themeColor="text1"/>
          <w:sz w:val="24"/>
          <w:szCs w:val="24"/>
        </w:rPr>
        <w:t>Table 4</w:t>
      </w:r>
      <w:r w:rsidR="00565C9C" w:rsidRPr="00565C9C">
        <w:rPr>
          <w:rFonts w:asciiTheme="majorBidi" w:hAnsiTheme="majorBidi" w:cstheme="majorBidi"/>
          <w:b/>
          <w:bCs/>
          <w:color w:val="000000" w:themeColor="text1"/>
          <w:sz w:val="24"/>
          <w:szCs w:val="24"/>
        </w:rPr>
        <w:t xml:space="preserve">: </w:t>
      </w:r>
      <w:r w:rsidRPr="00565C9C">
        <w:rPr>
          <w:rFonts w:asciiTheme="majorBidi" w:hAnsiTheme="majorBidi" w:cstheme="majorBidi"/>
          <w:b/>
          <w:bCs/>
          <w:color w:val="000000" w:themeColor="text1"/>
          <w:sz w:val="24"/>
          <w:szCs w:val="24"/>
        </w:rPr>
        <w:t>Proposed Financial Restructuring Plan</w:t>
      </w:r>
    </w:p>
    <w:tbl>
      <w:tblPr>
        <w:tblStyle w:val="GridTable4-Accent5"/>
        <w:tblW w:w="0" w:type="auto"/>
        <w:tblLook w:val="04A0" w:firstRow="1" w:lastRow="0" w:firstColumn="1" w:lastColumn="0" w:noHBand="0" w:noVBand="1"/>
      </w:tblPr>
      <w:tblGrid>
        <w:gridCol w:w="2322"/>
        <w:gridCol w:w="2597"/>
        <w:gridCol w:w="1996"/>
        <w:gridCol w:w="2101"/>
      </w:tblGrid>
      <w:tr w:rsidR="00067DAF" w:rsidRPr="00565C9C" w14:paraId="360FD972" w14:textId="77777777" w:rsidTr="00565C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B8D2BF"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b w:val="0"/>
                <w:bCs w:val="0"/>
                <w:color w:val="000000" w:themeColor="text1"/>
                <w:sz w:val="24"/>
                <w:szCs w:val="24"/>
              </w:rPr>
              <w:t>Action</w:t>
            </w:r>
          </w:p>
        </w:tc>
        <w:tc>
          <w:tcPr>
            <w:tcW w:w="0" w:type="auto"/>
            <w:hideMark/>
          </w:tcPr>
          <w:p w14:paraId="7979990A" w14:textId="77777777" w:rsidR="00067DAF" w:rsidRPr="00565C9C" w:rsidRDefault="00067DAF"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565C9C">
              <w:rPr>
                <w:rFonts w:asciiTheme="majorBidi" w:hAnsiTheme="majorBidi" w:cstheme="majorBidi"/>
                <w:b w:val="0"/>
                <w:bCs w:val="0"/>
                <w:color w:val="000000" w:themeColor="text1"/>
                <w:sz w:val="24"/>
                <w:szCs w:val="24"/>
              </w:rPr>
              <w:t>Shareholder-value effect</w:t>
            </w:r>
          </w:p>
        </w:tc>
        <w:tc>
          <w:tcPr>
            <w:tcW w:w="0" w:type="auto"/>
            <w:hideMark/>
          </w:tcPr>
          <w:p w14:paraId="48F1028D" w14:textId="77777777" w:rsidR="00067DAF" w:rsidRPr="00565C9C" w:rsidRDefault="00067DAF"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565C9C">
              <w:rPr>
                <w:rFonts w:asciiTheme="majorBidi" w:hAnsiTheme="majorBidi" w:cstheme="majorBidi"/>
                <w:b w:val="0"/>
                <w:bCs w:val="0"/>
                <w:color w:val="000000" w:themeColor="text1"/>
                <w:sz w:val="24"/>
                <w:szCs w:val="24"/>
              </w:rPr>
              <w:t>Debt and flexibility effect</w:t>
            </w:r>
          </w:p>
        </w:tc>
        <w:tc>
          <w:tcPr>
            <w:tcW w:w="0" w:type="auto"/>
            <w:hideMark/>
          </w:tcPr>
          <w:p w14:paraId="60FBC70B" w14:textId="77777777" w:rsidR="00067DAF" w:rsidRPr="00565C9C" w:rsidRDefault="00067DAF"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565C9C">
              <w:rPr>
                <w:rFonts w:asciiTheme="majorBidi" w:hAnsiTheme="majorBidi" w:cstheme="majorBidi"/>
                <w:b w:val="0"/>
                <w:bCs w:val="0"/>
                <w:color w:val="000000" w:themeColor="text1"/>
                <w:sz w:val="24"/>
                <w:szCs w:val="24"/>
              </w:rPr>
              <w:t>Principal risk</w:t>
            </w:r>
          </w:p>
        </w:tc>
      </w:tr>
      <w:tr w:rsidR="00067DAF" w:rsidRPr="00565C9C" w14:paraId="5C4BBBD2"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15CC33" w14:textId="77777777" w:rsidR="00067DAF" w:rsidRPr="00565C9C" w:rsidRDefault="00067DAF" w:rsidP="00565C9C">
            <w:pPr>
              <w:spacing w:line="360" w:lineRule="auto"/>
              <w:jc w:val="both"/>
              <w:rPr>
                <w:rFonts w:asciiTheme="majorBidi" w:hAnsiTheme="majorBidi" w:cstheme="majorBidi"/>
                <w:b w:val="0"/>
                <w:bCs w:val="0"/>
                <w:color w:val="000000" w:themeColor="text1"/>
                <w:sz w:val="24"/>
                <w:szCs w:val="24"/>
              </w:rPr>
            </w:pPr>
            <w:r w:rsidRPr="00565C9C">
              <w:rPr>
                <w:rFonts w:asciiTheme="majorBidi" w:hAnsiTheme="majorBidi" w:cstheme="majorBidi"/>
                <w:color w:val="000000" w:themeColor="text1"/>
                <w:sz w:val="24"/>
                <w:szCs w:val="24"/>
              </w:rPr>
              <w:lastRenderedPageBreak/>
              <w:t>Reduce or pause buybacks when leverage exceeds target</w:t>
            </w:r>
          </w:p>
        </w:tc>
        <w:tc>
          <w:tcPr>
            <w:tcW w:w="0" w:type="auto"/>
            <w:hideMark/>
          </w:tcPr>
          <w:p w14:paraId="74477593"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May reduce short-term EPS accretion but protects long-term value</w:t>
            </w:r>
          </w:p>
        </w:tc>
        <w:tc>
          <w:tcPr>
            <w:tcW w:w="0" w:type="auto"/>
            <w:hideMark/>
          </w:tcPr>
          <w:p w14:paraId="74767951"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Retains cash and lowers net debt</w:t>
            </w:r>
          </w:p>
        </w:tc>
        <w:tc>
          <w:tcPr>
            <w:tcW w:w="0" w:type="auto"/>
            <w:hideMark/>
          </w:tcPr>
          <w:p w14:paraId="00190E71"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Negative short-term market reaction</w:t>
            </w:r>
          </w:p>
        </w:tc>
      </w:tr>
      <w:tr w:rsidR="00067DAF" w:rsidRPr="00565C9C" w14:paraId="678F72C5"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60715F06"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Refinance and extend debt maturity profile</w:t>
            </w:r>
          </w:p>
        </w:tc>
        <w:tc>
          <w:tcPr>
            <w:tcW w:w="0" w:type="auto"/>
            <w:hideMark/>
          </w:tcPr>
          <w:p w14:paraId="78575AB1"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Reduces refinancing uncertainty</w:t>
            </w:r>
          </w:p>
        </w:tc>
        <w:tc>
          <w:tcPr>
            <w:tcW w:w="0" w:type="auto"/>
            <w:hideMark/>
          </w:tcPr>
          <w:p w14:paraId="4A3F3F9F"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Improves maturity visibility</w:t>
            </w:r>
          </w:p>
        </w:tc>
        <w:tc>
          <w:tcPr>
            <w:tcW w:w="0" w:type="auto"/>
            <w:hideMark/>
          </w:tcPr>
          <w:p w14:paraId="7778923F"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Higher fixed coupon or issuance cost</w:t>
            </w:r>
          </w:p>
        </w:tc>
      </w:tr>
      <w:tr w:rsidR="00067DAF" w:rsidRPr="00565C9C" w14:paraId="37E0CAAF"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32E163"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Divest non-core property exposure</w:t>
            </w:r>
          </w:p>
        </w:tc>
        <w:tc>
          <w:tcPr>
            <w:tcW w:w="0" w:type="auto"/>
            <w:hideMark/>
          </w:tcPr>
          <w:p w14:paraId="0BFD4313"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Releases capital and reinforces fee model</w:t>
            </w:r>
          </w:p>
        </w:tc>
        <w:tc>
          <w:tcPr>
            <w:tcW w:w="0" w:type="auto"/>
            <w:hideMark/>
          </w:tcPr>
          <w:p w14:paraId="0E02D48C"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Reduces asset and lease risk</w:t>
            </w:r>
          </w:p>
        </w:tc>
        <w:tc>
          <w:tcPr>
            <w:tcW w:w="0" w:type="auto"/>
            <w:hideMark/>
          </w:tcPr>
          <w:p w14:paraId="1DA0AB85"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Loss of strategic control</w:t>
            </w:r>
          </w:p>
        </w:tc>
      </w:tr>
      <w:tr w:rsidR="00067DAF" w:rsidRPr="00565C9C" w14:paraId="0FB80497"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45CC6C59"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Use joint ventures or minority equity for acquisitions</w:t>
            </w:r>
          </w:p>
        </w:tc>
        <w:tc>
          <w:tcPr>
            <w:tcW w:w="0" w:type="auto"/>
            <w:hideMark/>
          </w:tcPr>
          <w:p w14:paraId="4E6564D4"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Limits debt-funded expansion</w:t>
            </w:r>
          </w:p>
        </w:tc>
        <w:tc>
          <w:tcPr>
            <w:tcW w:w="0" w:type="auto"/>
            <w:hideMark/>
          </w:tcPr>
          <w:p w14:paraId="22D9F255"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Shares execution and market risk</w:t>
            </w:r>
          </w:p>
        </w:tc>
        <w:tc>
          <w:tcPr>
            <w:tcW w:w="0" w:type="auto"/>
            <w:hideMark/>
          </w:tcPr>
          <w:p w14:paraId="1E326E23"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Governance complexity</w:t>
            </w:r>
          </w:p>
        </w:tc>
      </w:tr>
      <w:tr w:rsidR="00067DAF" w:rsidRPr="00565C9C" w14:paraId="6AD4F3E8"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94E076"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Ring-fence ESG and technology investment</w:t>
            </w:r>
          </w:p>
        </w:tc>
        <w:tc>
          <w:tcPr>
            <w:tcW w:w="0" w:type="auto"/>
            <w:hideMark/>
          </w:tcPr>
          <w:p w14:paraId="6773CCE8"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Protects brand and owner proposition</w:t>
            </w:r>
          </w:p>
        </w:tc>
        <w:tc>
          <w:tcPr>
            <w:tcW w:w="0" w:type="auto"/>
            <w:hideMark/>
          </w:tcPr>
          <w:p w14:paraId="6088C967"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Reduces future operating and regulatory risk</w:t>
            </w:r>
          </w:p>
        </w:tc>
        <w:tc>
          <w:tcPr>
            <w:tcW w:w="0" w:type="auto"/>
            <w:hideMark/>
          </w:tcPr>
          <w:p w14:paraId="7AA36E8C"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Benefits may emerge gradually</w:t>
            </w:r>
          </w:p>
        </w:tc>
      </w:tr>
    </w:tbl>
    <w:p w14:paraId="069DFFA6" w14:textId="77777777" w:rsidR="00067DAF" w:rsidRPr="00565C9C" w:rsidRDefault="00067DAF" w:rsidP="00565C9C">
      <w:pPr>
        <w:pStyle w:val="NormalWeb"/>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Source:</w:t>
      </w:r>
      <w:r w:rsidRPr="00565C9C">
        <w:rPr>
          <w:rFonts w:asciiTheme="majorBidi" w:hAnsiTheme="majorBidi" w:cstheme="majorBidi"/>
          <w:color w:val="000000" w:themeColor="text1"/>
        </w:rPr>
        <w:t xml:space="preserve"> Author’s own work based on agency, stakeholder and asset-light strategy literature.</w:t>
      </w:r>
    </w:p>
    <w:p w14:paraId="53D10781"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The first step should be to cut down on buybacks, to get net debt to adjusted EBITDA below 2.5x on a sustainable basis and stressed liquidity above the proposed floor. In 2025, IHG generated over $1.1 billion for shareholders on the back of a $551 million net increase in its debt position. While the ordinary dividend was paid for, financial capacity was absorbed by large buybacks which could have been used to pay down debt or invest in technology, loyalty and brand acquisitions. While the Jensen (1986) view of a dividend distribution as an easy way to curb the wasteful managerial investment is interesting, it is not a surplus dividend when a distribution materially increases leverage and reduces resilience (Poretti &amp; Blal, 2020; Wang et al., 2024). While Alderson et al. (2020) do not provide any general evidence that buybacks negatively impact bondholders, this does not eliminate company-specific refinancing and liquidity restrictions.</w:t>
      </w:r>
    </w:p>
    <w:p w14:paraId="1519BB94"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 xml:space="preserve">Second, the debt portfolio needs to be re-configured via early refinancing, currency matching and a healthy mix of fixed vs floating rate. IHG has translation and transaction exposure because it generates revenue in various currencies, but reports its results in U.S. </w:t>
      </w:r>
      <w:r w:rsidRPr="00565C9C">
        <w:rPr>
          <w:rFonts w:asciiTheme="majorBidi" w:hAnsiTheme="majorBidi" w:cstheme="majorBidi"/>
          <w:color w:val="000000" w:themeColor="text1"/>
          <w:sz w:val="24"/>
          <w:szCs w:val="24"/>
        </w:rPr>
        <w:lastRenderedPageBreak/>
        <w:t>dollars. Derivatives can be used to manage exposure and debt in currencies that are aligned with recurring regional cash flows can be used to provide a natural hedge. But tax and regulatory decisions should be based on real commercial substance, not on the aggressive (profit shifting) aspect. The goal is to reduce the cost of funding (after risk), not just the actual tax rate.</w:t>
      </w:r>
    </w:p>
    <w:p w14:paraId="173DDCD5"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Third, IHG should further rationalize its owned or leased portfolio by selling (or redeveloping) those properties that don't play a vital role in brand control, innovation or strategic-market entry. While asset-light expansion is generally linked to increased flexibility and performance, the benefits have been found to differ depending on the level of leverage, economic conditions, and business cycle, as well as the firms' capabilities (Ji et al., 2024; Liang et al., 2023; Lussi et al., 2023). Divestment proceeds should consequently go toward lowering debt and not automatically fund new buybacks if the investment is in brands and technology that has great return, etc.</w:t>
      </w:r>
    </w:p>
    <w:p w14:paraId="3B4D9678"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Fourth, acquisitions should be funded via a combination of retained cash, disposals, earn-outs, a joint venture and, strategically, limited equity issuance. An equity injection is not immediately needed as this would dilute investors given the strong cash generation. However, partnership capital might make sense if a business is expanding into geography that presents risk, or if the business is a new one or a new brand, where local know-how is essential. This would ensure operational flexibility and lessen the likelihood of loss of otherwise useful investments due to a political or currency shock.</w:t>
      </w:r>
    </w:p>
    <w:p w14:paraId="2FE732F4" w14:textId="47701C07" w:rsidR="00067DAF" w:rsidRPr="00565C9C" w:rsidRDefault="00067DAF" w:rsidP="00565C9C">
      <w:pPr>
        <w:pStyle w:val="Heading2"/>
        <w:spacing w:line="360" w:lineRule="auto"/>
        <w:jc w:val="both"/>
      </w:pPr>
      <w:bookmarkStart w:id="12" w:name="_Toc235741005"/>
      <w:r w:rsidRPr="00565C9C">
        <w:t>International and Ethical Considerations</w:t>
      </w:r>
      <w:bookmarkEnd w:id="12"/>
    </w:p>
    <w:p w14:paraId="0D4354E6"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Policy uncertainty, protectionism and geopolitical uncertainty continue to pose a risk to the global economy. The IMF also forecasted a growth of 3.2% for the world in 2025 and 3.1% for 2026, noting downside risks stemming from trade barriers, fiscal vulnerability, and institutional uncertainty. The literature on hospitality also indicates that policy uncertainty can lead to a decline in investment efficiency and a reduction in corporate investment in a country (García-Gómez et al., 2023; IMF, 2025). When investing in markets with volatile currencies, tax regimes or political institutions, IHG should therefore apply the principle of staged capital investments and exit clauses, and use scenario-adjusted hurdle rates.</w:t>
      </w:r>
    </w:p>
    <w:p w14:paraId="6B1CBA6B"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 xml:space="preserve">Structuring should not be done in an ethical manner to the detriment of employees, hotel owners, suppliers or communities to the benefit of shareholders. Stakeholder theory calls for the financial strategy to ensure that the relationships that the brand's value relies upon are safeguarded. There is mixed evidence regarding the direct ESG–financial performance link, </w:t>
      </w:r>
      <w:r w:rsidRPr="00565C9C">
        <w:rPr>
          <w:rFonts w:asciiTheme="majorBidi" w:hAnsiTheme="majorBidi" w:cstheme="majorBidi"/>
          <w:color w:val="000000" w:themeColor="text1"/>
          <w:sz w:val="24"/>
          <w:szCs w:val="24"/>
        </w:rPr>
        <w:lastRenderedPageBreak/>
        <w:t>with Chen et al. (2022) providing evidence for greater ESG portfolio resiliency of the ESG-committed hotel portfolio, and Uyar et al. (2020) finding that having a stronger CSR governance does not necessarily translate to greater financial performance. Environmental performance can however help to improve reputation and indirectly to boost hotel performance (Becerra-Vicario et al., 2022; Ghaderi et al., 2019; Zhang &amp; Xie, 2021).</w:t>
      </w:r>
    </w:p>
    <w:p w14:paraId="482883EC"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IHG should therefore set-aside investments in energy efficiency, responsible sourcing, cyber security, employee training and franchise standards. There are several different types of KPIs, financial and non-financial, that should be used to assess ESG expenditure, such as energy intensity, emissions, owners compliance, employees retention, guest trust, and regulatory exposure. That prevents two extremes – that all ESG spending is value-creating or that spending strategically important investments be reduced because they are not easy to capture on a short-term NPV.</w:t>
      </w:r>
    </w:p>
    <w:p w14:paraId="00279235" w14:textId="14A5A0ED" w:rsidR="00067DAF" w:rsidRPr="00565C9C" w:rsidRDefault="00067DAF" w:rsidP="00565C9C">
      <w:pPr>
        <w:pStyle w:val="Heading1"/>
        <w:rPr>
          <w:sz w:val="24"/>
          <w:szCs w:val="24"/>
        </w:rPr>
      </w:pPr>
      <w:bookmarkStart w:id="13" w:name="_Toc235741006"/>
      <w:r w:rsidRPr="00565C9C">
        <w:rPr>
          <w:sz w:val="24"/>
          <w:szCs w:val="24"/>
        </w:rPr>
        <w:t>Investment Appraisal and Capital Budgeting</w:t>
      </w:r>
      <w:bookmarkEnd w:id="13"/>
    </w:p>
    <w:p w14:paraId="09209927" w14:textId="311B4F7B" w:rsidR="00067DAF" w:rsidRPr="00565C9C" w:rsidRDefault="00067DAF" w:rsidP="00565C9C">
      <w:pPr>
        <w:pStyle w:val="Heading2"/>
        <w:spacing w:line="360" w:lineRule="auto"/>
        <w:jc w:val="both"/>
      </w:pPr>
      <w:bookmarkStart w:id="14" w:name="_Toc235741007"/>
      <w:r w:rsidRPr="00565C9C">
        <w:t>Appraisal Assumptions and Methods</w:t>
      </w:r>
      <w:bookmarkEnd w:id="14"/>
    </w:p>
    <w:p w14:paraId="2982958A"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Each of the three projects has an initial investment of £50m and has cash inflows over five years. The discount rate is 8% and the residual value is £0 and the annual straight line depreciation is £10 million? There are five methods of appraisal used:</w:t>
      </w:r>
    </w:p>
    <w:p w14:paraId="16CBBA91" w14:textId="77777777" w:rsidR="00067DAF" w:rsidRPr="00565C9C" w:rsidRDefault="00067DAF" w:rsidP="00565C9C">
      <w:pPr>
        <w:pStyle w:val="NormalWeb"/>
        <w:numPr>
          <w:ilvl w:val="0"/>
          <w:numId w:val="12"/>
        </w:numPr>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Payback period (PBP):</w:t>
      </w:r>
      <w:r w:rsidRPr="00565C9C">
        <w:rPr>
          <w:rFonts w:asciiTheme="majorBidi" w:hAnsiTheme="majorBidi" w:cstheme="majorBidi"/>
          <w:color w:val="000000" w:themeColor="text1"/>
        </w:rPr>
        <w:t xml:space="preserve"> time required to recover the original investment.</w:t>
      </w:r>
    </w:p>
    <w:p w14:paraId="20C10E04" w14:textId="77777777" w:rsidR="00067DAF" w:rsidRPr="00565C9C" w:rsidRDefault="00067DAF" w:rsidP="00565C9C">
      <w:pPr>
        <w:pStyle w:val="NormalWeb"/>
        <w:numPr>
          <w:ilvl w:val="0"/>
          <w:numId w:val="12"/>
        </w:numPr>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Accounting rate of return (ARR):</w:t>
      </w:r>
      <w:r w:rsidRPr="00565C9C">
        <w:rPr>
          <w:rFonts w:asciiTheme="majorBidi" w:hAnsiTheme="majorBidi" w:cstheme="majorBidi"/>
          <w:color w:val="000000" w:themeColor="text1"/>
        </w:rPr>
        <w:t xml:space="preserve"> average accounting profit divided by average investment.</w:t>
      </w:r>
    </w:p>
    <w:p w14:paraId="294371EB" w14:textId="77777777" w:rsidR="00067DAF" w:rsidRPr="00565C9C" w:rsidRDefault="00067DAF" w:rsidP="00565C9C">
      <w:pPr>
        <w:pStyle w:val="NormalWeb"/>
        <w:numPr>
          <w:ilvl w:val="0"/>
          <w:numId w:val="12"/>
        </w:numPr>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Net present value (NPV):</w:t>
      </w:r>
      <w:r w:rsidRPr="00565C9C">
        <w:rPr>
          <w:rFonts w:asciiTheme="majorBidi" w:hAnsiTheme="majorBidi" w:cstheme="majorBidi"/>
          <w:color w:val="000000" w:themeColor="text1"/>
        </w:rPr>
        <w:t xml:space="preserve"> discounted cash inflows less initial investment.</w:t>
      </w:r>
    </w:p>
    <w:p w14:paraId="1B75FC45" w14:textId="77777777" w:rsidR="00067DAF" w:rsidRPr="00565C9C" w:rsidRDefault="00067DAF" w:rsidP="00565C9C">
      <w:pPr>
        <w:pStyle w:val="NormalWeb"/>
        <w:numPr>
          <w:ilvl w:val="0"/>
          <w:numId w:val="12"/>
        </w:numPr>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Profitability index (PI):</w:t>
      </w:r>
      <w:r w:rsidRPr="00565C9C">
        <w:rPr>
          <w:rFonts w:asciiTheme="majorBidi" w:hAnsiTheme="majorBidi" w:cstheme="majorBidi"/>
          <w:color w:val="000000" w:themeColor="text1"/>
        </w:rPr>
        <w:t xml:space="preserve"> present value of inflows divided by initial investment.</w:t>
      </w:r>
    </w:p>
    <w:p w14:paraId="185BA9E0" w14:textId="77777777" w:rsidR="00067DAF" w:rsidRPr="00565C9C" w:rsidRDefault="00067DAF" w:rsidP="00565C9C">
      <w:pPr>
        <w:pStyle w:val="NormalWeb"/>
        <w:numPr>
          <w:ilvl w:val="0"/>
          <w:numId w:val="12"/>
        </w:numPr>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Internal rate of return (IRR):</w:t>
      </w:r>
      <w:r w:rsidRPr="00565C9C">
        <w:rPr>
          <w:rFonts w:asciiTheme="majorBidi" w:hAnsiTheme="majorBidi" w:cstheme="majorBidi"/>
          <w:color w:val="000000" w:themeColor="text1"/>
        </w:rPr>
        <w:t xml:space="preserve"> discount rate at which NPV equals zero.</w:t>
      </w:r>
    </w:p>
    <w:p w14:paraId="23CCACC9"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The main advantage of NPV is that it provides measures of absolute changes in shareholder wealth after the time value of money and required return is taken into account. PI can be applied for capital rationing and IRR offers a percentages return that is easy to understand. PBP and ARR are still valuable as supplemental indicators, but don't account for cash flows following payback, the time value of money, or both. So, no investment should be made on the basis that it simply gives the greatest ARR and/or the shortest payback.</w:t>
      </w:r>
    </w:p>
    <w:p w14:paraId="3F8E16CD" w14:textId="7FC5020A" w:rsidR="00067DAF" w:rsidRPr="00565C9C" w:rsidRDefault="00067DAF" w:rsidP="00565C9C">
      <w:pPr>
        <w:pStyle w:val="Heading2"/>
        <w:spacing w:line="360" w:lineRule="auto"/>
        <w:jc w:val="both"/>
      </w:pPr>
      <w:bookmarkStart w:id="15" w:name="_Toc235741008"/>
      <w:r w:rsidRPr="00565C9C">
        <w:lastRenderedPageBreak/>
        <w:t>Calculated Results</w:t>
      </w:r>
      <w:bookmarkEnd w:id="15"/>
    </w:p>
    <w:p w14:paraId="29A53061" w14:textId="7DA2283D" w:rsidR="00067DAF" w:rsidRPr="00565C9C" w:rsidRDefault="00067DAF" w:rsidP="00565C9C">
      <w:pPr>
        <w:pStyle w:val="NoSpacing"/>
        <w:spacing w:line="360" w:lineRule="auto"/>
        <w:jc w:val="both"/>
        <w:rPr>
          <w:rFonts w:asciiTheme="majorBidi" w:hAnsiTheme="majorBidi" w:cstheme="majorBidi"/>
          <w:b/>
          <w:bCs/>
          <w:color w:val="000000" w:themeColor="text1"/>
          <w:sz w:val="24"/>
          <w:szCs w:val="24"/>
        </w:rPr>
      </w:pPr>
      <w:r w:rsidRPr="00565C9C">
        <w:rPr>
          <w:rFonts w:asciiTheme="majorBidi" w:hAnsiTheme="majorBidi" w:cstheme="majorBidi"/>
          <w:b/>
          <w:bCs/>
          <w:color w:val="000000" w:themeColor="text1"/>
          <w:sz w:val="24"/>
          <w:szCs w:val="24"/>
        </w:rPr>
        <w:t>Table 5</w:t>
      </w:r>
      <w:r w:rsidR="00565C9C" w:rsidRPr="00565C9C">
        <w:rPr>
          <w:rFonts w:asciiTheme="majorBidi" w:hAnsiTheme="majorBidi" w:cstheme="majorBidi"/>
          <w:b/>
          <w:bCs/>
          <w:color w:val="000000" w:themeColor="text1"/>
          <w:sz w:val="24"/>
          <w:szCs w:val="24"/>
        </w:rPr>
        <w:t>:</w:t>
      </w:r>
      <w:r w:rsidRPr="00565C9C">
        <w:rPr>
          <w:rStyle w:val="Strong"/>
          <w:rFonts w:asciiTheme="majorBidi" w:hAnsiTheme="majorBidi" w:cstheme="majorBidi"/>
          <w:b w:val="0"/>
          <w:bCs w:val="0"/>
          <w:color w:val="000000" w:themeColor="text1"/>
          <w:sz w:val="24"/>
          <w:szCs w:val="24"/>
        </w:rPr>
        <w:t>Investment Appraisal Results</w:t>
      </w:r>
    </w:p>
    <w:tbl>
      <w:tblPr>
        <w:tblStyle w:val="GridTable4-Accent5"/>
        <w:tblW w:w="0" w:type="auto"/>
        <w:tblLook w:val="04A0" w:firstRow="1" w:lastRow="0" w:firstColumn="1" w:lastColumn="0" w:noHBand="0" w:noVBand="1"/>
      </w:tblPr>
      <w:tblGrid>
        <w:gridCol w:w="2817"/>
        <w:gridCol w:w="1563"/>
        <w:gridCol w:w="1563"/>
        <w:gridCol w:w="1563"/>
      </w:tblGrid>
      <w:tr w:rsidR="00067DAF" w:rsidRPr="00565C9C" w14:paraId="6AF67133" w14:textId="77777777" w:rsidTr="00565C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3DD58D"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b w:val="0"/>
                <w:bCs w:val="0"/>
                <w:color w:val="000000" w:themeColor="text1"/>
                <w:sz w:val="24"/>
                <w:szCs w:val="24"/>
              </w:rPr>
              <w:t>Measure</w:t>
            </w:r>
          </w:p>
        </w:tc>
        <w:tc>
          <w:tcPr>
            <w:tcW w:w="0" w:type="auto"/>
            <w:hideMark/>
          </w:tcPr>
          <w:p w14:paraId="7C3653AB" w14:textId="77777777" w:rsidR="00067DAF" w:rsidRPr="00565C9C" w:rsidRDefault="00067DAF"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565C9C">
              <w:rPr>
                <w:rFonts w:asciiTheme="majorBidi" w:hAnsiTheme="majorBidi" w:cstheme="majorBidi"/>
                <w:b w:val="0"/>
                <w:bCs w:val="0"/>
                <w:color w:val="000000" w:themeColor="text1"/>
                <w:sz w:val="24"/>
                <w:szCs w:val="24"/>
              </w:rPr>
              <w:t>Project A</w:t>
            </w:r>
          </w:p>
        </w:tc>
        <w:tc>
          <w:tcPr>
            <w:tcW w:w="0" w:type="auto"/>
            <w:hideMark/>
          </w:tcPr>
          <w:p w14:paraId="4B34B1F8" w14:textId="77777777" w:rsidR="00067DAF" w:rsidRPr="00565C9C" w:rsidRDefault="00067DAF"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565C9C">
              <w:rPr>
                <w:rFonts w:asciiTheme="majorBidi" w:hAnsiTheme="majorBidi" w:cstheme="majorBidi"/>
                <w:b w:val="0"/>
                <w:bCs w:val="0"/>
                <w:color w:val="000000" w:themeColor="text1"/>
                <w:sz w:val="24"/>
                <w:szCs w:val="24"/>
              </w:rPr>
              <w:t>Project B</w:t>
            </w:r>
          </w:p>
        </w:tc>
        <w:tc>
          <w:tcPr>
            <w:tcW w:w="0" w:type="auto"/>
            <w:hideMark/>
          </w:tcPr>
          <w:p w14:paraId="3F9C51AF" w14:textId="77777777" w:rsidR="00067DAF" w:rsidRPr="00565C9C" w:rsidRDefault="00067DAF"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565C9C">
              <w:rPr>
                <w:rFonts w:asciiTheme="majorBidi" w:hAnsiTheme="majorBidi" w:cstheme="majorBidi"/>
                <w:b w:val="0"/>
                <w:bCs w:val="0"/>
                <w:color w:val="000000" w:themeColor="text1"/>
                <w:sz w:val="24"/>
                <w:szCs w:val="24"/>
              </w:rPr>
              <w:t>Project C</w:t>
            </w:r>
          </w:p>
        </w:tc>
      </w:tr>
      <w:tr w:rsidR="00067DAF" w:rsidRPr="00565C9C" w14:paraId="361FF155"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61AE70" w14:textId="77777777" w:rsidR="00067DAF" w:rsidRPr="00565C9C" w:rsidRDefault="00067DAF" w:rsidP="00565C9C">
            <w:pPr>
              <w:spacing w:line="360" w:lineRule="auto"/>
              <w:jc w:val="both"/>
              <w:rPr>
                <w:rFonts w:asciiTheme="majorBidi" w:hAnsiTheme="majorBidi" w:cstheme="majorBidi"/>
                <w:b w:val="0"/>
                <w:bCs w:val="0"/>
                <w:color w:val="000000" w:themeColor="text1"/>
                <w:sz w:val="24"/>
                <w:szCs w:val="24"/>
              </w:rPr>
            </w:pPr>
            <w:r w:rsidRPr="00565C9C">
              <w:rPr>
                <w:rFonts w:asciiTheme="majorBidi" w:hAnsiTheme="majorBidi" w:cstheme="majorBidi"/>
                <w:color w:val="000000" w:themeColor="text1"/>
                <w:sz w:val="24"/>
                <w:szCs w:val="24"/>
              </w:rPr>
              <w:t>Initial investment</w:t>
            </w:r>
          </w:p>
        </w:tc>
        <w:tc>
          <w:tcPr>
            <w:tcW w:w="0" w:type="auto"/>
            <w:hideMark/>
          </w:tcPr>
          <w:p w14:paraId="3D6DAA5F"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£50.000m</w:t>
            </w:r>
          </w:p>
        </w:tc>
        <w:tc>
          <w:tcPr>
            <w:tcW w:w="0" w:type="auto"/>
            <w:hideMark/>
          </w:tcPr>
          <w:p w14:paraId="332DD461"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£50.000m</w:t>
            </w:r>
          </w:p>
        </w:tc>
        <w:tc>
          <w:tcPr>
            <w:tcW w:w="0" w:type="auto"/>
            <w:hideMark/>
          </w:tcPr>
          <w:p w14:paraId="00396D3A"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£50.000m</w:t>
            </w:r>
          </w:p>
        </w:tc>
      </w:tr>
      <w:tr w:rsidR="00067DAF" w:rsidRPr="00565C9C" w14:paraId="3BE68518"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027A2A9E"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Total nominal inflows</w:t>
            </w:r>
          </w:p>
        </w:tc>
        <w:tc>
          <w:tcPr>
            <w:tcW w:w="0" w:type="auto"/>
            <w:hideMark/>
          </w:tcPr>
          <w:p w14:paraId="23C19E02"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£54.000m</w:t>
            </w:r>
          </w:p>
        </w:tc>
        <w:tc>
          <w:tcPr>
            <w:tcW w:w="0" w:type="auto"/>
            <w:hideMark/>
          </w:tcPr>
          <w:p w14:paraId="55D76574"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£55.000m</w:t>
            </w:r>
          </w:p>
        </w:tc>
        <w:tc>
          <w:tcPr>
            <w:tcW w:w="0" w:type="auto"/>
            <w:hideMark/>
          </w:tcPr>
          <w:p w14:paraId="435C02DC"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£65.000m</w:t>
            </w:r>
          </w:p>
        </w:tc>
      </w:tr>
      <w:tr w:rsidR="00067DAF" w:rsidRPr="00565C9C" w14:paraId="766B49DB"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8CB506"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Payback period</w:t>
            </w:r>
          </w:p>
        </w:tc>
        <w:tc>
          <w:tcPr>
            <w:tcW w:w="0" w:type="auto"/>
            <w:hideMark/>
          </w:tcPr>
          <w:p w14:paraId="52096FB6"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4.50 years</w:t>
            </w:r>
          </w:p>
        </w:tc>
        <w:tc>
          <w:tcPr>
            <w:tcW w:w="0" w:type="auto"/>
            <w:hideMark/>
          </w:tcPr>
          <w:p w14:paraId="4F0F6C5D"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4.55 years</w:t>
            </w:r>
          </w:p>
        </w:tc>
        <w:tc>
          <w:tcPr>
            <w:tcW w:w="0" w:type="auto"/>
            <w:hideMark/>
          </w:tcPr>
          <w:p w14:paraId="1DBCFE0F"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3.60 years</w:t>
            </w:r>
          </w:p>
        </w:tc>
      </w:tr>
      <w:tr w:rsidR="00067DAF" w:rsidRPr="00565C9C" w14:paraId="04CAC546"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0CFD508C"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ARR</w:t>
            </w:r>
          </w:p>
        </w:tc>
        <w:tc>
          <w:tcPr>
            <w:tcW w:w="0" w:type="auto"/>
            <w:hideMark/>
          </w:tcPr>
          <w:p w14:paraId="6D07B33E"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3.20%</w:t>
            </w:r>
          </w:p>
        </w:tc>
        <w:tc>
          <w:tcPr>
            <w:tcW w:w="0" w:type="auto"/>
            <w:hideMark/>
          </w:tcPr>
          <w:p w14:paraId="5B744E0E"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4.00%</w:t>
            </w:r>
          </w:p>
        </w:tc>
        <w:tc>
          <w:tcPr>
            <w:tcW w:w="0" w:type="auto"/>
            <w:hideMark/>
          </w:tcPr>
          <w:p w14:paraId="17E34495"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12.00%</w:t>
            </w:r>
          </w:p>
        </w:tc>
      </w:tr>
      <w:tr w:rsidR="00067DAF" w:rsidRPr="00565C9C" w14:paraId="08B32E6F"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FECA4B"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NPV at 8%</w:t>
            </w:r>
          </w:p>
        </w:tc>
        <w:tc>
          <w:tcPr>
            <w:tcW w:w="0" w:type="auto"/>
            <w:hideMark/>
          </w:tcPr>
          <w:p w14:paraId="56A3A478"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Style w:val="Strong"/>
                <w:rFonts w:asciiTheme="majorBidi" w:hAnsiTheme="majorBidi" w:cstheme="majorBidi"/>
                <w:color w:val="000000" w:themeColor="text1"/>
                <w:sz w:val="24"/>
                <w:szCs w:val="24"/>
              </w:rPr>
              <w:t>–£6.544m</w:t>
            </w:r>
          </w:p>
        </w:tc>
        <w:tc>
          <w:tcPr>
            <w:tcW w:w="0" w:type="auto"/>
            <w:hideMark/>
          </w:tcPr>
          <w:p w14:paraId="5EE967C8"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Style w:val="Strong"/>
                <w:rFonts w:asciiTheme="majorBidi" w:hAnsiTheme="majorBidi" w:cstheme="majorBidi"/>
                <w:color w:val="000000" w:themeColor="text1"/>
                <w:sz w:val="24"/>
                <w:szCs w:val="24"/>
              </w:rPr>
              <w:t>–£6.080m</w:t>
            </w:r>
          </w:p>
        </w:tc>
        <w:tc>
          <w:tcPr>
            <w:tcW w:w="0" w:type="auto"/>
            <w:hideMark/>
          </w:tcPr>
          <w:p w14:paraId="3B3F5BD8"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Style w:val="Strong"/>
                <w:rFonts w:asciiTheme="majorBidi" w:hAnsiTheme="majorBidi" w:cstheme="majorBidi"/>
                <w:color w:val="000000" w:themeColor="text1"/>
                <w:sz w:val="24"/>
                <w:szCs w:val="24"/>
              </w:rPr>
              <w:t>£0.858m</w:t>
            </w:r>
          </w:p>
        </w:tc>
      </w:tr>
      <w:tr w:rsidR="00067DAF" w:rsidRPr="00565C9C" w14:paraId="35C63834"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5D091E4E"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Profitability index</w:t>
            </w:r>
          </w:p>
        </w:tc>
        <w:tc>
          <w:tcPr>
            <w:tcW w:w="0" w:type="auto"/>
            <w:hideMark/>
          </w:tcPr>
          <w:p w14:paraId="41DC8934"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0.869x</w:t>
            </w:r>
          </w:p>
        </w:tc>
        <w:tc>
          <w:tcPr>
            <w:tcW w:w="0" w:type="auto"/>
            <w:hideMark/>
          </w:tcPr>
          <w:p w14:paraId="448854D3"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0.878x</w:t>
            </w:r>
          </w:p>
        </w:tc>
        <w:tc>
          <w:tcPr>
            <w:tcW w:w="0" w:type="auto"/>
            <w:hideMark/>
          </w:tcPr>
          <w:p w14:paraId="3D2B00B0"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1.017x</w:t>
            </w:r>
          </w:p>
        </w:tc>
      </w:tr>
      <w:tr w:rsidR="00067DAF" w:rsidRPr="00565C9C" w14:paraId="142C1934"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66FBAF"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IRR</w:t>
            </w:r>
          </w:p>
        </w:tc>
        <w:tc>
          <w:tcPr>
            <w:tcW w:w="0" w:type="auto"/>
            <w:hideMark/>
          </w:tcPr>
          <w:p w14:paraId="59D2256A"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2.72%</w:t>
            </w:r>
          </w:p>
        </w:tc>
        <w:tc>
          <w:tcPr>
            <w:tcW w:w="0" w:type="auto"/>
            <w:hideMark/>
          </w:tcPr>
          <w:p w14:paraId="6DF2403A"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3.26%</w:t>
            </w:r>
          </w:p>
        </w:tc>
        <w:tc>
          <w:tcPr>
            <w:tcW w:w="0" w:type="auto"/>
            <w:hideMark/>
          </w:tcPr>
          <w:p w14:paraId="0196E06B"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8.59%</w:t>
            </w:r>
          </w:p>
        </w:tc>
      </w:tr>
      <w:tr w:rsidR="00067DAF" w:rsidRPr="00565C9C" w14:paraId="6ED97781"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7ACF996F"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Financial decision</w:t>
            </w:r>
          </w:p>
        </w:tc>
        <w:tc>
          <w:tcPr>
            <w:tcW w:w="0" w:type="auto"/>
            <w:hideMark/>
          </w:tcPr>
          <w:p w14:paraId="093E2FDA"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Reject</w:t>
            </w:r>
          </w:p>
        </w:tc>
        <w:tc>
          <w:tcPr>
            <w:tcW w:w="0" w:type="auto"/>
            <w:hideMark/>
          </w:tcPr>
          <w:p w14:paraId="31BE64EF"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Reject</w:t>
            </w:r>
          </w:p>
        </w:tc>
        <w:tc>
          <w:tcPr>
            <w:tcW w:w="0" w:type="auto"/>
            <w:hideMark/>
          </w:tcPr>
          <w:p w14:paraId="7032FB24"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Accept</w:t>
            </w:r>
          </w:p>
        </w:tc>
      </w:tr>
    </w:tbl>
    <w:p w14:paraId="27CA9191" w14:textId="1CD40D1F" w:rsidR="00067DAF" w:rsidRPr="00565C9C" w:rsidRDefault="00067DAF" w:rsidP="00565C9C">
      <w:pPr>
        <w:pStyle w:val="NormalWeb"/>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Source:</w:t>
      </w:r>
      <w:r w:rsidRPr="00565C9C">
        <w:rPr>
          <w:rFonts w:asciiTheme="majorBidi" w:hAnsiTheme="majorBidi" w:cstheme="majorBidi"/>
          <w:color w:val="000000" w:themeColor="text1"/>
        </w:rPr>
        <w:t xml:space="preserve"> Author’s calculations. </w:t>
      </w:r>
    </w:p>
    <w:p w14:paraId="32288036"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Project A will have a payback period of 4.5 years. It has an average annual cash inflow of £10.8m and an average accounting profit after deducting £10m of depreciation is only £0.8m, giving an ARR of 3.2%. Its NPV is negative £6.544 million, PI is 0.869 and IRR is 2.72%. Thus the project does not pass any DCF decision rule and will be rejected.</w:t>
      </w:r>
    </w:p>
    <w:p w14:paraId="56CB641E"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Project B can offer regular cash flows of £11 million per year and might seem less risky compared to the other alternatives. But there is no substitute for less return in stability. The payback period is about 4.55 years, ARR is 4%, the NPV is -£6.080 million, PI is 0.878 and the IRR is just 3.26%. The NPV of Project B is a bit smaller than the NPV of Project A, but still, it generates less than the expected 8% return.</w:t>
      </w:r>
    </w:p>
    <w:p w14:paraId="53CCBE32"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Project C is the superior project from a financial point of view. It has an investment of £50 million and recovers this investment after 3.6 years, an ARR of 12%, a positive NPV of £0.858 million, a PI of 1.017 and an IRR of 8.59%. It is the only project that meets the criteria for positive NPV, PI&gt;1.0 and IRR&gt;hurdle rate.</w:t>
      </w:r>
    </w:p>
    <w:p w14:paraId="32F2BAF5" w14:textId="13271718" w:rsidR="00565C9C" w:rsidRPr="00565C9C" w:rsidRDefault="00565C9C" w:rsidP="00565C9C">
      <w:pPr>
        <w:pStyle w:val="NormalWeb"/>
        <w:spacing w:line="360" w:lineRule="auto"/>
        <w:jc w:val="both"/>
        <w:rPr>
          <w:rFonts w:asciiTheme="majorBidi" w:hAnsiTheme="majorBidi" w:cstheme="majorBidi"/>
          <w:color w:val="000000" w:themeColor="text1"/>
        </w:rPr>
      </w:pPr>
      <w:r w:rsidRPr="00565C9C">
        <w:rPr>
          <w:rFonts w:asciiTheme="majorBidi" w:hAnsiTheme="majorBidi" w:cstheme="majorBidi"/>
          <w:color w:val="000000" w:themeColor="text1"/>
        </w:rPr>
        <w:lastRenderedPageBreak/>
        <w:drawing>
          <wp:inline distT="0" distB="0" distL="0" distR="0" wp14:anchorId="5DADA432" wp14:editId="69810002">
            <wp:extent cx="4762500" cy="2514600"/>
            <wp:effectExtent l="0" t="0" r="0" b="0"/>
            <wp:docPr id="1040318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318074" name=""/>
                    <pic:cNvPicPr/>
                  </pic:nvPicPr>
                  <pic:blipFill>
                    <a:blip r:embed="rId13"/>
                    <a:stretch>
                      <a:fillRect/>
                    </a:stretch>
                  </pic:blipFill>
                  <pic:spPr>
                    <a:xfrm>
                      <a:off x="0" y="0"/>
                      <a:ext cx="4762500" cy="2514600"/>
                    </a:xfrm>
                    <a:prstGeom prst="rect">
                      <a:avLst/>
                    </a:prstGeom>
                  </pic:spPr>
                </pic:pic>
              </a:graphicData>
            </a:graphic>
          </wp:inline>
        </w:drawing>
      </w:r>
    </w:p>
    <w:p w14:paraId="60DBE23D" w14:textId="2A79D971" w:rsidR="00067DAF" w:rsidRPr="00565C9C" w:rsidRDefault="00067DAF" w:rsidP="00565C9C">
      <w:pPr>
        <w:pStyle w:val="NormalWeb"/>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Figure 4. Project Net Present Values at an 8% Discount Rate</w:t>
      </w:r>
      <w:r w:rsidRPr="00565C9C">
        <w:rPr>
          <w:rFonts w:asciiTheme="majorBidi" w:hAnsiTheme="majorBidi" w:cstheme="majorBidi"/>
          <w:color w:val="000000" w:themeColor="text1"/>
        </w:rPr>
        <w:br/>
      </w:r>
      <w:r w:rsidRPr="00565C9C">
        <w:rPr>
          <w:rFonts w:asciiTheme="majorBidi" w:hAnsiTheme="majorBidi" w:cstheme="majorBidi"/>
          <w:color w:val="000000" w:themeColor="text1"/>
        </w:rPr>
        <w:br/>
      </w:r>
      <w:r w:rsidRPr="00565C9C">
        <w:rPr>
          <w:rStyle w:val="Strong"/>
          <w:rFonts w:asciiTheme="majorBidi" w:hAnsiTheme="majorBidi" w:cstheme="majorBidi"/>
          <w:color w:val="000000" w:themeColor="text1"/>
        </w:rPr>
        <w:t>Source:</w:t>
      </w:r>
      <w:r w:rsidRPr="00565C9C">
        <w:rPr>
          <w:rFonts w:asciiTheme="majorBidi" w:hAnsiTheme="majorBidi" w:cstheme="majorBidi"/>
          <w:color w:val="000000" w:themeColor="text1"/>
        </w:rPr>
        <w:t xml:space="preserve"> Author’s own calculations.</w:t>
      </w:r>
    </w:p>
    <w:p w14:paraId="7624A6C4"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The recommendation is hence Project C. However, its NPV margin is only £0.858m which is around 1.7% of the initial investment. This implies that the decision has low sensitivity to relatively small but negative changes in cash flow, implementation cost and/or the discount rate. Project C should be approved on a conditional basis and NOT considered to be risk free. Milestone funding, a post-investment review, owner/customer demand evidence and a contingency reserve should be required by the board.</w:t>
      </w:r>
    </w:p>
    <w:p w14:paraId="39D1806B" w14:textId="1F9795E0" w:rsidR="00067DAF" w:rsidRPr="00565C9C" w:rsidRDefault="00067DAF" w:rsidP="00565C9C">
      <w:pPr>
        <w:pStyle w:val="Heading2"/>
        <w:spacing w:line="360" w:lineRule="auto"/>
        <w:jc w:val="both"/>
      </w:pPr>
      <w:bookmarkStart w:id="16" w:name="_Toc235741009"/>
      <w:r w:rsidRPr="00565C9C">
        <w:t>Relationship to IHG’s Financial Position</w:t>
      </w:r>
      <w:bookmarkEnd w:id="16"/>
    </w:p>
    <w:p w14:paraId="76CE49DF"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IHG's operating margin has increased, and the cash flow generated from operating it $898 million, suggesting it has the capacity to invest £50 million. Project C's approach also aligns with a business model that is based on scalable brands, technology and owner-support infrastructure. However, the company has been increasing its net debt and current ratio is below 1, so it may not be wise to make the investment by taking on more short-term debt. Given the project's IRR is just 0.59 percentage points higher than the hurdle rate, it may be better to fund the project with internal cash or reduced buybacks as compared to debt.</w:t>
      </w:r>
    </w:p>
    <w:p w14:paraId="62F4F83B"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 xml:space="preserve">The base case is subject to change in response to non-financial risks. Political uncertainty could cause delays in approvals or create disturbances in the demand. Translation inflows can decrease with the depreciation of the currency. Costs of construction or implementation of technology could be higher than anticipated. If the project undermines the brand, this could lead to a loss of customer loyalty and the failure of the project online could lead to regulatory </w:t>
      </w:r>
      <w:r w:rsidRPr="00565C9C">
        <w:rPr>
          <w:rFonts w:asciiTheme="majorBidi" w:hAnsiTheme="majorBidi" w:cstheme="majorBidi"/>
          <w:color w:val="000000" w:themeColor="text1"/>
          <w:sz w:val="24"/>
          <w:szCs w:val="24"/>
        </w:rPr>
        <w:lastRenderedPageBreak/>
        <w:t>and reputational consequences. Economic policy uncertainty plays a special role, as investments in the hospitality sector are vulnerable to international mobility and to consumer confidence, as well as to location-specific regulation (García-Gómez et al., 2023; IMF, 2025). Although advanced techniques were not requested in the brief these risks would warrant sensitivity analysis and scenario analysis.</w:t>
      </w:r>
    </w:p>
    <w:p w14:paraId="6AE3D1D0"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Project C may also have a strategic advantage in that the cash flows are in Years 3 and 4 indicating a project with a development phase and good scaling. This is an interesting profile for a brand, for a loyalty or for a technology expansion, but this is a risk in terms of execution because almost 69% of its nominal inflow comes from those two years. Management will therefore need to obtain contractual commitments and leading indicators in relation thereto prior to releasing any subsequent tranches of funding.</w:t>
      </w:r>
    </w:p>
    <w:p w14:paraId="7D12DC5C" w14:textId="155D7357" w:rsidR="00067DAF" w:rsidRPr="00565C9C" w:rsidRDefault="00067DAF" w:rsidP="00565C9C">
      <w:pPr>
        <w:pStyle w:val="Heading2"/>
        <w:spacing w:line="360" w:lineRule="auto"/>
        <w:jc w:val="both"/>
      </w:pPr>
      <w:bookmarkStart w:id="17" w:name="_Toc235741010"/>
      <w:r w:rsidRPr="00565C9C">
        <w:t>Capital Rationing</w:t>
      </w:r>
      <w:bookmarkEnd w:id="17"/>
    </w:p>
    <w:p w14:paraId="42A56129"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The highest amount that can be invested is £100 million. IHG could be able to do two projects at the most at a cost of £50 million for each project.</w:t>
      </w:r>
    </w:p>
    <w:p w14:paraId="3996D5F5" w14:textId="7B3FE14A" w:rsidR="00067DAF" w:rsidRPr="00565C9C" w:rsidRDefault="00067DAF" w:rsidP="00565C9C">
      <w:pPr>
        <w:spacing w:line="360" w:lineRule="auto"/>
        <w:jc w:val="both"/>
        <w:rPr>
          <w:rFonts w:asciiTheme="majorBidi" w:hAnsiTheme="majorBidi" w:cstheme="majorBidi"/>
          <w:b/>
          <w:bCs/>
          <w:color w:val="000000" w:themeColor="text1"/>
          <w:sz w:val="24"/>
          <w:szCs w:val="24"/>
        </w:rPr>
      </w:pPr>
      <w:r w:rsidRPr="00565C9C">
        <w:rPr>
          <w:rFonts w:asciiTheme="majorBidi" w:hAnsiTheme="majorBidi" w:cstheme="majorBidi"/>
          <w:b/>
          <w:bCs/>
          <w:color w:val="000000" w:themeColor="text1"/>
          <w:sz w:val="24"/>
          <w:szCs w:val="24"/>
        </w:rPr>
        <w:t>Table 6</w:t>
      </w:r>
      <w:r w:rsidR="00565C9C" w:rsidRPr="00565C9C">
        <w:rPr>
          <w:rFonts w:asciiTheme="majorBidi" w:hAnsiTheme="majorBidi" w:cstheme="majorBidi"/>
          <w:b/>
          <w:bCs/>
          <w:color w:val="000000" w:themeColor="text1"/>
          <w:sz w:val="24"/>
          <w:szCs w:val="24"/>
        </w:rPr>
        <w:t xml:space="preserve">: </w:t>
      </w:r>
      <w:r w:rsidRPr="00565C9C">
        <w:rPr>
          <w:rFonts w:asciiTheme="majorBidi" w:hAnsiTheme="majorBidi" w:cstheme="majorBidi"/>
          <w:b/>
          <w:bCs/>
          <w:color w:val="000000" w:themeColor="text1"/>
          <w:sz w:val="24"/>
          <w:szCs w:val="24"/>
        </w:rPr>
        <w:t>Capital-Rationing Portfolios</w:t>
      </w:r>
    </w:p>
    <w:tbl>
      <w:tblPr>
        <w:tblStyle w:val="GridTable4-Accent6"/>
        <w:tblW w:w="0" w:type="auto"/>
        <w:tblLook w:val="04A0" w:firstRow="1" w:lastRow="0" w:firstColumn="1" w:lastColumn="0" w:noHBand="0" w:noVBand="1"/>
      </w:tblPr>
      <w:tblGrid>
        <w:gridCol w:w="2079"/>
        <w:gridCol w:w="1643"/>
        <w:gridCol w:w="2117"/>
      </w:tblGrid>
      <w:tr w:rsidR="00067DAF" w:rsidRPr="00565C9C" w14:paraId="76716D84" w14:textId="77777777" w:rsidTr="00565C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9AEF25"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b w:val="0"/>
                <w:bCs w:val="0"/>
                <w:color w:val="000000" w:themeColor="text1"/>
                <w:sz w:val="24"/>
                <w:szCs w:val="24"/>
              </w:rPr>
              <w:t>Portfolio</w:t>
            </w:r>
          </w:p>
        </w:tc>
        <w:tc>
          <w:tcPr>
            <w:tcW w:w="0" w:type="auto"/>
            <w:hideMark/>
          </w:tcPr>
          <w:p w14:paraId="54D541CC" w14:textId="77777777" w:rsidR="00067DAF" w:rsidRPr="00565C9C" w:rsidRDefault="00067DAF"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565C9C">
              <w:rPr>
                <w:rFonts w:asciiTheme="majorBidi" w:hAnsiTheme="majorBidi" w:cstheme="majorBidi"/>
                <w:b w:val="0"/>
                <w:bCs w:val="0"/>
                <w:color w:val="000000" w:themeColor="text1"/>
                <w:sz w:val="24"/>
                <w:szCs w:val="24"/>
              </w:rPr>
              <w:t>Investment</w:t>
            </w:r>
          </w:p>
        </w:tc>
        <w:tc>
          <w:tcPr>
            <w:tcW w:w="0" w:type="auto"/>
            <w:hideMark/>
          </w:tcPr>
          <w:p w14:paraId="144A0368" w14:textId="77777777" w:rsidR="00067DAF" w:rsidRPr="00565C9C" w:rsidRDefault="00067DAF"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565C9C">
              <w:rPr>
                <w:rFonts w:asciiTheme="majorBidi" w:hAnsiTheme="majorBidi" w:cstheme="majorBidi"/>
                <w:b w:val="0"/>
                <w:bCs w:val="0"/>
                <w:color w:val="000000" w:themeColor="text1"/>
                <w:sz w:val="24"/>
                <w:szCs w:val="24"/>
              </w:rPr>
              <w:t>Combined NPV</w:t>
            </w:r>
          </w:p>
        </w:tc>
      </w:tr>
      <w:tr w:rsidR="00067DAF" w:rsidRPr="00565C9C" w14:paraId="4D5CA4A7"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835EC1" w14:textId="77777777" w:rsidR="00067DAF" w:rsidRPr="00565C9C" w:rsidRDefault="00067DAF" w:rsidP="00565C9C">
            <w:pPr>
              <w:spacing w:line="360" w:lineRule="auto"/>
              <w:jc w:val="both"/>
              <w:rPr>
                <w:rFonts w:asciiTheme="majorBidi" w:hAnsiTheme="majorBidi" w:cstheme="majorBidi"/>
                <w:b w:val="0"/>
                <w:bCs w:val="0"/>
                <w:color w:val="000000" w:themeColor="text1"/>
                <w:sz w:val="24"/>
                <w:szCs w:val="24"/>
              </w:rPr>
            </w:pPr>
            <w:r w:rsidRPr="00565C9C">
              <w:rPr>
                <w:rFonts w:asciiTheme="majorBidi" w:hAnsiTheme="majorBidi" w:cstheme="majorBidi"/>
                <w:color w:val="000000" w:themeColor="text1"/>
                <w:sz w:val="24"/>
                <w:szCs w:val="24"/>
              </w:rPr>
              <w:t>Project A only</w:t>
            </w:r>
          </w:p>
        </w:tc>
        <w:tc>
          <w:tcPr>
            <w:tcW w:w="0" w:type="auto"/>
            <w:hideMark/>
          </w:tcPr>
          <w:p w14:paraId="62D7116A"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£50m</w:t>
            </w:r>
          </w:p>
        </w:tc>
        <w:tc>
          <w:tcPr>
            <w:tcW w:w="0" w:type="auto"/>
            <w:hideMark/>
          </w:tcPr>
          <w:p w14:paraId="6FC400B9"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–£6.544m</w:t>
            </w:r>
          </w:p>
        </w:tc>
      </w:tr>
      <w:tr w:rsidR="00067DAF" w:rsidRPr="00565C9C" w14:paraId="2537E336"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762586A3"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Project B only</w:t>
            </w:r>
          </w:p>
        </w:tc>
        <w:tc>
          <w:tcPr>
            <w:tcW w:w="0" w:type="auto"/>
            <w:hideMark/>
          </w:tcPr>
          <w:p w14:paraId="18AB119B"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£50m</w:t>
            </w:r>
          </w:p>
        </w:tc>
        <w:tc>
          <w:tcPr>
            <w:tcW w:w="0" w:type="auto"/>
            <w:hideMark/>
          </w:tcPr>
          <w:p w14:paraId="75CF1A7B"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–£6.080m</w:t>
            </w:r>
          </w:p>
        </w:tc>
      </w:tr>
      <w:tr w:rsidR="00067DAF" w:rsidRPr="00565C9C" w14:paraId="21C85177"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145220"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Project C only</w:t>
            </w:r>
          </w:p>
        </w:tc>
        <w:tc>
          <w:tcPr>
            <w:tcW w:w="0" w:type="auto"/>
            <w:hideMark/>
          </w:tcPr>
          <w:p w14:paraId="629F88B7"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£50m</w:t>
            </w:r>
          </w:p>
        </w:tc>
        <w:tc>
          <w:tcPr>
            <w:tcW w:w="0" w:type="auto"/>
            <w:hideMark/>
          </w:tcPr>
          <w:p w14:paraId="1D4CAE52"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Style w:val="Strong"/>
                <w:rFonts w:asciiTheme="majorBidi" w:hAnsiTheme="majorBidi" w:cstheme="majorBidi"/>
                <w:color w:val="000000" w:themeColor="text1"/>
                <w:sz w:val="24"/>
                <w:szCs w:val="24"/>
              </w:rPr>
              <w:t>£0.858m</w:t>
            </w:r>
          </w:p>
        </w:tc>
      </w:tr>
      <w:tr w:rsidR="00067DAF" w:rsidRPr="00565C9C" w14:paraId="1B198EEC"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1CE9F542"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Projects A + B</w:t>
            </w:r>
          </w:p>
        </w:tc>
        <w:tc>
          <w:tcPr>
            <w:tcW w:w="0" w:type="auto"/>
            <w:hideMark/>
          </w:tcPr>
          <w:p w14:paraId="5672B333"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£100m</w:t>
            </w:r>
          </w:p>
        </w:tc>
        <w:tc>
          <w:tcPr>
            <w:tcW w:w="0" w:type="auto"/>
            <w:hideMark/>
          </w:tcPr>
          <w:p w14:paraId="09519DA6"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–£12.624m</w:t>
            </w:r>
          </w:p>
        </w:tc>
      </w:tr>
      <w:tr w:rsidR="00067DAF" w:rsidRPr="00565C9C" w14:paraId="011622B8"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8CAE41"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Projects A + C</w:t>
            </w:r>
          </w:p>
        </w:tc>
        <w:tc>
          <w:tcPr>
            <w:tcW w:w="0" w:type="auto"/>
            <w:hideMark/>
          </w:tcPr>
          <w:p w14:paraId="3605C822"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£100m</w:t>
            </w:r>
          </w:p>
        </w:tc>
        <w:tc>
          <w:tcPr>
            <w:tcW w:w="0" w:type="auto"/>
            <w:hideMark/>
          </w:tcPr>
          <w:p w14:paraId="16DB95FF" w14:textId="77777777" w:rsidR="00067DAF" w:rsidRPr="00565C9C" w:rsidRDefault="00067DAF"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–£5.686m</w:t>
            </w:r>
          </w:p>
        </w:tc>
      </w:tr>
      <w:tr w:rsidR="00067DAF" w:rsidRPr="00565C9C" w14:paraId="358CD9D3"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493EA078" w14:textId="77777777" w:rsidR="00067DAF" w:rsidRPr="00565C9C" w:rsidRDefault="00067DAF"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Projects B + C</w:t>
            </w:r>
          </w:p>
        </w:tc>
        <w:tc>
          <w:tcPr>
            <w:tcW w:w="0" w:type="auto"/>
            <w:hideMark/>
          </w:tcPr>
          <w:p w14:paraId="029EFB35"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£100m</w:t>
            </w:r>
          </w:p>
        </w:tc>
        <w:tc>
          <w:tcPr>
            <w:tcW w:w="0" w:type="auto"/>
            <w:hideMark/>
          </w:tcPr>
          <w:p w14:paraId="2817D681" w14:textId="77777777" w:rsidR="00067DAF" w:rsidRPr="00565C9C" w:rsidRDefault="00067DAF"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–£5.222m</w:t>
            </w:r>
          </w:p>
        </w:tc>
      </w:tr>
    </w:tbl>
    <w:p w14:paraId="778D3EA7" w14:textId="77777777" w:rsidR="00067DAF" w:rsidRPr="00565C9C" w:rsidRDefault="00067DAF" w:rsidP="00565C9C">
      <w:pPr>
        <w:pStyle w:val="NormalWeb"/>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Source:</w:t>
      </w:r>
      <w:r w:rsidRPr="00565C9C">
        <w:rPr>
          <w:rFonts w:asciiTheme="majorBidi" w:hAnsiTheme="majorBidi" w:cstheme="majorBidi"/>
          <w:color w:val="000000" w:themeColor="text1"/>
        </w:rPr>
        <w:t xml:space="preserve"> Author’s calculations.</w:t>
      </w:r>
    </w:p>
    <w:p w14:paraId="59DBDF04"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The best portfolio will be one in which all the money is invested in Project C and nothing is invested in Project D, so there will be £50 million invested in Project C and £50 million will not be invested at all. Capital rationing is not necessarily using all the budget to maximise total NPV. An addition of A or B to C would make a positive value portfolio a negative value portfolio. If Management were required to spend exactly £100 million, then the combination of B and C would be least damaging but it would still be a negative NPV of £5.222 million which would be unacceptable.</w:t>
      </w:r>
    </w:p>
    <w:p w14:paraId="630789EC"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lastRenderedPageBreak/>
        <w:t>The same applies to the PI ranking: C is ranked first with 1.017, B in second place with 0.878 and A in third place with 0.869. But taking a mechanical approach to applying PI to indivisible projects should not be done without testing combinations for feasibility. In this instance, direct enumeration verifies that the value is maximised for C only.</w:t>
      </w:r>
    </w:p>
    <w:p w14:paraId="33430B09"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The restructuring recommendation is also beneficial in the light of the capital-rationing decision. The fact that there is £50 million not used should not be considered an operational failure. It can be kept on hand for future projects that have higher positive NPVs or for debt reduction or liquidity. That's especially vital for IHG, as there is option value during economic and geopolitical uncertainty in having financial flexibility.</w:t>
      </w:r>
    </w:p>
    <w:p w14:paraId="7C5AA05B" w14:textId="13F99D92" w:rsidR="00067DAF" w:rsidRPr="00565C9C" w:rsidRDefault="00067DAF" w:rsidP="00565C9C">
      <w:pPr>
        <w:pStyle w:val="Heading1"/>
        <w:rPr>
          <w:sz w:val="24"/>
          <w:szCs w:val="24"/>
        </w:rPr>
      </w:pPr>
      <w:bookmarkStart w:id="18" w:name="_Toc235741011"/>
      <w:r w:rsidRPr="00565C9C">
        <w:rPr>
          <w:sz w:val="24"/>
          <w:szCs w:val="24"/>
        </w:rPr>
        <w:t>Critical Reflection on Artificial Intelligence Usage</w:t>
      </w:r>
      <w:bookmarkEnd w:id="18"/>
    </w:p>
    <w:p w14:paraId="41284A93" w14:textId="68DDE435" w:rsidR="00565C9C" w:rsidRPr="00565C9C" w:rsidRDefault="00565C9C" w:rsidP="00565C9C">
      <w:pPr>
        <w:pStyle w:val="Heading2"/>
        <w:spacing w:line="360" w:lineRule="auto"/>
        <w:jc w:val="both"/>
      </w:pPr>
      <w:bookmarkStart w:id="19" w:name="_Toc235741012"/>
      <w:r w:rsidRPr="00565C9C">
        <w:t>Tool Disclosure</w:t>
      </w:r>
      <w:bookmarkEnd w:id="19"/>
    </w:p>
    <w:p w14:paraId="250FAD3B"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A limited and controlled use of Generative Artificial Intelligence (AI) was employed in preparing this report. It was primarily used for helping to review numerical calculations and to discover potential discrepancies in financial formulas. Specifically, AI was applied to the structure of ratio calculation, procedure of discounts, investment appraisal methods and capital-rationing comparisons. It was also utilized to verify if the calculated values seemed to be mathematically sound before being independently verified.</w:t>
      </w:r>
    </w:p>
    <w:p w14:paraId="657589BF"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AI was not used as a primary source of financial data, academic evidence or company information. The figures for InterContinental Hotels Group have been derived from the official annual reports, published financial statements and other reliable sources. There was independent work done on selection of evidence, interpretation of financial performance, discussion of strategic issues and final recommendations. Thus, AI was merely an assistant to check, and not a financial decision-maker or the author of the report.</w:t>
      </w:r>
    </w:p>
    <w:p w14:paraId="7B0419E5" w14:textId="2388BECA" w:rsidR="00565C9C" w:rsidRPr="00565C9C" w:rsidRDefault="00565C9C" w:rsidP="00565C9C">
      <w:pPr>
        <w:pStyle w:val="Heading2"/>
        <w:spacing w:line="360" w:lineRule="auto"/>
        <w:jc w:val="both"/>
      </w:pPr>
      <w:bookmarkStart w:id="20" w:name="_Toc235741013"/>
      <w:r w:rsidRPr="00565C9C">
        <w:t>Verification of Calculations and AI Output</w:t>
      </w:r>
      <w:bookmarkEnd w:id="20"/>
    </w:p>
    <w:p w14:paraId="68C6527A"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Any calculation made using AI was not accepted unless it could be verified. Each formula was individually typed into a spreadsheet and the inputs, calculations and outputs could be viewed. Ratio results have been restated based on the information from company's financial statements. For instance, profitability, liquidity, efficiency, gearing and investment and cash-flow ratios were tested against the corresponding ratios on the income statement, balance-sheet and cash-flow.</w:t>
      </w:r>
    </w:p>
    <w:p w14:paraId="1B56F5AE"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lastRenderedPageBreak/>
        <w:t>In this case, the cash operating cycle was verified by independently recalculating the receivable days, inventory days and payable days. The result was calculated as:</w:t>
      </w:r>
    </w:p>
    <w:p w14:paraId="2DA8CED8" w14:textId="77777777" w:rsidR="00565C9C" w:rsidRPr="00565C9C" w:rsidRDefault="00565C9C" w:rsidP="00565C9C">
      <w:pPr>
        <w:pStyle w:val="NormalWeb"/>
        <w:spacing w:line="360" w:lineRule="auto"/>
        <w:jc w:val="both"/>
        <w:rPr>
          <w:rFonts w:asciiTheme="majorBidi" w:hAnsiTheme="majorBidi" w:cstheme="majorBidi"/>
          <w:color w:val="000000" w:themeColor="text1"/>
        </w:rPr>
      </w:pPr>
      <w:r w:rsidRPr="00565C9C">
        <w:rPr>
          <w:rFonts w:asciiTheme="majorBidi" w:hAnsiTheme="majorBidi" w:cstheme="majorBidi"/>
          <w:color w:val="000000" w:themeColor="text1"/>
        </w:rPr>
        <w:t>56.91 receivable days + 2.15 inventory days − 316.75 payable days = −257.69 days.</w:t>
      </w:r>
    </w:p>
    <w:p w14:paraId="191541C8"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AI was only applied to determine if the formula was used correctly. Final interpretation has been made on independent financial judgement. This adverse cash operating cycle might seem to suggest a highly efficient working-capital situation initially. For an asset-light hotel company, however, other factors like the business structure, supplier balances, loyalty-related liabilities, as well as system funds and expenses that are reimbursable, may also impact the result. Therefore the figure was not interpreted on its own.</w:t>
      </w:r>
    </w:p>
    <w:p w14:paraId="5F894229"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The investment appraisal calculations have also been independently verified. The discount rates used were 8% as required, and payback, accounting rate of return, net present value, profitability index and internal rate of return was computed using the full cash flow data. Combinations of capital were analysed separately to make sure that the recommended portfolio was within the maximum budget of £100m capital.</w:t>
      </w:r>
    </w:p>
    <w:p w14:paraId="3A5E4134" w14:textId="500C16AF" w:rsidR="00565C9C" w:rsidRPr="00565C9C" w:rsidRDefault="00565C9C" w:rsidP="00565C9C">
      <w:pPr>
        <w:pStyle w:val="Heading2"/>
        <w:spacing w:line="360" w:lineRule="auto"/>
        <w:jc w:val="both"/>
      </w:pPr>
      <w:bookmarkStart w:id="21" w:name="_Toc235741014"/>
      <w:r w:rsidRPr="00565C9C">
        <w:t>Contribution and Professional Judgement</w:t>
      </w:r>
      <w:bookmarkEnd w:id="21"/>
    </w:p>
    <w:p w14:paraId="33AA3187"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The AI did not help with the content of the report, but rather with the detection of errors. It helped to locate where a formula, sign, percentage or interpretation needed to be checked. However, the interpretation of trends and selection of recommendations as well as the treatment of accounting measures and the relevance of ratios was left to the researcher.</w:t>
      </w:r>
    </w:p>
    <w:p w14:paraId="233ACAA8"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This distinction was significant as AI can be certain and confident in the answers it gives even if calculations, definitions or assumptions are wrong. It may mix up the IFRS measure with the company's adjusted performance measures, employ the wrong denominator or misinterpret the negative working-capital cycle without taking into account the company's operating model. Human verification was thus crucial.</w:t>
      </w:r>
    </w:p>
    <w:p w14:paraId="68132D37" w14:textId="0E51B251" w:rsidR="00565C9C" w:rsidRPr="00565C9C" w:rsidRDefault="00565C9C" w:rsidP="00565C9C">
      <w:pPr>
        <w:pStyle w:val="Heading2"/>
        <w:spacing w:line="360" w:lineRule="auto"/>
        <w:jc w:val="both"/>
      </w:pPr>
      <w:bookmarkStart w:id="22" w:name="_Toc235741015"/>
      <w:r w:rsidRPr="00565C9C">
        <w:t>Ethical and Professional Reflection</w:t>
      </w:r>
      <w:bookmarkEnd w:id="22"/>
    </w:p>
    <w:p w14:paraId="2A7E61AB"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AI in financial analysis comes with its set of opportunities and risks. It can help to speed up calculations and pinpoint potential discrepancies. But overdependence can lead to a breakdown in the professional scepticism and can give rise to errors when outputs are accepted without being verified.</w:t>
      </w:r>
    </w:p>
    <w:p w14:paraId="4D75A5A7"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 xml:space="preserve">The privacy of data must also be safeguarded. Commercially sensitive information or data that would not be shared with other users should not be entered into an unapproved AI platform, </w:t>
      </w:r>
      <w:r w:rsidRPr="00565C9C">
        <w:rPr>
          <w:rFonts w:asciiTheme="majorBidi" w:hAnsiTheme="majorBidi" w:cstheme="majorBidi"/>
          <w:color w:val="000000" w:themeColor="text1"/>
          <w:sz w:val="24"/>
          <w:szCs w:val="24"/>
        </w:rPr>
        <w:lastRenderedPageBreak/>
        <w:t>nor should confidential forecasts be made. In the professional financial world, the organisations are required to have clear control, approved systems, and an audit trail that displays the original data, formulas, and human review.</w:t>
      </w:r>
    </w:p>
    <w:p w14:paraId="3560CAEA"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In general, AI was only employed as a supporting calculation checking tool. Ultimately, it was the responsibility of the researcher to ensure the accuracy, interpretation and recommendations.</w:t>
      </w:r>
    </w:p>
    <w:p w14:paraId="55225F98" w14:textId="670ED53B" w:rsidR="00067DAF" w:rsidRPr="00565C9C" w:rsidRDefault="00067DAF" w:rsidP="00565C9C">
      <w:pPr>
        <w:pStyle w:val="Heading1"/>
        <w:rPr>
          <w:sz w:val="24"/>
          <w:szCs w:val="24"/>
        </w:rPr>
      </w:pPr>
      <w:bookmarkStart w:id="23" w:name="_Toc235741016"/>
      <w:r w:rsidRPr="00565C9C">
        <w:rPr>
          <w:sz w:val="24"/>
          <w:szCs w:val="24"/>
        </w:rPr>
        <w:t>Conclusion</w:t>
      </w:r>
      <w:bookmarkEnd w:id="23"/>
    </w:p>
    <w:p w14:paraId="701D1587"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IHG had a solid recovery from 2021 through 2025. Its asset-light, fee-driven business model provided scalability for revenue, operating margin, profit, EPS and operating cash flow to improve materially. It did not exceed 1.0 in the last three years (2023-2025), but it was fairly attractive in comparison with some of the major asset-light companies, and was accompanied by solid cash generation. The bigger issue is that it has a net debt that has gone from $1.851 billion in 2022 to $3.333 billion in 2025, as a result of buybacks and dividends.</w:t>
      </w:r>
    </w:p>
    <w:p w14:paraId="26CFE16B"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IHG should stick with its normal dividend and should reduce buyback when leverage and stressed liquidity violates the policy targets. Must be able to enhance owner-receivable controls, introduce rolling cash forecasts, delay debt repayment, hedge foreign exposures, and focus on growth investments rather than distribution through debt. It can maintain its asset-light approach by using non-core divestments and partnership capital.</w:t>
      </w:r>
    </w:p>
    <w:p w14:paraId="100785A3"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Only one of the projects is considered to be a financially acceptable investment; project C has an NPV of £0.858 million, a PI of 1.017 and an IRR of 8.59%. IHG should only invest in Project C under the £100m capital limit and keep the remaining £50m. The move will optimise shareholder value and contribute to the wider goal of getting back on financial footing.</w:t>
      </w:r>
    </w:p>
    <w:p w14:paraId="2ADFF4DA" w14:textId="3F173471" w:rsidR="00067DAF" w:rsidRPr="00565C9C" w:rsidRDefault="00067DAF" w:rsidP="00565C9C">
      <w:pPr>
        <w:spacing w:line="360" w:lineRule="auto"/>
        <w:jc w:val="both"/>
        <w:rPr>
          <w:rFonts w:asciiTheme="majorBidi" w:hAnsiTheme="majorBidi" w:cstheme="majorBidi"/>
          <w:color w:val="000000" w:themeColor="text1"/>
          <w:sz w:val="24"/>
          <w:szCs w:val="24"/>
        </w:rPr>
      </w:pPr>
    </w:p>
    <w:p w14:paraId="551631FA"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37967896"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7890B125"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39BB46EB"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7097D777"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711E584C"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70AD75EE"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07E40775"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391E1A96"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2A7B3C3D"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4BCFC195"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16F7F59F"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483D0F17"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56D043E8"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75C4ACCF"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7FCF2EB7"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19098A8D"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278AC8B5"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1DC5DDDB"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14E454EB"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3D986CA2"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73599DA2"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5BD3ACFE"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3F408F49"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7C8E8027"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3F1DD266"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5F55337B"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69BF8212"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2AA05DB8"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33518738"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4D85238E"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4F9CFEAE"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2AB190D4"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23B13A57"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6C3EC9F8"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384201C7"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73E3D7F2"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653B5B45"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1C1458F0"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72AFCF7F"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00E5DD7A"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5C5A605F"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59E5E478"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77520FFF"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0BED930C"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57705331" w14:textId="285BC3E6" w:rsidR="00565C9C" w:rsidRPr="00565C9C" w:rsidRDefault="00067DAF" w:rsidP="00565C9C">
      <w:pPr>
        <w:pStyle w:val="Heading1"/>
        <w:rPr>
          <w:sz w:val="24"/>
          <w:szCs w:val="24"/>
        </w:rPr>
      </w:pPr>
      <w:bookmarkStart w:id="24" w:name="_Toc235741017"/>
      <w:r w:rsidRPr="00565C9C">
        <w:rPr>
          <w:sz w:val="24"/>
          <w:szCs w:val="24"/>
        </w:rPr>
        <w:t>References</w:t>
      </w:r>
      <w:bookmarkEnd w:id="24"/>
    </w:p>
    <w:p w14:paraId="0B34648F"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Accor. (2026). </w:t>
      </w:r>
      <w:r w:rsidRPr="00565C9C">
        <w:rPr>
          <w:rStyle w:val="Emphasis"/>
          <w:rFonts w:asciiTheme="majorBidi" w:hAnsiTheme="majorBidi" w:cstheme="majorBidi"/>
          <w:b w:val="0"/>
          <w:bCs w:val="0"/>
          <w:color w:val="000000" w:themeColor="text1"/>
        </w:rPr>
        <w:t>2025 financial results</w:t>
      </w:r>
      <w:r w:rsidRPr="00565C9C">
        <w:rPr>
          <w:rFonts w:asciiTheme="majorBidi" w:hAnsiTheme="majorBidi" w:cstheme="majorBidi"/>
          <w:color w:val="000000" w:themeColor="text1"/>
        </w:rPr>
        <w:t xml:space="preserve">. </w:t>
      </w:r>
      <w:hyperlink r:id="rId14" w:history="1">
        <w:r w:rsidRPr="00565C9C">
          <w:rPr>
            <w:rStyle w:val="Hyperlink"/>
            <w:rFonts w:asciiTheme="majorBidi" w:hAnsiTheme="majorBidi" w:cstheme="majorBidi"/>
            <w:color w:val="000000" w:themeColor="text1"/>
          </w:rPr>
          <w:t>https://group.accor.com/en/finance/financial-results</w:t>
        </w:r>
      </w:hyperlink>
    </w:p>
    <w:p w14:paraId="740268AF"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Alatawi, I. A., Ntim, C. G., Zras, A., &amp; Elmagrhi, M. H. (2023). CSR, financial and non-financial performance in the tourism sector: A systematic literature review and future research agenda. </w:t>
      </w:r>
      <w:r w:rsidRPr="00565C9C">
        <w:rPr>
          <w:rStyle w:val="Emphasis"/>
          <w:rFonts w:asciiTheme="majorBidi" w:hAnsiTheme="majorBidi" w:cstheme="majorBidi"/>
          <w:b w:val="0"/>
          <w:bCs w:val="0"/>
          <w:color w:val="000000" w:themeColor="text1"/>
        </w:rPr>
        <w:t>International Review of Financial Analysis, 89</w:t>
      </w:r>
      <w:r w:rsidRPr="00565C9C">
        <w:rPr>
          <w:rFonts w:asciiTheme="majorBidi" w:hAnsiTheme="majorBidi" w:cstheme="majorBidi"/>
          <w:color w:val="000000" w:themeColor="text1"/>
        </w:rPr>
        <w:t xml:space="preserve">, 102734. </w:t>
      </w:r>
      <w:hyperlink r:id="rId15" w:history="1">
        <w:r w:rsidRPr="00565C9C">
          <w:rPr>
            <w:rStyle w:val="Hyperlink"/>
            <w:rFonts w:asciiTheme="majorBidi" w:hAnsiTheme="majorBidi" w:cstheme="majorBidi"/>
            <w:color w:val="000000" w:themeColor="text1"/>
          </w:rPr>
          <w:t>https://www.sciencedirect.com/science/article/pii/S1057521923002508</w:t>
        </w:r>
      </w:hyperlink>
    </w:p>
    <w:p w14:paraId="1B76FE42"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Alderson, M. J., Halford, J. T., &amp; Sibilkov, V. (2020). An examination of the wealth effects of share repurchases on bondholders. </w:t>
      </w:r>
      <w:r w:rsidRPr="00565C9C">
        <w:rPr>
          <w:rStyle w:val="Emphasis"/>
          <w:rFonts w:asciiTheme="majorBidi" w:hAnsiTheme="majorBidi" w:cstheme="majorBidi"/>
          <w:b w:val="0"/>
          <w:bCs w:val="0"/>
          <w:color w:val="000000" w:themeColor="text1"/>
        </w:rPr>
        <w:t>Journal of Corporate Finance, 65</w:t>
      </w:r>
      <w:r w:rsidRPr="00565C9C">
        <w:rPr>
          <w:rFonts w:asciiTheme="majorBidi" w:hAnsiTheme="majorBidi" w:cstheme="majorBidi"/>
          <w:color w:val="000000" w:themeColor="text1"/>
        </w:rPr>
        <w:t xml:space="preserve">, 101499. </w:t>
      </w:r>
      <w:hyperlink r:id="rId16" w:history="1">
        <w:r w:rsidRPr="00565C9C">
          <w:rPr>
            <w:rStyle w:val="Hyperlink"/>
            <w:rFonts w:asciiTheme="majorBidi" w:hAnsiTheme="majorBidi" w:cstheme="majorBidi"/>
            <w:color w:val="000000" w:themeColor="text1"/>
          </w:rPr>
          <w:t>https://www.sciencedirect.com/science/article/pii/S0929119919302512</w:t>
        </w:r>
      </w:hyperlink>
    </w:p>
    <w:p w14:paraId="3F04E70B"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Altaf, N. (2024). Working capital financing, firm performance and financial flexibility: Evidence from Indian hospitality firms. </w:t>
      </w:r>
      <w:r w:rsidRPr="00565C9C">
        <w:rPr>
          <w:rStyle w:val="Emphasis"/>
          <w:rFonts w:asciiTheme="majorBidi" w:hAnsiTheme="majorBidi" w:cstheme="majorBidi"/>
          <w:b w:val="0"/>
          <w:bCs w:val="0"/>
          <w:color w:val="000000" w:themeColor="text1"/>
        </w:rPr>
        <w:t>Global Business Review, 25</w:t>
      </w:r>
      <w:r w:rsidRPr="00565C9C">
        <w:rPr>
          <w:rFonts w:asciiTheme="majorBidi" w:hAnsiTheme="majorBidi" w:cstheme="majorBidi"/>
          <w:color w:val="000000" w:themeColor="text1"/>
        </w:rPr>
        <w:t xml:space="preserve">(2_suppl), S199–S210. </w:t>
      </w:r>
      <w:hyperlink r:id="rId17" w:history="1">
        <w:r w:rsidRPr="00565C9C">
          <w:rPr>
            <w:rStyle w:val="Hyperlink"/>
            <w:rFonts w:asciiTheme="majorBidi" w:hAnsiTheme="majorBidi" w:cstheme="majorBidi"/>
            <w:color w:val="000000" w:themeColor="text1"/>
          </w:rPr>
          <w:t>https://journals.sagepub.com/doi/10.1177/0972150920961371</w:t>
        </w:r>
      </w:hyperlink>
    </w:p>
    <w:p w14:paraId="3A206C42"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Babajee, R. B., Seetanah, B., &amp; Nunkoo, R. (2020). The determinants of hotel financial performance: An intellectual capital perspective. </w:t>
      </w:r>
      <w:r w:rsidRPr="00565C9C">
        <w:rPr>
          <w:rStyle w:val="Emphasis"/>
          <w:rFonts w:asciiTheme="majorBidi" w:hAnsiTheme="majorBidi" w:cstheme="majorBidi"/>
          <w:b w:val="0"/>
          <w:bCs w:val="0"/>
          <w:color w:val="000000" w:themeColor="text1"/>
        </w:rPr>
        <w:t>Journal of Hospitality Marketing &amp; Management, 29</w:t>
      </w:r>
      <w:r w:rsidRPr="00565C9C">
        <w:rPr>
          <w:rFonts w:asciiTheme="majorBidi" w:hAnsiTheme="majorBidi" w:cstheme="majorBidi"/>
          <w:color w:val="000000" w:themeColor="text1"/>
        </w:rPr>
        <w:t xml:space="preserve">(8), 1008–1026. </w:t>
      </w:r>
      <w:hyperlink r:id="rId18" w:history="1">
        <w:r w:rsidRPr="00565C9C">
          <w:rPr>
            <w:rStyle w:val="Hyperlink"/>
            <w:rFonts w:asciiTheme="majorBidi" w:hAnsiTheme="majorBidi" w:cstheme="majorBidi"/>
            <w:color w:val="000000" w:themeColor="text1"/>
          </w:rPr>
          <w:t>https://www.tandfonline.com/doi/full/10.1080/19368623.2020.1703870</w:t>
        </w:r>
      </w:hyperlink>
    </w:p>
    <w:p w14:paraId="08E602F6"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Bank of England. (2026). </w:t>
      </w:r>
      <w:r w:rsidRPr="00565C9C">
        <w:rPr>
          <w:rStyle w:val="Emphasis"/>
          <w:rFonts w:asciiTheme="majorBidi" w:hAnsiTheme="majorBidi" w:cstheme="majorBidi"/>
          <w:b w:val="0"/>
          <w:bCs w:val="0"/>
          <w:color w:val="000000" w:themeColor="text1"/>
        </w:rPr>
        <w:t>Bank Rate history and data</w:t>
      </w:r>
      <w:r w:rsidRPr="00565C9C">
        <w:rPr>
          <w:rFonts w:asciiTheme="majorBidi" w:hAnsiTheme="majorBidi" w:cstheme="majorBidi"/>
          <w:color w:val="000000" w:themeColor="text1"/>
        </w:rPr>
        <w:t xml:space="preserve">. </w:t>
      </w:r>
      <w:hyperlink r:id="rId19" w:history="1">
        <w:r w:rsidRPr="00565C9C">
          <w:rPr>
            <w:rStyle w:val="Hyperlink"/>
            <w:rFonts w:asciiTheme="majorBidi" w:hAnsiTheme="majorBidi" w:cstheme="majorBidi"/>
            <w:color w:val="000000" w:themeColor="text1"/>
          </w:rPr>
          <w:t>https://www.bankofengland.co.uk/boeapps/database/Bank-Rate.asp</w:t>
        </w:r>
      </w:hyperlink>
    </w:p>
    <w:p w14:paraId="7B0C48D1"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Becerra-Vicario, R., Ruiz-Palomo, D., Fernández-Miguélez, S. M., &amp; Gutiérrez-Ruiz, A. M. (2022). Examining the effects of hotel reputation in the relationship between environmental performance and hotel financial performance. </w:t>
      </w:r>
      <w:r w:rsidRPr="00565C9C">
        <w:rPr>
          <w:rStyle w:val="Emphasis"/>
          <w:rFonts w:asciiTheme="majorBidi" w:hAnsiTheme="majorBidi" w:cstheme="majorBidi"/>
          <w:b w:val="0"/>
          <w:bCs w:val="0"/>
          <w:color w:val="000000" w:themeColor="text1"/>
        </w:rPr>
        <w:t>Journal of Hospitality and Tourism Management, 53</w:t>
      </w:r>
      <w:r w:rsidRPr="00565C9C">
        <w:rPr>
          <w:rFonts w:asciiTheme="majorBidi" w:hAnsiTheme="majorBidi" w:cstheme="majorBidi"/>
          <w:color w:val="000000" w:themeColor="text1"/>
        </w:rPr>
        <w:t xml:space="preserve">, 10–20. </w:t>
      </w:r>
      <w:hyperlink r:id="rId20" w:history="1">
        <w:r w:rsidRPr="00565C9C">
          <w:rPr>
            <w:rStyle w:val="Hyperlink"/>
            <w:rFonts w:asciiTheme="majorBidi" w:hAnsiTheme="majorBidi" w:cstheme="majorBidi"/>
            <w:color w:val="000000" w:themeColor="text1"/>
          </w:rPr>
          <w:t>https://www.sciencedirect.com/science/article/pii/S1447677022001565</w:t>
        </w:r>
      </w:hyperlink>
    </w:p>
    <w:p w14:paraId="215275A2"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lastRenderedPageBreak/>
        <w:t xml:space="preserve">Boisjoly, R. P., Conine, T. E., Jr., &amp; McDonald, M. B., IV. (2020). Working capital management: Financial and valuation impacts. </w:t>
      </w:r>
      <w:r w:rsidRPr="00565C9C">
        <w:rPr>
          <w:rStyle w:val="Emphasis"/>
          <w:rFonts w:asciiTheme="majorBidi" w:hAnsiTheme="majorBidi" w:cstheme="majorBidi"/>
          <w:b w:val="0"/>
          <w:bCs w:val="0"/>
          <w:color w:val="000000" w:themeColor="text1"/>
        </w:rPr>
        <w:t>Journal of Business Research, 108</w:t>
      </w:r>
      <w:r w:rsidRPr="00565C9C">
        <w:rPr>
          <w:rFonts w:asciiTheme="majorBidi" w:hAnsiTheme="majorBidi" w:cstheme="majorBidi"/>
          <w:color w:val="000000" w:themeColor="text1"/>
        </w:rPr>
        <w:t xml:space="preserve">, 1–8. </w:t>
      </w:r>
      <w:hyperlink r:id="rId21" w:history="1">
        <w:r w:rsidRPr="00565C9C">
          <w:rPr>
            <w:rStyle w:val="Hyperlink"/>
            <w:rFonts w:asciiTheme="majorBidi" w:hAnsiTheme="majorBidi" w:cstheme="majorBidi"/>
            <w:color w:val="000000" w:themeColor="text1"/>
          </w:rPr>
          <w:t>https://www.sciencedirect.com/science/article/pii/S0148296319305508</w:t>
        </w:r>
      </w:hyperlink>
    </w:p>
    <w:p w14:paraId="73779D7E"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Breier, M., Kallmuenzer, A., Clauss, T., Gast, J., Kraus, S., &amp; Tiberius, V. (2021). The role of business model innovation in the hospitality industry during the COVID-19 crisis. </w:t>
      </w:r>
      <w:r w:rsidRPr="00565C9C">
        <w:rPr>
          <w:rStyle w:val="Emphasis"/>
          <w:rFonts w:asciiTheme="majorBidi" w:hAnsiTheme="majorBidi" w:cstheme="majorBidi"/>
          <w:b w:val="0"/>
          <w:bCs w:val="0"/>
          <w:color w:val="000000" w:themeColor="text1"/>
        </w:rPr>
        <w:t>International Journal of Hospitality Management, 92</w:t>
      </w:r>
      <w:r w:rsidRPr="00565C9C">
        <w:rPr>
          <w:rFonts w:asciiTheme="majorBidi" w:hAnsiTheme="majorBidi" w:cstheme="majorBidi"/>
          <w:color w:val="000000" w:themeColor="text1"/>
        </w:rPr>
        <w:t xml:space="preserve">, 102723. </w:t>
      </w:r>
      <w:hyperlink r:id="rId22" w:history="1">
        <w:r w:rsidRPr="00565C9C">
          <w:rPr>
            <w:rStyle w:val="Hyperlink"/>
            <w:rFonts w:asciiTheme="majorBidi" w:hAnsiTheme="majorBidi" w:cstheme="majorBidi"/>
            <w:color w:val="000000" w:themeColor="text1"/>
          </w:rPr>
          <w:t>https://www.sciencedirect.com/science/article/pii/S0278431920302759</w:t>
        </w:r>
      </w:hyperlink>
    </w:p>
    <w:p w14:paraId="4EE1DC37"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Chambers, N., &amp; Cifter, A. (2022). Working capital management and firm performance in the hospitality and tourism industry. </w:t>
      </w:r>
      <w:r w:rsidRPr="00565C9C">
        <w:rPr>
          <w:rStyle w:val="Emphasis"/>
          <w:rFonts w:asciiTheme="majorBidi" w:hAnsiTheme="majorBidi" w:cstheme="majorBidi"/>
          <w:b w:val="0"/>
          <w:bCs w:val="0"/>
          <w:color w:val="000000" w:themeColor="text1"/>
        </w:rPr>
        <w:t>International Journal of Hospitality Management, 102</w:t>
      </w:r>
      <w:r w:rsidRPr="00565C9C">
        <w:rPr>
          <w:rFonts w:asciiTheme="majorBidi" w:hAnsiTheme="majorBidi" w:cstheme="majorBidi"/>
          <w:color w:val="000000" w:themeColor="text1"/>
        </w:rPr>
        <w:t xml:space="preserve">, 103144. </w:t>
      </w:r>
      <w:hyperlink r:id="rId23" w:history="1">
        <w:r w:rsidRPr="00565C9C">
          <w:rPr>
            <w:rStyle w:val="Hyperlink"/>
            <w:rFonts w:asciiTheme="majorBidi" w:hAnsiTheme="majorBidi" w:cstheme="majorBidi"/>
            <w:color w:val="000000" w:themeColor="text1"/>
          </w:rPr>
          <w:t>https://www.sciencedirect.com/science/article/pii/S0278431922000068</w:t>
        </w:r>
      </w:hyperlink>
    </w:p>
    <w:p w14:paraId="49CA03F8"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Chen, C.-D., Su, C.-H., &amp; Chen, M.-H. (2022). Are ESG-committed hotels financially resilient to the COVID-19 pandemic? An autoregressive jump intensity trend model. </w:t>
      </w:r>
      <w:r w:rsidRPr="00565C9C">
        <w:rPr>
          <w:rStyle w:val="Emphasis"/>
          <w:rFonts w:asciiTheme="majorBidi" w:hAnsiTheme="majorBidi" w:cstheme="majorBidi"/>
          <w:b w:val="0"/>
          <w:bCs w:val="0"/>
          <w:color w:val="000000" w:themeColor="text1"/>
        </w:rPr>
        <w:t>Tourism Management, 93</w:t>
      </w:r>
      <w:r w:rsidRPr="00565C9C">
        <w:rPr>
          <w:rFonts w:asciiTheme="majorBidi" w:hAnsiTheme="majorBidi" w:cstheme="majorBidi"/>
          <w:color w:val="000000" w:themeColor="text1"/>
        </w:rPr>
        <w:t xml:space="preserve">, 104581. </w:t>
      </w:r>
      <w:hyperlink r:id="rId24" w:history="1">
        <w:r w:rsidRPr="00565C9C">
          <w:rPr>
            <w:rStyle w:val="Hyperlink"/>
            <w:rFonts w:asciiTheme="majorBidi" w:hAnsiTheme="majorBidi" w:cstheme="majorBidi"/>
            <w:color w:val="000000" w:themeColor="text1"/>
          </w:rPr>
          <w:t>https://www.sciencedirect.com/science/article/pii/S0261517722000942</w:t>
        </w:r>
      </w:hyperlink>
    </w:p>
    <w:p w14:paraId="660720B3"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Farquhar, S., Kossen, J., Kuhn, L., &amp; Gal, Y. (2024). Detecting hallucinations in large language models using semantic entropy. </w:t>
      </w:r>
      <w:r w:rsidRPr="00565C9C">
        <w:rPr>
          <w:rStyle w:val="Emphasis"/>
          <w:rFonts w:asciiTheme="majorBidi" w:hAnsiTheme="majorBidi" w:cstheme="majorBidi"/>
          <w:b w:val="0"/>
          <w:bCs w:val="0"/>
          <w:color w:val="000000" w:themeColor="text1"/>
        </w:rPr>
        <w:t>Nature, 630</w:t>
      </w:r>
      <w:r w:rsidRPr="00565C9C">
        <w:rPr>
          <w:rFonts w:asciiTheme="majorBidi" w:hAnsiTheme="majorBidi" w:cstheme="majorBidi"/>
          <w:color w:val="000000" w:themeColor="text1"/>
        </w:rPr>
        <w:t xml:space="preserve">, 625–630. </w:t>
      </w:r>
      <w:hyperlink r:id="rId25" w:history="1">
        <w:r w:rsidRPr="00565C9C">
          <w:rPr>
            <w:rStyle w:val="Hyperlink"/>
            <w:rFonts w:asciiTheme="majorBidi" w:hAnsiTheme="majorBidi" w:cstheme="majorBidi"/>
            <w:color w:val="000000" w:themeColor="text1"/>
          </w:rPr>
          <w:t>https://www.nature.com/articles/s41586-024-07421-0</w:t>
        </w:r>
      </w:hyperlink>
    </w:p>
    <w:p w14:paraId="3A7E6A8A"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Freeman, R. E. (1984). </w:t>
      </w:r>
      <w:r w:rsidRPr="00565C9C">
        <w:rPr>
          <w:rStyle w:val="Emphasis"/>
          <w:rFonts w:asciiTheme="majorBidi" w:hAnsiTheme="majorBidi" w:cstheme="majorBidi"/>
          <w:b w:val="0"/>
          <w:bCs w:val="0"/>
          <w:color w:val="000000" w:themeColor="text1"/>
        </w:rPr>
        <w:t>Strategic management: A stakeholder approach</w:t>
      </w:r>
      <w:r w:rsidRPr="00565C9C">
        <w:rPr>
          <w:rFonts w:asciiTheme="majorBidi" w:hAnsiTheme="majorBidi" w:cstheme="majorBidi"/>
          <w:color w:val="000000" w:themeColor="text1"/>
        </w:rPr>
        <w:t xml:space="preserve">. Pitman. </w:t>
      </w:r>
      <w:hyperlink r:id="rId26" w:history="1">
        <w:r w:rsidRPr="00565C9C">
          <w:rPr>
            <w:rStyle w:val="Hyperlink"/>
            <w:rFonts w:asciiTheme="majorBidi" w:hAnsiTheme="majorBidi" w:cstheme="majorBidi"/>
            <w:color w:val="000000" w:themeColor="text1"/>
          </w:rPr>
          <w:t>https://books.google.com/books?id=NpmA_qEiOpkC</w:t>
        </w:r>
      </w:hyperlink>
    </w:p>
    <w:p w14:paraId="1EC9FF1C"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García-Gómez, C. D., Demir, E., Díez-Esteban, J. M., &amp; Popesko, B. (2023). Investment inefficiency in the hospitality industry: The role of economic policy uncertainty. </w:t>
      </w:r>
      <w:r w:rsidRPr="00565C9C">
        <w:rPr>
          <w:rStyle w:val="Emphasis"/>
          <w:rFonts w:asciiTheme="majorBidi" w:hAnsiTheme="majorBidi" w:cstheme="majorBidi"/>
          <w:b w:val="0"/>
          <w:bCs w:val="0"/>
          <w:color w:val="000000" w:themeColor="text1"/>
        </w:rPr>
        <w:t>Journal of Hospitality and Tourism Management, 54</w:t>
      </w:r>
      <w:r w:rsidRPr="00565C9C">
        <w:rPr>
          <w:rFonts w:asciiTheme="majorBidi" w:hAnsiTheme="majorBidi" w:cstheme="majorBidi"/>
          <w:color w:val="000000" w:themeColor="text1"/>
        </w:rPr>
        <w:t xml:space="preserve">, 383–391. </w:t>
      </w:r>
      <w:hyperlink r:id="rId27" w:history="1">
        <w:r w:rsidRPr="00565C9C">
          <w:rPr>
            <w:rStyle w:val="Hyperlink"/>
            <w:rFonts w:asciiTheme="majorBidi" w:hAnsiTheme="majorBidi" w:cstheme="majorBidi"/>
            <w:color w:val="000000" w:themeColor="text1"/>
          </w:rPr>
          <w:t>https://www.sciencedirect.com/science/article/pii/S1447677023000062</w:t>
        </w:r>
      </w:hyperlink>
    </w:p>
    <w:p w14:paraId="464C99E2"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Ghaderi, Z., Mirzapour, M., Henderson, J. C., &amp; Richardson, S. (2019). Corporate social responsibility and hotel performance: A view from Tehran, Iran. </w:t>
      </w:r>
      <w:r w:rsidRPr="00565C9C">
        <w:rPr>
          <w:rStyle w:val="Emphasis"/>
          <w:rFonts w:asciiTheme="majorBidi" w:hAnsiTheme="majorBidi" w:cstheme="majorBidi"/>
          <w:b w:val="0"/>
          <w:bCs w:val="0"/>
          <w:color w:val="000000" w:themeColor="text1"/>
        </w:rPr>
        <w:t>Tourism Management Perspectives, 29</w:t>
      </w:r>
      <w:r w:rsidRPr="00565C9C">
        <w:rPr>
          <w:rFonts w:asciiTheme="majorBidi" w:hAnsiTheme="majorBidi" w:cstheme="majorBidi"/>
          <w:color w:val="000000" w:themeColor="text1"/>
        </w:rPr>
        <w:t xml:space="preserve">, 41–47. </w:t>
      </w:r>
      <w:hyperlink r:id="rId28" w:history="1">
        <w:r w:rsidRPr="00565C9C">
          <w:rPr>
            <w:rStyle w:val="Hyperlink"/>
            <w:rFonts w:asciiTheme="majorBidi" w:hAnsiTheme="majorBidi" w:cstheme="majorBidi"/>
            <w:color w:val="000000" w:themeColor="text1"/>
          </w:rPr>
          <w:t>https://www.sciencedirect.com/science/article/pii/S2211973618300977</w:t>
        </w:r>
      </w:hyperlink>
    </w:p>
    <w:p w14:paraId="03B83C3C"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lastRenderedPageBreak/>
        <w:t xml:space="preserve">Hilton Worldwide Holdings Inc. (2026). </w:t>
      </w:r>
      <w:r w:rsidRPr="00565C9C">
        <w:rPr>
          <w:rStyle w:val="Emphasis"/>
          <w:rFonts w:asciiTheme="majorBidi" w:hAnsiTheme="majorBidi" w:cstheme="majorBidi"/>
          <w:b w:val="0"/>
          <w:bCs w:val="0"/>
          <w:color w:val="000000" w:themeColor="text1"/>
        </w:rPr>
        <w:t>Annual report for the year ended December 31, 2025</w:t>
      </w:r>
      <w:r w:rsidRPr="00565C9C">
        <w:rPr>
          <w:rFonts w:asciiTheme="majorBidi" w:hAnsiTheme="majorBidi" w:cstheme="majorBidi"/>
          <w:color w:val="000000" w:themeColor="text1"/>
        </w:rPr>
        <w:t xml:space="preserve">. U.S. Securities and Exchange Commission. </w:t>
      </w:r>
      <w:hyperlink r:id="rId29" w:history="1">
        <w:r w:rsidRPr="00565C9C">
          <w:rPr>
            <w:rStyle w:val="Hyperlink"/>
            <w:rFonts w:asciiTheme="majorBidi" w:hAnsiTheme="majorBidi" w:cstheme="majorBidi"/>
            <w:color w:val="000000" w:themeColor="text1"/>
          </w:rPr>
          <w:t>https://www.sec.gov/Archives/edgar/data/1585689/000158568926000007/hlt-20251231.htm</w:t>
        </w:r>
      </w:hyperlink>
    </w:p>
    <w:p w14:paraId="4DEB8810"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InterContinental Hotels Group PLC. (2021). </w:t>
      </w:r>
      <w:r w:rsidRPr="00565C9C">
        <w:rPr>
          <w:rStyle w:val="Emphasis"/>
          <w:rFonts w:asciiTheme="majorBidi" w:hAnsiTheme="majorBidi" w:cstheme="majorBidi"/>
          <w:b w:val="0"/>
          <w:bCs w:val="0"/>
          <w:color w:val="000000" w:themeColor="text1"/>
        </w:rPr>
        <w:t>Preliminary results for the year to 31 December 2020</w:t>
      </w:r>
      <w:r w:rsidRPr="00565C9C">
        <w:rPr>
          <w:rFonts w:asciiTheme="majorBidi" w:hAnsiTheme="majorBidi" w:cstheme="majorBidi"/>
          <w:color w:val="000000" w:themeColor="text1"/>
        </w:rPr>
        <w:t xml:space="preserve">. </w:t>
      </w:r>
      <w:hyperlink r:id="rId30" w:history="1">
        <w:r w:rsidRPr="00565C9C">
          <w:rPr>
            <w:rStyle w:val="Hyperlink"/>
            <w:rFonts w:asciiTheme="majorBidi" w:hAnsiTheme="majorBidi" w:cstheme="majorBidi"/>
            <w:color w:val="000000" w:themeColor="text1"/>
          </w:rPr>
          <w:t>https://www.ihgplc.com/en/news-and-media/news-releases/2021/preliminary-results-for-the-year-to-31-december-2020</w:t>
        </w:r>
      </w:hyperlink>
    </w:p>
    <w:p w14:paraId="5FCFA57A"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InterContinental Hotels Group PLC. (2022). </w:t>
      </w:r>
      <w:r w:rsidRPr="00565C9C">
        <w:rPr>
          <w:rStyle w:val="Emphasis"/>
          <w:rFonts w:asciiTheme="majorBidi" w:hAnsiTheme="majorBidi" w:cstheme="majorBidi"/>
          <w:b w:val="0"/>
          <w:bCs w:val="0"/>
          <w:color w:val="000000" w:themeColor="text1"/>
        </w:rPr>
        <w:t>Preliminary results for the year to 31 December 2021</w:t>
      </w:r>
      <w:r w:rsidRPr="00565C9C">
        <w:rPr>
          <w:rFonts w:asciiTheme="majorBidi" w:hAnsiTheme="majorBidi" w:cstheme="majorBidi"/>
          <w:color w:val="000000" w:themeColor="text1"/>
        </w:rPr>
        <w:t xml:space="preserve">. </w:t>
      </w:r>
      <w:hyperlink r:id="rId31" w:history="1">
        <w:r w:rsidRPr="00565C9C">
          <w:rPr>
            <w:rStyle w:val="Hyperlink"/>
            <w:rFonts w:asciiTheme="majorBidi" w:hAnsiTheme="majorBidi" w:cstheme="majorBidi"/>
            <w:color w:val="000000" w:themeColor="text1"/>
          </w:rPr>
          <w:t>https://www.ihgplc.com/en/news-and-media/news-releases/2022/preliminary-results-for-the-year-to-31-december-2021</w:t>
        </w:r>
      </w:hyperlink>
    </w:p>
    <w:p w14:paraId="3C0C2717"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InterContinental Hotels Group PLC. (2023). </w:t>
      </w:r>
      <w:r w:rsidRPr="00565C9C">
        <w:rPr>
          <w:rStyle w:val="Emphasis"/>
          <w:rFonts w:asciiTheme="majorBidi" w:hAnsiTheme="majorBidi" w:cstheme="majorBidi"/>
          <w:b w:val="0"/>
          <w:bCs w:val="0"/>
          <w:color w:val="000000" w:themeColor="text1"/>
        </w:rPr>
        <w:t>Full-year results for the year to 31 December 2022</w:t>
      </w:r>
      <w:r w:rsidRPr="00565C9C">
        <w:rPr>
          <w:rFonts w:asciiTheme="majorBidi" w:hAnsiTheme="majorBidi" w:cstheme="majorBidi"/>
          <w:color w:val="000000" w:themeColor="text1"/>
        </w:rPr>
        <w:t xml:space="preserve">. </w:t>
      </w:r>
      <w:hyperlink r:id="rId32" w:history="1">
        <w:r w:rsidRPr="00565C9C">
          <w:rPr>
            <w:rStyle w:val="Hyperlink"/>
            <w:rFonts w:asciiTheme="majorBidi" w:hAnsiTheme="majorBidi" w:cstheme="majorBidi"/>
            <w:color w:val="000000" w:themeColor="text1"/>
          </w:rPr>
          <w:t>https://www.ihgplc.com/en/news-and-media/news-releases/2023/full-year-results-for-the-year-to-31-dec-2022</w:t>
        </w:r>
      </w:hyperlink>
    </w:p>
    <w:p w14:paraId="39447B2B"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InterContinental Hotels Group PLC. (2024). </w:t>
      </w:r>
      <w:r w:rsidRPr="00565C9C">
        <w:rPr>
          <w:rStyle w:val="Emphasis"/>
          <w:rFonts w:asciiTheme="majorBidi" w:hAnsiTheme="majorBidi" w:cstheme="majorBidi"/>
          <w:b w:val="0"/>
          <w:bCs w:val="0"/>
          <w:color w:val="000000" w:themeColor="text1"/>
        </w:rPr>
        <w:t>Full-year results for the year to 31 December 2023</w:t>
      </w:r>
      <w:r w:rsidRPr="00565C9C">
        <w:rPr>
          <w:rFonts w:asciiTheme="majorBidi" w:hAnsiTheme="majorBidi" w:cstheme="majorBidi"/>
          <w:color w:val="000000" w:themeColor="text1"/>
        </w:rPr>
        <w:t xml:space="preserve">. </w:t>
      </w:r>
      <w:hyperlink r:id="rId33" w:history="1">
        <w:r w:rsidRPr="00565C9C">
          <w:rPr>
            <w:rStyle w:val="Hyperlink"/>
            <w:rFonts w:asciiTheme="majorBidi" w:hAnsiTheme="majorBidi" w:cstheme="majorBidi"/>
            <w:color w:val="000000" w:themeColor="text1"/>
          </w:rPr>
          <w:t>https://www.ihgplc.com/en/news-and-media/news-releases/2024/full-year-results-for-the-year-to-31-dec-2023</w:t>
        </w:r>
      </w:hyperlink>
    </w:p>
    <w:p w14:paraId="1335E3FC"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InterContinental Hotels Group PLC. (2025). </w:t>
      </w:r>
      <w:r w:rsidRPr="00565C9C">
        <w:rPr>
          <w:rStyle w:val="Emphasis"/>
          <w:rFonts w:asciiTheme="majorBidi" w:hAnsiTheme="majorBidi" w:cstheme="majorBidi"/>
          <w:b w:val="0"/>
          <w:bCs w:val="0"/>
          <w:color w:val="000000" w:themeColor="text1"/>
        </w:rPr>
        <w:t>Full-year results for the year to 31 December 2024</w:t>
      </w:r>
      <w:r w:rsidRPr="00565C9C">
        <w:rPr>
          <w:rFonts w:asciiTheme="majorBidi" w:hAnsiTheme="majorBidi" w:cstheme="majorBidi"/>
          <w:color w:val="000000" w:themeColor="text1"/>
        </w:rPr>
        <w:t xml:space="preserve">. </w:t>
      </w:r>
      <w:hyperlink r:id="rId34" w:history="1">
        <w:r w:rsidRPr="00565C9C">
          <w:rPr>
            <w:rStyle w:val="Hyperlink"/>
            <w:rFonts w:asciiTheme="majorBidi" w:hAnsiTheme="majorBidi" w:cstheme="majorBidi"/>
            <w:color w:val="000000" w:themeColor="text1"/>
          </w:rPr>
          <w:t>https://www.ihgplc.com/en/news-and-media/news-releases/2025/full-year-results-for-the-year-to-31-dec-2024</w:t>
        </w:r>
      </w:hyperlink>
    </w:p>
    <w:p w14:paraId="1577F957"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InterContinental Hotels Group PLC. (2026a). </w:t>
      </w:r>
      <w:r w:rsidRPr="00565C9C">
        <w:rPr>
          <w:rStyle w:val="Emphasis"/>
          <w:rFonts w:asciiTheme="majorBidi" w:hAnsiTheme="majorBidi" w:cstheme="majorBidi"/>
          <w:b w:val="0"/>
          <w:bCs w:val="0"/>
          <w:color w:val="000000" w:themeColor="text1"/>
        </w:rPr>
        <w:t>Full-year results for the year to 31 December 2025</w:t>
      </w:r>
      <w:r w:rsidRPr="00565C9C">
        <w:rPr>
          <w:rFonts w:asciiTheme="majorBidi" w:hAnsiTheme="majorBidi" w:cstheme="majorBidi"/>
          <w:color w:val="000000" w:themeColor="text1"/>
        </w:rPr>
        <w:t xml:space="preserve">. </w:t>
      </w:r>
      <w:hyperlink r:id="rId35" w:history="1">
        <w:r w:rsidRPr="00565C9C">
          <w:rPr>
            <w:rStyle w:val="Hyperlink"/>
            <w:rFonts w:asciiTheme="majorBidi" w:hAnsiTheme="majorBidi" w:cstheme="majorBidi"/>
            <w:color w:val="000000" w:themeColor="text1"/>
          </w:rPr>
          <w:t>https://www.ihgplc.com/en/news-and-media/news-releases/2026/full-year-results-for-the-year-to-31-dec-2025</w:t>
        </w:r>
      </w:hyperlink>
    </w:p>
    <w:p w14:paraId="36A53A53"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InterContinental Hotels Group PLC. (2026b). </w:t>
      </w:r>
      <w:r w:rsidRPr="00565C9C">
        <w:rPr>
          <w:rStyle w:val="Emphasis"/>
          <w:rFonts w:asciiTheme="majorBidi" w:hAnsiTheme="majorBidi" w:cstheme="majorBidi"/>
          <w:b w:val="0"/>
          <w:bCs w:val="0"/>
          <w:color w:val="000000" w:themeColor="text1"/>
        </w:rPr>
        <w:t>Annual report and Form 20-F 2025</w:t>
      </w:r>
      <w:r w:rsidRPr="00565C9C">
        <w:rPr>
          <w:rFonts w:asciiTheme="majorBidi" w:hAnsiTheme="majorBidi" w:cstheme="majorBidi"/>
          <w:color w:val="000000" w:themeColor="text1"/>
        </w:rPr>
        <w:t xml:space="preserve">. </w:t>
      </w:r>
      <w:hyperlink r:id="rId36" w:history="1">
        <w:r w:rsidRPr="00565C9C">
          <w:rPr>
            <w:rStyle w:val="Hyperlink"/>
            <w:rFonts w:asciiTheme="majorBidi" w:hAnsiTheme="majorBidi" w:cstheme="majorBidi"/>
            <w:color w:val="000000" w:themeColor="text1"/>
          </w:rPr>
          <w:t>https://www.ihgplc.com/investors/annual-report</w:t>
        </w:r>
      </w:hyperlink>
    </w:p>
    <w:p w14:paraId="7BBB5312"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International Monetary Fund. (2025). </w:t>
      </w:r>
      <w:r w:rsidRPr="00565C9C">
        <w:rPr>
          <w:rStyle w:val="Emphasis"/>
          <w:rFonts w:asciiTheme="majorBidi" w:hAnsiTheme="majorBidi" w:cstheme="majorBidi"/>
          <w:b w:val="0"/>
          <w:bCs w:val="0"/>
          <w:color w:val="000000" w:themeColor="text1"/>
        </w:rPr>
        <w:t>World economic outlook, October 2025: Global economy in flux, prospects remain dim</w:t>
      </w:r>
      <w:r w:rsidRPr="00565C9C">
        <w:rPr>
          <w:rFonts w:asciiTheme="majorBidi" w:hAnsiTheme="majorBidi" w:cstheme="majorBidi"/>
          <w:color w:val="000000" w:themeColor="text1"/>
        </w:rPr>
        <w:t xml:space="preserve">. </w:t>
      </w:r>
      <w:hyperlink r:id="rId37" w:history="1">
        <w:r w:rsidRPr="00565C9C">
          <w:rPr>
            <w:rStyle w:val="Hyperlink"/>
            <w:rFonts w:asciiTheme="majorBidi" w:hAnsiTheme="majorBidi" w:cstheme="majorBidi"/>
            <w:color w:val="000000" w:themeColor="text1"/>
          </w:rPr>
          <w:t>https://www.imf.org/en/publications/weo/issues/2025/10/14/world-economic-outlook-october-2025</w:t>
        </w:r>
      </w:hyperlink>
    </w:p>
    <w:p w14:paraId="5C6EE055"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lastRenderedPageBreak/>
        <w:t xml:space="preserve">Jensen, M. C. (1986). Agency costs of free cash flow, corporate finance, and takeovers. </w:t>
      </w:r>
      <w:r w:rsidRPr="00565C9C">
        <w:rPr>
          <w:rStyle w:val="Emphasis"/>
          <w:rFonts w:asciiTheme="majorBidi" w:hAnsiTheme="majorBidi" w:cstheme="majorBidi"/>
          <w:b w:val="0"/>
          <w:bCs w:val="0"/>
          <w:color w:val="000000" w:themeColor="text1"/>
        </w:rPr>
        <w:t>American Economic Review, 76</w:t>
      </w:r>
      <w:r w:rsidRPr="00565C9C">
        <w:rPr>
          <w:rFonts w:asciiTheme="majorBidi" w:hAnsiTheme="majorBidi" w:cstheme="majorBidi"/>
          <w:color w:val="000000" w:themeColor="text1"/>
        </w:rPr>
        <w:t xml:space="preserve">(2), 323–329. </w:t>
      </w:r>
      <w:hyperlink r:id="rId38" w:history="1">
        <w:r w:rsidRPr="00565C9C">
          <w:rPr>
            <w:rStyle w:val="Hyperlink"/>
            <w:rFonts w:asciiTheme="majorBidi" w:hAnsiTheme="majorBidi" w:cstheme="majorBidi"/>
            <w:color w:val="000000" w:themeColor="text1"/>
          </w:rPr>
          <w:t>https://www.aeaweb.org/aer/top20/76.2.323-329.pdf</w:t>
        </w:r>
      </w:hyperlink>
    </w:p>
    <w:p w14:paraId="24A11464"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Ji, M. K., Wang, J., Boccardo, L., Brown, H., Wong, I. K. A., &amp; Wu, J. (2024). Interactive effects of financial leverage with asset-light strategies: The agency theory perspective. </w:t>
      </w:r>
      <w:r w:rsidRPr="00565C9C">
        <w:rPr>
          <w:rStyle w:val="Emphasis"/>
          <w:rFonts w:asciiTheme="majorBidi" w:hAnsiTheme="majorBidi" w:cstheme="majorBidi"/>
          <w:b w:val="0"/>
          <w:bCs w:val="0"/>
          <w:color w:val="000000" w:themeColor="text1"/>
        </w:rPr>
        <w:t>International Journal of Hospitality Management, 116</w:t>
      </w:r>
      <w:r w:rsidRPr="00565C9C">
        <w:rPr>
          <w:rFonts w:asciiTheme="majorBidi" w:hAnsiTheme="majorBidi" w:cstheme="majorBidi"/>
          <w:color w:val="000000" w:themeColor="text1"/>
        </w:rPr>
        <w:t xml:space="preserve">, 103619. </w:t>
      </w:r>
      <w:hyperlink r:id="rId39" w:history="1">
        <w:r w:rsidRPr="00565C9C">
          <w:rPr>
            <w:rStyle w:val="Hyperlink"/>
            <w:rFonts w:asciiTheme="majorBidi" w:hAnsiTheme="majorBidi" w:cstheme="majorBidi"/>
            <w:color w:val="000000" w:themeColor="text1"/>
          </w:rPr>
          <w:t>https://www.sciencedirect.com/science/article/pii/S0278431923001937</w:t>
        </w:r>
      </w:hyperlink>
    </w:p>
    <w:p w14:paraId="52980F4D"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Lehner, O. M., Ittonen, K., Silvola, H., Ström, E., &amp; Wührleitner, A. (2022). Artificial intelligence based decision-making in accounting and auditing: Ethical challenges and normative thinking. </w:t>
      </w:r>
      <w:r w:rsidRPr="00565C9C">
        <w:rPr>
          <w:rStyle w:val="Emphasis"/>
          <w:rFonts w:asciiTheme="majorBidi" w:hAnsiTheme="majorBidi" w:cstheme="majorBidi"/>
          <w:b w:val="0"/>
          <w:bCs w:val="0"/>
          <w:color w:val="000000" w:themeColor="text1"/>
        </w:rPr>
        <w:t>Accounting, Auditing &amp; Accountability Journal, 35</w:t>
      </w:r>
      <w:r w:rsidRPr="00565C9C">
        <w:rPr>
          <w:rFonts w:asciiTheme="majorBidi" w:hAnsiTheme="majorBidi" w:cstheme="majorBidi"/>
          <w:color w:val="000000" w:themeColor="text1"/>
        </w:rPr>
        <w:t xml:space="preserve">(9), 109–135. </w:t>
      </w:r>
      <w:hyperlink r:id="rId40" w:history="1">
        <w:r w:rsidRPr="00565C9C">
          <w:rPr>
            <w:rStyle w:val="Hyperlink"/>
            <w:rFonts w:asciiTheme="majorBidi" w:hAnsiTheme="majorBidi" w:cstheme="majorBidi"/>
            <w:color w:val="000000" w:themeColor="text1"/>
          </w:rPr>
          <w:t>https://www.emerald.com/aaaj/article/35/9/109/2312/Artificial-intelligence-based-decision-making-in</w:t>
        </w:r>
      </w:hyperlink>
    </w:p>
    <w:p w14:paraId="2E8FE80C"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Li, Y., &amp; Singal, M. (2019). Capital structure in the hospitality industry: The role of the asset-light and fee-oriented strategy. </w:t>
      </w:r>
      <w:r w:rsidRPr="00565C9C">
        <w:rPr>
          <w:rStyle w:val="Emphasis"/>
          <w:rFonts w:asciiTheme="majorBidi" w:hAnsiTheme="majorBidi" w:cstheme="majorBidi"/>
          <w:b w:val="0"/>
          <w:bCs w:val="0"/>
          <w:color w:val="000000" w:themeColor="text1"/>
        </w:rPr>
        <w:t>Tourism Management, 70</w:t>
      </w:r>
      <w:r w:rsidRPr="00565C9C">
        <w:rPr>
          <w:rFonts w:asciiTheme="majorBidi" w:hAnsiTheme="majorBidi" w:cstheme="majorBidi"/>
          <w:color w:val="000000" w:themeColor="text1"/>
        </w:rPr>
        <w:t xml:space="preserve">, 124–133. </w:t>
      </w:r>
      <w:hyperlink r:id="rId41" w:history="1">
        <w:r w:rsidRPr="00565C9C">
          <w:rPr>
            <w:rStyle w:val="Hyperlink"/>
            <w:rFonts w:asciiTheme="majorBidi" w:hAnsiTheme="majorBidi" w:cstheme="majorBidi"/>
            <w:color w:val="000000" w:themeColor="text1"/>
          </w:rPr>
          <w:t>https://www.sciencedirect.com/science/article/pii/S0261517718301754</w:t>
        </w:r>
      </w:hyperlink>
    </w:p>
    <w:p w14:paraId="61C5DD7D"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Liang, S., Yu, R., Liu, Z., Wang, W., Wu, L., &amp; Hu, X. (2023). An empirical study on the asset-light operation and corporate performance of China’s tourism listed companies. </w:t>
      </w:r>
      <w:r w:rsidRPr="00565C9C">
        <w:rPr>
          <w:rStyle w:val="Emphasis"/>
          <w:rFonts w:asciiTheme="majorBidi" w:hAnsiTheme="majorBidi" w:cstheme="majorBidi"/>
          <w:b w:val="0"/>
          <w:bCs w:val="0"/>
          <w:color w:val="000000" w:themeColor="text1"/>
        </w:rPr>
        <w:t>Heliyon, 9</w:t>
      </w:r>
      <w:r w:rsidRPr="00565C9C">
        <w:rPr>
          <w:rFonts w:asciiTheme="majorBidi" w:hAnsiTheme="majorBidi" w:cstheme="majorBidi"/>
          <w:color w:val="000000" w:themeColor="text1"/>
        </w:rPr>
        <w:t xml:space="preserve">(2), e13391. </w:t>
      </w:r>
      <w:hyperlink r:id="rId42" w:history="1">
        <w:r w:rsidRPr="00565C9C">
          <w:rPr>
            <w:rStyle w:val="Hyperlink"/>
            <w:rFonts w:asciiTheme="majorBidi" w:hAnsiTheme="majorBidi" w:cstheme="majorBidi"/>
            <w:color w:val="000000" w:themeColor="text1"/>
          </w:rPr>
          <w:t>https://www.sciencedirect.com/science/article/pii/S2405844023005984</w:t>
        </w:r>
      </w:hyperlink>
    </w:p>
    <w:p w14:paraId="7ECEE909"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Lussi, S., Masset, P., Weisskopf, J.-P., &amp; Blal, I. (2023). Cross-dimensional measures of asset lightness and fee orientation in lodging groups. </w:t>
      </w:r>
      <w:r w:rsidRPr="00565C9C">
        <w:rPr>
          <w:rStyle w:val="Emphasis"/>
          <w:rFonts w:asciiTheme="majorBidi" w:hAnsiTheme="majorBidi" w:cstheme="majorBidi"/>
          <w:b w:val="0"/>
          <w:bCs w:val="0"/>
          <w:color w:val="000000" w:themeColor="text1"/>
        </w:rPr>
        <w:t>International Journal of Hospitality Management, 109</w:t>
      </w:r>
      <w:r w:rsidRPr="00565C9C">
        <w:rPr>
          <w:rFonts w:asciiTheme="majorBidi" w:hAnsiTheme="majorBidi" w:cstheme="majorBidi"/>
          <w:color w:val="000000" w:themeColor="text1"/>
        </w:rPr>
        <w:t xml:space="preserve">, 103391. </w:t>
      </w:r>
      <w:hyperlink r:id="rId43" w:history="1">
        <w:r w:rsidRPr="00565C9C">
          <w:rPr>
            <w:rStyle w:val="Hyperlink"/>
            <w:rFonts w:asciiTheme="majorBidi" w:hAnsiTheme="majorBidi" w:cstheme="majorBidi"/>
            <w:color w:val="000000" w:themeColor="text1"/>
          </w:rPr>
          <w:t>https://www.sciencedirect.com/science/article/pii/S0278431922002572</w:t>
        </w:r>
      </w:hyperlink>
    </w:p>
    <w:p w14:paraId="62CEFC4C"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Marriott International, Inc. (2026). </w:t>
      </w:r>
      <w:r w:rsidRPr="00565C9C">
        <w:rPr>
          <w:rStyle w:val="Emphasis"/>
          <w:rFonts w:asciiTheme="majorBidi" w:hAnsiTheme="majorBidi" w:cstheme="majorBidi"/>
          <w:b w:val="0"/>
          <w:bCs w:val="0"/>
          <w:color w:val="000000" w:themeColor="text1"/>
        </w:rPr>
        <w:t>Annual report for the year ended December 31, 2025</w:t>
      </w:r>
      <w:r w:rsidRPr="00565C9C">
        <w:rPr>
          <w:rFonts w:asciiTheme="majorBidi" w:hAnsiTheme="majorBidi" w:cstheme="majorBidi"/>
          <w:color w:val="000000" w:themeColor="text1"/>
        </w:rPr>
        <w:t xml:space="preserve">. U.S. Securities and Exchange Commission. </w:t>
      </w:r>
      <w:hyperlink r:id="rId44" w:history="1">
        <w:r w:rsidRPr="00565C9C">
          <w:rPr>
            <w:rStyle w:val="Hyperlink"/>
            <w:rFonts w:asciiTheme="majorBidi" w:hAnsiTheme="majorBidi" w:cstheme="majorBidi"/>
            <w:color w:val="000000" w:themeColor="text1"/>
          </w:rPr>
          <w:t>https://www.sec.gov/Archives/edgar/data/1048286/000104828626000007/mar-20251231.htm</w:t>
        </w:r>
      </w:hyperlink>
    </w:p>
    <w:p w14:paraId="39B1DD61"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lastRenderedPageBreak/>
        <w:t xml:space="preserve">Myers, S. C., &amp; Majluf, N. S. (1984). Corporate financing and investment decisions when firms have information that investors do not have. </w:t>
      </w:r>
      <w:r w:rsidRPr="00565C9C">
        <w:rPr>
          <w:rStyle w:val="Emphasis"/>
          <w:rFonts w:asciiTheme="majorBidi" w:hAnsiTheme="majorBidi" w:cstheme="majorBidi"/>
          <w:b w:val="0"/>
          <w:bCs w:val="0"/>
          <w:color w:val="000000" w:themeColor="text1"/>
        </w:rPr>
        <w:t>Journal of Financial Economics, 13</w:t>
      </w:r>
      <w:r w:rsidRPr="00565C9C">
        <w:rPr>
          <w:rFonts w:asciiTheme="majorBidi" w:hAnsiTheme="majorBidi" w:cstheme="majorBidi"/>
          <w:color w:val="000000" w:themeColor="text1"/>
        </w:rPr>
        <w:t xml:space="preserve">(2), 187–221. </w:t>
      </w:r>
      <w:hyperlink r:id="rId45" w:history="1">
        <w:r w:rsidRPr="00565C9C">
          <w:rPr>
            <w:rStyle w:val="Hyperlink"/>
            <w:rFonts w:asciiTheme="majorBidi" w:hAnsiTheme="majorBidi" w:cstheme="majorBidi"/>
            <w:color w:val="000000" w:themeColor="text1"/>
          </w:rPr>
          <w:t>https://www.sciencedirect.com/science/article/pii/0304405X84900230</w:t>
        </w:r>
      </w:hyperlink>
    </w:p>
    <w:p w14:paraId="7786B00C"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Poretti, C., &amp; Blal, I. (2020). The asset-light strategies and the dividend puzzle: International evidence from the hospitality industry. </w:t>
      </w:r>
      <w:r w:rsidRPr="00565C9C">
        <w:rPr>
          <w:rStyle w:val="Emphasis"/>
          <w:rFonts w:asciiTheme="majorBidi" w:hAnsiTheme="majorBidi" w:cstheme="majorBidi"/>
          <w:b w:val="0"/>
          <w:bCs w:val="0"/>
          <w:color w:val="000000" w:themeColor="text1"/>
        </w:rPr>
        <w:t>International Journal of Hospitality Management, 91</w:t>
      </w:r>
      <w:r w:rsidRPr="00565C9C">
        <w:rPr>
          <w:rFonts w:asciiTheme="majorBidi" w:hAnsiTheme="majorBidi" w:cstheme="majorBidi"/>
          <w:color w:val="000000" w:themeColor="text1"/>
        </w:rPr>
        <w:t xml:space="preserve">, 102639. </w:t>
      </w:r>
      <w:hyperlink r:id="rId46" w:history="1">
        <w:r w:rsidRPr="00565C9C">
          <w:rPr>
            <w:rStyle w:val="Hyperlink"/>
            <w:rFonts w:asciiTheme="majorBidi" w:hAnsiTheme="majorBidi" w:cstheme="majorBidi"/>
            <w:color w:val="000000" w:themeColor="text1"/>
          </w:rPr>
          <w:t>https://www.sciencedirect.com/science/article/pii/S0278431920301912</w:t>
        </w:r>
      </w:hyperlink>
    </w:p>
    <w:p w14:paraId="051CA616"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Poretti, C., Jérôme, T., &amp; Heo, C. Y. (2023). Business strategies and financial reporting complexity in hospitality firms. </w:t>
      </w:r>
      <w:r w:rsidRPr="00565C9C">
        <w:rPr>
          <w:rStyle w:val="Emphasis"/>
          <w:rFonts w:asciiTheme="majorBidi" w:hAnsiTheme="majorBidi" w:cstheme="majorBidi"/>
          <w:b w:val="0"/>
          <w:bCs w:val="0"/>
          <w:color w:val="000000" w:themeColor="text1"/>
        </w:rPr>
        <w:t>International Journal of Hospitality Management, 110</w:t>
      </w:r>
      <w:r w:rsidRPr="00565C9C">
        <w:rPr>
          <w:rFonts w:asciiTheme="majorBidi" w:hAnsiTheme="majorBidi" w:cstheme="majorBidi"/>
          <w:color w:val="000000" w:themeColor="text1"/>
        </w:rPr>
        <w:t xml:space="preserve">, 103429. </w:t>
      </w:r>
      <w:hyperlink r:id="rId47" w:history="1">
        <w:r w:rsidRPr="00565C9C">
          <w:rPr>
            <w:rStyle w:val="Hyperlink"/>
            <w:rFonts w:asciiTheme="majorBidi" w:hAnsiTheme="majorBidi" w:cstheme="majorBidi"/>
            <w:color w:val="000000" w:themeColor="text1"/>
          </w:rPr>
          <w:t>https://www.sciencedirect.com/science/article/pii/S0278431923000038</w:t>
        </w:r>
      </w:hyperlink>
    </w:p>
    <w:p w14:paraId="371C58DC"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UN Tourism. (2025). </w:t>
      </w:r>
      <w:r w:rsidRPr="00565C9C">
        <w:rPr>
          <w:rStyle w:val="Emphasis"/>
          <w:rFonts w:asciiTheme="majorBidi" w:hAnsiTheme="majorBidi" w:cstheme="majorBidi"/>
          <w:b w:val="0"/>
          <w:bCs w:val="0"/>
          <w:color w:val="000000" w:themeColor="text1"/>
        </w:rPr>
        <w:t>World Tourism Barometer: January 2025</w:t>
      </w:r>
      <w:r w:rsidRPr="00565C9C">
        <w:rPr>
          <w:rFonts w:asciiTheme="majorBidi" w:hAnsiTheme="majorBidi" w:cstheme="majorBidi"/>
          <w:color w:val="000000" w:themeColor="text1"/>
        </w:rPr>
        <w:t xml:space="preserve">. </w:t>
      </w:r>
      <w:hyperlink r:id="rId48" w:history="1">
        <w:r w:rsidRPr="00565C9C">
          <w:rPr>
            <w:rStyle w:val="Hyperlink"/>
            <w:rFonts w:asciiTheme="majorBidi" w:hAnsiTheme="majorBidi" w:cstheme="majorBidi"/>
            <w:color w:val="000000" w:themeColor="text1"/>
          </w:rPr>
          <w:t>https://en.unwto-ap.org/news/worldtourismbarometer_jan2025/</w:t>
        </w:r>
      </w:hyperlink>
    </w:p>
    <w:p w14:paraId="5589B29B"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Uyar, A., Kilic, M., Koseoglu, M. A., Kuzey, C., &amp; Karaman, A. S. (2020). The link among board characteristics, corporate social responsibility performance, and financial performance: Evidence from the hospitality and tourism industry. </w:t>
      </w:r>
      <w:r w:rsidRPr="00565C9C">
        <w:rPr>
          <w:rStyle w:val="Emphasis"/>
          <w:rFonts w:asciiTheme="majorBidi" w:hAnsiTheme="majorBidi" w:cstheme="majorBidi"/>
          <w:b w:val="0"/>
          <w:bCs w:val="0"/>
          <w:color w:val="000000" w:themeColor="text1"/>
        </w:rPr>
        <w:t>Tourism Management Perspectives, 35</w:t>
      </w:r>
      <w:r w:rsidRPr="00565C9C">
        <w:rPr>
          <w:rFonts w:asciiTheme="majorBidi" w:hAnsiTheme="majorBidi" w:cstheme="majorBidi"/>
          <w:color w:val="000000" w:themeColor="text1"/>
        </w:rPr>
        <w:t xml:space="preserve">, 100714. </w:t>
      </w:r>
      <w:hyperlink r:id="rId49" w:history="1">
        <w:r w:rsidRPr="00565C9C">
          <w:rPr>
            <w:rStyle w:val="Hyperlink"/>
            <w:rFonts w:asciiTheme="majorBidi" w:hAnsiTheme="majorBidi" w:cstheme="majorBidi"/>
            <w:color w:val="000000" w:themeColor="text1"/>
          </w:rPr>
          <w:t>https://www.sciencedirect.com/science/article/pii/S2211973620300817</w:t>
        </w:r>
      </w:hyperlink>
    </w:p>
    <w:p w14:paraId="1E95D77A"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Wang, Z., Yin, Q. E., &amp; Yu, L. (2024). Do share repurchases facilitate movement toward target capital structure? International evidence. </w:t>
      </w:r>
      <w:r w:rsidRPr="00565C9C">
        <w:rPr>
          <w:rStyle w:val="Emphasis"/>
          <w:rFonts w:asciiTheme="majorBidi" w:hAnsiTheme="majorBidi" w:cstheme="majorBidi"/>
          <w:b w:val="0"/>
          <w:bCs w:val="0"/>
          <w:color w:val="000000" w:themeColor="text1"/>
        </w:rPr>
        <w:t>Journal of Empirical Finance, 77</w:t>
      </w:r>
      <w:r w:rsidRPr="00565C9C">
        <w:rPr>
          <w:rFonts w:asciiTheme="majorBidi" w:hAnsiTheme="majorBidi" w:cstheme="majorBidi"/>
          <w:color w:val="000000" w:themeColor="text1"/>
        </w:rPr>
        <w:t xml:space="preserve">, 101498. </w:t>
      </w:r>
      <w:hyperlink r:id="rId50" w:history="1">
        <w:r w:rsidRPr="00565C9C">
          <w:rPr>
            <w:rStyle w:val="Hyperlink"/>
            <w:rFonts w:asciiTheme="majorBidi" w:hAnsiTheme="majorBidi" w:cstheme="majorBidi"/>
            <w:color w:val="000000" w:themeColor="text1"/>
          </w:rPr>
          <w:t>https://www.sciencedirect.com/science/article/pii/S0927539824000331</w:t>
        </w:r>
      </w:hyperlink>
    </w:p>
    <w:p w14:paraId="75781DC3"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World Travel &amp; Tourism Council. (2026). </w:t>
      </w:r>
      <w:r w:rsidRPr="00565C9C">
        <w:rPr>
          <w:rStyle w:val="Emphasis"/>
          <w:rFonts w:asciiTheme="majorBidi" w:hAnsiTheme="majorBidi" w:cstheme="majorBidi"/>
          <w:b w:val="0"/>
          <w:bCs w:val="0"/>
          <w:color w:val="000000" w:themeColor="text1"/>
        </w:rPr>
        <w:t>Travel and tourism economic impact research</w:t>
      </w:r>
      <w:r w:rsidRPr="00565C9C">
        <w:rPr>
          <w:rFonts w:asciiTheme="majorBidi" w:hAnsiTheme="majorBidi" w:cstheme="majorBidi"/>
          <w:color w:val="000000" w:themeColor="text1"/>
        </w:rPr>
        <w:t xml:space="preserve">. </w:t>
      </w:r>
      <w:hyperlink r:id="rId51" w:history="1">
        <w:r w:rsidRPr="00565C9C">
          <w:rPr>
            <w:rStyle w:val="Hyperlink"/>
            <w:rFonts w:asciiTheme="majorBidi" w:hAnsiTheme="majorBidi" w:cstheme="majorBidi"/>
            <w:color w:val="000000" w:themeColor="text1"/>
          </w:rPr>
          <w:t>https://wttc.org/research/economic-impact</w:t>
        </w:r>
      </w:hyperlink>
    </w:p>
    <w:p w14:paraId="1C1AB5C2" w14:textId="77777777" w:rsidR="00565C9C" w:rsidRPr="00565C9C" w:rsidRDefault="00565C9C" w:rsidP="00565C9C">
      <w:pPr>
        <w:pStyle w:val="NormalWeb"/>
        <w:spacing w:line="360" w:lineRule="auto"/>
        <w:ind w:left="720" w:hanging="720"/>
        <w:jc w:val="both"/>
        <w:rPr>
          <w:rFonts w:asciiTheme="majorBidi" w:hAnsiTheme="majorBidi" w:cstheme="majorBidi"/>
          <w:color w:val="000000" w:themeColor="text1"/>
        </w:rPr>
      </w:pPr>
      <w:r w:rsidRPr="00565C9C">
        <w:rPr>
          <w:rFonts w:asciiTheme="majorBidi" w:hAnsiTheme="majorBidi" w:cstheme="majorBidi"/>
          <w:color w:val="000000" w:themeColor="text1"/>
        </w:rPr>
        <w:t xml:space="preserve">Zhang, D., &amp; Xie, J. (2021). Uncovering the effect of environmental performance on hotels’ financial performance: A global outlook. </w:t>
      </w:r>
      <w:r w:rsidRPr="00565C9C">
        <w:rPr>
          <w:rStyle w:val="Emphasis"/>
          <w:rFonts w:asciiTheme="majorBidi" w:hAnsiTheme="majorBidi" w:cstheme="majorBidi"/>
          <w:b w:val="0"/>
          <w:bCs w:val="0"/>
          <w:color w:val="000000" w:themeColor="text1"/>
        </w:rPr>
        <w:t>Current Issues in Tourism, 24</w:t>
      </w:r>
      <w:r w:rsidRPr="00565C9C">
        <w:rPr>
          <w:rFonts w:asciiTheme="majorBidi" w:hAnsiTheme="majorBidi" w:cstheme="majorBidi"/>
          <w:color w:val="000000" w:themeColor="text1"/>
        </w:rPr>
        <w:t xml:space="preserve">(20), 2849–2854. </w:t>
      </w:r>
      <w:hyperlink r:id="rId52" w:history="1">
        <w:r w:rsidRPr="00565C9C">
          <w:rPr>
            <w:rStyle w:val="Hyperlink"/>
            <w:rFonts w:asciiTheme="majorBidi" w:hAnsiTheme="majorBidi" w:cstheme="majorBidi"/>
            <w:color w:val="000000" w:themeColor="text1"/>
          </w:rPr>
          <w:t>https://www.tandfonline.com/doi/full/10.1080/13683500.2020.1852197</w:t>
        </w:r>
      </w:hyperlink>
    </w:p>
    <w:p w14:paraId="5AC8954A"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0C68504F"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091CFA43"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67EE32A5"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4F4A6B0D"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29DE3D7C"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1410412D"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1588B1E5"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57E9DDC2"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44E0ED90"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08E63B92"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11890CD2"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716420F9"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457F2CAE"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061B5BE4"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54BF23DC"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0A5CE26C"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1321B679"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3B54A00A"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01227CDD"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26ADA56B"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67EE4AA8"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5D459A86"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5D95220E"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1DCC82F5"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31F04DA2"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0879D48D"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40462603"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01D6C080"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6FEE3575"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436206EC"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65C51819"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p>
    <w:p w14:paraId="645C85CB" w14:textId="77777777" w:rsidR="00067DAF" w:rsidRPr="00565C9C" w:rsidRDefault="00067DAF" w:rsidP="00565C9C">
      <w:pPr>
        <w:pStyle w:val="Heading1"/>
        <w:rPr>
          <w:sz w:val="24"/>
          <w:szCs w:val="24"/>
        </w:rPr>
      </w:pPr>
      <w:bookmarkStart w:id="25" w:name="_Toc235741018"/>
      <w:r w:rsidRPr="00565C9C">
        <w:rPr>
          <w:sz w:val="24"/>
          <w:szCs w:val="24"/>
        </w:rPr>
        <w:t>Appendices</w:t>
      </w:r>
      <w:bookmarkEnd w:id="25"/>
    </w:p>
    <w:p w14:paraId="777A0777" w14:textId="37C39F0B" w:rsidR="00565C9C" w:rsidRPr="00565C9C" w:rsidRDefault="00F2325F" w:rsidP="00565C9C">
      <w:pPr>
        <w:spacing w:line="360" w:lineRule="auto"/>
        <w:ind w:firstLine="0"/>
        <w:jc w:val="both"/>
        <w:rPr>
          <w:rFonts w:asciiTheme="majorBidi" w:hAnsiTheme="majorBidi" w:cstheme="majorBidi"/>
          <w:color w:val="000000" w:themeColor="text1"/>
          <w:sz w:val="24"/>
          <w:szCs w:val="24"/>
        </w:rPr>
      </w:pPr>
      <w:r w:rsidRPr="00F2325F">
        <w:rPr>
          <w:rFonts w:asciiTheme="majorBidi" w:hAnsiTheme="majorBidi" w:cstheme="majorBidi"/>
          <w:noProof/>
          <w:color w:val="000000" w:themeColor="text1"/>
          <w:sz w:val="24"/>
          <w:szCs w:val="24"/>
        </w:rPr>
        <w:object w:dxaOrig="760" w:dyaOrig="480" w14:anchorId="434DB8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in;height:90.55pt;mso-width-percent:0;mso-height-percent:0;mso-width-percent:0;mso-height-percent:0" o:ole="">
            <v:imagedata r:id="rId53" o:title=""/>
          </v:shape>
          <o:OLEObject Type="Embed" ProgID="Excel.Sheet.12" ShapeID="_x0000_i1025" DrawAspect="Icon" ObjectID="_1846353750" r:id="rId54"/>
        </w:object>
      </w:r>
    </w:p>
    <w:p w14:paraId="11F00B49" w14:textId="77777777" w:rsidR="00565C9C" w:rsidRPr="00565C9C" w:rsidRDefault="00565C9C" w:rsidP="00565C9C">
      <w:pPr>
        <w:pStyle w:val="isselectedend"/>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Ratio Formulas</w:t>
      </w:r>
    </w:p>
    <w:tbl>
      <w:tblPr>
        <w:tblStyle w:val="GridTable3"/>
        <w:tblW w:w="0" w:type="auto"/>
        <w:tblLook w:val="04A0" w:firstRow="1" w:lastRow="0" w:firstColumn="1" w:lastColumn="0" w:noHBand="0" w:noVBand="1"/>
      </w:tblPr>
      <w:tblGrid>
        <w:gridCol w:w="3083"/>
        <w:gridCol w:w="5548"/>
      </w:tblGrid>
      <w:tr w:rsidR="00565C9C" w:rsidRPr="00565C9C" w14:paraId="6EC66289" w14:textId="77777777" w:rsidTr="00565C9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0ED9E93"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Ratio</w:t>
            </w:r>
          </w:p>
        </w:tc>
        <w:tc>
          <w:tcPr>
            <w:tcW w:w="0" w:type="auto"/>
            <w:hideMark/>
          </w:tcPr>
          <w:p w14:paraId="76E949F0" w14:textId="77777777" w:rsidR="00565C9C" w:rsidRPr="00565C9C" w:rsidRDefault="00565C9C"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Formula</w:t>
            </w:r>
          </w:p>
        </w:tc>
      </w:tr>
      <w:tr w:rsidR="00565C9C" w:rsidRPr="00565C9C" w14:paraId="55D29378"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BF269E"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Revenue growth</w:t>
            </w:r>
          </w:p>
        </w:tc>
        <w:tc>
          <w:tcPr>
            <w:tcW w:w="0" w:type="auto"/>
            <w:hideMark/>
          </w:tcPr>
          <w:p w14:paraId="7F39572F"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(Current-year revenue ÷ previous-year revenue) − 1</w:t>
            </w:r>
          </w:p>
        </w:tc>
      </w:tr>
      <w:tr w:rsidR="00565C9C" w:rsidRPr="00565C9C" w14:paraId="39E45018"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0A7043EE"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IFRS operating margin</w:t>
            </w:r>
          </w:p>
        </w:tc>
        <w:tc>
          <w:tcPr>
            <w:tcW w:w="0" w:type="auto"/>
            <w:hideMark/>
          </w:tcPr>
          <w:p w14:paraId="0FEAB311"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IFRS operating profit ÷ total revenue</w:t>
            </w:r>
          </w:p>
        </w:tc>
      </w:tr>
      <w:tr w:rsidR="00565C9C" w:rsidRPr="00565C9C" w14:paraId="7E098E68"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E1760C"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Net profit margin</w:t>
            </w:r>
          </w:p>
        </w:tc>
        <w:tc>
          <w:tcPr>
            <w:tcW w:w="0" w:type="auto"/>
            <w:hideMark/>
          </w:tcPr>
          <w:p w14:paraId="127A6F39"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Profit for year ÷ total revenue</w:t>
            </w:r>
          </w:p>
        </w:tc>
      </w:tr>
      <w:tr w:rsidR="00565C9C" w:rsidRPr="00565C9C" w14:paraId="298211E3"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4FA92E88"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Return on average assets</w:t>
            </w:r>
          </w:p>
        </w:tc>
        <w:tc>
          <w:tcPr>
            <w:tcW w:w="0" w:type="auto"/>
            <w:hideMark/>
          </w:tcPr>
          <w:p w14:paraId="286AEFE6"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Profit ÷ average total assets</w:t>
            </w:r>
          </w:p>
        </w:tc>
      </w:tr>
      <w:tr w:rsidR="00565C9C" w:rsidRPr="00565C9C" w14:paraId="5EC4777D"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F5084E"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Current ratio</w:t>
            </w:r>
          </w:p>
        </w:tc>
        <w:tc>
          <w:tcPr>
            <w:tcW w:w="0" w:type="auto"/>
            <w:hideMark/>
          </w:tcPr>
          <w:p w14:paraId="3C4C862E"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Current assets ÷ current liabilities</w:t>
            </w:r>
          </w:p>
        </w:tc>
      </w:tr>
      <w:tr w:rsidR="00565C9C" w:rsidRPr="00565C9C" w14:paraId="1A8E3FF6"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3228DC04"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Quick ratio</w:t>
            </w:r>
          </w:p>
        </w:tc>
        <w:tc>
          <w:tcPr>
            <w:tcW w:w="0" w:type="auto"/>
            <w:hideMark/>
          </w:tcPr>
          <w:p w14:paraId="648D449E"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(Current assets − inventory) ÷ current liabilities</w:t>
            </w:r>
          </w:p>
        </w:tc>
      </w:tr>
      <w:tr w:rsidR="00565C9C" w:rsidRPr="00565C9C" w14:paraId="784AC890"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387CAF"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Cash ratio</w:t>
            </w:r>
          </w:p>
        </w:tc>
        <w:tc>
          <w:tcPr>
            <w:tcW w:w="0" w:type="auto"/>
            <w:hideMark/>
          </w:tcPr>
          <w:p w14:paraId="381427E2"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Cash and cash equivalents ÷ current liabilities</w:t>
            </w:r>
          </w:p>
        </w:tc>
      </w:tr>
      <w:tr w:rsidR="00565C9C" w:rsidRPr="00565C9C" w14:paraId="00A4AAF0"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67FD36BE"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Operating cash-flow ratio</w:t>
            </w:r>
          </w:p>
        </w:tc>
        <w:tc>
          <w:tcPr>
            <w:tcW w:w="0" w:type="auto"/>
            <w:hideMark/>
          </w:tcPr>
          <w:p w14:paraId="782A0F94"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Cash from operations ÷ current liabilities</w:t>
            </w:r>
          </w:p>
        </w:tc>
      </w:tr>
      <w:tr w:rsidR="00565C9C" w:rsidRPr="00565C9C" w14:paraId="7A33D6DF"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3E6A91"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Receivable days</w:t>
            </w:r>
          </w:p>
        </w:tc>
        <w:tc>
          <w:tcPr>
            <w:tcW w:w="0" w:type="auto"/>
            <w:hideMark/>
          </w:tcPr>
          <w:p w14:paraId="1D8B0B0E"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Average receivables ÷ revenue × 365</w:t>
            </w:r>
          </w:p>
        </w:tc>
      </w:tr>
      <w:tr w:rsidR="00565C9C" w:rsidRPr="00565C9C" w14:paraId="29EEE3E7"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31C73175"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Inventory days</w:t>
            </w:r>
          </w:p>
        </w:tc>
        <w:tc>
          <w:tcPr>
            <w:tcW w:w="0" w:type="auto"/>
            <w:hideMark/>
          </w:tcPr>
          <w:p w14:paraId="41C12680"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Average inventory ÷ cost of sales × 365</w:t>
            </w:r>
          </w:p>
        </w:tc>
      </w:tr>
      <w:tr w:rsidR="00565C9C" w:rsidRPr="00565C9C" w14:paraId="51F51800"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A9E1DE"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Payable days</w:t>
            </w:r>
          </w:p>
        </w:tc>
        <w:tc>
          <w:tcPr>
            <w:tcW w:w="0" w:type="auto"/>
            <w:hideMark/>
          </w:tcPr>
          <w:p w14:paraId="2C4AF065"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Average trade payables ÷ cost of sales × 365</w:t>
            </w:r>
          </w:p>
        </w:tc>
      </w:tr>
      <w:tr w:rsidR="00565C9C" w:rsidRPr="00565C9C" w14:paraId="072B82B4"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42A69283"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Cash conversion cycle</w:t>
            </w:r>
          </w:p>
        </w:tc>
        <w:tc>
          <w:tcPr>
            <w:tcW w:w="0" w:type="auto"/>
            <w:hideMark/>
          </w:tcPr>
          <w:p w14:paraId="0B4F959E"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Receivable days + inventory days − payable days</w:t>
            </w:r>
          </w:p>
        </w:tc>
      </w:tr>
      <w:tr w:rsidR="00565C9C" w:rsidRPr="00565C9C" w14:paraId="27653735"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41DEA0"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Interest coverage</w:t>
            </w:r>
          </w:p>
        </w:tc>
        <w:tc>
          <w:tcPr>
            <w:tcW w:w="0" w:type="auto"/>
            <w:hideMark/>
          </w:tcPr>
          <w:p w14:paraId="1906728C"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Operating profit ÷ finance expense</w:t>
            </w:r>
          </w:p>
        </w:tc>
      </w:tr>
      <w:tr w:rsidR="00565C9C" w:rsidRPr="00565C9C" w14:paraId="7BDCF8E4"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7103B7A1"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Net debt/operating profit</w:t>
            </w:r>
          </w:p>
        </w:tc>
        <w:tc>
          <w:tcPr>
            <w:tcW w:w="0" w:type="auto"/>
            <w:hideMark/>
          </w:tcPr>
          <w:p w14:paraId="36A8915A"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Net debt ÷ IFRS operating profit</w:t>
            </w:r>
          </w:p>
        </w:tc>
      </w:tr>
      <w:tr w:rsidR="00565C9C" w:rsidRPr="00565C9C" w14:paraId="6DD7D87B"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4542CE"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Cash conversion</w:t>
            </w:r>
          </w:p>
        </w:tc>
        <w:tc>
          <w:tcPr>
            <w:tcW w:w="0" w:type="auto"/>
            <w:hideMark/>
          </w:tcPr>
          <w:p w14:paraId="6720BBF7"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Cash from operations ÷ profit for year</w:t>
            </w:r>
          </w:p>
        </w:tc>
      </w:tr>
      <w:tr w:rsidR="00565C9C" w:rsidRPr="00565C9C" w14:paraId="13F4FA91"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0C98DA27"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Dividend cover</w:t>
            </w:r>
          </w:p>
        </w:tc>
        <w:tc>
          <w:tcPr>
            <w:tcW w:w="0" w:type="auto"/>
            <w:hideMark/>
          </w:tcPr>
          <w:p w14:paraId="5EF5BA32"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Basic EPS ÷ dividend per share</w:t>
            </w:r>
          </w:p>
        </w:tc>
      </w:tr>
    </w:tbl>
    <w:p w14:paraId="206B6E7F" w14:textId="77777777" w:rsidR="00565C9C" w:rsidRPr="00565C9C" w:rsidRDefault="00565C9C" w:rsidP="00565C9C">
      <w:pPr>
        <w:pStyle w:val="isselectedend"/>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Working Capital Calculations</w:t>
      </w:r>
    </w:p>
    <w:tbl>
      <w:tblPr>
        <w:tblStyle w:val="GridTable3"/>
        <w:tblW w:w="0" w:type="auto"/>
        <w:tblLook w:val="04A0" w:firstRow="1" w:lastRow="0" w:firstColumn="1" w:lastColumn="0" w:noHBand="0" w:noVBand="1"/>
      </w:tblPr>
      <w:tblGrid>
        <w:gridCol w:w="2846"/>
        <w:gridCol w:w="1236"/>
        <w:gridCol w:w="1236"/>
        <w:gridCol w:w="1236"/>
        <w:gridCol w:w="1236"/>
        <w:gridCol w:w="1236"/>
      </w:tblGrid>
      <w:tr w:rsidR="00565C9C" w:rsidRPr="00565C9C" w14:paraId="15E78072" w14:textId="77777777" w:rsidTr="00565C9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47AD26E"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Measure</w:t>
            </w:r>
          </w:p>
        </w:tc>
        <w:tc>
          <w:tcPr>
            <w:tcW w:w="0" w:type="auto"/>
            <w:hideMark/>
          </w:tcPr>
          <w:p w14:paraId="06E7AD11" w14:textId="77777777" w:rsidR="00565C9C" w:rsidRPr="00565C9C" w:rsidRDefault="00565C9C"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2021</w:t>
            </w:r>
          </w:p>
        </w:tc>
        <w:tc>
          <w:tcPr>
            <w:tcW w:w="0" w:type="auto"/>
            <w:hideMark/>
          </w:tcPr>
          <w:p w14:paraId="00E71642" w14:textId="77777777" w:rsidR="00565C9C" w:rsidRPr="00565C9C" w:rsidRDefault="00565C9C"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2022</w:t>
            </w:r>
          </w:p>
        </w:tc>
        <w:tc>
          <w:tcPr>
            <w:tcW w:w="0" w:type="auto"/>
            <w:hideMark/>
          </w:tcPr>
          <w:p w14:paraId="3C4D947B" w14:textId="77777777" w:rsidR="00565C9C" w:rsidRPr="00565C9C" w:rsidRDefault="00565C9C"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2023</w:t>
            </w:r>
          </w:p>
        </w:tc>
        <w:tc>
          <w:tcPr>
            <w:tcW w:w="0" w:type="auto"/>
            <w:hideMark/>
          </w:tcPr>
          <w:p w14:paraId="0745F680" w14:textId="77777777" w:rsidR="00565C9C" w:rsidRPr="00565C9C" w:rsidRDefault="00565C9C"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2024</w:t>
            </w:r>
          </w:p>
        </w:tc>
        <w:tc>
          <w:tcPr>
            <w:tcW w:w="0" w:type="auto"/>
            <w:hideMark/>
          </w:tcPr>
          <w:p w14:paraId="220E33D7" w14:textId="77777777" w:rsidR="00565C9C" w:rsidRPr="00565C9C" w:rsidRDefault="00565C9C"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2025</w:t>
            </w:r>
          </w:p>
        </w:tc>
      </w:tr>
      <w:tr w:rsidR="00565C9C" w:rsidRPr="00565C9C" w14:paraId="7B68E11B"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3757DF"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Current assets, $m</w:t>
            </w:r>
          </w:p>
        </w:tc>
        <w:tc>
          <w:tcPr>
            <w:tcW w:w="0" w:type="auto"/>
            <w:hideMark/>
          </w:tcPr>
          <w:p w14:paraId="7F330AA2"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2,066</w:t>
            </w:r>
          </w:p>
        </w:tc>
        <w:tc>
          <w:tcPr>
            <w:tcW w:w="0" w:type="auto"/>
            <w:hideMark/>
          </w:tcPr>
          <w:p w14:paraId="642BD605"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1,678</w:t>
            </w:r>
          </w:p>
        </w:tc>
        <w:tc>
          <w:tcPr>
            <w:tcW w:w="0" w:type="auto"/>
            <w:hideMark/>
          </w:tcPr>
          <w:p w14:paraId="00BE70B0"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2,129</w:t>
            </w:r>
          </w:p>
        </w:tc>
        <w:tc>
          <w:tcPr>
            <w:tcW w:w="0" w:type="auto"/>
            <w:hideMark/>
          </w:tcPr>
          <w:p w14:paraId="24F5AE83"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1,869</w:t>
            </w:r>
          </w:p>
        </w:tc>
        <w:tc>
          <w:tcPr>
            <w:tcW w:w="0" w:type="auto"/>
            <w:hideMark/>
          </w:tcPr>
          <w:p w14:paraId="00348F44"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2,049</w:t>
            </w:r>
          </w:p>
        </w:tc>
      </w:tr>
      <w:tr w:rsidR="00565C9C" w:rsidRPr="00565C9C" w14:paraId="45509A22"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0190B041"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Current liabilities, $m</w:t>
            </w:r>
          </w:p>
        </w:tc>
        <w:tc>
          <w:tcPr>
            <w:tcW w:w="0" w:type="auto"/>
            <w:hideMark/>
          </w:tcPr>
          <w:p w14:paraId="26C652DB"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1,624</w:t>
            </w:r>
          </w:p>
        </w:tc>
        <w:tc>
          <w:tcPr>
            <w:tcW w:w="0" w:type="auto"/>
            <w:hideMark/>
          </w:tcPr>
          <w:p w14:paraId="2165599A"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1,544</w:t>
            </w:r>
          </w:p>
        </w:tc>
        <w:tc>
          <w:tcPr>
            <w:tcW w:w="0" w:type="auto"/>
            <w:hideMark/>
          </w:tcPr>
          <w:p w14:paraId="482B3735"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2,190</w:t>
            </w:r>
          </w:p>
        </w:tc>
        <w:tc>
          <w:tcPr>
            <w:tcW w:w="0" w:type="auto"/>
            <w:hideMark/>
          </w:tcPr>
          <w:p w14:paraId="3CF1CEAC"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1,928</w:t>
            </w:r>
          </w:p>
        </w:tc>
        <w:tc>
          <w:tcPr>
            <w:tcW w:w="0" w:type="auto"/>
            <w:hideMark/>
          </w:tcPr>
          <w:p w14:paraId="2392799F"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2,100</w:t>
            </w:r>
          </w:p>
        </w:tc>
      </w:tr>
      <w:tr w:rsidR="00565C9C" w:rsidRPr="00565C9C" w14:paraId="32626FD3"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35EE3B"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Net working capital, $m</w:t>
            </w:r>
          </w:p>
        </w:tc>
        <w:tc>
          <w:tcPr>
            <w:tcW w:w="0" w:type="auto"/>
            <w:hideMark/>
          </w:tcPr>
          <w:p w14:paraId="70012C24"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442</w:t>
            </w:r>
          </w:p>
        </w:tc>
        <w:tc>
          <w:tcPr>
            <w:tcW w:w="0" w:type="auto"/>
            <w:hideMark/>
          </w:tcPr>
          <w:p w14:paraId="780751B1"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134</w:t>
            </w:r>
          </w:p>
        </w:tc>
        <w:tc>
          <w:tcPr>
            <w:tcW w:w="0" w:type="auto"/>
            <w:hideMark/>
          </w:tcPr>
          <w:p w14:paraId="4BD5F3CD"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(61)</w:t>
            </w:r>
          </w:p>
        </w:tc>
        <w:tc>
          <w:tcPr>
            <w:tcW w:w="0" w:type="auto"/>
            <w:hideMark/>
          </w:tcPr>
          <w:p w14:paraId="69F6ED17"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(59)</w:t>
            </w:r>
          </w:p>
        </w:tc>
        <w:tc>
          <w:tcPr>
            <w:tcW w:w="0" w:type="auto"/>
            <w:hideMark/>
          </w:tcPr>
          <w:p w14:paraId="40F28198"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(51)</w:t>
            </w:r>
          </w:p>
        </w:tc>
      </w:tr>
      <w:tr w:rsidR="00565C9C" w:rsidRPr="00565C9C" w14:paraId="080F3824"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0568AFB2"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Current ratio</w:t>
            </w:r>
          </w:p>
        </w:tc>
        <w:tc>
          <w:tcPr>
            <w:tcW w:w="0" w:type="auto"/>
            <w:hideMark/>
          </w:tcPr>
          <w:p w14:paraId="1C29026D"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1.272x</w:t>
            </w:r>
          </w:p>
        </w:tc>
        <w:tc>
          <w:tcPr>
            <w:tcW w:w="0" w:type="auto"/>
            <w:hideMark/>
          </w:tcPr>
          <w:p w14:paraId="6C4EE35D"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1.087x</w:t>
            </w:r>
          </w:p>
        </w:tc>
        <w:tc>
          <w:tcPr>
            <w:tcW w:w="0" w:type="auto"/>
            <w:hideMark/>
          </w:tcPr>
          <w:p w14:paraId="297569D6"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0.972x</w:t>
            </w:r>
          </w:p>
        </w:tc>
        <w:tc>
          <w:tcPr>
            <w:tcW w:w="0" w:type="auto"/>
            <w:hideMark/>
          </w:tcPr>
          <w:p w14:paraId="186A04BF"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0.969x</w:t>
            </w:r>
          </w:p>
        </w:tc>
        <w:tc>
          <w:tcPr>
            <w:tcW w:w="0" w:type="auto"/>
            <w:hideMark/>
          </w:tcPr>
          <w:p w14:paraId="3644CA3C"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0.976x</w:t>
            </w:r>
          </w:p>
        </w:tc>
      </w:tr>
      <w:tr w:rsidR="00565C9C" w:rsidRPr="00565C9C" w14:paraId="453FB251"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E97679"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lastRenderedPageBreak/>
              <w:t>Quick ratio</w:t>
            </w:r>
          </w:p>
        </w:tc>
        <w:tc>
          <w:tcPr>
            <w:tcW w:w="0" w:type="auto"/>
            <w:hideMark/>
          </w:tcPr>
          <w:p w14:paraId="7972DF0A"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1.270x</w:t>
            </w:r>
          </w:p>
        </w:tc>
        <w:tc>
          <w:tcPr>
            <w:tcW w:w="0" w:type="auto"/>
            <w:hideMark/>
          </w:tcPr>
          <w:p w14:paraId="46E36FBA"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1.084x</w:t>
            </w:r>
          </w:p>
        </w:tc>
        <w:tc>
          <w:tcPr>
            <w:tcW w:w="0" w:type="auto"/>
            <w:hideMark/>
          </w:tcPr>
          <w:p w14:paraId="1E421E65"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0.970x</w:t>
            </w:r>
          </w:p>
        </w:tc>
        <w:tc>
          <w:tcPr>
            <w:tcW w:w="0" w:type="auto"/>
            <w:hideMark/>
          </w:tcPr>
          <w:p w14:paraId="6994CAC7"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0.967x</w:t>
            </w:r>
          </w:p>
        </w:tc>
        <w:tc>
          <w:tcPr>
            <w:tcW w:w="0" w:type="auto"/>
            <w:hideMark/>
          </w:tcPr>
          <w:p w14:paraId="0C341614"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0.973x</w:t>
            </w:r>
          </w:p>
        </w:tc>
      </w:tr>
      <w:tr w:rsidR="00565C9C" w:rsidRPr="00565C9C" w14:paraId="24FD7E61"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37A897FB"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Cash ratio</w:t>
            </w:r>
          </w:p>
        </w:tc>
        <w:tc>
          <w:tcPr>
            <w:tcW w:w="0" w:type="auto"/>
            <w:hideMark/>
          </w:tcPr>
          <w:p w14:paraId="59DB47C2"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0.893x</w:t>
            </w:r>
          </w:p>
        </w:tc>
        <w:tc>
          <w:tcPr>
            <w:tcW w:w="0" w:type="auto"/>
            <w:hideMark/>
          </w:tcPr>
          <w:p w14:paraId="4C5CB392"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0.632x</w:t>
            </w:r>
          </w:p>
        </w:tc>
        <w:tc>
          <w:tcPr>
            <w:tcW w:w="0" w:type="auto"/>
            <w:hideMark/>
          </w:tcPr>
          <w:p w14:paraId="1B61B691"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0.604x</w:t>
            </w:r>
          </w:p>
        </w:tc>
        <w:tc>
          <w:tcPr>
            <w:tcW w:w="0" w:type="auto"/>
            <w:hideMark/>
          </w:tcPr>
          <w:p w14:paraId="0EA599F1"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0.523x</w:t>
            </w:r>
          </w:p>
        </w:tc>
        <w:tc>
          <w:tcPr>
            <w:tcW w:w="0" w:type="auto"/>
            <w:hideMark/>
          </w:tcPr>
          <w:p w14:paraId="020F6E0C"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0.538x</w:t>
            </w:r>
          </w:p>
        </w:tc>
      </w:tr>
      <w:tr w:rsidR="00565C9C" w:rsidRPr="00565C9C" w14:paraId="0AB51F7A"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E615AD"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Operating cash-flow ratio</w:t>
            </w:r>
          </w:p>
        </w:tc>
        <w:tc>
          <w:tcPr>
            <w:tcW w:w="0" w:type="auto"/>
            <w:hideMark/>
          </w:tcPr>
          <w:p w14:paraId="34DA4E70"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0.392x</w:t>
            </w:r>
          </w:p>
        </w:tc>
        <w:tc>
          <w:tcPr>
            <w:tcW w:w="0" w:type="auto"/>
            <w:hideMark/>
          </w:tcPr>
          <w:p w14:paraId="35FFE831"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0.418x</w:t>
            </w:r>
          </w:p>
        </w:tc>
        <w:tc>
          <w:tcPr>
            <w:tcW w:w="0" w:type="auto"/>
            <w:hideMark/>
          </w:tcPr>
          <w:p w14:paraId="357B80E9"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0.408x</w:t>
            </w:r>
          </w:p>
        </w:tc>
        <w:tc>
          <w:tcPr>
            <w:tcW w:w="0" w:type="auto"/>
            <w:hideMark/>
          </w:tcPr>
          <w:p w14:paraId="5E0D2DB4"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0.376x</w:t>
            </w:r>
          </w:p>
        </w:tc>
        <w:tc>
          <w:tcPr>
            <w:tcW w:w="0" w:type="auto"/>
            <w:hideMark/>
          </w:tcPr>
          <w:p w14:paraId="3A9F4209"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0.428x</w:t>
            </w:r>
          </w:p>
        </w:tc>
      </w:tr>
    </w:tbl>
    <w:p w14:paraId="61853461" w14:textId="252FF910" w:rsidR="00565C9C" w:rsidRPr="00565C9C" w:rsidRDefault="00565C9C" w:rsidP="00565C9C">
      <w:pPr>
        <w:spacing w:line="360" w:lineRule="auto"/>
        <w:jc w:val="both"/>
        <w:rPr>
          <w:rFonts w:asciiTheme="majorBidi" w:hAnsiTheme="majorBidi" w:cstheme="majorBidi"/>
          <w:color w:val="000000" w:themeColor="text1"/>
          <w:sz w:val="24"/>
          <w:szCs w:val="24"/>
        </w:rPr>
      </w:pPr>
    </w:p>
    <w:p w14:paraId="5E8B4966" w14:textId="77777777" w:rsidR="00565C9C" w:rsidRPr="00565C9C" w:rsidRDefault="00565C9C" w:rsidP="00565C9C">
      <w:pPr>
        <w:pStyle w:val="isselectedend"/>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Discount Factors at 8%</w:t>
      </w:r>
    </w:p>
    <w:tbl>
      <w:tblPr>
        <w:tblStyle w:val="GridTable3"/>
        <w:tblW w:w="0" w:type="auto"/>
        <w:tblLook w:val="04A0" w:firstRow="1" w:lastRow="0" w:firstColumn="1" w:lastColumn="0" w:noHBand="0" w:noVBand="1"/>
      </w:tblPr>
      <w:tblGrid>
        <w:gridCol w:w="1043"/>
        <w:gridCol w:w="1470"/>
        <w:gridCol w:w="2156"/>
      </w:tblGrid>
      <w:tr w:rsidR="00565C9C" w:rsidRPr="00565C9C" w14:paraId="48BC63D4" w14:textId="77777777" w:rsidTr="00565C9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08BB6F5"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Year</w:t>
            </w:r>
          </w:p>
        </w:tc>
        <w:tc>
          <w:tcPr>
            <w:tcW w:w="0" w:type="auto"/>
            <w:hideMark/>
          </w:tcPr>
          <w:p w14:paraId="2AF693DF" w14:textId="77777777" w:rsidR="00565C9C" w:rsidRPr="00565C9C" w:rsidRDefault="00565C9C"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Formula</w:t>
            </w:r>
          </w:p>
        </w:tc>
        <w:tc>
          <w:tcPr>
            <w:tcW w:w="0" w:type="auto"/>
            <w:hideMark/>
          </w:tcPr>
          <w:p w14:paraId="509394B2" w14:textId="77777777" w:rsidR="00565C9C" w:rsidRPr="00565C9C" w:rsidRDefault="00565C9C"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Discount factor</w:t>
            </w:r>
          </w:p>
        </w:tc>
      </w:tr>
      <w:tr w:rsidR="00565C9C" w:rsidRPr="00565C9C" w14:paraId="2D06439B"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4E9CD2"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w:t>
            </w:r>
          </w:p>
        </w:tc>
        <w:tc>
          <w:tcPr>
            <w:tcW w:w="0" w:type="auto"/>
            <w:hideMark/>
          </w:tcPr>
          <w:p w14:paraId="28E31834"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w:t>
            </w:r>
          </w:p>
        </w:tc>
        <w:tc>
          <w:tcPr>
            <w:tcW w:w="0" w:type="auto"/>
            <w:hideMark/>
          </w:tcPr>
          <w:p w14:paraId="2B245CBB"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1.0000</w:t>
            </w:r>
          </w:p>
        </w:tc>
      </w:tr>
      <w:tr w:rsidR="00565C9C" w:rsidRPr="00565C9C" w14:paraId="04392221"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645C6AB2"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w:t>
            </w:r>
          </w:p>
        </w:tc>
        <w:tc>
          <w:tcPr>
            <w:tcW w:w="0" w:type="auto"/>
            <w:hideMark/>
          </w:tcPr>
          <w:p w14:paraId="48762341"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 ÷ 1.08</w:t>
            </w:r>
          </w:p>
        </w:tc>
        <w:tc>
          <w:tcPr>
            <w:tcW w:w="0" w:type="auto"/>
            <w:hideMark/>
          </w:tcPr>
          <w:p w14:paraId="7733405D"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0.9259</w:t>
            </w:r>
          </w:p>
        </w:tc>
      </w:tr>
      <w:tr w:rsidR="00565C9C" w:rsidRPr="00565C9C" w14:paraId="0137A410"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DF0682"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w:t>
            </w:r>
          </w:p>
        </w:tc>
        <w:tc>
          <w:tcPr>
            <w:tcW w:w="0" w:type="auto"/>
            <w:hideMark/>
          </w:tcPr>
          <w:p w14:paraId="6D097DBE"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 ÷ 1.08²</w:t>
            </w:r>
          </w:p>
        </w:tc>
        <w:tc>
          <w:tcPr>
            <w:tcW w:w="0" w:type="auto"/>
            <w:hideMark/>
          </w:tcPr>
          <w:p w14:paraId="2029DE08"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0.8573</w:t>
            </w:r>
          </w:p>
        </w:tc>
      </w:tr>
      <w:tr w:rsidR="00565C9C" w:rsidRPr="00565C9C" w14:paraId="15AAFD86"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4E9DB468"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3</w:t>
            </w:r>
          </w:p>
        </w:tc>
        <w:tc>
          <w:tcPr>
            <w:tcW w:w="0" w:type="auto"/>
            <w:hideMark/>
          </w:tcPr>
          <w:p w14:paraId="131ED546"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 ÷ 1.08³</w:t>
            </w:r>
          </w:p>
        </w:tc>
        <w:tc>
          <w:tcPr>
            <w:tcW w:w="0" w:type="auto"/>
            <w:hideMark/>
          </w:tcPr>
          <w:p w14:paraId="20E8950E"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0.7938</w:t>
            </w:r>
          </w:p>
        </w:tc>
      </w:tr>
      <w:tr w:rsidR="00565C9C" w:rsidRPr="00565C9C" w14:paraId="144862DC"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CCC370"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4</w:t>
            </w:r>
          </w:p>
        </w:tc>
        <w:tc>
          <w:tcPr>
            <w:tcW w:w="0" w:type="auto"/>
            <w:hideMark/>
          </w:tcPr>
          <w:p w14:paraId="59727DA5"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 ÷ 1.08⁴</w:t>
            </w:r>
          </w:p>
        </w:tc>
        <w:tc>
          <w:tcPr>
            <w:tcW w:w="0" w:type="auto"/>
            <w:hideMark/>
          </w:tcPr>
          <w:p w14:paraId="184B1A9B"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0.7350</w:t>
            </w:r>
          </w:p>
        </w:tc>
      </w:tr>
      <w:tr w:rsidR="00565C9C" w:rsidRPr="00565C9C" w14:paraId="1356DEED"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38054E64"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w:t>
            </w:r>
          </w:p>
        </w:tc>
        <w:tc>
          <w:tcPr>
            <w:tcW w:w="0" w:type="auto"/>
            <w:hideMark/>
          </w:tcPr>
          <w:p w14:paraId="3E9D1C35"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 ÷ 1.08⁵</w:t>
            </w:r>
          </w:p>
        </w:tc>
        <w:tc>
          <w:tcPr>
            <w:tcW w:w="0" w:type="auto"/>
            <w:hideMark/>
          </w:tcPr>
          <w:p w14:paraId="2C4FFAD7"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0.6806</w:t>
            </w:r>
          </w:p>
        </w:tc>
      </w:tr>
    </w:tbl>
    <w:p w14:paraId="1A777936" w14:textId="77777777" w:rsidR="00565C9C" w:rsidRPr="00565C9C" w:rsidRDefault="00565C9C" w:rsidP="00565C9C">
      <w:pPr>
        <w:pStyle w:val="isselectedend"/>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Project A NPV Calculation</w:t>
      </w:r>
    </w:p>
    <w:tbl>
      <w:tblPr>
        <w:tblStyle w:val="GridTable3"/>
        <w:tblW w:w="0" w:type="auto"/>
        <w:tblLook w:val="04A0" w:firstRow="1" w:lastRow="0" w:firstColumn="1" w:lastColumn="0" w:noHBand="0" w:noVBand="1"/>
      </w:tblPr>
      <w:tblGrid>
        <w:gridCol w:w="1056"/>
        <w:gridCol w:w="2037"/>
        <w:gridCol w:w="2156"/>
        <w:gridCol w:w="2396"/>
      </w:tblGrid>
      <w:tr w:rsidR="00565C9C" w:rsidRPr="00565C9C" w14:paraId="564E4C69" w14:textId="77777777" w:rsidTr="00565C9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471C1BD"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Year</w:t>
            </w:r>
          </w:p>
        </w:tc>
        <w:tc>
          <w:tcPr>
            <w:tcW w:w="0" w:type="auto"/>
            <w:hideMark/>
          </w:tcPr>
          <w:p w14:paraId="4B22678C" w14:textId="77777777" w:rsidR="00565C9C" w:rsidRPr="00565C9C" w:rsidRDefault="00565C9C"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Cash flow, £m</w:t>
            </w:r>
          </w:p>
        </w:tc>
        <w:tc>
          <w:tcPr>
            <w:tcW w:w="0" w:type="auto"/>
            <w:hideMark/>
          </w:tcPr>
          <w:p w14:paraId="01EB3151" w14:textId="77777777" w:rsidR="00565C9C" w:rsidRPr="00565C9C" w:rsidRDefault="00565C9C"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Discount factor</w:t>
            </w:r>
          </w:p>
        </w:tc>
        <w:tc>
          <w:tcPr>
            <w:tcW w:w="0" w:type="auto"/>
            <w:hideMark/>
          </w:tcPr>
          <w:p w14:paraId="36CFA088" w14:textId="77777777" w:rsidR="00565C9C" w:rsidRPr="00565C9C" w:rsidRDefault="00565C9C"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Present value, £m</w:t>
            </w:r>
          </w:p>
        </w:tc>
      </w:tr>
      <w:tr w:rsidR="00565C9C" w:rsidRPr="00565C9C" w14:paraId="46881901"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D6422C"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w:t>
            </w:r>
          </w:p>
        </w:tc>
        <w:tc>
          <w:tcPr>
            <w:tcW w:w="0" w:type="auto"/>
            <w:hideMark/>
          </w:tcPr>
          <w:p w14:paraId="7AB54648"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(50.000)</w:t>
            </w:r>
          </w:p>
        </w:tc>
        <w:tc>
          <w:tcPr>
            <w:tcW w:w="0" w:type="auto"/>
            <w:hideMark/>
          </w:tcPr>
          <w:p w14:paraId="1756301F"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1.0000</w:t>
            </w:r>
          </w:p>
        </w:tc>
        <w:tc>
          <w:tcPr>
            <w:tcW w:w="0" w:type="auto"/>
            <w:hideMark/>
          </w:tcPr>
          <w:p w14:paraId="6080C165"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(50.000)</w:t>
            </w:r>
          </w:p>
        </w:tc>
      </w:tr>
      <w:tr w:rsidR="00565C9C" w:rsidRPr="00565C9C" w14:paraId="03BFA392"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6E3428FB"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w:t>
            </w:r>
          </w:p>
        </w:tc>
        <w:tc>
          <w:tcPr>
            <w:tcW w:w="0" w:type="auto"/>
            <w:hideMark/>
          </w:tcPr>
          <w:p w14:paraId="62151B6B"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10.000</w:t>
            </w:r>
          </w:p>
        </w:tc>
        <w:tc>
          <w:tcPr>
            <w:tcW w:w="0" w:type="auto"/>
            <w:hideMark/>
          </w:tcPr>
          <w:p w14:paraId="5EC9C9D6"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0.9259</w:t>
            </w:r>
          </w:p>
        </w:tc>
        <w:tc>
          <w:tcPr>
            <w:tcW w:w="0" w:type="auto"/>
            <w:hideMark/>
          </w:tcPr>
          <w:p w14:paraId="7E50FB25"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9.259</w:t>
            </w:r>
          </w:p>
        </w:tc>
      </w:tr>
      <w:tr w:rsidR="00565C9C" w:rsidRPr="00565C9C" w14:paraId="4FAB43F1"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F2C585"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w:t>
            </w:r>
          </w:p>
        </w:tc>
        <w:tc>
          <w:tcPr>
            <w:tcW w:w="0" w:type="auto"/>
            <w:hideMark/>
          </w:tcPr>
          <w:p w14:paraId="219062F9"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12.000</w:t>
            </w:r>
          </w:p>
        </w:tc>
        <w:tc>
          <w:tcPr>
            <w:tcW w:w="0" w:type="auto"/>
            <w:hideMark/>
          </w:tcPr>
          <w:p w14:paraId="3B31B443"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0.8573</w:t>
            </w:r>
          </w:p>
        </w:tc>
        <w:tc>
          <w:tcPr>
            <w:tcW w:w="0" w:type="auto"/>
            <w:hideMark/>
          </w:tcPr>
          <w:p w14:paraId="7CDD44F4"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10.288</w:t>
            </w:r>
          </w:p>
        </w:tc>
      </w:tr>
      <w:tr w:rsidR="00565C9C" w:rsidRPr="00565C9C" w14:paraId="2A1F0577"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785A65C4"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3</w:t>
            </w:r>
          </w:p>
        </w:tc>
        <w:tc>
          <w:tcPr>
            <w:tcW w:w="0" w:type="auto"/>
            <w:hideMark/>
          </w:tcPr>
          <w:p w14:paraId="3EFEFBA7"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14.000</w:t>
            </w:r>
          </w:p>
        </w:tc>
        <w:tc>
          <w:tcPr>
            <w:tcW w:w="0" w:type="auto"/>
            <w:hideMark/>
          </w:tcPr>
          <w:p w14:paraId="5708FB46"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0.7938</w:t>
            </w:r>
          </w:p>
        </w:tc>
        <w:tc>
          <w:tcPr>
            <w:tcW w:w="0" w:type="auto"/>
            <w:hideMark/>
          </w:tcPr>
          <w:p w14:paraId="0E9CA2D2"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11.114</w:t>
            </w:r>
          </w:p>
        </w:tc>
      </w:tr>
      <w:tr w:rsidR="00565C9C" w:rsidRPr="00565C9C" w14:paraId="3561A821"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218265"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4</w:t>
            </w:r>
          </w:p>
        </w:tc>
        <w:tc>
          <w:tcPr>
            <w:tcW w:w="0" w:type="auto"/>
            <w:hideMark/>
          </w:tcPr>
          <w:p w14:paraId="37942034"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10.000</w:t>
            </w:r>
          </w:p>
        </w:tc>
        <w:tc>
          <w:tcPr>
            <w:tcW w:w="0" w:type="auto"/>
            <w:hideMark/>
          </w:tcPr>
          <w:p w14:paraId="48A4379F"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0.7350</w:t>
            </w:r>
          </w:p>
        </w:tc>
        <w:tc>
          <w:tcPr>
            <w:tcW w:w="0" w:type="auto"/>
            <w:hideMark/>
          </w:tcPr>
          <w:p w14:paraId="5EF6993D"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7.350</w:t>
            </w:r>
          </w:p>
        </w:tc>
      </w:tr>
      <w:tr w:rsidR="00565C9C" w:rsidRPr="00565C9C" w14:paraId="09940963"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7E7BD433"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w:t>
            </w:r>
          </w:p>
        </w:tc>
        <w:tc>
          <w:tcPr>
            <w:tcW w:w="0" w:type="auto"/>
            <w:hideMark/>
          </w:tcPr>
          <w:p w14:paraId="6F889D0A"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8.000</w:t>
            </w:r>
          </w:p>
        </w:tc>
        <w:tc>
          <w:tcPr>
            <w:tcW w:w="0" w:type="auto"/>
            <w:hideMark/>
          </w:tcPr>
          <w:p w14:paraId="66FD73DA"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0.6806</w:t>
            </w:r>
          </w:p>
        </w:tc>
        <w:tc>
          <w:tcPr>
            <w:tcW w:w="0" w:type="auto"/>
            <w:hideMark/>
          </w:tcPr>
          <w:p w14:paraId="24526FB4"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5.445</w:t>
            </w:r>
          </w:p>
        </w:tc>
      </w:tr>
      <w:tr w:rsidR="00565C9C" w:rsidRPr="00565C9C" w14:paraId="1CE60EA6"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38C8E6"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Style w:val="Strong"/>
                <w:rFonts w:asciiTheme="majorBidi" w:hAnsiTheme="majorBidi" w:cstheme="majorBidi"/>
                <w:color w:val="000000" w:themeColor="text1"/>
                <w:sz w:val="24"/>
                <w:szCs w:val="24"/>
              </w:rPr>
              <w:t>NPV</w:t>
            </w:r>
          </w:p>
        </w:tc>
        <w:tc>
          <w:tcPr>
            <w:tcW w:w="0" w:type="auto"/>
            <w:hideMark/>
          </w:tcPr>
          <w:p w14:paraId="107FE04C"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p>
        </w:tc>
        <w:tc>
          <w:tcPr>
            <w:tcW w:w="0" w:type="auto"/>
            <w:hideMark/>
          </w:tcPr>
          <w:p w14:paraId="14CC74B1"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p>
        </w:tc>
        <w:tc>
          <w:tcPr>
            <w:tcW w:w="0" w:type="auto"/>
            <w:hideMark/>
          </w:tcPr>
          <w:p w14:paraId="02A55CCE"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Style w:val="Strong"/>
                <w:rFonts w:asciiTheme="majorBidi" w:hAnsiTheme="majorBidi" w:cstheme="majorBidi"/>
                <w:color w:val="000000" w:themeColor="text1"/>
                <w:sz w:val="24"/>
                <w:szCs w:val="24"/>
              </w:rPr>
              <w:t>(6.544)</w:t>
            </w:r>
          </w:p>
        </w:tc>
      </w:tr>
    </w:tbl>
    <w:p w14:paraId="40CCB88B" w14:textId="77777777" w:rsidR="00565C9C" w:rsidRPr="00565C9C" w:rsidRDefault="00565C9C" w:rsidP="00565C9C">
      <w:pPr>
        <w:pStyle w:val="isselectedend"/>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Payback:</w:t>
      </w:r>
      <w:r w:rsidRPr="00565C9C">
        <w:rPr>
          <w:rFonts w:asciiTheme="majorBidi" w:hAnsiTheme="majorBidi" w:cstheme="majorBidi"/>
          <w:color w:val="000000" w:themeColor="text1"/>
        </w:rPr>
        <w:t xml:space="preserve"> 4 years + (£50m − £46m) ÷ £8m = </w:t>
      </w:r>
      <w:r w:rsidRPr="00565C9C">
        <w:rPr>
          <w:rStyle w:val="Strong"/>
          <w:rFonts w:asciiTheme="majorBidi" w:hAnsiTheme="majorBidi" w:cstheme="majorBidi"/>
          <w:color w:val="000000" w:themeColor="text1"/>
        </w:rPr>
        <w:t>4.50 years</w:t>
      </w:r>
      <w:r w:rsidRPr="00565C9C">
        <w:rPr>
          <w:rFonts w:asciiTheme="majorBidi" w:hAnsiTheme="majorBidi" w:cstheme="majorBidi"/>
          <w:color w:val="000000" w:themeColor="text1"/>
        </w:rPr>
        <w:br/>
      </w:r>
      <w:r w:rsidRPr="00565C9C">
        <w:rPr>
          <w:rStyle w:val="Strong"/>
          <w:rFonts w:asciiTheme="majorBidi" w:hAnsiTheme="majorBidi" w:cstheme="majorBidi"/>
          <w:color w:val="000000" w:themeColor="text1"/>
        </w:rPr>
        <w:t>ARR:</w:t>
      </w:r>
      <w:r w:rsidRPr="00565C9C">
        <w:rPr>
          <w:rFonts w:asciiTheme="majorBidi" w:hAnsiTheme="majorBidi" w:cstheme="majorBidi"/>
          <w:color w:val="000000" w:themeColor="text1"/>
        </w:rPr>
        <w:t xml:space="preserve"> (£10.8m average inflow − £10m depreciation) ÷ £25m average investment = </w:t>
      </w:r>
      <w:r w:rsidRPr="00565C9C">
        <w:rPr>
          <w:rStyle w:val="Strong"/>
          <w:rFonts w:asciiTheme="majorBidi" w:hAnsiTheme="majorBidi" w:cstheme="majorBidi"/>
          <w:color w:val="000000" w:themeColor="text1"/>
        </w:rPr>
        <w:t>3.20%</w:t>
      </w:r>
    </w:p>
    <w:p w14:paraId="43B877AA" w14:textId="77777777" w:rsidR="00565C9C" w:rsidRPr="00565C9C" w:rsidRDefault="00565C9C" w:rsidP="00565C9C">
      <w:pPr>
        <w:pStyle w:val="isselectedend"/>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Project B NPV Calculation</w:t>
      </w:r>
    </w:p>
    <w:tbl>
      <w:tblPr>
        <w:tblStyle w:val="GridTable3"/>
        <w:tblW w:w="0" w:type="auto"/>
        <w:tblLook w:val="04A0" w:firstRow="1" w:lastRow="0" w:firstColumn="1" w:lastColumn="0" w:noHBand="0" w:noVBand="1"/>
      </w:tblPr>
      <w:tblGrid>
        <w:gridCol w:w="1056"/>
        <w:gridCol w:w="2037"/>
        <w:gridCol w:w="2156"/>
        <w:gridCol w:w="2396"/>
      </w:tblGrid>
      <w:tr w:rsidR="00565C9C" w:rsidRPr="00565C9C" w14:paraId="1C115429" w14:textId="77777777" w:rsidTr="00565C9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6D380E3"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Year</w:t>
            </w:r>
          </w:p>
        </w:tc>
        <w:tc>
          <w:tcPr>
            <w:tcW w:w="0" w:type="auto"/>
            <w:hideMark/>
          </w:tcPr>
          <w:p w14:paraId="4B044CEC" w14:textId="77777777" w:rsidR="00565C9C" w:rsidRPr="00565C9C" w:rsidRDefault="00565C9C"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Cash flow, £m</w:t>
            </w:r>
          </w:p>
        </w:tc>
        <w:tc>
          <w:tcPr>
            <w:tcW w:w="0" w:type="auto"/>
            <w:hideMark/>
          </w:tcPr>
          <w:p w14:paraId="7F07C602" w14:textId="77777777" w:rsidR="00565C9C" w:rsidRPr="00565C9C" w:rsidRDefault="00565C9C"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Discount factor</w:t>
            </w:r>
          </w:p>
        </w:tc>
        <w:tc>
          <w:tcPr>
            <w:tcW w:w="0" w:type="auto"/>
            <w:hideMark/>
          </w:tcPr>
          <w:p w14:paraId="6844377B" w14:textId="77777777" w:rsidR="00565C9C" w:rsidRPr="00565C9C" w:rsidRDefault="00565C9C"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Present value, £m</w:t>
            </w:r>
          </w:p>
        </w:tc>
      </w:tr>
      <w:tr w:rsidR="00565C9C" w:rsidRPr="00565C9C" w14:paraId="3AAFE54A"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D660A4"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w:t>
            </w:r>
          </w:p>
        </w:tc>
        <w:tc>
          <w:tcPr>
            <w:tcW w:w="0" w:type="auto"/>
            <w:hideMark/>
          </w:tcPr>
          <w:p w14:paraId="3E4652D0"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(50.000)</w:t>
            </w:r>
          </w:p>
        </w:tc>
        <w:tc>
          <w:tcPr>
            <w:tcW w:w="0" w:type="auto"/>
            <w:hideMark/>
          </w:tcPr>
          <w:p w14:paraId="2AE3CA3C"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1.0000</w:t>
            </w:r>
          </w:p>
        </w:tc>
        <w:tc>
          <w:tcPr>
            <w:tcW w:w="0" w:type="auto"/>
            <w:hideMark/>
          </w:tcPr>
          <w:p w14:paraId="7FD21D02"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(50.000)</w:t>
            </w:r>
          </w:p>
        </w:tc>
      </w:tr>
      <w:tr w:rsidR="00565C9C" w:rsidRPr="00565C9C" w14:paraId="22E75E2A"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08FC22A0"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w:t>
            </w:r>
          </w:p>
        </w:tc>
        <w:tc>
          <w:tcPr>
            <w:tcW w:w="0" w:type="auto"/>
            <w:hideMark/>
          </w:tcPr>
          <w:p w14:paraId="4BC90654"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11.000</w:t>
            </w:r>
          </w:p>
        </w:tc>
        <w:tc>
          <w:tcPr>
            <w:tcW w:w="0" w:type="auto"/>
            <w:hideMark/>
          </w:tcPr>
          <w:p w14:paraId="7A0492D0"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0.9259</w:t>
            </w:r>
          </w:p>
        </w:tc>
        <w:tc>
          <w:tcPr>
            <w:tcW w:w="0" w:type="auto"/>
            <w:hideMark/>
          </w:tcPr>
          <w:p w14:paraId="1C812EA6"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10.185</w:t>
            </w:r>
          </w:p>
        </w:tc>
      </w:tr>
      <w:tr w:rsidR="00565C9C" w:rsidRPr="00565C9C" w14:paraId="624139B6"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142C27"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lastRenderedPageBreak/>
              <w:t>2</w:t>
            </w:r>
          </w:p>
        </w:tc>
        <w:tc>
          <w:tcPr>
            <w:tcW w:w="0" w:type="auto"/>
            <w:hideMark/>
          </w:tcPr>
          <w:p w14:paraId="1DEEA52B"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11.000</w:t>
            </w:r>
          </w:p>
        </w:tc>
        <w:tc>
          <w:tcPr>
            <w:tcW w:w="0" w:type="auto"/>
            <w:hideMark/>
          </w:tcPr>
          <w:p w14:paraId="674323A8"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0.8573</w:t>
            </w:r>
          </w:p>
        </w:tc>
        <w:tc>
          <w:tcPr>
            <w:tcW w:w="0" w:type="auto"/>
            <w:hideMark/>
          </w:tcPr>
          <w:p w14:paraId="15BBD759"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9.431</w:t>
            </w:r>
          </w:p>
        </w:tc>
      </w:tr>
      <w:tr w:rsidR="00565C9C" w:rsidRPr="00565C9C" w14:paraId="25D7F78A"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7B4FE6C9"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3</w:t>
            </w:r>
          </w:p>
        </w:tc>
        <w:tc>
          <w:tcPr>
            <w:tcW w:w="0" w:type="auto"/>
            <w:hideMark/>
          </w:tcPr>
          <w:p w14:paraId="4355ADE5"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11.000</w:t>
            </w:r>
          </w:p>
        </w:tc>
        <w:tc>
          <w:tcPr>
            <w:tcW w:w="0" w:type="auto"/>
            <w:hideMark/>
          </w:tcPr>
          <w:p w14:paraId="48FD1437"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0.7938</w:t>
            </w:r>
          </w:p>
        </w:tc>
        <w:tc>
          <w:tcPr>
            <w:tcW w:w="0" w:type="auto"/>
            <w:hideMark/>
          </w:tcPr>
          <w:p w14:paraId="2FFD5CA5"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8.732</w:t>
            </w:r>
          </w:p>
        </w:tc>
      </w:tr>
      <w:tr w:rsidR="00565C9C" w:rsidRPr="00565C9C" w14:paraId="0C29E175"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403B8D"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4</w:t>
            </w:r>
          </w:p>
        </w:tc>
        <w:tc>
          <w:tcPr>
            <w:tcW w:w="0" w:type="auto"/>
            <w:hideMark/>
          </w:tcPr>
          <w:p w14:paraId="603988EE"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11.000</w:t>
            </w:r>
          </w:p>
        </w:tc>
        <w:tc>
          <w:tcPr>
            <w:tcW w:w="0" w:type="auto"/>
            <w:hideMark/>
          </w:tcPr>
          <w:p w14:paraId="1A470434"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0.7350</w:t>
            </w:r>
          </w:p>
        </w:tc>
        <w:tc>
          <w:tcPr>
            <w:tcW w:w="0" w:type="auto"/>
            <w:hideMark/>
          </w:tcPr>
          <w:p w14:paraId="31790E64"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8.085</w:t>
            </w:r>
          </w:p>
        </w:tc>
      </w:tr>
      <w:tr w:rsidR="00565C9C" w:rsidRPr="00565C9C" w14:paraId="68B5CD31"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3DBAF1C9"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w:t>
            </w:r>
          </w:p>
        </w:tc>
        <w:tc>
          <w:tcPr>
            <w:tcW w:w="0" w:type="auto"/>
            <w:hideMark/>
          </w:tcPr>
          <w:p w14:paraId="47DA9345"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11.000</w:t>
            </w:r>
          </w:p>
        </w:tc>
        <w:tc>
          <w:tcPr>
            <w:tcW w:w="0" w:type="auto"/>
            <w:hideMark/>
          </w:tcPr>
          <w:p w14:paraId="2750A372"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0.6806</w:t>
            </w:r>
          </w:p>
        </w:tc>
        <w:tc>
          <w:tcPr>
            <w:tcW w:w="0" w:type="auto"/>
            <w:hideMark/>
          </w:tcPr>
          <w:p w14:paraId="5B9B1D09"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7.486</w:t>
            </w:r>
          </w:p>
        </w:tc>
      </w:tr>
      <w:tr w:rsidR="00565C9C" w:rsidRPr="00565C9C" w14:paraId="35DB4199"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8DB25C"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Style w:val="Strong"/>
                <w:rFonts w:asciiTheme="majorBidi" w:hAnsiTheme="majorBidi" w:cstheme="majorBidi"/>
                <w:color w:val="000000" w:themeColor="text1"/>
                <w:sz w:val="24"/>
                <w:szCs w:val="24"/>
              </w:rPr>
              <w:t>NPV</w:t>
            </w:r>
          </w:p>
        </w:tc>
        <w:tc>
          <w:tcPr>
            <w:tcW w:w="0" w:type="auto"/>
            <w:hideMark/>
          </w:tcPr>
          <w:p w14:paraId="540039EE"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p>
        </w:tc>
        <w:tc>
          <w:tcPr>
            <w:tcW w:w="0" w:type="auto"/>
            <w:hideMark/>
          </w:tcPr>
          <w:p w14:paraId="27BB3661"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p>
        </w:tc>
        <w:tc>
          <w:tcPr>
            <w:tcW w:w="0" w:type="auto"/>
            <w:hideMark/>
          </w:tcPr>
          <w:p w14:paraId="5421F5B0"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Style w:val="Strong"/>
                <w:rFonts w:asciiTheme="majorBidi" w:hAnsiTheme="majorBidi" w:cstheme="majorBidi"/>
                <w:color w:val="000000" w:themeColor="text1"/>
                <w:sz w:val="24"/>
                <w:szCs w:val="24"/>
              </w:rPr>
              <w:t>(6.080)</w:t>
            </w:r>
          </w:p>
        </w:tc>
      </w:tr>
    </w:tbl>
    <w:p w14:paraId="37704A32" w14:textId="77777777" w:rsidR="00565C9C" w:rsidRPr="00565C9C" w:rsidRDefault="00565C9C" w:rsidP="00565C9C">
      <w:pPr>
        <w:pStyle w:val="isselectedend"/>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Payback:</w:t>
      </w:r>
      <w:r w:rsidRPr="00565C9C">
        <w:rPr>
          <w:rFonts w:asciiTheme="majorBidi" w:hAnsiTheme="majorBidi" w:cstheme="majorBidi"/>
          <w:color w:val="000000" w:themeColor="text1"/>
        </w:rPr>
        <w:t xml:space="preserve"> 4 years + (£50m − £44m) ÷ £11m = </w:t>
      </w:r>
      <w:r w:rsidRPr="00565C9C">
        <w:rPr>
          <w:rStyle w:val="Strong"/>
          <w:rFonts w:asciiTheme="majorBidi" w:hAnsiTheme="majorBidi" w:cstheme="majorBidi"/>
          <w:color w:val="000000" w:themeColor="text1"/>
        </w:rPr>
        <w:t>4.55 years</w:t>
      </w:r>
      <w:r w:rsidRPr="00565C9C">
        <w:rPr>
          <w:rFonts w:asciiTheme="majorBidi" w:hAnsiTheme="majorBidi" w:cstheme="majorBidi"/>
          <w:color w:val="000000" w:themeColor="text1"/>
        </w:rPr>
        <w:br/>
      </w:r>
      <w:r w:rsidRPr="00565C9C">
        <w:rPr>
          <w:rStyle w:val="Strong"/>
          <w:rFonts w:asciiTheme="majorBidi" w:hAnsiTheme="majorBidi" w:cstheme="majorBidi"/>
          <w:color w:val="000000" w:themeColor="text1"/>
        </w:rPr>
        <w:t>ARR:</w:t>
      </w:r>
      <w:r w:rsidRPr="00565C9C">
        <w:rPr>
          <w:rFonts w:asciiTheme="majorBidi" w:hAnsiTheme="majorBidi" w:cstheme="majorBidi"/>
          <w:color w:val="000000" w:themeColor="text1"/>
        </w:rPr>
        <w:t xml:space="preserve"> (£11m average inflow − £10m depreciation) ÷ £25m average investment = </w:t>
      </w:r>
      <w:r w:rsidRPr="00565C9C">
        <w:rPr>
          <w:rStyle w:val="Strong"/>
          <w:rFonts w:asciiTheme="majorBidi" w:hAnsiTheme="majorBidi" w:cstheme="majorBidi"/>
          <w:color w:val="000000" w:themeColor="text1"/>
        </w:rPr>
        <w:t>4.00%</w:t>
      </w:r>
    </w:p>
    <w:p w14:paraId="1B865BF1" w14:textId="77777777" w:rsidR="00565C9C" w:rsidRPr="00565C9C" w:rsidRDefault="00565C9C" w:rsidP="00565C9C">
      <w:pPr>
        <w:pStyle w:val="isselectedend"/>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Project C NPV Calculation</w:t>
      </w:r>
    </w:p>
    <w:tbl>
      <w:tblPr>
        <w:tblStyle w:val="GridTable3"/>
        <w:tblW w:w="0" w:type="auto"/>
        <w:tblLook w:val="04A0" w:firstRow="1" w:lastRow="0" w:firstColumn="1" w:lastColumn="0" w:noHBand="0" w:noVBand="1"/>
      </w:tblPr>
      <w:tblGrid>
        <w:gridCol w:w="1056"/>
        <w:gridCol w:w="2037"/>
        <w:gridCol w:w="2156"/>
        <w:gridCol w:w="2396"/>
      </w:tblGrid>
      <w:tr w:rsidR="00565C9C" w:rsidRPr="00565C9C" w14:paraId="77B75340" w14:textId="77777777" w:rsidTr="00565C9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C81EABF"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Year</w:t>
            </w:r>
          </w:p>
        </w:tc>
        <w:tc>
          <w:tcPr>
            <w:tcW w:w="0" w:type="auto"/>
            <w:hideMark/>
          </w:tcPr>
          <w:p w14:paraId="6F174BB8" w14:textId="77777777" w:rsidR="00565C9C" w:rsidRPr="00565C9C" w:rsidRDefault="00565C9C"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Cash flow, £m</w:t>
            </w:r>
          </w:p>
        </w:tc>
        <w:tc>
          <w:tcPr>
            <w:tcW w:w="0" w:type="auto"/>
            <w:hideMark/>
          </w:tcPr>
          <w:p w14:paraId="6BC0C3BB" w14:textId="77777777" w:rsidR="00565C9C" w:rsidRPr="00565C9C" w:rsidRDefault="00565C9C"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Discount factor</w:t>
            </w:r>
          </w:p>
        </w:tc>
        <w:tc>
          <w:tcPr>
            <w:tcW w:w="0" w:type="auto"/>
            <w:hideMark/>
          </w:tcPr>
          <w:p w14:paraId="5D21E0BB" w14:textId="77777777" w:rsidR="00565C9C" w:rsidRPr="00565C9C" w:rsidRDefault="00565C9C"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Present value, £m</w:t>
            </w:r>
          </w:p>
        </w:tc>
      </w:tr>
      <w:tr w:rsidR="00565C9C" w:rsidRPr="00565C9C" w14:paraId="6B475AFB"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01BEFA"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w:t>
            </w:r>
          </w:p>
        </w:tc>
        <w:tc>
          <w:tcPr>
            <w:tcW w:w="0" w:type="auto"/>
            <w:hideMark/>
          </w:tcPr>
          <w:p w14:paraId="110858E9"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(50.000)</w:t>
            </w:r>
          </w:p>
        </w:tc>
        <w:tc>
          <w:tcPr>
            <w:tcW w:w="0" w:type="auto"/>
            <w:hideMark/>
          </w:tcPr>
          <w:p w14:paraId="08479F31"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1.0000</w:t>
            </w:r>
          </w:p>
        </w:tc>
        <w:tc>
          <w:tcPr>
            <w:tcW w:w="0" w:type="auto"/>
            <w:hideMark/>
          </w:tcPr>
          <w:p w14:paraId="3EB2C549"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(50.000)</w:t>
            </w:r>
          </w:p>
        </w:tc>
      </w:tr>
      <w:tr w:rsidR="00565C9C" w:rsidRPr="00565C9C" w14:paraId="23581AD9"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2B7A4ABE"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w:t>
            </w:r>
          </w:p>
        </w:tc>
        <w:tc>
          <w:tcPr>
            <w:tcW w:w="0" w:type="auto"/>
            <w:hideMark/>
          </w:tcPr>
          <w:p w14:paraId="0D9222BC"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5.000</w:t>
            </w:r>
          </w:p>
        </w:tc>
        <w:tc>
          <w:tcPr>
            <w:tcW w:w="0" w:type="auto"/>
            <w:hideMark/>
          </w:tcPr>
          <w:p w14:paraId="3A4B3341"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0.9259</w:t>
            </w:r>
          </w:p>
        </w:tc>
        <w:tc>
          <w:tcPr>
            <w:tcW w:w="0" w:type="auto"/>
            <w:hideMark/>
          </w:tcPr>
          <w:p w14:paraId="71FA1DDA"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4.630</w:t>
            </w:r>
          </w:p>
        </w:tc>
      </w:tr>
      <w:tr w:rsidR="00565C9C" w:rsidRPr="00565C9C" w14:paraId="6F9C4056"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0ACAD5"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w:t>
            </w:r>
          </w:p>
        </w:tc>
        <w:tc>
          <w:tcPr>
            <w:tcW w:w="0" w:type="auto"/>
            <w:hideMark/>
          </w:tcPr>
          <w:p w14:paraId="6713F23E"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10.000</w:t>
            </w:r>
          </w:p>
        </w:tc>
        <w:tc>
          <w:tcPr>
            <w:tcW w:w="0" w:type="auto"/>
            <w:hideMark/>
          </w:tcPr>
          <w:p w14:paraId="03411C74"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0.8573</w:t>
            </w:r>
          </w:p>
        </w:tc>
        <w:tc>
          <w:tcPr>
            <w:tcW w:w="0" w:type="auto"/>
            <w:hideMark/>
          </w:tcPr>
          <w:p w14:paraId="73ED3F24"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8.573</w:t>
            </w:r>
          </w:p>
        </w:tc>
      </w:tr>
      <w:tr w:rsidR="00565C9C" w:rsidRPr="00565C9C" w14:paraId="5AE6A223"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585D288A"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3</w:t>
            </w:r>
          </w:p>
        </w:tc>
        <w:tc>
          <w:tcPr>
            <w:tcW w:w="0" w:type="auto"/>
            <w:hideMark/>
          </w:tcPr>
          <w:p w14:paraId="08E9155F"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20.000</w:t>
            </w:r>
          </w:p>
        </w:tc>
        <w:tc>
          <w:tcPr>
            <w:tcW w:w="0" w:type="auto"/>
            <w:hideMark/>
          </w:tcPr>
          <w:p w14:paraId="70E58BD1"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0.7938</w:t>
            </w:r>
          </w:p>
        </w:tc>
        <w:tc>
          <w:tcPr>
            <w:tcW w:w="0" w:type="auto"/>
            <w:hideMark/>
          </w:tcPr>
          <w:p w14:paraId="3131B482"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15.877</w:t>
            </w:r>
          </w:p>
        </w:tc>
      </w:tr>
      <w:tr w:rsidR="00565C9C" w:rsidRPr="00565C9C" w14:paraId="052FCC60"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E6FA6B"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4</w:t>
            </w:r>
          </w:p>
        </w:tc>
        <w:tc>
          <w:tcPr>
            <w:tcW w:w="0" w:type="auto"/>
            <w:hideMark/>
          </w:tcPr>
          <w:p w14:paraId="2421D5AE"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25.000</w:t>
            </w:r>
          </w:p>
        </w:tc>
        <w:tc>
          <w:tcPr>
            <w:tcW w:w="0" w:type="auto"/>
            <w:hideMark/>
          </w:tcPr>
          <w:p w14:paraId="410F42E3"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0.7350</w:t>
            </w:r>
          </w:p>
        </w:tc>
        <w:tc>
          <w:tcPr>
            <w:tcW w:w="0" w:type="auto"/>
            <w:hideMark/>
          </w:tcPr>
          <w:p w14:paraId="0185CDAB"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18.376</w:t>
            </w:r>
          </w:p>
        </w:tc>
      </w:tr>
      <w:tr w:rsidR="00565C9C" w:rsidRPr="00565C9C" w14:paraId="0EEA090F"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15C03BA5"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w:t>
            </w:r>
          </w:p>
        </w:tc>
        <w:tc>
          <w:tcPr>
            <w:tcW w:w="0" w:type="auto"/>
            <w:hideMark/>
          </w:tcPr>
          <w:p w14:paraId="0ABCF3D6"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5.000</w:t>
            </w:r>
          </w:p>
        </w:tc>
        <w:tc>
          <w:tcPr>
            <w:tcW w:w="0" w:type="auto"/>
            <w:hideMark/>
          </w:tcPr>
          <w:p w14:paraId="0DE30E22"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0.6806</w:t>
            </w:r>
          </w:p>
        </w:tc>
        <w:tc>
          <w:tcPr>
            <w:tcW w:w="0" w:type="auto"/>
            <w:hideMark/>
          </w:tcPr>
          <w:p w14:paraId="5AA1DEB7"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3.403</w:t>
            </w:r>
          </w:p>
        </w:tc>
      </w:tr>
      <w:tr w:rsidR="00565C9C" w:rsidRPr="00565C9C" w14:paraId="5FB59B39"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6A35E7"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Style w:val="Strong"/>
                <w:rFonts w:asciiTheme="majorBidi" w:hAnsiTheme="majorBidi" w:cstheme="majorBidi"/>
                <w:color w:val="000000" w:themeColor="text1"/>
                <w:sz w:val="24"/>
                <w:szCs w:val="24"/>
              </w:rPr>
              <w:t>NPV</w:t>
            </w:r>
          </w:p>
        </w:tc>
        <w:tc>
          <w:tcPr>
            <w:tcW w:w="0" w:type="auto"/>
            <w:hideMark/>
          </w:tcPr>
          <w:p w14:paraId="5CA2B443"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p>
        </w:tc>
        <w:tc>
          <w:tcPr>
            <w:tcW w:w="0" w:type="auto"/>
            <w:hideMark/>
          </w:tcPr>
          <w:p w14:paraId="68EA43E8"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p>
        </w:tc>
        <w:tc>
          <w:tcPr>
            <w:tcW w:w="0" w:type="auto"/>
            <w:hideMark/>
          </w:tcPr>
          <w:p w14:paraId="7E3C05C0"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Style w:val="Strong"/>
                <w:rFonts w:asciiTheme="majorBidi" w:hAnsiTheme="majorBidi" w:cstheme="majorBidi"/>
                <w:color w:val="000000" w:themeColor="text1"/>
                <w:sz w:val="24"/>
                <w:szCs w:val="24"/>
              </w:rPr>
              <w:t>0.858</w:t>
            </w:r>
          </w:p>
        </w:tc>
      </w:tr>
    </w:tbl>
    <w:p w14:paraId="5510B8F1" w14:textId="77777777" w:rsidR="00565C9C" w:rsidRPr="00565C9C" w:rsidRDefault="00565C9C" w:rsidP="00565C9C">
      <w:pPr>
        <w:pStyle w:val="isselectedend"/>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Payback:</w:t>
      </w:r>
      <w:r w:rsidRPr="00565C9C">
        <w:rPr>
          <w:rFonts w:asciiTheme="majorBidi" w:hAnsiTheme="majorBidi" w:cstheme="majorBidi"/>
          <w:color w:val="000000" w:themeColor="text1"/>
        </w:rPr>
        <w:t xml:space="preserve"> 3 years + (£50m − £35m) ÷ £25m = </w:t>
      </w:r>
      <w:r w:rsidRPr="00565C9C">
        <w:rPr>
          <w:rStyle w:val="Strong"/>
          <w:rFonts w:asciiTheme="majorBidi" w:hAnsiTheme="majorBidi" w:cstheme="majorBidi"/>
          <w:color w:val="000000" w:themeColor="text1"/>
        </w:rPr>
        <w:t>3.60 years</w:t>
      </w:r>
      <w:r w:rsidRPr="00565C9C">
        <w:rPr>
          <w:rFonts w:asciiTheme="majorBidi" w:hAnsiTheme="majorBidi" w:cstheme="majorBidi"/>
          <w:color w:val="000000" w:themeColor="text1"/>
        </w:rPr>
        <w:br/>
      </w:r>
      <w:r w:rsidRPr="00565C9C">
        <w:rPr>
          <w:rStyle w:val="Strong"/>
          <w:rFonts w:asciiTheme="majorBidi" w:hAnsiTheme="majorBidi" w:cstheme="majorBidi"/>
          <w:color w:val="000000" w:themeColor="text1"/>
        </w:rPr>
        <w:t>ARR:</w:t>
      </w:r>
      <w:r w:rsidRPr="00565C9C">
        <w:rPr>
          <w:rFonts w:asciiTheme="majorBidi" w:hAnsiTheme="majorBidi" w:cstheme="majorBidi"/>
          <w:color w:val="000000" w:themeColor="text1"/>
        </w:rPr>
        <w:t xml:space="preserve"> (£13m average inflow − £10m depreciation) ÷ £25m average investment = </w:t>
      </w:r>
      <w:r w:rsidRPr="00565C9C">
        <w:rPr>
          <w:rStyle w:val="Strong"/>
          <w:rFonts w:asciiTheme="majorBidi" w:hAnsiTheme="majorBidi" w:cstheme="majorBidi"/>
          <w:color w:val="000000" w:themeColor="text1"/>
        </w:rPr>
        <w:t>12.00%</w:t>
      </w:r>
    </w:p>
    <w:p w14:paraId="29C1A9ED" w14:textId="77777777" w:rsidR="00565C9C" w:rsidRPr="00565C9C" w:rsidRDefault="00565C9C" w:rsidP="00565C9C">
      <w:pPr>
        <w:pStyle w:val="isselectedend"/>
        <w:spacing w:line="360" w:lineRule="auto"/>
        <w:jc w:val="both"/>
        <w:rPr>
          <w:rFonts w:asciiTheme="majorBidi" w:hAnsiTheme="majorBidi" w:cstheme="majorBidi"/>
          <w:color w:val="000000" w:themeColor="text1"/>
        </w:rPr>
      </w:pPr>
      <w:r w:rsidRPr="00565C9C">
        <w:rPr>
          <w:rStyle w:val="Strong"/>
          <w:rFonts w:asciiTheme="majorBidi" w:hAnsiTheme="majorBidi" w:cstheme="majorBidi"/>
          <w:color w:val="000000" w:themeColor="text1"/>
        </w:rPr>
        <w:t>Capital-Rationing Calculation</w:t>
      </w:r>
    </w:p>
    <w:tbl>
      <w:tblPr>
        <w:tblStyle w:val="GridTable3"/>
        <w:tblW w:w="0" w:type="auto"/>
        <w:tblLook w:val="04A0" w:firstRow="1" w:lastRow="0" w:firstColumn="1" w:lastColumn="0" w:noHBand="0" w:noVBand="1"/>
      </w:tblPr>
      <w:tblGrid>
        <w:gridCol w:w="1870"/>
        <w:gridCol w:w="2765"/>
        <w:gridCol w:w="1663"/>
      </w:tblGrid>
      <w:tr w:rsidR="00565C9C" w:rsidRPr="00565C9C" w14:paraId="0534AC52" w14:textId="77777777" w:rsidTr="00565C9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5A0AC03"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Combination</w:t>
            </w:r>
          </w:p>
        </w:tc>
        <w:tc>
          <w:tcPr>
            <w:tcW w:w="0" w:type="auto"/>
            <w:hideMark/>
          </w:tcPr>
          <w:p w14:paraId="7FF3AA6E" w14:textId="77777777" w:rsidR="00565C9C" w:rsidRPr="00565C9C" w:rsidRDefault="00565C9C"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Calculation</w:t>
            </w:r>
          </w:p>
        </w:tc>
        <w:tc>
          <w:tcPr>
            <w:tcW w:w="0" w:type="auto"/>
            <w:hideMark/>
          </w:tcPr>
          <w:p w14:paraId="41DE38C5" w14:textId="77777777" w:rsidR="00565C9C" w:rsidRPr="00565C9C" w:rsidRDefault="00565C9C" w:rsidP="00565C9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NPV</w:t>
            </w:r>
          </w:p>
        </w:tc>
      </w:tr>
      <w:tr w:rsidR="00565C9C" w:rsidRPr="00565C9C" w14:paraId="222C5FFF"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C37598"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A + B</w:t>
            </w:r>
          </w:p>
        </w:tc>
        <w:tc>
          <w:tcPr>
            <w:tcW w:w="0" w:type="auto"/>
            <w:hideMark/>
          </w:tcPr>
          <w:p w14:paraId="75831DB6"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–£6.544m + –£6.080m</w:t>
            </w:r>
          </w:p>
        </w:tc>
        <w:tc>
          <w:tcPr>
            <w:tcW w:w="0" w:type="auto"/>
            <w:hideMark/>
          </w:tcPr>
          <w:p w14:paraId="4217B29F"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–£12.624m</w:t>
            </w:r>
          </w:p>
        </w:tc>
      </w:tr>
      <w:tr w:rsidR="00565C9C" w:rsidRPr="00565C9C" w14:paraId="746502C0"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1B6B7223"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A + C</w:t>
            </w:r>
          </w:p>
        </w:tc>
        <w:tc>
          <w:tcPr>
            <w:tcW w:w="0" w:type="auto"/>
            <w:hideMark/>
          </w:tcPr>
          <w:p w14:paraId="04065A8C"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–£6.544m + £0.858m</w:t>
            </w:r>
          </w:p>
        </w:tc>
        <w:tc>
          <w:tcPr>
            <w:tcW w:w="0" w:type="auto"/>
            <w:hideMark/>
          </w:tcPr>
          <w:p w14:paraId="02CC5852"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–£5.686m</w:t>
            </w:r>
          </w:p>
        </w:tc>
      </w:tr>
      <w:tr w:rsidR="00565C9C" w:rsidRPr="00565C9C" w14:paraId="6930E82C" w14:textId="77777777" w:rsidTr="00565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276C19"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B + C</w:t>
            </w:r>
          </w:p>
        </w:tc>
        <w:tc>
          <w:tcPr>
            <w:tcW w:w="0" w:type="auto"/>
            <w:hideMark/>
          </w:tcPr>
          <w:p w14:paraId="1D6ADE84"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–£6.080m + £0.858m</w:t>
            </w:r>
          </w:p>
        </w:tc>
        <w:tc>
          <w:tcPr>
            <w:tcW w:w="0" w:type="auto"/>
            <w:hideMark/>
          </w:tcPr>
          <w:p w14:paraId="27E722DB" w14:textId="77777777" w:rsidR="00565C9C" w:rsidRPr="00565C9C" w:rsidRDefault="00565C9C" w:rsidP="00565C9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–£5.222m</w:t>
            </w:r>
          </w:p>
        </w:tc>
      </w:tr>
      <w:tr w:rsidR="00565C9C" w:rsidRPr="00565C9C" w14:paraId="113DA711" w14:textId="77777777" w:rsidTr="00565C9C">
        <w:tc>
          <w:tcPr>
            <w:cnfStyle w:val="001000000000" w:firstRow="0" w:lastRow="0" w:firstColumn="1" w:lastColumn="0" w:oddVBand="0" w:evenVBand="0" w:oddHBand="0" w:evenHBand="0" w:firstRowFirstColumn="0" w:firstRowLastColumn="0" w:lastRowFirstColumn="0" w:lastRowLastColumn="0"/>
            <w:tcW w:w="0" w:type="auto"/>
            <w:hideMark/>
          </w:tcPr>
          <w:p w14:paraId="1447DE2B" w14:textId="77777777" w:rsidR="00565C9C" w:rsidRPr="00565C9C" w:rsidRDefault="00565C9C" w:rsidP="00565C9C">
            <w:pPr>
              <w:spacing w:line="360" w:lineRule="auto"/>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C only</w:t>
            </w:r>
          </w:p>
        </w:tc>
        <w:tc>
          <w:tcPr>
            <w:tcW w:w="0" w:type="auto"/>
            <w:hideMark/>
          </w:tcPr>
          <w:p w14:paraId="2422C69A"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t>£0.858m</w:t>
            </w:r>
          </w:p>
        </w:tc>
        <w:tc>
          <w:tcPr>
            <w:tcW w:w="0" w:type="auto"/>
            <w:hideMark/>
          </w:tcPr>
          <w:p w14:paraId="6529D783" w14:textId="77777777" w:rsidR="00565C9C" w:rsidRPr="00565C9C" w:rsidRDefault="00565C9C" w:rsidP="00565C9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565C9C">
              <w:rPr>
                <w:rStyle w:val="Strong"/>
                <w:rFonts w:asciiTheme="majorBidi" w:hAnsiTheme="majorBidi" w:cstheme="majorBidi"/>
                <w:color w:val="000000" w:themeColor="text1"/>
                <w:sz w:val="24"/>
                <w:szCs w:val="24"/>
              </w:rPr>
              <w:t>£0.858m</w:t>
            </w:r>
          </w:p>
        </w:tc>
      </w:tr>
    </w:tbl>
    <w:p w14:paraId="6E1014A2" w14:textId="48E8FF92" w:rsidR="00565C9C" w:rsidRPr="00565C9C" w:rsidRDefault="00565C9C" w:rsidP="00565C9C">
      <w:pPr>
        <w:spacing w:line="360" w:lineRule="auto"/>
        <w:ind w:firstLine="0"/>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lastRenderedPageBreak/>
        <w:drawing>
          <wp:inline distT="0" distB="0" distL="0" distR="0" wp14:anchorId="2DA15C62" wp14:editId="64A1E040">
            <wp:extent cx="5731510" cy="2653030"/>
            <wp:effectExtent l="0" t="0" r="0" b="1270"/>
            <wp:docPr id="1626147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147676" name=""/>
                    <pic:cNvPicPr/>
                  </pic:nvPicPr>
                  <pic:blipFill>
                    <a:blip r:embed="rId55"/>
                    <a:stretch>
                      <a:fillRect/>
                    </a:stretch>
                  </pic:blipFill>
                  <pic:spPr>
                    <a:xfrm>
                      <a:off x="0" y="0"/>
                      <a:ext cx="5731510" cy="2653030"/>
                    </a:xfrm>
                    <a:prstGeom prst="rect">
                      <a:avLst/>
                    </a:prstGeom>
                  </pic:spPr>
                </pic:pic>
              </a:graphicData>
            </a:graphic>
          </wp:inline>
        </w:drawing>
      </w:r>
    </w:p>
    <w:p w14:paraId="6EB2374A" w14:textId="55570783" w:rsidR="00565C9C" w:rsidRPr="00565C9C" w:rsidRDefault="00565C9C" w:rsidP="00565C9C">
      <w:pPr>
        <w:spacing w:line="360" w:lineRule="auto"/>
        <w:ind w:firstLine="0"/>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drawing>
          <wp:inline distT="0" distB="0" distL="0" distR="0" wp14:anchorId="06C8127F" wp14:editId="5E56C4C7">
            <wp:extent cx="5731510" cy="2379980"/>
            <wp:effectExtent l="0" t="0" r="0" b="0"/>
            <wp:docPr id="1766107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107411" name=""/>
                    <pic:cNvPicPr/>
                  </pic:nvPicPr>
                  <pic:blipFill>
                    <a:blip r:embed="rId56"/>
                    <a:stretch>
                      <a:fillRect/>
                    </a:stretch>
                  </pic:blipFill>
                  <pic:spPr>
                    <a:xfrm>
                      <a:off x="0" y="0"/>
                      <a:ext cx="5731510" cy="2379980"/>
                    </a:xfrm>
                    <a:prstGeom prst="rect">
                      <a:avLst/>
                    </a:prstGeom>
                  </pic:spPr>
                </pic:pic>
              </a:graphicData>
            </a:graphic>
          </wp:inline>
        </w:drawing>
      </w:r>
    </w:p>
    <w:p w14:paraId="2C30670D" w14:textId="792B7DEC" w:rsidR="00565C9C" w:rsidRPr="00565C9C" w:rsidRDefault="00565C9C" w:rsidP="00565C9C">
      <w:pPr>
        <w:spacing w:line="360" w:lineRule="auto"/>
        <w:ind w:firstLine="0"/>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drawing>
          <wp:inline distT="0" distB="0" distL="0" distR="0" wp14:anchorId="148AAC91" wp14:editId="6D13397E">
            <wp:extent cx="5731510" cy="958850"/>
            <wp:effectExtent l="0" t="0" r="0" b="6350"/>
            <wp:docPr id="2074311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311057" name=""/>
                    <pic:cNvPicPr/>
                  </pic:nvPicPr>
                  <pic:blipFill>
                    <a:blip r:embed="rId57"/>
                    <a:stretch>
                      <a:fillRect/>
                    </a:stretch>
                  </pic:blipFill>
                  <pic:spPr>
                    <a:xfrm>
                      <a:off x="0" y="0"/>
                      <a:ext cx="5731510" cy="958850"/>
                    </a:xfrm>
                    <a:prstGeom prst="rect">
                      <a:avLst/>
                    </a:prstGeom>
                  </pic:spPr>
                </pic:pic>
              </a:graphicData>
            </a:graphic>
          </wp:inline>
        </w:drawing>
      </w:r>
    </w:p>
    <w:p w14:paraId="0A406A44" w14:textId="293A3387" w:rsidR="00565C9C" w:rsidRPr="00565C9C" w:rsidRDefault="00565C9C" w:rsidP="00565C9C">
      <w:pPr>
        <w:spacing w:line="360" w:lineRule="auto"/>
        <w:ind w:firstLine="0"/>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drawing>
          <wp:inline distT="0" distB="0" distL="0" distR="0" wp14:anchorId="38D783E8" wp14:editId="29399B2C">
            <wp:extent cx="5731510" cy="1506855"/>
            <wp:effectExtent l="0" t="0" r="0" b="4445"/>
            <wp:docPr id="569893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893976" name=""/>
                    <pic:cNvPicPr/>
                  </pic:nvPicPr>
                  <pic:blipFill>
                    <a:blip r:embed="rId58"/>
                    <a:stretch>
                      <a:fillRect/>
                    </a:stretch>
                  </pic:blipFill>
                  <pic:spPr>
                    <a:xfrm>
                      <a:off x="0" y="0"/>
                      <a:ext cx="5731510" cy="1506855"/>
                    </a:xfrm>
                    <a:prstGeom prst="rect">
                      <a:avLst/>
                    </a:prstGeom>
                  </pic:spPr>
                </pic:pic>
              </a:graphicData>
            </a:graphic>
          </wp:inline>
        </w:drawing>
      </w:r>
    </w:p>
    <w:p w14:paraId="5C228D8D" w14:textId="23C2F6DD" w:rsidR="00565C9C" w:rsidRPr="00565C9C" w:rsidRDefault="00565C9C" w:rsidP="00565C9C">
      <w:pPr>
        <w:spacing w:line="360" w:lineRule="auto"/>
        <w:ind w:firstLine="0"/>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lastRenderedPageBreak/>
        <w:drawing>
          <wp:inline distT="0" distB="0" distL="0" distR="0" wp14:anchorId="09854B0A" wp14:editId="67AD8279">
            <wp:extent cx="5731510" cy="1544320"/>
            <wp:effectExtent l="0" t="0" r="0" b="5080"/>
            <wp:docPr id="1342813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813527" name=""/>
                    <pic:cNvPicPr/>
                  </pic:nvPicPr>
                  <pic:blipFill>
                    <a:blip r:embed="rId59"/>
                    <a:stretch>
                      <a:fillRect/>
                    </a:stretch>
                  </pic:blipFill>
                  <pic:spPr>
                    <a:xfrm>
                      <a:off x="0" y="0"/>
                      <a:ext cx="5731510" cy="1544320"/>
                    </a:xfrm>
                    <a:prstGeom prst="rect">
                      <a:avLst/>
                    </a:prstGeom>
                  </pic:spPr>
                </pic:pic>
              </a:graphicData>
            </a:graphic>
          </wp:inline>
        </w:drawing>
      </w:r>
    </w:p>
    <w:p w14:paraId="1264256A" w14:textId="2D1698B5" w:rsidR="00565C9C" w:rsidRPr="00565C9C" w:rsidRDefault="00565C9C" w:rsidP="00565C9C">
      <w:pPr>
        <w:spacing w:line="360" w:lineRule="auto"/>
        <w:ind w:firstLine="0"/>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drawing>
          <wp:inline distT="0" distB="0" distL="0" distR="0" wp14:anchorId="56ED1186" wp14:editId="49B6A2C4">
            <wp:extent cx="5731510" cy="5290820"/>
            <wp:effectExtent l="0" t="0" r="0" b="5080"/>
            <wp:docPr id="1693778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778072" name=""/>
                    <pic:cNvPicPr/>
                  </pic:nvPicPr>
                  <pic:blipFill>
                    <a:blip r:embed="rId60"/>
                    <a:stretch>
                      <a:fillRect/>
                    </a:stretch>
                  </pic:blipFill>
                  <pic:spPr>
                    <a:xfrm>
                      <a:off x="0" y="0"/>
                      <a:ext cx="5731510" cy="5290820"/>
                    </a:xfrm>
                    <a:prstGeom prst="rect">
                      <a:avLst/>
                    </a:prstGeom>
                  </pic:spPr>
                </pic:pic>
              </a:graphicData>
            </a:graphic>
          </wp:inline>
        </w:drawing>
      </w:r>
    </w:p>
    <w:p w14:paraId="537E0BC9" w14:textId="1DE79F4F" w:rsidR="00565C9C" w:rsidRPr="00565C9C" w:rsidRDefault="00565C9C" w:rsidP="00565C9C">
      <w:pPr>
        <w:spacing w:line="360" w:lineRule="auto"/>
        <w:ind w:firstLine="0"/>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lastRenderedPageBreak/>
        <w:drawing>
          <wp:inline distT="0" distB="0" distL="0" distR="0" wp14:anchorId="59D7521E" wp14:editId="324EB37E">
            <wp:extent cx="5731510" cy="2705100"/>
            <wp:effectExtent l="0" t="0" r="0" b="0"/>
            <wp:docPr id="612095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095530" name=""/>
                    <pic:cNvPicPr/>
                  </pic:nvPicPr>
                  <pic:blipFill>
                    <a:blip r:embed="rId61"/>
                    <a:stretch>
                      <a:fillRect/>
                    </a:stretch>
                  </pic:blipFill>
                  <pic:spPr>
                    <a:xfrm>
                      <a:off x="0" y="0"/>
                      <a:ext cx="5731510" cy="2705100"/>
                    </a:xfrm>
                    <a:prstGeom prst="rect">
                      <a:avLst/>
                    </a:prstGeom>
                  </pic:spPr>
                </pic:pic>
              </a:graphicData>
            </a:graphic>
          </wp:inline>
        </w:drawing>
      </w:r>
    </w:p>
    <w:p w14:paraId="4EF4FA05" w14:textId="07AEC2E4" w:rsidR="00565C9C" w:rsidRPr="00565C9C" w:rsidRDefault="00565C9C" w:rsidP="00565C9C">
      <w:pPr>
        <w:spacing w:line="360" w:lineRule="auto"/>
        <w:ind w:firstLine="0"/>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drawing>
          <wp:inline distT="0" distB="0" distL="0" distR="0" wp14:anchorId="5677523C" wp14:editId="795AD1CA">
            <wp:extent cx="5731510" cy="2493010"/>
            <wp:effectExtent l="0" t="0" r="0" b="0"/>
            <wp:docPr id="1332313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313981" name=""/>
                    <pic:cNvPicPr/>
                  </pic:nvPicPr>
                  <pic:blipFill>
                    <a:blip r:embed="rId62"/>
                    <a:stretch>
                      <a:fillRect/>
                    </a:stretch>
                  </pic:blipFill>
                  <pic:spPr>
                    <a:xfrm>
                      <a:off x="0" y="0"/>
                      <a:ext cx="5731510" cy="2493010"/>
                    </a:xfrm>
                    <a:prstGeom prst="rect">
                      <a:avLst/>
                    </a:prstGeom>
                  </pic:spPr>
                </pic:pic>
              </a:graphicData>
            </a:graphic>
          </wp:inline>
        </w:drawing>
      </w:r>
    </w:p>
    <w:p w14:paraId="2B04C709" w14:textId="74EC2A82" w:rsidR="00565C9C" w:rsidRPr="00565C9C" w:rsidRDefault="00565C9C" w:rsidP="00565C9C">
      <w:pPr>
        <w:spacing w:line="360" w:lineRule="auto"/>
        <w:ind w:firstLine="0"/>
        <w:jc w:val="both"/>
        <w:rPr>
          <w:rFonts w:asciiTheme="majorBidi" w:hAnsiTheme="majorBidi" w:cstheme="majorBidi"/>
          <w:color w:val="000000" w:themeColor="text1"/>
          <w:sz w:val="24"/>
          <w:szCs w:val="24"/>
        </w:rPr>
      </w:pPr>
      <w:r w:rsidRPr="00565C9C">
        <w:rPr>
          <w:rFonts w:asciiTheme="majorBidi" w:hAnsiTheme="majorBidi" w:cstheme="majorBidi"/>
          <w:color w:val="000000" w:themeColor="text1"/>
          <w:sz w:val="24"/>
          <w:szCs w:val="24"/>
        </w:rPr>
        <w:drawing>
          <wp:inline distT="0" distB="0" distL="0" distR="0" wp14:anchorId="2327B351" wp14:editId="1919D379">
            <wp:extent cx="5731510" cy="3284855"/>
            <wp:effectExtent l="0" t="0" r="0" b="4445"/>
            <wp:docPr id="1720425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425258" name=""/>
                    <pic:cNvPicPr/>
                  </pic:nvPicPr>
                  <pic:blipFill>
                    <a:blip r:embed="rId63"/>
                    <a:stretch>
                      <a:fillRect/>
                    </a:stretch>
                  </pic:blipFill>
                  <pic:spPr>
                    <a:xfrm>
                      <a:off x="0" y="0"/>
                      <a:ext cx="5731510" cy="3284855"/>
                    </a:xfrm>
                    <a:prstGeom prst="rect">
                      <a:avLst/>
                    </a:prstGeom>
                  </pic:spPr>
                </pic:pic>
              </a:graphicData>
            </a:graphic>
          </wp:inline>
        </w:drawing>
      </w:r>
    </w:p>
    <w:p w14:paraId="3F6378D0" w14:textId="77777777" w:rsidR="00565C9C" w:rsidRPr="00565C9C" w:rsidRDefault="00565C9C" w:rsidP="00565C9C">
      <w:pPr>
        <w:spacing w:line="360" w:lineRule="auto"/>
        <w:ind w:firstLine="0"/>
        <w:jc w:val="both"/>
        <w:rPr>
          <w:rFonts w:asciiTheme="majorBidi" w:hAnsiTheme="majorBidi" w:cstheme="majorBidi"/>
          <w:color w:val="000000" w:themeColor="text1"/>
          <w:sz w:val="24"/>
          <w:szCs w:val="24"/>
        </w:rPr>
      </w:pPr>
    </w:p>
    <w:sectPr w:rsidR="00565C9C" w:rsidRPr="00565C9C" w:rsidSect="00565C9C">
      <w:footerReference w:type="even" r:id="rId64"/>
      <w:footerReference w:type="default" r:id="rId65"/>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99427BB" w14:textId="77777777" w:rsidR="00F2325F" w:rsidRDefault="00F2325F" w:rsidP="00565C9C">
      <w:r>
        <w:separator/>
      </w:r>
    </w:p>
  </w:endnote>
  <w:endnote w:type="continuationSeparator" w:id="0">
    <w:p w14:paraId="288BC77E" w14:textId="77777777" w:rsidR="00F2325F" w:rsidRDefault="00F2325F" w:rsidP="00565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806926465"/>
      <w:docPartObj>
        <w:docPartGallery w:val="Page Numbers (Bottom of Page)"/>
        <w:docPartUnique/>
      </w:docPartObj>
    </w:sdtPr>
    <w:sdtContent>
      <w:p w14:paraId="1D8D4AFD" w14:textId="39ED842C" w:rsidR="00565C9C" w:rsidRDefault="00565C9C" w:rsidP="001A3F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E2ADDD7" w14:textId="77777777" w:rsidR="00565C9C" w:rsidRDefault="00565C9C" w:rsidP="00565C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98885580"/>
      <w:docPartObj>
        <w:docPartGallery w:val="Page Numbers (Bottom of Page)"/>
        <w:docPartUnique/>
      </w:docPartObj>
    </w:sdtPr>
    <w:sdtContent>
      <w:p w14:paraId="2C8E70A3" w14:textId="4038316A" w:rsidR="00565C9C" w:rsidRDefault="00565C9C" w:rsidP="001A3F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FBA8FB" w14:textId="77777777" w:rsidR="00565C9C" w:rsidRDefault="00565C9C" w:rsidP="00565C9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A3AE032" w14:textId="77777777" w:rsidR="00F2325F" w:rsidRDefault="00F2325F" w:rsidP="00565C9C">
      <w:r>
        <w:separator/>
      </w:r>
    </w:p>
  </w:footnote>
  <w:footnote w:type="continuationSeparator" w:id="0">
    <w:p w14:paraId="241E06EE" w14:textId="77777777" w:rsidR="00F2325F" w:rsidRDefault="00F2325F" w:rsidP="00565C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E572D2E"/>
    <w:multiLevelType w:val="multilevel"/>
    <w:tmpl w:val="8CDE93F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463526C4"/>
    <w:multiLevelType w:val="multilevel"/>
    <w:tmpl w:val="C9428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0E31107"/>
    <w:multiLevelType w:val="multilevel"/>
    <w:tmpl w:val="DDA8F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7658439">
    <w:abstractNumId w:val="0"/>
  </w:num>
  <w:num w:numId="2" w16cid:durableId="169688413">
    <w:abstractNumId w:val="0"/>
  </w:num>
  <w:num w:numId="3" w16cid:durableId="1450927616">
    <w:abstractNumId w:val="0"/>
  </w:num>
  <w:num w:numId="4" w16cid:durableId="1283877074">
    <w:abstractNumId w:val="0"/>
  </w:num>
  <w:num w:numId="5" w16cid:durableId="81922607">
    <w:abstractNumId w:val="0"/>
  </w:num>
  <w:num w:numId="6" w16cid:durableId="1197500022">
    <w:abstractNumId w:val="0"/>
  </w:num>
  <w:num w:numId="7" w16cid:durableId="192429477">
    <w:abstractNumId w:val="0"/>
  </w:num>
  <w:num w:numId="8" w16cid:durableId="881790427">
    <w:abstractNumId w:val="0"/>
  </w:num>
  <w:num w:numId="9" w16cid:durableId="1856769471">
    <w:abstractNumId w:val="0"/>
  </w:num>
  <w:num w:numId="10" w16cid:durableId="1161695134">
    <w:abstractNumId w:val="0"/>
  </w:num>
  <w:num w:numId="11" w16cid:durableId="1433091909">
    <w:abstractNumId w:val="1"/>
  </w:num>
  <w:num w:numId="12" w16cid:durableId="1744251696">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C53"/>
    <w:rsid w:val="00067DAF"/>
    <w:rsid w:val="000859CB"/>
    <w:rsid w:val="00324258"/>
    <w:rsid w:val="004E6C53"/>
    <w:rsid w:val="00565C9C"/>
    <w:rsid w:val="005E6C83"/>
    <w:rsid w:val="006B3300"/>
    <w:rsid w:val="007A5A81"/>
    <w:rsid w:val="00822527"/>
    <w:rsid w:val="00830094"/>
    <w:rsid w:val="00A2118A"/>
    <w:rsid w:val="00AB3CF4"/>
    <w:rsid w:val="00B343D7"/>
    <w:rsid w:val="00BF20C9"/>
    <w:rsid w:val="00CA2406"/>
    <w:rsid w:val="00D93ECD"/>
    <w:rsid w:val="00E16879"/>
    <w:rsid w:val="00E55240"/>
    <w:rsid w:val="00F2325F"/>
    <w:rsid w:val="00F87EB0"/>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D6DDA"/>
  <w15:chartTrackingRefBased/>
  <w15:docId w15:val="{0E2F68EF-BDA2-B345-B6E2-47868ACED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PK" w:eastAsia="en-US"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DAF"/>
  </w:style>
  <w:style w:type="paragraph" w:styleId="Heading1">
    <w:name w:val="heading 1"/>
    <w:basedOn w:val="Normal"/>
    <w:next w:val="Normal"/>
    <w:link w:val="Heading1Char"/>
    <w:uiPriority w:val="9"/>
    <w:qFormat/>
    <w:rsid w:val="00067DAF"/>
    <w:pPr>
      <w:numPr>
        <w:numId w:val="10"/>
      </w:numPr>
      <w:pBdr>
        <w:bottom w:val="single" w:sz="12" w:space="1" w:color="2F5496" w:themeColor="accent1" w:themeShade="BF"/>
      </w:pBdr>
      <w:spacing w:before="600" w:after="80" w:line="360" w:lineRule="auto"/>
      <w:jc w:val="both"/>
      <w:outlineLvl w:val="0"/>
    </w:pPr>
    <w:rPr>
      <w:rFonts w:asciiTheme="majorBidi" w:eastAsiaTheme="majorEastAsia" w:hAnsiTheme="majorBidi" w:cstheme="majorBidi"/>
      <w:b/>
      <w:bCs/>
      <w:color w:val="000000" w:themeColor="text1"/>
      <w:sz w:val="28"/>
      <w:szCs w:val="28"/>
    </w:rPr>
  </w:style>
  <w:style w:type="paragraph" w:styleId="Heading2">
    <w:name w:val="heading 2"/>
    <w:basedOn w:val="Normal"/>
    <w:next w:val="Normal"/>
    <w:link w:val="Heading2Char"/>
    <w:uiPriority w:val="9"/>
    <w:unhideWhenUsed/>
    <w:qFormat/>
    <w:rsid w:val="00067DAF"/>
    <w:pPr>
      <w:numPr>
        <w:ilvl w:val="1"/>
        <w:numId w:val="10"/>
      </w:numPr>
      <w:pBdr>
        <w:bottom w:val="single" w:sz="8" w:space="1" w:color="4472C4" w:themeColor="accent1"/>
      </w:pBdr>
      <w:spacing w:before="200" w:after="80"/>
      <w:outlineLvl w:val="1"/>
    </w:pPr>
    <w:rPr>
      <w:rFonts w:asciiTheme="majorBidi" w:eastAsiaTheme="majorEastAsia" w:hAnsiTheme="majorBidi" w:cstheme="majorBidi"/>
      <w:b/>
      <w:bCs/>
      <w:color w:val="000000" w:themeColor="text1"/>
      <w:sz w:val="24"/>
      <w:szCs w:val="24"/>
    </w:rPr>
  </w:style>
  <w:style w:type="paragraph" w:styleId="Heading3">
    <w:name w:val="heading 3"/>
    <w:basedOn w:val="Normal"/>
    <w:next w:val="Normal"/>
    <w:link w:val="Heading3Char"/>
    <w:uiPriority w:val="9"/>
    <w:unhideWhenUsed/>
    <w:qFormat/>
    <w:rsid w:val="00067DAF"/>
    <w:pPr>
      <w:numPr>
        <w:ilvl w:val="2"/>
        <w:numId w:val="10"/>
      </w:numPr>
      <w:pBdr>
        <w:bottom w:val="single" w:sz="4" w:space="1" w:color="8EAADB" w:themeColor="accent1" w:themeTint="99"/>
      </w:pBdr>
      <w:spacing w:before="200" w:after="80"/>
      <w:outlineLvl w:val="2"/>
    </w:pPr>
    <w:rPr>
      <w:rFonts w:asciiTheme="majorBidi" w:eastAsiaTheme="majorEastAsia" w:hAnsiTheme="majorBidi" w:cstheme="majorBidi"/>
      <w:i/>
      <w:iCs/>
      <w:color w:val="000000" w:themeColor="text1"/>
      <w:sz w:val="24"/>
      <w:szCs w:val="24"/>
    </w:rPr>
  </w:style>
  <w:style w:type="paragraph" w:styleId="Heading4">
    <w:name w:val="heading 4"/>
    <w:basedOn w:val="Normal"/>
    <w:next w:val="Normal"/>
    <w:link w:val="Heading4Char"/>
    <w:uiPriority w:val="9"/>
    <w:semiHidden/>
    <w:unhideWhenUsed/>
    <w:qFormat/>
    <w:rsid w:val="00067DAF"/>
    <w:pPr>
      <w:numPr>
        <w:ilvl w:val="3"/>
        <w:numId w:val="10"/>
      </w:numPr>
      <w:pBdr>
        <w:bottom w:val="single" w:sz="4" w:space="2" w:color="B4C6E7" w:themeColor="accent1" w:themeTint="66"/>
      </w:pBdr>
      <w:spacing w:before="200" w:after="80"/>
      <w:outlineLvl w:val="3"/>
    </w:pPr>
    <w:rPr>
      <w:rFonts w:asciiTheme="majorHAnsi" w:eastAsiaTheme="majorEastAsia" w:hAnsiTheme="majorHAnsi" w:cstheme="majorBidi"/>
      <w:i/>
      <w:iCs/>
      <w:color w:val="4472C4" w:themeColor="accent1"/>
      <w:sz w:val="24"/>
      <w:szCs w:val="24"/>
    </w:rPr>
  </w:style>
  <w:style w:type="paragraph" w:styleId="Heading5">
    <w:name w:val="heading 5"/>
    <w:basedOn w:val="Normal"/>
    <w:next w:val="Normal"/>
    <w:link w:val="Heading5Char"/>
    <w:uiPriority w:val="9"/>
    <w:semiHidden/>
    <w:unhideWhenUsed/>
    <w:qFormat/>
    <w:rsid w:val="00067DAF"/>
    <w:pPr>
      <w:numPr>
        <w:ilvl w:val="4"/>
        <w:numId w:val="10"/>
      </w:numPr>
      <w:spacing w:before="200" w:after="80"/>
      <w:outlineLvl w:val="4"/>
    </w:pPr>
    <w:rPr>
      <w:rFonts w:asciiTheme="majorHAnsi" w:eastAsiaTheme="majorEastAsia" w:hAnsiTheme="majorHAnsi" w:cstheme="majorBidi"/>
      <w:color w:val="4472C4" w:themeColor="accent1"/>
    </w:rPr>
  </w:style>
  <w:style w:type="paragraph" w:styleId="Heading6">
    <w:name w:val="heading 6"/>
    <w:basedOn w:val="Normal"/>
    <w:next w:val="Normal"/>
    <w:link w:val="Heading6Char"/>
    <w:uiPriority w:val="9"/>
    <w:semiHidden/>
    <w:unhideWhenUsed/>
    <w:qFormat/>
    <w:rsid w:val="00067DAF"/>
    <w:pPr>
      <w:numPr>
        <w:ilvl w:val="5"/>
        <w:numId w:val="10"/>
      </w:numPr>
      <w:spacing w:before="280" w:after="100"/>
      <w:outlineLvl w:val="5"/>
    </w:pPr>
    <w:rPr>
      <w:rFonts w:asciiTheme="majorHAnsi" w:eastAsiaTheme="majorEastAsia" w:hAnsiTheme="majorHAnsi" w:cstheme="majorBidi"/>
      <w:i/>
      <w:iCs/>
      <w:color w:val="4472C4" w:themeColor="accent1"/>
    </w:rPr>
  </w:style>
  <w:style w:type="paragraph" w:styleId="Heading7">
    <w:name w:val="heading 7"/>
    <w:basedOn w:val="Normal"/>
    <w:next w:val="Normal"/>
    <w:link w:val="Heading7Char"/>
    <w:uiPriority w:val="9"/>
    <w:semiHidden/>
    <w:unhideWhenUsed/>
    <w:qFormat/>
    <w:rsid w:val="00067DAF"/>
    <w:pPr>
      <w:numPr>
        <w:ilvl w:val="6"/>
        <w:numId w:val="10"/>
      </w:numPr>
      <w:spacing w:before="320" w:after="100"/>
      <w:outlineLvl w:val="6"/>
    </w:pPr>
    <w:rPr>
      <w:rFonts w:asciiTheme="majorHAnsi" w:eastAsiaTheme="majorEastAsia" w:hAnsiTheme="majorHAnsi" w:cstheme="majorBidi"/>
      <w:b/>
      <w:bCs/>
      <w:color w:val="A5A5A5" w:themeColor="accent3"/>
      <w:sz w:val="20"/>
      <w:szCs w:val="20"/>
    </w:rPr>
  </w:style>
  <w:style w:type="paragraph" w:styleId="Heading8">
    <w:name w:val="heading 8"/>
    <w:basedOn w:val="Normal"/>
    <w:next w:val="Normal"/>
    <w:link w:val="Heading8Char"/>
    <w:uiPriority w:val="9"/>
    <w:semiHidden/>
    <w:unhideWhenUsed/>
    <w:qFormat/>
    <w:rsid w:val="00067DAF"/>
    <w:pPr>
      <w:numPr>
        <w:ilvl w:val="7"/>
        <w:numId w:val="10"/>
      </w:numPr>
      <w:spacing w:before="320" w:after="100"/>
      <w:outlineLvl w:val="7"/>
    </w:pPr>
    <w:rPr>
      <w:rFonts w:asciiTheme="majorHAnsi" w:eastAsiaTheme="majorEastAsia" w:hAnsiTheme="majorHAnsi" w:cstheme="majorBidi"/>
      <w:b/>
      <w:bCs/>
      <w:i/>
      <w:iCs/>
      <w:color w:val="A5A5A5" w:themeColor="accent3"/>
      <w:sz w:val="20"/>
      <w:szCs w:val="20"/>
    </w:rPr>
  </w:style>
  <w:style w:type="paragraph" w:styleId="Heading9">
    <w:name w:val="heading 9"/>
    <w:basedOn w:val="Normal"/>
    <w:next w:val="Normal"/>
    <w:link w:val="Heading9Char"/>
    <w:uiPriority w:val="9"/>
    <w:semiHidden/>
    <w:unhideWhenUsed/>
    <w:qFormat/>
    <w:rsid w:val="00067DAF"/>
    <w:pPr>
      <w:numPr>
        <w:ilvl w:val="8"/>
        <w:numId w:val="10"/>
      </w:numPr>
      <w:spacing w:before="320" w:after="100"/>
      <w:outlineLvl w:val="8"/>
    </w:pPr>
    <w:rPr>
      <w:rFonts w:asciiTheme="majorHAnsi" w:eastAsiaTheme="majorEastAsia" w:hAnsiTheme="majorHAnsi" w:cstheme="majorBidi"/>
      <w:i/>
      <w:iCs/>
      <w:color w:val="A5A5A5"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DAF"/>
    <w:rPr>
      <w:rFonts w:asciiTheme="majorBidi" w:eastAsiaTheme="majorEastAsia" w:hAnsiTheme="majorBidi" w:cstheme="majorBidi"/>
      <w:b/>
      <w:bCs/>
      <w:color w:val="000000" w:themeColor="text1"/>
      <w:sz w:val="28"/>
      <w:szCs w:val="28"/>
    </w:rPr>
  </w:style>
  <w:style w:type="character" w:customStyle="1" w:styleId="Heading2Char">
    <w:name w:val="Heading 2 Char"/>
    <w:basedOn w:val="DefaultParagraphFont"/>
    <w:link w:val="Heading2"/>
    <w:uiPriority w:val="9"/>
    <w:rsid w:val="00067DAF"/>
    <w:rPr>
      <w:rFonts w:asciiTheme="majorBidi" w:eastAsiaTheme="majorEastAsia" w:hAnsiTheme="majorBidi" w:cstheme="majorBidi"/>
      <w:b/>
      <w:bCs/>
      <w:color w:val="000000" w:themeColor="text1"/>
      <w:sz w:val="24"/>
      <w:szCs w:val="24"/>
    </w:rPr>
  </w:style>
  <w:style w:type="character" w:customStyle="1" w:styleId="Heading3Char">
    <w:name w:val="Heading 3 Char"/>
    <w:basedOn w:val="DefaultParagraphFont"/>
    <w:link w:val="Heading3"/>
    <w:uiPriority w:val="9"/>
    <w:rsid w:val="00067DAF"/>
    <w:rPr>
      <w:rFonts w:asciiTheme="majorBidi" w:eastAsiaTheme="majorEastAsia" w:hAnsiTheme="majorBidi" w:cstheme="majorBidi"/>
      <w:i/>
      <w:iCs/>
      <w:color w:val="000000" w:themeColor="text1"/>
      <w:sz w:val="24"/>
      <w:szCs w:val="24"/>
    </w:rPr>
  </w:style>
  <w:style w:type="character" w:customStyle="1" w:styleId="Heading4Char">
    <w:name w:val="Heading 4 Char"/>
    <w:basedOn w:val="DefaultParagraphFont"/>
    <w:link w:val="Heading4"/>
    <w:uiPriority w:val="9"/>
    <w:semiHidden/>
    <w:rsid w:val="00067DAF"/>
    <w:rPr>
      <w:rFonts w:asciiTheme="majorHAnsi" w:eastAsiaTheme="majorEastAsia" w:hAnsiTheme="majorHAnsi" w:cstheme="majorBidi"/>
      <w:i/>
      <w:iCs/>
      <w:color w:val="4472C4" w:themeColor="accent1"/>
      <w:sz w:val="24"/>
      <w:szCs w:val="24"/>
    </w:rPr>
  </w:style>
  <w:style w:type="character" w:customStyle="1" w:styleId="Heading5Char">
    <w:name w:val="Heading 5 Char"/>
    <w:basedOn w:val="DefaultParagraphFont"/>
    <w:link w:val="Heading5"/>
    <w:uiPriority w:val="9"/>
    <w:semiHidden/>
    <w:rsid w:val="00067DAF"/>
    <w:rPr>
      <w:rFonts w:asciiTheme="majorHAnsi" w:eastAsiaTheme="majorEastAsia" w:hAnsiTheme="majorHAnsi" w:cstheme="majorBidi"/>
      <w:color w:val="4472C4" w:themeColor="accent1"/>
    </w:rPr>
  </w:style>
  <w:style w:type="character" w:customStyle="1" w:styleId="Heading6Char">
    <w:name w:val="Heading 6 Char"/>
    <w:basedOn w:val="DefaultParagraphFont"/>
    <w:link w:val="Heading6"/>
    <w:uiPriority w:val="9"/>
    <w:semiHidden/>
    <w:rsid w:val="00067DAF"/>
    <w:rPr>
      <w:rFonts w:asciiTheme="majorHAnsi" w:eastAsiaTheme="majorEastAsia" w:hAnsiTheme="majorHAnsi" w:cstheme="majorBidi"/>
      <w:i/>
      <w:iCs/>
      <w:color w:val="4472C4" w:themeColor="accent1"/>
    </w:rPr>
  </w:style>
  <w:style w:type="character" w:customStyle="1" w:styleId="Heading7Char">
    <w:name w:val="Heading 7 Char"/>
    <w:basedOn w:val="DefaultParagraphFont"/>
    <w:link w:val="Heading7"/>
    <w:uiPriority w:val="9"/>
    <w:semiHidden/>
    <w:rsid w:val="00067DAF"/>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semiHidden/>
    <w:rsid w:val="00067DAF"/>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semiHidden/>
    <w:rsid w:val="00067DAF"/>
    <w:rPr>
      <w:rFonts w:asciiTheme="majorHAnsi" w:eastAsiaTheme="majorEastAsia" w:hAnsiTheme="majorHAnsi" w:cstheme="majorBidi"/>
      <w:i/>
      <w:iCs/>
      <w:color w:val="A5A5A5" w:themeColor="accent3"/>
      <w:sz w:val="20"/>
      <w:szCs w:val="20"/>
    </w:rPr>
  </w:style>
  <w:style w:type="paragraph" w:styleId="Title">
    <w:name w:val="Title"/>
    <w:basedOn w:val="Normal"/>
    <w:next w:val="Normal"/>
    <w:link w:val="TitleChar"/>
    <w:uiPriority w:val="10"/>
    <w:qFormat/>
    <w:rsid w:val="00067DAF"/>
    <w:pPr>
      <w:pBdr>
        <w:top w:val="single" w:sz="8" w:space="10" w:color="A1B8E1" w:themeColor="accent1" w:themeTint="7F"/>
        <w:bottom w:val="single" w:sz="24" w:space="15" w:color="A5A5A5" w:themeColor="accent3"/>
      </w:pBdr>
      <w:ind w:firstLine="0"/>
      <w:jc w:val="center"/>
    </w:pPr>
    <w:rPr>
      <w:rFonts w:asciiTheme="majorHAnsi" w:eastAsiaTheme="majorEastAsia" w:hAnsiTheme="majorHAnsi" w:cstheme="majorBidi"/>
      <w:i/>
      <w:iCs/>
      <w:color w:val="1F3763" w:themeColor="accent1" w:themeShade="7F"/>
      <w:sz w:val="60"/>
      <w:szCs w:val="60"/>
    </w:rPr>
  </w:style>
  <w:style w:type="character" w:customStyle="1" w:styleId="TitleChar">
    <w:name w:val="Title Char"/>
    <w:basedOn w:val="DefaultParagraphFont"/>
    <w:link w:val="Title"/>
    <w:uiPriority w:val="10"/>
    <w:rsid w:val="00067DAF"/>
    <w:rPr>
      <w:rFonts w:asciiTheme="majorHAnsi" w:eastAsiaTheme="majorEastAsia" w:hAnsiTheme="majorHAnsi" w:cstheme="majorBidi"/>
      <w:i/>
      <w:iCs/>
      <w:color w:val="1F3763" w:themeColor="accent1" w:themeShade="7F"/>
      <w:sz w:val="60"/>
      <w:szCs w:val="60"/>
    </w:rPr>
  </w:style>
  <w:style w:type="paragraph" w:styleId="Subtitle">
    <w:name w:val="Subtitle"/>
    <w:basedOn w:val="Normal"/>
    <w:next w:val="Normal"/>
    <w:link w:val="SubtitleChar"/>
    <w:uiPriority w:val="11"/>
    <w:qFormat/>
    <w:rsid w:val="00067DAF"/>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067DAF"/>
    <w:rPr>
      <w:i/>
      <w:iCs/>
      <w:sz w:val="24"/>
      <w:szCs w:val="24"/>
    </w:rPr>
  </w:style>
  <w:style w:type="paragraph" w:styleId="Quote">
    <w:name w:val="Quote"/>
    <w:basedOn w:val="Normal"/>
    <w:next w:val="Normal"/>
    <w:link w:val="QuoteChar"/>
    <w:uiPriority w:val="29"/>
    <w:qFormat/>
    <w:rsid w:val="00067DAF"/>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067DAF"/>
    <w:rPr>
      <w:rFonts w:asciiTheme="majorHAnsi" w:eastAsiaTheme="majorEastAsia" w:hAnsiTheme="majorHAnsi" w:cstheme="majorBidi"/>
      <w:i/>
      <w:iCs/>
      <w:color w:val="5A5A5A" w:themeColor="text1" w:themeTint="A5"/>
    </w:rPr>
  </w:style>
  <w:style w:type="paragraph" w:styleId="ListParagraph">
    <w:name w:val="List Paragraph"/>
    <w:basedOn w:val="Normal"/>
    <w:uiPriority w:val="34"/>
    <w:qFormat/>
    <w:rsid w:val="00067DAF"/>
    <w:pPr>
      <w:ind w:left="720"/>
      <w:contextualSpacing/>
    </w:pPr>
  </w:style>
  <w:style w:type="character" w:styleId="IntenseEmphasis">
    <w:name w:val="Intense Emphasis"/>
    <w:uiPriority w:val="21"/>
    <w:qFormat/>
    <w:rsid w:val="00067DAF"/>
    <w:rPr>
      <w:b/>
      <w:bCs/>
      <w:i/>
      <w:iCs/>
      <w:color w:val="4472C4" w:themeColor="accent1"/>
      <w:sz w:val="22"/>
      <w:szCs w:val="22"/>
    </w:rPr>
  </w:style>
  <w:style w:type="paragraph" w:styleId="IntenseQuote">
    <w:name w:val="Intense Quote"/>
    <w:basedOn w:val="Normal"/>
    <w:next w:val="Normal"/>
    <w:link w:val="IntenseQuoteChar"/>
    <w:uiPriority w:val="30"/>
    <w:qFormat/>
    <w:rsid w:val="00067DAF"/>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067DAF"/>
    <w:rPr>
      <w:rFonts w:asciiTheme="majorHAnsi" w:eastAsiaTheme="majorEastAsia" w:hAnsiTheme="majorHAnsi" w:cstheme="majorBidi"/>
      <w:i/>
      <w:iCs/>
      <w:color w:val="FFFFFF" w:themeColor="background1"/>
      <w:sz w:val="24"/>
      <w:szCs w:val="24"/>
      <w:shd w:val="clear" w:color="auto" w:fill="4472C4" w:themeFill="accent1"/>
    </w:rPr>
  </w:style>
  <w:style w:type="character" w:styleId="IntenseReference">
    <w:name w:val="Intense Reference"/>
    <w:basedOn w:val="DefaultParagraphFont"/>
    <w:uiPriority w:val="32"/>
    <w:qFormat/>
    <w:rsid w:val="00067DAF"/>
    <w:rPr>
      <w:b/>
      <w:bCs/>
      <w:color w:val="7B7B7B" w:themeColor="accent3" w:themeShade="BF"/>
      <w:u w:val="single" w:color="A5A5A5" w:themeColor="accent3"/>
    </w:rPr>
  </w:style>
  <w:style w:type="paragraph" w:styleId="Caption">
    <w:name w:val="caption"/>
    <w:basedOn w:val="Normal"/>
    <w:next w:val="Normal"/>
    <w:uiPriority w:val="35"/>
    <w:semiHidden/>
    <w:unhideWhenUsed/>
    <w:qFormat/>
    <w:rsid w:val="00067DAF"/>
    <w:rPr>
      <w:b/>
      <w:bCs/>
      <w:sz w:val="18"/>
      <w:szCs w:val="18"/>
    </w:rPr>
  </w:style>
  <w:style w:type="character" w:styleId="Strong">
    <w:name w:val="Strong"/>
    <w:basedOn w:val="DefaultParagraphFont"/>
    <w:uiPriority w:val="22"/>
    <w:qFormat/>
    <w:rsid w:val="00067DAF"/>
    <w:rPr>
      <w:b/>
      <w:bCs/>
      <w:spacing w:val="0"/>
    </w:rPr>
  </w:style>
  <w:style w:type="character" w:styleId="Emphasis">
    <w:name w:val="Emphasis"/>
    <w:uiPriority w:val="20"/>
    <w:qFormat/>
    <w:rsid w:val="00067DAF"/>
    <w:rPr>
      <w:b/>
      <w:bCs/>
      <w:i/>
      <w:iCs/>
      <w:color w:val="5A5A5A" w:themeColor="text1" w:themeTint="A5"/>
    </w:rPr>
  </w:style>
  <w:style w:type="paragraph" w:styleId="NoSpacing">
    <w:name w:val="No Spacing"/>
    <w:basedOn w:val="Normal"/>
    <w:link w:val="NoSpacingChar"/>
    <w:uiPriority w:val="1"/>
    <w:qFormat/>
    <w:rsid w:val="00067DAF"/>
    <w:pPr>
      <w:ind w:firstLine="0"/>
    </w:pPr>
  </w:style>
  <w:style w:type="character" w:customStyle="1" w:styleId="NoSpacingChar">
    <w:name w:val="No Spacing Char"/>
    <w:basedOn w:val="DefaultParagraphFont"/>
    <w:link w:val="NoSpacing"/>
    <w:uiPriority w:val="1"/>
    <w:rsid w:val="00067DAF"/>
  </w:style>
  <w:style w:type="character" w:styleId="SubtleEmphasis">
    <w:name w:val="Subtle Emphasis"/>
    <w:uiPriority w:val="19"/>
    <w:qFormat/>
    <w:rsid w:val="00067DAF"/>
    <w:rPr>
      <w:i/>
      <w:iCs/>
      <w:color w:val="5A5A5A" w:themeColor="text1" w:themeTint="A5"/>
    </w:rPr>
  </w:style>
  <w:style w:type="character" w:styleId="SubtleReference">
    <w:name w:val="Subtle Reference"/>
    <w:uiPriority w:val="31"/>
    <w:qFormat/>
    <w:rsid w:val="00067DAF"/>
    <w:rPr>
      <w:color w:val="auto"/>
      <w:u w:val="single" w:color="A5A5A5" w:themeColor="accent3"/>
    </w:rPr>
  </w:style>
  <w:style w:type="character" w:styleId="BookTitle">
    <w:name w:val="Book Title"/>
    <w:basedOn w:val="DefaultParagraphFont"/>
    <w:uiPriority w:val="33"/>
    <w:qFormat/>
    <w:rsid w:val="00067DAF"/>
    <w:rPr>
      <w:rFonts w:asciiTheme="majorHAnsi" w:eastAsiaTheme="majorEastAsia" w:hAnsiTheme="majorHAnsi" w:cstheme="majorBidi"/>
      <w:b/>
      <w:bCs/>
      <w:i/>
      <w:iCs/>
      <w:color w:val="auto"/>
    </w:rPr>
  </w:style>
  <w:style w:type="paragraph" w:styleId="TOCHeading">
    <w:name w:val="TOC Heading"/>
    <w:basedOn w:val="Heading1"/>
    <w:next w:val="Normal"/>
    <w:uiPriority w:val="39"/>
    <w:unhideWhenUsed/>
    <w:qFormat/>
    <w:rsid w:val="00067DAF"/>
    <w:pPr>
      <w:outlineLvl w:val="9"/>
    </w:pPr>
  </w:style>
  <w:style w:type="paragraph" w:customStyle="1" w:styleId="msonormal0">
    <w:name w:val="msonormal"/>
    <w:basedOn w:val="Normal"/>
    <w:rsid w:val="00067DAF"/>
    <w:pPr>
      <w:spacing w:before="100" w:beforeAutospacing="1" w:after="100" w:afterAutospacing="1"/>
      <w:ind w:firstLine="0"/>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067DAF"/>
    <w:pPr>
      <w:spacing w:before="100" w:beforeAutospacing="1" w:after="100" w:afterAutospacing="1"/>
      <w:ind w:firstLine="0"/>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67DAF"/>
    <w:rPr>
      <w:color w:val="0000FF"/>
      <w:u w:val="single"/>
    </w:rPr>
  </w:style>
  <w:style w:type="character" w:styleId="FollowedHyperlink">
    <w:name w:val="FollowedHyperlink"/>
    <w:basedOn w:val="DefaultParagraphFont"/>
    <w:uiPriority w:val="99"/>
    <w:semiHidden/>
    <w:unhideWhenUsed/>
    <w:rsid w:val="00067DAF"/>
    <w:rPr>
      <w:color w:val="800080"/>
      <w:u w:val="single"/>
    </w:rPr>
  </w:style>
  <w:style w:type="table" w:styleId="GridTable4-Accent4">
    <w:name w:val="Grid Table 4 Accent 4"/>
    <w:basedOn w:val="TableNormal"/>
    <w:uiPriority w:val="49"/>
    <w:rsid w:val="00565C9C"/>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2">
    <w:name w:val="Grid Table 4 Accent 2"/>
    <w:basedOn w:val="TableNormal"/>
    <w:uiPriority w:val="49"/>
    <w:rsid w:val="00565C9C"/>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5">
    <w:name w:val="Grid Table 4 Accent 5"/>
    <w:basedOn w:val="TableNormal"/>
    <w:uiPriority w:val="49"/>
    <w:rsid w:val="00565C9C"/>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Footer">
    <w:name w:val="footer"/>
    <w:basedOn w:val="Normal"/>
    <w:link w:val="FooterChar"/>
    <w:uiPriority w:val="99"/>
    <w:unhideWhenUsed/>
    <w:rsid w:val="00565C9C"/>
    <w:pPr>
      <w:tabs>
        <w:tab w:val="center" w:pos="4513"/>
        <w:tab w:val="right" w:pos="9026"/>
      </w:tabs>
    </w:pPr>
  </w:style>
  <w:style w:type="character" w:customStyle="1" w:styleId="FooterChar">
    <w:name w:val="Footer Char"/>
    <w:basedOn w:val="DefaultParagraphFont"/>
    <w:link w:val="Footer"/>
    <w:uiPriority w:val="99"/>
    <w:rsid w:val="00565C9C"/>
  </w:style>
  <w:style w:type="character" w:styleId="PageNumber">
    <w:name w:val="page number"/>
    <w:basedOn w:val="DefaultParagraphFont"/>
    <w:uiPriority w:val="99"/>
    <w:semiHidden/>
    <w:unhideWhenUsed/>
    <w:rsid w:val="00565C9C"/>
  </w:style>
  <w:style w:type="table" w:styleId="GridTable4-Accent6">
    <w:name w:val="Grid Table 4 Accent 6"/>
    <w:basedOn w:val="TableNormal"/>
    <w:uiPriority w:val="49"/>
    <w:rsid w:val="00565C9C"/>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urfulAccent3">
    <w:name w:val="Grid Table 7 Colorful Accent 3"/>
    <w:basedOn w:val="TableNormal"/>
    <w:uiPriority w:val="52"/>
    <w:rsid w:val="00565C9C"/>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urful">
    <w:name w:val="Grid Table 7 Colorful"/>
    <w:basedOn w:val="TableNormal"/>
    <w:uiPriority w:val="52"/>
    <w:rsid w:val="00565C9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customStyle="1" w:styleId="isselectedend">
    <w:name w:val="isselectedend"/>
    <w:basedOn w:val="Normal"/>
    <w:rsid w:val="00565C9C"/>
    <w:pPr>
      <w:spacing w:before="100" w:beforeAutospacing="1" w:after="100" w:afterAutospacing="1"/>
      <w:ind w:firstLine="0"/>
    </w:pPr>
    <w:rPr>
      <w:rFonts w:ascii="Times New Roman" w:eastAsia="Times New Roman" w:hAnsi="Times New Roman" w:cs="Times New Roman"/>
      <w:sz w:val="24"/>
      <w:szCs w:val="24"/>
      <w:lang w:eastAsia="en-GB"/>
    </w:rPr>
  </w:style>
  <w:style w:type="table" w:styleId="GridTable3-Accent3">
    <w:name w:val="Grid Table 3 Accent 3"/>
    <w:basedOn w:val="TableNormal"/>
    <w:uiPriority w:val="48"/>
    <w:rsid w:val="00565C9C"/>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
    <w:name w:val="Grid Table 3"/>
    <w:basedOn w:val="TableNormal"/>
    <w:uiPriority w:val="48"/>
    <w:rsid w:val="00565C9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TOC1">
    <w:name w:val="toc 1"/>
    <w:basedOn w:val="Normal"/>
    <w:next w:val="Normal"/>
    <w:autoRedefine/>
    <w:uiPriority w:val="39"/>
    <w:unhideWhenUsed/>
    <w:rsid w:val="00565C9C"/>
    <w:pPr>
      <w:spacing w:before="360" w:after="360"/>
      <w:ind w:firstLine="0"/>
    </w:pPr>
    <w:rPr>
      <w:rFonts w:cstheme="minorHAnsi"/>
      <w:b/>
      <w:bCs/>
      <w:caps/>
      <w:szCs w:val="26"/>
      <w:u w:val="single"/>
    </w:rPr>
  </w:style>
  <w:style w:type="paragraph" w:styleId="TOC2">
    <w:name w:val="toc 2"/>
    <w:basedOn w:val="Normal"/>
    <w:next w:val="Normal"/>
    <w:autoRedefine/>
    <w:uiPriority w:val="39"/>
    <w:unhideWhenUsed/>
    <w:rsid w:val="00565C9C"/>
    <w:pPr>
      <w:ind w:firstLine="0"/>
    </w:pPr>
    <w:rPr>
      <w:rFonts w:cstheme="minorHAnsi"/>
      <w:b/>
      <w:bCs/>
      <w:smallCaps/>
      <w:szCs w:val="26"/>
    </w:rPr>
  </w:style>
  <w:style w:type="paragraph" w:styleId="TOC3">
    <w:name w:val="toc 3"/>
    <w:basedOn w:val="Normal"/>
    <w:next w:val="Normal"/>
    <w:autoRedefine/>
    <w:uiPriority w:val="39"/>
    <w:semiHidden/>
    <w:unhideWhenUsed/>
    <w:rsid w:val="00565C9C"/>
    <w:pPr>
      <w:ind w:firstLine="0"/>
    </w:pPr>
    <w:rPr>
      <w:rFonts w:cstheme="minorHAnsi"/>
      <w:smallCaps/>
      <w:szCs w:val="26"/>
    </w:rPr>
  </w:style>
  <w:style w:type="paragraph" w:styleId="TOC4">
    <w:name w:val="toc 4"/>
    <w:basedOn w:val="Normal"/>
    <w:next w:val="Normal"/>
    <w:autoRedefine/>
    <w:uiPriority w:val="39"/>
    <w:semiHidden/>
    <w:unhideWhenUsed/>
    <w:rsid w:val="00565C9C"/>
    <w:pPr>
      <w:ind w:firstLine="0"/>
    </w:pPr>
    <w:rPr>
      <w:rFonts w:cstheme="minorHAnsi"/>
      <w:szCs w:val="26"/>
    </w:rPr>
  </w:style>
  <w:style w:type="paragraph" w:styleId="TOC5">
    <w:name w:val="toc 5"/>
    <w:basedOn w:val="Normal"/>
    <w:next w:val="Normal"/>
    <w:autoRedefine/>
    <w:uiPriority w:val="39"/>
    <w:semiHidden/>
    <w:unhideWhenUsed/>
    <w:rsid w:val="00565C9C"/>
    <w:pPr>
      <w:ind w:firstLine="0"/>
    </w:pPr>
    <w:rPr>
      <w:rFonts w:cstheme="minorHAnsi"/>
      <w:szCs w:val="26"/>
    </w:rPr>
  </w:style>
  <w:style w:type="paragraph" w:styleId="TOC6">
    <w:name w:val="toc 6"/>
    <w:basedOn w:val="Normal"/>
    <w:next w:val="Normal"/>
    <w:autoRedefine/>
    <w:uiPriority w:val="39"/>
    <w:semiHidden/>
    <w:unhideWhenUsed/>
    <w:rsid w:val="00565C9C"/>
    <w:pPr>
      <w:ind w:firstLine="0"/>
    </w:pPr>
    <w:rPr>
      <w:rFonts w:cstheme="minorHAnsi"/>
      <w:szCs w:val="26"/>
    </w:rPr>
  </w:style>
  <w:style w:type="paragraph" w:styleId="TOC7">
    <w:name w:val="toc 7"/>
    <w:basedOn w:val="Normal"/>
    <w:next w:val="Normal"/>
    <w:autoRedefine/>
    <w:uiPriority w:val="39"/>
    <w:semiHidden/>
    <w:unhideWhenUsed/>
    <w:rsid w:val="00565C9C"/>
    <w:pPr>
      <w:ind w:firstLine="0"/>
    </w:pPr>
    <w:rPr>
      <w:rFonts w:cstheme="minorHAnsi"/>
      <w:szCs w:val="26"/>
    </w:rPr>
  </w:style>
  <w:style w:type="paragraph" w:styleId="TOC8">
    <w:name w:val="toc 8"/>
    <w:basedOn w:val="Normal"/>
    <w:next w:val="Normal"/>
    <w:autoRedefine/>
    <w:uiPriority w:val="39"/>
    <w:semiHidden/>
    <w:unhideWhenUsed/>
    <w:rsid w:val="00565C9C"/>
    <w:pPr>
      <w:ind w:firstLine="0"/>
    </w:pPr>
    <w:rPr>
      <w:rFonts w:cstheme="minorHAnsi"/>
      <w:szCs w:val="26"/>
    </w:rPr>
  </w:style>
  <w:style w:type="paragraph" w:styleId="TOC9">
    <w:name w:val="toc 9"/>
    <w:basedOn w:val="Normal"/>
    <w:next w:val="Normal"/>
    <w:autoRedefine/>
    <w:uiPriority w:val="39"/>
    <w:semiHidden/>
    <w:unhideWhenUsed/>
    <w:rsid w:val="00565C9C"/>
    <w:pPr>
      <w:ind w:firstLine="0"/>
    </w:pPr>
    <w:rPr>
      <w:rFonts w:cstheme="minorHAnsi"/>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ooks.google.com/books?id=NpmA_qEiOpkC" TargetMode="External"/><Relationship Id="rId21" Type="http://schemas.openxmlformats.org/officeDocument/2006/relationships/hyperlink" Target="https://www.sciencedirect.com/science/article/pii/S0148296319305508" TargetMode="External"/><Relationship Id="rId34" Type="http://schemas.openxmlformats.org/officeDocument/2006/relationships/hyperlink" Target="https://www.ihgplc.com/en/news-and-media/news-releases/2025/full-year-results-for-the-year-to-31-dec-2024" TargetMode="External"/><Relationship Id="rId42" Type="http://schemas.openxmlformats.org/officeDocument/2006/relationships/hyperlink" Target="https://www.sciencedirect.com/science/article/pii/S2405844023005984" TargetMode="External"/><Relationship Id="rId47" Type="http://schemas.openxmlformats.org/officeDocument/2006/relationships/hyperlink" Target="https://www.sciencedirect.com/science/article/pii/S0278431923000038" TargetMode="External"/><Relationship Id="rId50" Type="http://schemas.openxmlformats.org/officeDocument/2006/relationships/hyperlink" Target="https://www.sciencedirect.com/science/article/pii/S0927539824000331" TargetMode="External"/><Relationship Id="rId55" Type="http://schemas.openxmlformats.org/officeDocument/2006/relationships/image" Target="media/image8.png"/><Relationship Id="rId63" Type="http://schemas.openxmlformats.org/officeDocument/2006/relationships/image" Target="media/image1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ciencedirect.com/science/article/pii/S0929119919302512" TargetMode="External"/><Relationship Id="rId29" Type="http://schemas.openxmlformats.org/officeDocument/2006/relationships/hyperlink" Target="https://www.sec.gov/Archives/edgar/data/1585689/000158568926000007/hlt-20251231.htm" TargetMode="External"/><Relationship Id="rId11" Type="http://schemas.openxmlformats.org/officeDocument/2006/relationships/image" Target="media/image4.png"/><Relationship Id="rId24" Type="http://schemas.openxmlformats.org/officeDocument/2006/relationships/hyperlink" Target="https://www.sciencedirect.com/science/article/pii/S0261517722000942" TargetMode="External"/><Relationship Id="rId32" Type="http://schemas.openxmlformats.org/officeDocument/2006/relationships/hyperlink" Target="https://www.ihgplc.com/en/news-and-media/news-releases/2023/full-year-results-for-the-year-to-31-dec-2022" TargetMode="External"/><Relationship Id="rId37" Type="http://schemas.openxmlformats.org/officeDocument/2006/relationships/hyperlink" Target="https://www.imf.org/en/publications/weo/issues/2025/10/14/world-economic-outlook-october-2025" TargetMode="External"/><Relationship Id="rId40" Type="http://schemas.openxmlformats.org/officeDocument/2006/relationships/hyperlink" Target="https://www.emerald.com/aaaj/article/35/9/109/2312/Artificial-intelligence-based-decision-making-in" TargetMode="External"/><Relationship Id="rId45" Type="http://schemas.openxmlformats.org/officeDocument/2006/relationships/hyperlink" Target="https://www.sciencedirect.com/science/article/pii/0304405X84900230" TargetMode="External"/><Relationship Id="rId53" Type="http://schemas.openxmlformats.org/officeDocument/2006/relationships/image" Target="media/image7.png"/><Relationship Id="rId58" Type="http://schemas.openxmlformats.org/officeDocument/2006/relationships/image" Target="media/image11.pn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14.png"/><Relationship Id="rId19" Type="http://schemas.openxmlformats.org/officeDocument/2006/relationships/hyperlink" Target="https://www.bankofengland.co.uk/boeapps/database/Bank-Rate.asp" TargetMode="External"/><Relationship Id="rId14" Type="http://schemas.openxmlformats.org/officeDocument/2006/relationships/hyperlink" Target="https://group.accor.com/en/finance/financial-results" TargetMode="External"/><Relationship Id="rId22" Type="http://schemas.openxmlformats.org/officeDocument/2006/relationships/hyperlink" Target="https://www.sciencedirect.com/science/article/pii/S0278431920302759" TargetMode="External"/><Relationship Id="rId27" Type="http://schemas.openxmlformats.org/officeDocument/2006/relationships/hyperlink" Target="https://www.sciencedirect.com/science/article/pii/S1447677023000062" TargetMode="External"/><Relationship Id="rId30" Type="http://schemas.openxmlformats.org/officeDocument/2006/relationships/hyperlink" Target="https://www.ihgplc.com/en/news-and-media/news-releases/2021/preliminary-results-for-the-year-to-31-december-2020" TargetMode="External"/><Relationship Id="rId35" Type="http://schemas.openxmlformats.org/officeDocument/2006/relationships/hyperlink" Target="https://www.ihgplc.com/en/news-and-media/news-releases/2026/full-year-results-for-the-year-to-31-dec-2025" TargetMode="External"/><Relationship Id="rId43" Type="http://schemas.openxmlformats.org/officeDocument/2006/relationships/hyperlink" Target="https://www.sciencedirect.com/science/article/pii/S0278431922002572" TargetMode="External"/><Relationship Id="rId48" Type="http://schemas.openxmlformats.org/officeDocument/2006/relationships/hyperlink" Target="https://en.unwto-ap.org/news/worldtourismbarometer_jan2025/" TargetMode="External"/><Relationship Id="rId56" Type="http://schemas.openxmlformats.org/officeDocument/2006/relationships/image" Target="media/image9.png"/><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ttc.org/research/economic-impact"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journals.sagepub.com/doi/10.1177/0972150920961371" TargetMode="External"/><Relationship Id="rId25" Type="http://schemas.openxmlformats.org/officeDocument/2006/relationships/hyperlink" Target="https://www.nature.com/articles/s41586-024-07421-0" TargetMode="External"/><Relationship Id="rId33" Type="http://schemas.openxmlformats.org/officeDocument/2006/relationships/hyperlink" Target="https://www.ihgplc.com/en/news-and-media/news-releases/2024/full-year-results-for-the-year-to-31-dec-2023" TargetMode="External"/><Relationship Id="rId38" Type="http://schemas.openxmlformats.org/officeDocument/2006/relationships/hyperlink" Target="https://www.aeaweb.org/aer/top20/76.2.323-329.pdf" TargetMode="External"/><Relationship Id="rId46" Type="http://schemas.openxmlformats.org/officeDocument/2006/relationships/hyperlink" Target="https://www.sciencedirect.com/science/article/pii/S0278431920301912" TargetMode="External"/><Relationship Id="rId59" Type="http://schemas.openxmlformats.org/officeDocument/2006/relationships/image" Target="media/image12.png"/><Relationship Id="rId67" Type="http://schemas.openxmlformats.org/officeDocument/2006/relationships/theme" Target="theme/theme1.xml"/><Relationship Id="rId20" Type="http://schemas.openxmlformats.org/officeDocument/2006/relationships/hyperlink" Target="https://www.sciencedirect.com/science/article/pii/S1447677022001565" TargetMode="External"/><Relationship Id="rId41" Type="http://schemas.openxmlformats.org/officeDocument/2006/relationships/hyperlink" Target="https://www.sciencedirect.com/science/article/pii/S0261517718301754" TargetMode="External"/><Relationship Id="rId54" Type="http://schemas.openxmlformats.org/officeDocument/2006/relationships/package" Target="embeddings/Microsoft_Excel_Worksheet.xlsx"/><Relationship Id="rId62"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ciencedirect.com/science/article/pii/S1057521923002508" TargetMode="External"/><Relationship Id="rId23" Type="http://schemas.openxmlformats.org/officeDocument/2006/relationships/hyperlink" Target="https://www.sciencedirect.com/science/article/pii/S0278431922000068" TargetMode="External"/><Relationship Id="rId28" Type="http://schemas.openxmlformats.org/officeDocument/2006/relationships/hyperlink" Target="https://www.sciencedirect.com/science/article/pii/S2211973618300977" TargetMode="External"/><Relationship Id="rId36" Type="http://schemas.openxmlformats.org/officeDocument/2006/relationships/hyperlink" Target="https://www.ihgplc.com/investors/annual-report" TargetMode="External"/><Relationship Id="rId49" Type="http://schemas.openxmlformats.org/officeDocument/2006/relationships/hyperlink" Target="https://www.sciencedirect.com/science/article/pii/S2211973620300817" TargetMode="External"/><Relationship Id="rId57" Type="http://schemas.openxmlformats.org/officeDocument/2006/relationships/image" Target="media/image10.png"/><Relationship Id="rId10" Type="http://schemas.openxmlformats.org/officeDocument/2006/relationships/image" Target="media/image3.png"/><Relationship Id="rId31" Type="http://schemas.openxmlformats.org/officeDocument/2006/relationships/hyperlink" Target="https://www.ihgplc.com/en/news-and-media/news-releases/2022/preliminary-results-for-the-year-to-31-december-2021" TargetMode="External"/><Relationship Id="rId44" Type="http://schemas.openxmlformats.org/officeDocument/2006/relationships/hyperlink" Target="https://www.sec.gov/Archives/edgar/data/1048286/000104828626000007/mar-20251231.htm" TargetMode="External"/><Relationship Id="rId52" Type="http://schemas.openxmlformats.org/officeDocument/2006/relationships/hyperlink" Target="https://www.tandfonline.com/doi/full/10.1080/13683500.2020.1852197" TargetMode="External"/><Relationship Id="rId60" Type="http://schemas.openxmlformats.org/officeDocument/2006/relationships/image" Target="media/image13.png"/><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hyperlink" Target="https://www.tandfonline.com/doi/full/10.1080/19368623.2020.1703870" TargetMode="External"/><Relationship Id="rId39" Type="http://schemas.openxmlformats.org/officeDocument/2006/relationships/hyperlink" Target="https://www.sciencedirect.com/science/article/pii/S02784319230019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48999F-9C59-A544-94EE-99B32DC46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37</Pages>
  <Words>8840</Words>
  <Characters>50388</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2026-07-21T17:19:00Z</dcterms:created>
  <dcterms:modified xsi:type="dcterms:W3CDTF">2026-07-23T18:16:00Z</dcterms:modified>
</cp:coreProperties>
</file>