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60816788" w14:textId="348E8945" w:rsidR="00B57684" w:rsidRPr="00D022E1" w:rsidRDefault="001E29C1" w:rsidP="00B57684">
      <w:pPr>
        <w:tabs>
          <w:tab w:val="left" w:pos="6540"/>
        </w:tabs>
        <w:spacing w:line="360" w:lineRule="auto"/>
        <w:rPr>
          <w:rFonts w:ascii="Arial" w:hAnsi="Arial" w:cs="Arial"/>
        </w:rPr>
      </w:pPr>
      <w:bookmarkStart w:id="0" w:name="_Hlk119323191"/>
      <w:r>
        <w:rPr>
          <w:rFonts w:ascii="Arial" w:hAnsi="Arial" w:cs="Arial"/>
          <w:b/>
          <w:bCs/>
        </w:rPr>
        <w:t>STUDENT NAME</w:t>
      </w:r>
      <w:r w:rsidR="00B57684" w:rsidRPr="00D022E1">
        <w:rPr>
          <w:rFonts w:ascii="Arial" w:hAnsi="Arial" w:cs="Arial"/>
        </w:rPr>
        <w:t xml:space="preserve">: </w:t>
      </w:r>
      <w:r w:rsidR="00B57684">
        <w:rPr>
          <w:rFonts w:ascii="Arial" w:hAnsi="Arial" w:cs="Arial"/>
        </w:rPr>
        <w:t>GALAUS ANNIEVER MALIBIRAN</w:t>
      </w:r>
    </w:p>
    <w:p w14:paraId="5F6DB4C8" w14:textId="77777777" w:rsidR="00B57684" w:rsidRPr="00D022E1" w:rsidRDefault="00B57684" w:rsidP="00B57684">
      <w:pPr>
        <w:tabs>
          <w:tab w:val="left" w:pos="6540"/>
        </w:tabs>
        <w:spacing w:line="360" w:lineRule="auto"/>
        <w:rPr>
          <w:rFonts w:ascii="Arial" w:hAnsi="Arial" w:cs="Arial"/>
        </w:rPr>
      </w:pPr>
    </w:p>
    <w:p w14:paraId="0EBD3779" w14:textId="062DC051" w:rsidR="00B57684" w:rsidRPr="00904604" w:rsidRDefault="001E29C1" w:rsidP="00B57684">
      <w:pPr>
        <w:tabs>
          <w:tab w:val="left" w:pos="6540"/>
        </w:tabs>
        <w:spacing w:line="360" w:lineRule="auto"/>
        <w:rPr>
          <w:rFonts w:ascii="Arial" w:hAnsi="Arial" w:cs="Arial"/>
          <w:lang w:val="en-US"/>
        </w:rPr>
      </w:pPr>
      <w:r>
        <w:rPr>
          <w:rFonts w:ascii="Arial" w:hAnsi="Arial" w:cs="Arial"/>
          <w:b/>
          <w:bCs/>
          <w:lang w:val="en-US"/>
        </w:rPr>
        <w:t>STUDENT NUMBER</w:t>
      </w:r>
      <w:r w:rsidR="00B57684" w:rsidRPr="00904604">
        <w:rPr>
          <w:rFonts w:ascii="Arial" w:hAnsi="Arial" w:cs="Arial"/>
          <w:lang w:val="en-US"/>
        </w:rPr>
        <w:t>: 2508028</w:t>
      </w:r>
    </w:p>
    <w:p w14:paraId="0C05D621" w14:textId="77777777" w:rsidR="00B57684" w:rsidRPr="00904604" w:rsidRDefault="00B57684" w:rsidP="00B57684">
      <w:pPr>
        <w:tabs>
          <w:tab w:val="left" w:pos="6540"/>
        </w:tabs>
        <w:spacing w:line="360" w:lineRule="auto"/>
        <w:rPr>
          <w:rFonts w:ascii="Arial" w:hAnsi="Arial" w:cs="Arial"/>
          <w:lang w:val="en-US"/>
        </w:rPr>
      </w:pPr>
    </w:p>
    <w:p w14:paraId="7BFF96B7" w14:textId="1E9BA267" w:rsidR="00B57684" w:rsidRDefault="001E29C1" w:rsidP="00B57684">
      <w:pPr>
        <w:tabs>
          <w:tab w:val="left" w:pos="6540"/>
        </w:tabs>
        <w:spacing w:line="360" w:lineRule="auto"/>
        <w:rPr>
          <w:rFonts w:ascii="Arial" w:hAnsi="Arial" w:cs="Arial"/>
          <w:lang w:val="en-US"/>
        </w:rPr>
      </w:pPr>
      <w:r>
        <w:rPr>
          <w:rFonts w:ascii="Arial" w:hAnsi="Arial" w:cs="Arial"/>
          <w:b/>
          <w:bCs/>
          <w:lang w:val="en-US"/>
        </w:rPr>
        <w:t>MODULE NAME</w:t>
      </w:r>
      <w:r w:rsidR="00B57684" w:rsidRPr="00904604">
        <w:rPr>
          <w:rFonts w:ascii="Arial" w:hAnsi="Arial" w:cs="Arial"/>
          <w:lang w:val="en-US"/>
        </w:rPr>
        <w:t>: INTRODUCTION TO HEALTH AND SOCIAL CARE</w:t>
      </w:r>
    </w:p>
    <w:p w14:paraId="71112E66" w14:textId="77777777" w:rsidR="00612249" w:rsidRPr="00904604" w:rsidRDefault="00612249" w:rsidP="00B57684">
      <w:pPr>
        <w:tabs>
          <w:tab w:val="left" w:pos="6540"/>
        </w:tabs>
        <w:spacing w:line="360" w:lineRule="auto"/>
        <w:rPr>
          <w:rFonts w:ascii="Arial" w:hAnsi="Arial" w:cs="Arial"/>
          <w:lang w:val="en-US"/>
        </w:rPr>
      </w:pPr>
    </w:p>
    <w:p w14:paraId="1745D52E" w14:textId="49D72158" w:rsidR="00B57684" w:rsidRPr="00D022E1" w:rsidRDefault="001E29C1" w:rsidP="00B57684">
      <w:pPr>
        <w:tabs>
          <w:tab w:val="left" w:pos="6540"/>
        </w:tabs>
        <w:spacing w:line="360" w:lineRule="auto"/>
        <w:rPr>
          <w:rFonts w:ascii="Arial" w:eastAsia="Arial" w:hAnsi="Arial" w:cs="Arial"/>
          <w:b/>
        </w:rPr>
      </w:pPr>
      <w:r>
        <w:rPr>
          <w:rFonts w:ascii="Arial" w:hAnsi="Arial" w:cs="Arial"/>
          <w:b/>
          <w:bCs/>
        </w:rPr>
        <w:t>MODULE CODE</w:t>
      </w:r>
      <w:r w:rsidR="00B57684" w:rsidRPr="00D022E1">
        <w:rPr>
          <w:rFonts w:ascii="Arial" w:hAnsi="Arial" w:cs="Arial"/>
        </w:rPr>
        <w:t xml:space="preserve">: </w:t>
      </w:r>
      <w:r w:rsidR="00B57684" w:rsidRPr="00D022E1">
        <w:rPr>
          <w:rFonts w:ascii="Arial" w:eastAsia="Arial" w:hAnsi="Arial" w:cs="Arial"/>
          <w:bCs/>
        </w:rPr>
        <w:t>LCHS4003</w:t>
      </w:r>
    </w:p>
    <w:p w14:paraId="6D10125C" w14:textId="77777777" w:rsidR="00B57684" w:rsidRPr="00D022E1" w:rsidRDefault="00B57684" w:rsidP="00B57684">
      <w:pPr>
        <w:tabs>
          <w:tab w:val="left" w:pos="6540"/>
        </w:tabs>
        <w:spacing w:line="360" w:lineRule="auto"/>
        <w:rPr>
          <w:rFonts w:ascii="Arial" w:hAnsi="Arial" w:cs="Arial"/>
        </w:rPr>
      </w:pPr>
    </w:p>
    <w:bookmarkEnd w:id="0"/>
    <w:p w14:paraId="1C9D4CA9" w14:textId="0FF80C7B" w:rsidR="00B57684" w:rsidRDefault="001E29C1" w:rsidP="00B57684">
      <w:pPr>
        <w:rPr>
          <w:rFonts w:ascii="Arial" w:eastAsia="Arial" w:hAnsi="Arial" w:cs="Arial"/>
          <w:bCs/>
        </w:rPr>
      </w:pPr>
      <w:r>
        <w:rPr>
          <w:rFonts w:ascii="Arial" w:hAnsi="Arial" w:cs="Arial"/>
          <w:b/>
          <w:bCs/>
        </w:rPr>
        <w:t>LECTURER</w:t>
      </w:r>
      <w:r w:rsidR="00B57684" w:rsidRPr="00D022E1">
        <w:rPr>
          <w:rFonts w:ascii="Arial" w:hAnsi="Arial" w:cs="Arial"/>
        </w:rPr>
        <w:t xml:space="preserve">: </w:t>
      </w:r>
      <w:bookmarkStart w:id="1" w:name="OLE_LINK1"/>
      <w:r w:rsidR="00B57684">
        <w:rPr>
          <w:rFonts w:ascii="Arial" w:eastAsia="Arial" w:hAnsi="Arial" w:cs="Arial"/>
          <w:bCs/>
        </w:rPr>
        <w:t>DR ELENI KOUTSOGEORGOU-ANDREOU</w:t>
      </w:r>
    </w:p>
    <w:bookmarkEnd w:id="1"/>
    <w:p w14:paraId="6442E599" w14:textId="77777777" w:rsidR="00612249" w:rsidRDefault="00612249" w:rsidP="00B57684">
      <w:pPr>
        <w:rPr>
          <w:rFonts w:ascii="Arial" w:eastAsia="Arial" w:hAnsi="Arial" w:cs="Arial"/>
          <w:bCs/>
        </w:rPr>
      </w:pPr>
    </w:p>
    <w:p w14:paraId="68E3DDAA" w14:textId="00DE3D7E" w:rsidR="00B57684" w:rsidRPr="0006787E" w:rsidRDefault="00612249" w:rsidP="00B57684">
      <w:pPr>
        <w:rPr>
          <w:rFonts w:ascii="Arial" w:eastAsia="Arial" w:hAnsi="Arial" w:cs="Arial"/>
          <w:bCs/>
        </w:rPr>
      </w:pPr>
      <w:r>
        <w:rPr>
          <w:rFonts w:ascii="Arial" w:eastAsia="Arial" w:hAnsi="Arial" w:cs="Arial"/>
          <w:b/>
        </w:rPr>
        <w:t>SUBMISSION DATE</w:t>
      </w:r>
      <w:r w:rsidR="00B57684" w:rsidRPr="000E16A7">
        <w:rPr>
          <w:rFonts w:ascii="Arial" w:eastAsia="Arial" w:hAnsi="Arial" w:cs="Arial"/>
          <w:b/>
        </w:rPr>
        <w:t xml:space="preserve">:  </w:t>
      </w:r>
      <w:r w:rsidR="0006787E">
        <w:rPr>
          <w:rFonts w:ascii="Arial" w:eastAsia="Arial" w:hAnsi="Arial" w:cs="Arial"/>
          <w:bCs/>
        </w:rPr>
        <w:t xml:space="preserve">MARCH </w:t>
      </w:r>
      <w:r w:rsidR="00102D89">
        <w:rPr>
          <w:rFonts w:ascii="Arial" w:eastAsia="Arial" w:hAnsi="Arial" w:cs="Arial"/>
          <w:bCs/>
        </w:rPr>
        <w:t>23</w:t>
      </w:r>
      <w:r w:rsidR="001B1478">
        <w:rPr>
          <w:rFonts w:ascii="Arial" w:eastAsia="Arial" w:hAnsi="Arial" w:cs="Arial"/>
          <w:bCs/>
        </w:rPr>
        <w:t>, 2026</w:t>
      </w:r>
    </w:p>
    <w:p w14:paraId="4528089F" w14:textId="77777777" w:rsidR="00B57684" w:rsidRDefault="00B57684" w:rsidP="00B57684">
      <w:pPr>
        <w:rPr>
          <w:rFonts w:ascii="Arial" w:eastAsia="Arial" w:hAnsi="Arial" w:cs="Arial"/>
          <w:b/>
        </w:rPr>
      </w:pPr>
    </w:p>
    <w:p w14:paraId="3A9510F7" w14:textId="77777777" w:rsidR="00B57684" w:rsidRDefault="00B57684" w:rsidP="00B57684">
      <w:pPr>
        <w:rPr>
          <w:rFonts w:ascii="Arial" w:eastAsia="Arial" w:hAnsi="Arial" w:cs="Arial"/>
          <w:b/>
        </w:rPr>
      </w:pPr>
    </w:p>
    <w:p w14:paraId="5C806763" w14:textId="77777777" w:rsidR="00B57684" w:rsidRDefault="00B57684" w:rsidP="00B57684">
      <w:pPr>
        <w:rPr>
          <w:rFonts w:ascii="Arial" w:eastAsia="Arial" w:hAnsi="Arial" w:cs="Arial"/>
          <w:b/>
        </w:rPr>
      </w:pPr>
    </w:p>
    <w:p w14:paraId="55EDA40F" w14:textId="77777777" w:rsidR="00B57684" w:rsidRDefault="00B57684" w:rsidP="00B57684">
      <w:pPr>
        <w:rPr>
          <w:rFonts w:ascii="Arial" w:eastAsia="Arial" w:hAnsi="Arial" w:cs="Arial"/>
          <w:b/>
        </w:rPr>
      </w:pPr>
    </w:p>
    <w:p w14:paraId="748BEF30" w14:textId="77777777" w:rsidR="00B57684" w:rsidRDefault="00B57684" w:rsidP="00B57684">
      <w:pPr>
        <w:rPr>
          <w:rFonts w:ascii="Arial" w:eastAsia="Arial" w:hAnsi="Arial" w:cs="Arial"/>
          <w:b/>
        </w:rPr>
      </w:pPr>
    </w:p>
    <w:p w14:paraId="118BEAEB" w14:textId="77777777" w:rsidR="00B57684" w:rsidRDefault="00B57684" w:rsidP="00B57684">
      <w:pPr>
        <w:rPr>
          <w:rFonts w:ascii="Arial" w:eastAsia="Arial" w:hAnsi="Arial" w:cs="Arial"/>
          <w:b/>
        </w:rPr>
      </w:pPr>
    </w:p>
    <w:p w14:paraId="3FA9411E" w14:textId="77777777" w:rsidR="00B57684" w:rsidRDefault="00B57684" w:rsidP="00B57684">
      <w:pPr>
        <w:rPr>
          <w:rFonts w:ascii="Arial" w:eastAsia="Arial" w:hAnsi="Arial" w:cs="Arial"/>
          <w:b/>
        </w:rPr>
      </w:pPr>
    </w:p>
    <w:p w14:paraId="7421FCEC" w14:textId="77777777" w:rsidR="00B57684" w:rsidRDefault="00B57684" w:rsidP="00B57684">
      <w:pPr>
        <w:rPr>
          <w:rFonts w:ascii="Arial" w:eastAsia="Arial" w:hAnsi="Arial" w:cs="Arial"/>
          <w:b/>
        </w:rPr>
      </w:pPr>
    </w:p>
    <w:p w14:paraId="73540D78" w14:textId="77777777" w:rsidR="00B57684" w:rsidRDefault="00B57684" w:rsidP="00B57684">
      <w:pPr>
        <w:rPr>
          <w:rFonts w:ascii="Arial" w:eastAsia="Arial" w:hAnsi="Arial" w:cs="Arial"/>
          <w:b/>
        </w:rPr>
      </w:pPr>
    </w:p>
    <w:p w14:paraId="5A5A3DE5" w14:textId="77777777" w:rsidR="00B57684" w:rsidRDefault="00B57684" w:rsidP="00B57684">
      <w:pPr>
        <w:rPr>
          <w:rFonts w:ascii="Arial" w:eastAsia="Arial" w:hAnsi="Arial" w:cs="Arial"/>
          <w:b/>
        </w:rPr>
      </w:pPr>
    </w:p>
    <w:p w14:paraId="108670C9" w14:textId="77777777" w:rsidR="00B57684" w:rsidRDefault="00B57684" w:rsidP="00B57684">
      <w:pPr>
        <w:rPr>
          <w:rFonts w:ascii="Arial" w:eastAsia="Arial" w:hAnsi="Arial" w:cs="Arial"/>
          <w:b/>
        </w:rPr>
      </w:pPr>
    </w:p>
    <w:p w14:paraId="205FC511" w14:textId="77777777" w:rsidR="00B57684" w:rsidRDefault="00B57684" w:rsidP="00B57684">
      <w:pPr>
        <w:rPr>
          <w:rFonts w:ascii="Arial" w:eastAsia="Arial" w:hAnsi="Arial" w:cs="Arial"/>
          <w:b/>
        </w:rPr>
      </w:pPr>
    </w:p>
    <w:p w14:paraId="51F0B732" w14:textId="77777777" w:rsidR="00B57684" w:rsidRDefault="00B57684" w:rsidP="00B57684">
      <w:pPr>
        <w:rPr>
          <w:rFonts w:ascii="Arial" w:eastAsia="Arial" w:hAnsi="Arial" w:cs="Arial"/>
          <w:b/>
        </w:rPr>
      </w:pPr>
    </w:p>
    <w:p w14:paraId="0D92D3EB" w14:textId="77777777" w:rsidR="00B57684" w:rsidRDefault="00B57684" w:rsidP="00B57684">
      <w:pPr>
        <w:rPr>
          <w:rFonts w:ascii="Arial" w:eastAsia="Arial" w:hAnsi="Arial" w:cs="Arial"/>
          <w:b/>
        </w:rPr>
      </w:pPr>
    </w:p>
    <w:p w14:paraId="3BA4751C" w14:textId="1CBD14DF" w:rsidR="00833470" w:rsidRDefault="004B6103" w:rsidP="00B57684">
      <w:pPr>
        <w:spacing w:after="0" w:line="360" w:lineRule="auto"/>
        <w:jc w:val="center"/>
        <w:rPr>
          <w:rFonts w:ascii="Arial" w:hAnsi="Arial" w:cs="Arial"/>
          <w:b/>
          <w:bCs/>
          <w:sz w:val="28"/>
          <w:szCs w:val="28"/>
          <w:u w:val="single"/>
        </w:rPr>
      </w:pPr>
      <w:r w:rsidRPr="006400A2">
        <w:rPr>
          <w:rFonts w:ascii="Arial" w:hAnsi="Arial" w:cs="Arial"/>
          <w:b/>
          <w:bCs/>
          <w:sz w:val="28"/>
          <w:szCs w:val="28"/>
          <w:u w:val="single"/>
        </w:rPr>
        <w:lastRenderedPageBreak/>
        <w:t>Table of Contents</w:t>
      </w:r>
    </w:p>
    <w:p w14:paraId="53BB16DC" w14:textId="77777777" w:rsidR="005E4573" w:rsidRPr="006400A2" w:rsidRDefault="005E4573" w:rsidP="00B57684">
      <w:pPr>
        <w:spacing w:after="0" w:line="360" w:lineRule="auto"/>
        <w:jc w:val="center"/>
        <w:rPr>
          <w:rFonts w:ascii="Arial" w:hAnsi="Arial" w:cs="Arial"/>
          <w:b/>
          <w:bCs/>
          <w:sz w:val="28"/>
          <w:szCs w:val="28"/>
          <w:u w:val="single"/>
        </w:rPr>
      </w:pPr>
    </w:p>
    <w:p w14:paraId="51D210B7" w14:textId="64F3475A" w:rsidR="004B6103" w:rsidRPr="006400A2" w:rsidRDefault="00833470" w:rsidP="00DD37E9">
      <w:pPr>
        <w:spacing w:after="0" w:line="360" w:lineRule="auto"/>
        <w:jc w:val="both"/>
        <w:rPr>
          <w:rFonts w:ascii="Arial" w:eastAsia="Times New Roman" w:hAnsi="Arial" w:cs="Arial"/>
          <w:sz w:val="26"/>
          <w:szCs w:val="26"/>
          <w:u w:val="single"/>
        </w:rPr>
      </w:pPr>
      <w:r w:rsidRPr="006400A2">
        <w:rPr>
          <w:rFonts w:ascii="Arial" w:hAnsi="Arial" w:cs="Arial"/>
          <w:b/>
          <w:bCs/>
          <w:sz w:val="26"/>
          <w:szCs w:val="26"/>
          <w:u w:val="single"/>
        </w:rPr>
        <w:t>Element 1</w:t>
      </w:r>
      <w:r w:rsidR="007B3E40" w:rsidRPr="006400A2">
        <w:rPr>
          <w:rFonts w:ascii="Arial" w:hAnsi="Arial" w:cs="Arial"/>
          <w:sz w:val="26"/>
          <w:szCs w:val="26"/>
          <w:u w:val="single"/>
        </w:rPr>
        <w:t xml:space="preserve">, </w:t>
      </w:r>
      <w:r w:rsidR="004B6103" w:rsidRPr="006400A2">
        <w:rPr>
          <w:rFonts w:ascii="Arial" w:eastAsia="Times New Roman" w:hAnsi="Arial" w:cs="Arial"/>
          <w:sz w:val="26"/>
          <w:szCs w:val="26"/>
          <w:u w:val="single"/>
        </w:rPr>
        <w:t>Task 1: Poster on Community Disability Services</w:t>
      </w:r>
    </w:p>
    <w:p w14:paraId="52DFC938" w14:textId="1BC1E289" w:rsidR="00DD37E9" w:rsidRPr="00DD37E9" w:rsidRDefault="004B6103" w:rsidP="00DD37E9">
      <w:pPr>
        <w:spacing w:after="0" w:line="360" w:lineRule="auto"/>
        <w:jc w:val="both"/>
        <w:rPr>
          <w:rFonts w:ascii="Arial" w:eastAsia="Times New Roman" w:hAnsi="Arial" w:cs="Arial"/>
        </w:rPr>
      </w:pPr>
      <w:r w:rsidRPr="006400A2">
        <w:rPr>
          <w:rFonts w:ascii="Arial" w:eastAsia="Times New Roman" w:hAnsi="Arial" w:cs="Arial"/>
          <w:b/>
          <w:bCs/>
        </w:rPr>
        <w:t>Introduction</w:t>
      </w:r>
      <w:r w:rsidRPr="00DD37E9">
        <w:rPr>
          <w:rFonts w:ascii="Arial" w:eastAsia="Times New Roman" w:hAnsi="Arial" w:cs="Arial"/>
        </w:rPr>
        <w:t xml:space="preserve"> </w:t>
      </w:r>
      <w:r w:rsidR="00DD37E9" w:rsidRPr="00DD37E9">
        <w:rPr>
          <w:rFonts w:ascii="Arial" w:eastAsia="Times New Roman" w:hAnsi="Arial" w:cs="Arial"/>
        </w:rPr>
        <w:tab/>
      </w:r>
      <w:r w:rsidR="00B57684">
        <w:rPr>
          <w:rFonts w:ascii="Arial" w:eastAsia="Times New Roman" w:hAnsi="Arial" w:cs="Arial"/>
        </w:rPr>
        <w:t>…………………………………………………………………</w:t>
      </w:r>
      <w:r w:rsidR="00A86FBE">
        <w:rPr>
          <w:rFonts w:ascii="Arial" w:eastAsia="Times New Roman" w:hAnsi="Arial" w:cs="Arial"/>
        </w:rPr>
        <w:t>…....</w:t>
      </w:r>
      <w:r w:rsidR="00B57684">
        <w:rPr>
          <w:rFonts w:ascii="Arial" w:eastAsia="Times New Roman" w:hAnsi="Arial" w:cs="Arial"/>
        </w:rPr>
        <w:tab/>
        <w:t>1.0</w:t>
      </w:r>
    </w:p>
    <w:p w14:paraId="40FF12BE" w14:textId="781C5F6F" w:rsidR="00DD37E9" w:rsidRPr="00DD37E9" w:rsidRDefault="00DD37E9" w:rsidP="00DD37E9">
      <w:pPr>
        <w:spacing w:after="0" w:line="360" w:lineRule="auto"/>
        <w:jc w:val="both"/>
        <w:rPr>
          <w:rFonts w:ascii="Arial" w:eastAsia="Times New Roman" w:hAnsi="Arial" w:cs="Arial"/>
        </w:rPr>
      </w:pPr>
      <w:r w:rsidRPr="006400A2">
        <w:rPr>
          <w:rFonts w:ascii="Arial" w:eastAsia="Times New Roman" w:hAnsi="Arial" w:cs="Arial"/>
          <w:b/>
          <w:bCs/>
        </w:rPr>
        <w:t>Historical Context</w:t>
      </w:r>
      <w:r w:rsidRPr="00DD37E9">
        <w:rPr>
          <w:rFonts w:ascii="Arial" w:eastAsia="Times New Roman" w:hAnsi="Arial" w:cs="Arial"/>
        </w:rPr>
        <w:tab/>
      </w:r>
      <w:r w:rsidR="00B57684">
        <w:rPr>
          <w:rFonts w:ascii="Arial" w:eastAsia="Times New Roman" w:hAnsi="Arial" w:cs="Arial"/>
        </w:rPr>
        <w:t>…...……………………………………………………</w:t>
      </w:r>
      <w:r w:rsidR="00A86FBE">
        <w:rPr>
          <w:rFonts w:ascii="Arial" w:eastAsia="Times New Roman" w:hAnsi="Arial" w:cs="Arial"/>
        </w:rPr>
        <w:t>…...</w:t>
      </w:r>
      <w:r w:rsidR="00B57684">
        <w:rPr>
          <w:rFonts w:ascii="Arial" w:eastAsia="Times New Roman" w:hAnsi="Arial" w:cs="Arial"/>
        </w:rPr>
        <w:tab/>
        <w:t>1.2</w:t>
      </w:r>
    </w:p>
    <w:p w14:paraId="6D3CF05F" w14:textId="33800968" w:rsidR="00DD37E9" w:rsidRPr="00DD37E9" w:rsidRDefault="00DD37E9" w:rsidP="00DD37E9">
      <w:pPr>
        <w:spacing w:after="0" w:line="360" w:lineRule="auto"/>
        <w:jc w:val="both"/>
        <w:rPr>
          <w:rFonts w:ascii="Arial" w:eastAsia="Times New Roman" w:hAnsi="Arial" w:cs="Arial"/>
        </w:rPr>
      </w:pPr>
      <w:r w:rsidRPr="006400A2">
        <w:rPr>
          <w:rFonts w:ascii="Arial" w:eastAsia="Times New Roman" w:hAnsi="Arial" w:cs="Arial"/>
          <w:b/>
          <w:bCs/>
        </w:rPr>
        <w:t>Current Functioning</w:t>
      </w:r>
      <w:r w:rsidRPr="00DD37E9">
        <w:rPr>
          <w:rFonts w:ascii="Arial" w:eastAsia="Times New Roman" w:hAnsi="Arial" w:cs="Arial"/>
        </w:rPr>
        <w:tab/>
      </w:r>
      <w:r w:rsidR="00B57684">
        <w:rPr>
          <w:rFonts w:ascii="Arial" w:eastAsia="Times New Roman" w:hAnsi="Arial" w:cs="Arial"/>
        </w:rPr>
        <w:t>…………………………………………………………</w:t>
      </w:r>
      <w:r w:rsidR="00A86FBE">
        <w:rPr>
          <w:rFonts w:ascii="Arial" w:eastAsia="Times New Roman" w:hAnsi="Arial" w:cs="Arial"/>
        </w:rPr>
        <w:t>…...</w:t>
      </w:r>
      <w:r w:rsidR="00B57684">
        <w:rPr>
          <w:rFonts w:ascii="Arial" w:eastAsia="Times New Roman" w:hAnsi="Arial" w:cs="Arial"/>
        </w:rPr>
        <w:tab/>
        <w:t>1.3</w:t>
      </w:r>
    </w:p>
    <w:p w14:paraId="62489346" w14:textId="32CA506F" w:rsidR="006400A2" w:rsidRPr="006400A2" w:rsidRDefault="00DD37E9" w:rsidP="00DD37E9">
      <w:pPr>
        <w:spacing w:after="0" w:line="360" w:lineRule="auto"/>
        <w:jc w:val="both"/>
        <w:outlineLvl w:val="2"/>
        <w:rPr>
          <w:rFonts w:ascii="Arial" w:eastAsia="Times New Roman" w:hAnsi="Arial" w:cs="Arial"/>
          <w:sz w:val="26"/>
          <w:szCs w:val="26"/>
          <w:u w:val="single"/>
        </w:rPr>
      </w:pPr>
      <w:r w:rsidRPr="006400A2">
        <w:rPr>
          <w:rFonts w:ascii="Arial" w:eastAsia="Times New Roman" w:hAnsi="Arial" w:cs="Arial"/>
          <w:b/>
          <w:bCs/>
          <w:sz w:val="26"/>
          <w:szCs w:val="26"/>
          <w:u w:val="single"/>
        </w:rPr>
        <w:t>Element 2,</w:t>
      </w:r>
      <w:r w:rsidRPr="006400A2">
        <w:rPr>
          <w:rFonts w:ascii="Arial" w:eastAsia="Times New Roman" w:hAnsi="Arial" w:cs="Arial"/>
          <w:sz w:val="26"/>
          <w:szCs w:val="26"/>
          <w:u w:val="single"/>
        </w:rPr>
        <w:t xml:space="preserve"> Task 2: Essay: Community Antenatal Midwifery Service</w:t>
      </w:r>
    </w:p>
    <w:p w14:paraId="2F2D77A8" w14:textId="629DF989" w:rsidR="006C4062" w:rsidRPr="00DD37E9" w:rsidRDefault="00DD37E9" w:rsidP="00DD37E9">
      <w:pPr>
        <w:spacing w:after="0" w:line="360" w:lineRule="auto"/>
        <w:jc w:val="both"/>
        <w:outlineLvl w:val="2"/>
        <w:rPr>
          <w:rFonts w:ascii="Arial" w:eastAsia="Times New Roman" w:hAnsi="Arial" w:cs="Arial"/>
        </w:rPr>
        <w:sectPr w:rsidR="006C4062" w:rsidRPr="00DD37E9" w:rsidSect="00DD37E9">
          <w:headerReference w:type="default" r:id="rId10"/>
          <w:footerReference w:type="default" r:id="rId11"/>
          <w:pgSz w:w="11906" w:h="16838"/>
          <w:pgMar w:top="1440" w:right="1440" w:bottom="1440" w:left="1440" w:header="706" w:footer="706" w:gutter="0"/>
          <w:cols w:space="708"/>
          <w:docGrid w:linePitch="360"/>
        </w:sectPr>
      </w:pPr>
      <w:r w:rsidRPr="006400A2">
        <w:rPr>
          <w:rFonts w:ascii="Arial" w:eastAsia="Times New Roman" w:hAnsi="Arial" w:cs="Arial"/>
          <w:b/>
          <w:bCs/>
        </w:rPr>
        <w:t>References</w:t>
      </w:r>
      <w:r w:rsidRPr="00DD37E9">
        <w:rPr>
          <w:rFonts w:ascii="Arial" w:eastAsia="Times New Roman" w:hAnsi="Arial" w:cs="Arial"/>
        </w:rPr>
        <w:tab/>
      </w:r>
      <w:r w:rsidR="00B57684">
        <w:rPr>
          <w:rFonts w:ascii="Arial" w:eastAsia="Times New Roman" w:hAnsi="Arial" w:cs="Arial"/>
        </w:rPr>
        <w:t>………………………………………………………………………</w:t>
      </w:r>
      <w:r w:rsidR="006C4062">
        <w:rPr>
          <w:rFonts w:ascii="Arial" w:eastAsia="Times New Roman" w:hAnsi="Arial" w:cs="Arial"/>
        </w:rPr>
        <w:t xml:space="preserve">.... </w:t>
      </w:r>
    </w:p>
    <w:p w14:paraId="5AFFC33B" w14:textId="262B1445" w:rsidR="003A000F" w:rsidRDefault="003131E6">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5648" behindDoc="0" locked="0" layoutInCell="1" allowOverlap="1" wp14:anchorId="1182A892" wp14:editId="43285B32">
                <wp:simplePos x="0" y="0"/>
                <wp:positionH relativeFrom="page">
                  <wp:posOffset>3298190</wp:posOffset>
                </wp:positionH>
                <wp:positionV relativeFrom="paragraph">
                  <wp:posOffset>3648710</wp:posOffset>
                </wp:positionV>
                <wp:extent cx="4272915" cy="2046605"/>
                <wp:effectExtent l="25400" t="25400" r="19685" b="2349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2915" cy="2046605"/>
                        </a:xfrm>
                        <a:prstGeom prst="rect">
                          <a:avLst/>
                        </a:prstGeom>
                        <a:solidFill>
                          <a:srgbClr val="FFFFFF"/>
                        </a:solidFill>
                        <a:ln w="47625">
                          <a:solidFill>
                            <a:srgbClr val="000000"/>
                          </a:solidFill>
                          <a:miter lim="800000"/>
                          <a:headEnd/>
                          <a:tailEnd/>
                        </a:ln>
                        <a:effectLst>
                          <a:softEdge rad="25400"/>
                        </a:effectLst>
                      </wps:spPr>
                      <wps:txbx>
                        <w:txbxContent>
                          <w:p w14:paraId="0F5BD23B" w14:textId="29E7A588" w:rsidR="00BE6BE0" w:rsidRPr="003E371E" w:rsidRDefault="003E371E" w:rsidP="003E371E">
                            <w:pPr>
                              <w:jc w:val="center"/>
                              <w:rPr>
                                <w:b/>
                                <w:bCs/>
                              </w:rPr>
                            </w:pPr>
                            <w:r w:rsidRPr="003E371E">
                              <w:rPr>
                                <w:rFonts w:ascii="Arial" w:eastAsia="Times New Roman" w:hAnsi="Arial" w:cs="Arial"/>
                                <w:b/>
                                <w:bCs/>
                              </w:rPr>
                              <w:t xml:space="preserve">Multidisciplinary </w:t>
                            </w:r>
                            <w:r w:rsidRPr="00167DCD">
                              <w:rPr>
                                <w:rFonts w:ascii="Arial" w:eastAsia="Times New Roman" w:hAnsi="Arial" w:cs="Arial"/>
                                <w:b/>
                                <w:bCs/>
                              </w:rPr>
                              <w:t>team members and service user interactions.</w:t>
                            </w:r>
                          </w:p>
                          <w:p w14:paraId="5EBD505B" w14:textId="39D4E8D6" w:rsidR="003E371E" w:rsidRDefault="00B57684" w:rsidP="00B57684">
                            <w:r>
                              <w:rPr>
                                <w:noProof/>
                              </w:rPr>
                              <w:drawing>
                                <wp:inline distT="0" distB="0" distL="0" distR="0" wp14:anchorId="114AC9AA" wp14:editId="7D272737">
                                  <wp:extent cx="3132455" cy="952195"/>
                                  <wp:effectExtent l="0" t="0" r="4445" b="635"/>
                                  <wp:docPr id="1427599383" name="Picture 18" descr="peer support services flow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eer support services flowchar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2455" cy="952195"/>
                                          </a:xfrm>
                                          <a:prstGeom prst="rect">
                                            <a:avLst/>
                                          </a:prstGeom>
                                          <a:noFill/>
                                          <a:ln>
                                            <a:noFill/>
                                          </a:ln>
                                        </pic:spPr>
                                      </pic:pic>
                                    </a:graphicData>
                                  </a:graphic>
                                </wp:inline>
                              </w:drawing>
                            </w:r>
                          </w:p>
                          <w:p w14:paraId="46D9C2B4" w14:textId="5022B66D"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sz w:val="13"/>
                                <w:szCs w:val="13"/>
                              </w:rPr>
                              <w:t>Bar Chart: Displays service user satisfaction scores and access rates over the past</w:t>
                            </w:r>
                            <w:r w:rsidRPr="00167DCD">
                              <w:rPr>
                                <w:rFonts w:ascii="Arial" w:eastAsia="Times New Roman" w:hAnsi="Arial" w:cs="Arial"/>
                              </w:rPr>
                              <w:t xml:space="preserve"> </w:t>
                            </w:r>
                            <w:r w:rsidRPr="00B57684">
                              <w:rPr>
                                <w:rFonts w:ascii="Arial" w:eastAsia="Times New Roman" w:hAnsi="Arial" w:cs="Arial"/>
                                <w:sz w:val="13"/>
                                <w:szCs w:val="13"/>
                              </w:rPr>
                              <w:t xml:space="preserve">five years, highlighting trends and gaps </w:t>
                            </w:r>
                          </w:p>
                          <w:p w14:paraId="2B0F5CBE" w14:textId="77777777" w:rsidR="003E371E" w:rsidRDefault="003E371E" w:rsidP="003E371E">
                            <w:pPr>
                              <w:spacing w:after="0" w:line="360" w:lineRule="auto"/>
                              <w:ind w:left="720"/>
                              <w:jc w:val="both"/>
                              <w:rPr>
                                <w:rFonts w:ascii="Arial" w:eastAsia="Times New Roman" w:hAnsi="Arial" w:cs="Arial"/>
                              </w:rPr>
                            </w:pPr>
                            <w:r w:rsidRPr="0035218E">
                              <w:rPr>
                                <w:rFonts w:ascii="Arial" w:eastAsia="Times New Roman" w:hAnsi="Arial" w:cs="Arial"/>
                                <w:noProof/>
                              </w:rPr>
                              <w:drawing>
                                <wp:inline distT="0" distB="0" distL="0" distR="0" wp14:anchorId="7B07E241" wp14:editId="3472AEAD">
                                  <wp:extent cx="2362822" cy="1071746"/>
                                  <wp:effectExtent l="0" t="0" r="0" b="0"/>
                                  <wp:docPr id="1667669156" name="Picture 4" descr="NHS England » Performanc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NHS England » Performance repo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9765" cy="1142933"/>
                                          </a:xfrm>
                                          <a:prstGeom prst="rect">
                                            <a:avLst/>
                                          </a:prstGeom>
                                          <a:noFill/>
                                          <a:ln>
                                            <a:noFill/>
                                          </a:ln>
                                        </pic:spPr>
                                      </pic:pic>
                                    </a:graphicData>
                                  </a:graphic>
                                </wp:inline>
                              </w:drawing>
                            </w:r>
                            <w:r w:rsidRPr="0035218E">
                              <w:rPr>
                                <w:rFonts w:ascii="Arial" w:eastAsia="Times New Roman" w:hAnsi="Arial" w:cs="Arial"/>
                              </w:rPr>
                              <w:t xml:space="preserve"> </w:t>
                            </w:r>
                          </w:p>
                          <w:p w14:paraId="0765A757" w14:textId="77777777" w:rsidR="003E371E" w:rsidRPr="00B57684" w:rsidRDefault="003E371E" w:rsidP="00B57684">
                            <w:pPr>
                              <w:spacing w:after="0" w:line="360" w:lineRule="auto"/>
                              <w:ind w:left="720"/>
                              <w:jc w:val="both"/>
                              <w:rPr>
                                <w:rFonts w:ascii="Arial" w:eastAsia="Times New Roman" w:hAnsi="Arial" w:cs="Arial"/>
                                <w:sz w:val="13"/>
                                <w:szCs w:val="13"/>
                              </w:rPr>
                            </w:pPr>
                            <w:r w:rsidRPr="00B57684">
                              <w:rPr>
                                <w:rFonts w:ascii="Arial" w:eastAsia="Times New Roman" w:hAnsi="Arial" w:cs="Arial"/>
                                <w:sz w:val="13"/>
                                <w:szCs w:val="13"/>
                              </w:rPr>
                              <w:t>(NHS Digital, 2022).</w:t>
                            </w:r>
                          </w:p>
                          <w:p w14:paraId="61D15E90" w14:textId="77777777"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b/>
                                <w:bCs/>
                                <w:sz w:val="13"/>
                                <w:szCs w:val="13"/>
                              </w:rPr>
                              <w:t>INFOGRAPHIC</w:t>
                            </w:r>
                            <w:r w:rsidRPr="00B57684">
                              <w:rPr>
                                <w:rFonts w:ascii="Arial" w:eastAsia="Times New Roman" w:hAnsi="Arial" w:cs="Arial"/>
                                <w:sz w:val="13"/>
                                <w:szCs w:val="13"/>
                              </w:rPr>
                              <w:t>: Highlights core services: home support, rehabilitation, therapy, advocacy, and assistive technology, illustrating integration of services and their impact on independence</w:t>
                            </w:r>
                          </w:p>
                          <w:p w14:paraId="09240B7F" w14:textId="682CA6C7" w:rsidR="003E371E" w:rsidRPr="00DD24F3" w:rsidRDefault="003E371E" w:rsidP="00DD24F3">
                            <w:pPr>
                              <w:spacing w:after="0" w:line="360" w:lineRule="auto"/>
                              <w:jc w:val="both"/>
                              <w:rPr>
                                <w:rFonts w:ascii="Arial" w:eastAsia="Times New Roman" w:hAnsi="Arial" w:cs="Arial"/>
                              </w:rPr>
                            </w:pPr>
                            <w:r>
                              <w:rPr>
                                <w:noProof/>
                              </w:rPr>
                              <w:drawing>
                                <wp:inline distT="0" distB="0" distL="0" distR="0" wp14:anchorId="5D338B54" wp14:editId="2AFD2F95">
                                  <wp:extent cx="3476998" cy="1197187"/>
                                  <wp:effectExtent l="0" t="0" r="3175" b="0"/>
                                  <wp:docPr id="1185779497" name="Picture 5" descr="2+ Thousand Rehabilitation Info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2+ Thousand Rehabilitation Infographic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6736" cy="123497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259.7pt;margin-top:287.3pt;width:336.45pt;height:161.1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x3QuLAIAAFUEAAAOAAAAZHJzL2Uyb0RvYy54bWysVMtu2zAQvBfoPxC815IF2U4Ey0HqxEWB&#13;&#10;NC2Q9gMoipKIUlyWpC25X98l5Tju61JUB4IrroazM7ta34y9IgdhnQRd0vkspURoDrXUbUm/fN69&#13;&#10;uaLEeaZrpkCLkh6Fozeb16/WgylEBh2oWliCINoVgylp570pksTxTvTMzcAIjYcN2J55DG2b1JYN&#13;&#10;iN6rJEvTZTKArY0FLpzDt3fTId1E/KYR3H9sGic8USVFbj6uNq5VWJPNmhWtZaaT/ESD/QOLnkmN&#13;&#10;l56h7phnZG/lb1C95BYcNH7GoU+gaSQXsQasZp7+Us1Tx4yItaA4zpxlcv8Plj8enswnS/z4FkY0&#13;&#10;MBbhzAPwr45o2HZMt+LWWhg6wWq8eB4kSwbjitOnQWpXuABSDR+gRpPZ3kMEGhvbB1WwToLoaMDx&#13;&#10;LLoYPeH4Ms9W2fV8QQnHsyzNl8t0Ee9gxfPnxjr/TkBPwqakFl2N8Ozw4Hygw4rnlHCbAyXrnVQq&#13;&#10;BrattsqSA8MO2MXnhP5TmtJkQC6rZbaYJPgrRhqfP2H00mMvK9mX9OqcxIog3L2uY6d5JtW0R85K&#13;&#10;B4IidikWMlFv/H3dCmJZjWos8jS2KCZfpEX1g+CT9H6sRgQPLlRQH9EHC1Of41zipgP7nZIBe7yk&#13;&#10;7tueWUGJeq/Ry+t5noehiEG+WGUY2MuT6vKEaY5QJfWUTNutj4MUeGu4Rc8bGd14YXLqFOzdaNJp&#13;&#10;zsJwXMYx6+VvsPkBAAD//wMAUEsDBBQABgAIAAAAIQBwj6Rz5AAAABEBAAAPAAAAZHJzL2Rvd25y&#13;&#10;ZXYueG1sTE9LT4NAEL6b+B82Y+LNLtSKQFkaH2k8Nq168LZlR0D2Qdil0H/v9KSXyUy+b75HsZmN&#13;&#10;ZiccfOusgHgRAUNbOdXaWsDH+/YuBeaDtEpqZ1HAGT1syuurQubKTXaPp0OoGYlYn0sBTQh9zrmv&#13;&#10;GjTSL1yPlrBvNxgZ6BxqrgY5kbjRfBlFCTeyteTQyB5fGqy6w2gE7KK37VfVTWf3vG87/VOPKf8c&#13;&#10;hbi9mV/XNJ7WwALO4e8DLh0oP5QU7OhGqzzTAh7ibEVUWh5XCbALI86W98COAtIsyYCXBf/fpPwF&#13;&#10;AAD//wMAUEsBAi0AFAAGAAgAAAAhALaDOJL+AAAA4QEAABMAAAAAAAAAAAAAAAAAAAAAAFtDb250&#13;&#10;ZW50X1R5cGVzXS54bWxQSwECLQAUAAYACAAAACEAOP0h/9YAAACUAQAACwAAAAAAAAAAAAAAAAAv&#13;&#10;AQAAX3JlbHMvLnJlbHNQSwECLQAUAAYACAAAACEANsd0LiwCAABVBAAADgAAAAAAAAAAAAAAAAAu&#13;&#10;AgAAZHJzL2Uyb0RvYy54bWxQSwECLQAUAAYACAAAACEAcI+kc+QAAAARAQAADwAAAAAAAAAAAAAA&#13;&#10;AACGBAAAZHJzL2Rvd25yZXYueG1sUEsFBgAAAAAEAAQA8wAAAJcFAAAAAA==&#13;&#10;" strokeweight="3.75pt">
                <v:textbox>
                  <w:txbxContent>
                    <w:p w14:paraId="0F5BD23B" w14:textId="29E7A588" w:rsidR="00BE6BE0" w:rsidRPr="003E371E" w:rsidRDefault="003E371E" w:rsidP="003E371E">
                      <w:pPr>
                        <w:jc w:val="center"/>
                        <w:rPr>
                          <w:b/>
                          <w:bCs/>
                        </w:rPr>
                      </w:pPr>
                      <w:r w:rsidRPr="003E371E">
                        <w:rPr>
                          <w:rFonts w:ascii="Arial" w:eastAsia="Times New Roman" w:hAnsi="Arial" w:cs="Arial"/>
                          <w:b/>
                          <w:bCs/>
                        </w:rPr>
                        <w:t xml:space="preserve">Multidisciplinary </w:t>
                      </w:r>
                      <w:r w:rsidRPr="00167DCD">
                        <w:rPr>
                          <w:rFonts w:ascii="Arial" w:eastAsia="Times New Roman" w:hAnsi="Arial" w:cs="Arial"/>
                          <w:b/>
                          <w:bCs/>
                        </w:rPr>
                        <w:t>team members and service user interactions.</w:t>
                      </w:r>
                    </w:p>
                    <w:p w14:paraId="5EBD505B" w14:textId="39D4E8D6" w:rsidR="003E371E" w:rsidRDefault="00B57684" w:rsidP="00B57684">
                      <w:r>
                        <w:rPr>
                          <w:noProof/>
                        </w:rPr>
                        <w:drawing>
                          <wp:inline distT="0" distB="0" distL="0" distR="0" wp14:anchorId="114AC9AA" wp14:editId="7D272737">
                            <wp:extent cx="3132455" cy="952195"/>
                            <wp:effectExtent l="0" t="0" r="4445" b="635"/>
                            <wp:docPr id="1427599383" name="Picture 18" descr="peer support services flow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eer support services flowchar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2455" cy="952195"/>
                                    </a:xfrm>
                                    <a:prstGeom prst="rect">
                                      <a:avLst/>
                                    </a:prstGeom>
                                    <a:noFill/>
                                    <a:ln>
                                      <a:noFill/>
                                    </a:ln>
                                  </pic:spPr>
                                </pic:pic>
                              </a:graphicData>
                            </a:graphic>
                          </wp:inline>
                        </w:drawing>
                      </w:r>
                    </w:p>
                    <w:p w14:paraId="46D9C2B4" w14:textId="5022B66D"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sz w:val="13"/>
                          <w:szCs w:val="13"/>
                        </w:rPr>
                        <w:t>Bar Chart: Displays service user satisfaction scores and access rates over the past</w:t>
                      </w:r>
                      <w:r w:rsidRPr="00167DCD">
                        <w:rPr>
                          <w:rFonts w:ascii="Arial" w:eastAsia="Times New Roman" w:hAnsi="Arial" w:cs="Arial"/>
                        </w:rPr>
                        <w:t xml:space="preserve"> </w:t>
                      </w:r>
                      <w:r w:rsidRPr="00B57684">
                        <w:rPr>
                          <w:rFonts w:ascii="Arial" w:eastAsia="Times New Roman" w:hAnsi="Arial" w:cs="Arial"/>
                          <w:sz w:val="13"/>
                          <w:szCs w:val="13"/>
                        </w:rPr>
                        <w:t xml:space="preserve">five years, highlighting trends and gaps </w:t>
                      </w:r>
                    </w:p>
                    <w:p w14:paraId="2B0F5CBE" w14:textId="77777777" w:rsidR="003E371E" w:rsidRDefault="003E371E" w:rsidP="003E371E">
                      <w:pPr>
                        <w:spacing w:after="0" w:line="360" w:lineRule="auto"/>
                        <w:ind w:left="720"/>
                        <w:jc w:val="both"/>
                        <w:rPr>
                          <w:rFonts w:ascii="Arial" w:eastAsia="Times New Roman" w:hAnsi="Arial" w:cs="Arial"/>
                        </w:rPr>
                      </w:pPr>
                      <w:r w:rsidRPr="0035218E">
                        <w:rPr>
                          <w:rFonts w:ascii="Arial" w:eastAsia="Times New Roman" w:hAnsi="Arial" w:cs="Arial"/>
                          <w:noProof/>
                        </w:rPr>
                        <w:drawing>
                          <wp:inline distT="0" distB="0" distL="0" distR="0" wp14:anchorId="7B07E241" wp14:editId="3472AEAD">
                            <wp:extent cx="2362822" cy="1071746"/>
                            <wp:effectExtent l="0" t="0" r="0" b="0"/>
                            <wp:docPr id="1667669156" name="Picture 4" descr="NHS England » Performanc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NHS England » Performance repo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9765" cy="1142933"/>
                                    </a:xfrm>
                                    <a:prstGeom prst="rect">
                                      <a:avLst/>
                                    </a:prstGeom>
                                    <a:noFill/>
                                    <a:ln>
                                      <a:noFill/>
                                    </a:ln>
                                  </pic:spPr>
                                </pic:pic>
                              </a:graphicData>
                            </a:graphic>
                          </wp:inline>
                        </w:drawing>
                      </w:r>
                      <w:r w:rsidRPr="0035218E">
                        <w:rPr>
                          <w:rFonts w:ascii="Arial" w:eastAsia="Times New Roman" w:hAnsi="Arial" w:cs="Arial"/>
                        </w:rPr>
                        <w:t xml:space="preserve"> </w:t>
                      </w:r>
                    </w:p>
                    <w:p w14:paraId="0765A757" w14:textId="77777777" w:rsidR="003E371E" w:rsidRPr="00B57684" w:rsidRDefault="003E371E" w:rsidP="00B57684">
                      <w:pPr>
                        <w:spacing w:after="0" w:line="360" w:lineRule="auto"/>
                        <w:ind w:left="720"/>
                        <w:jc w:val="both"/>
                        <w:rPr>
                          <w:rFonts w:ascii="Arial" w:eastAsia="Times New Roman" w:hAnsi="Arial" w:cs="Arial"/>
                          <w:sz w:val="13"/>
                          <w:szCs w:val="13"/>
                        </w:rPr>
                      </w:pPr>
                      <w:r w:rsidRPr="00B57684">
                        <w:rPr>
                          <w:rFonts w:ascii="Arial" w:eastAsia="Times New Roman" w:hAnsi="Arial" w:cs="Arial"/>
                          <w:sz w:val="13"/>
                          <w:szCs w:val="13"/>
                        </w:rPr>
                        <w:t>(NHS Digital, 2022).</w:t>
                      </w:r>
                    </w:p>
                    <w:p w14:paraId="61D15E90" w14:textId="77777777" w:rsidR="003E371E" w:rsidRPr="00B57684" w:rsidRDefault="003E371E" w:rsidP="00B57684">
                      <w:pPr>
                        <w:spacing w:after="0" w:line="360" w:lineRule="auto"/>
                        <w:jc w:val="both"/>
                        <w:rPr>
                          <w:rFonts w:ascii="Arial" w:eastAsia="Times New Roman" w:hAnsi="Arial" w:cs="Arial"/>
                          <w:sz w:val="13"/>
                          <w:szCs w:val="13"/>
                        </w:rPr>
                      </w:pPr>
                      <w:r w:rsidRPr="00B57684">
                        <w:rPr>
                          <w:rFonts w:ascii="Arial" w:eastAsia="Times New Roman" w:hAnsi="Arial" w:cs="Arial"/>
                          <w:b/>
                          <w:bCs/>
                          <w:sz w:val="13"/>
                          <w:szCs w:val="13"/>
                        </w:rPr>
                        <w:t>INFOGRAPHIC</w:t>
                      </w:r>
                      <w:r w:rsidRPr="00B57684">
                        <w:rPr>
                          <w:rFonts w:ascii="Arial" w:eastAsia="Times New Roman" w:hAnsi="Arial" w:cs="Arial"/>
                          <w:sz w:val="13"/>
                          <w:szCs w:val="13"/>
                        </w:rPr>
                        <w:t>: Highlights core services: home support, rehabilitation, therapy, advocacy, and assistive technology, illustrating integration of services and their impact on independence</w:t>
                      </w:r>
                    </w:p>
                    <w:p w14:paraId="09240B7F" w14:textId="682CA6C7" w:rsidR="003E371E" w:rsidRPr="00DD24F3" w:rsidRDefault="003E371E" w:rsidP="00DD24F3">
                      <w:pPr>
                        <w:spacing w:after="0" w:line="360" w:lineRule="auto"/>
                        <w:jc w:val="both"/>
                        <w:rPr>
                          <w:rFonts w:ascii="Arial" w:eastAsia="Times New Roman" w:hAnsi="Arial" w:cs="Arial"/>
                        </w:rPr>
                      </w:pPr>
                      <w:r>
                        <w:rPr>
                          <w:noProof/>
                        </w:rPr>
                        <w:drawing>
                          <wp:inline distT="0" distB="0" distL="0" distR="0" wp14:anchorId="5D338B54" wp14:editId="2AFD2F95">
                            <wp:extent cx="3476998" cy="1197187"/>
                            <wp:effectExtent l="0" t="0" r="3175" b="0"/>
                            <wp:docPr id="1185779497" name="Picture 5" descr="2+ Thousand Rehabilitation Info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2+ Thousand Rehabilitation Infographic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6736" cy="1234972"/>
                                    </a:xfrm>
                                    <a:prstGeom prst="rect">
                                      <a:avLst/>
                                    </a:prstGeom>
                                    <a:noFill/>
                                    <a:ln>
                                      <a:noFill/>
                                    </a:ln>
                                  </pic:spPr>
                                </pic:pic>
                              </a:graphicData>
                            </a:graphic>
                          </wp:inline>
                        </w:drawing>
                      </w:r>
                    </w:p>
                  </w:txbxContent>
                </v:textbox>
                <w10:wrap type="square" anchorx="pag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30C0471E">
                <wp:simplePos x="0" y="0"/>
                <wp:positionH relativeFrom="margin">
                  <wp:posOffset>6704330</wp:posOffset>
                </wp:positionH>
                <wp:positionV relativeFrom="paragraph">
                  <wp:posOffset>3580130</wp:posOffset>
                </wp:positionV>
                <wp:extent cx="3043555" cy="2115820"/>
                <wp:effectExtent l="25400" t="25400" r="29845" b="3048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3555" cy="2115820"/>
                        </a:xfrm>
                        <a:prstGeom prst="rect">
                          <a:avLst/>
                        </a:prstGeom>
                        <a:solidFill>
                          <a:srgbClr val="FFFFFF"/>
                        </a:solidFill>
                        <a:ln w="44450">
                          <a:solidFill>
                            <a:srgbClr val="000000"/>
                          </a:solidFill>
                          <a:miter lim="800000"/>
                          <a:headEnd/>
                          <a:tailEnd/>
                        </a:ln>
                        <a:effectLst>
                          <a:softEdge rad="25400"/>
                        </a:effectLst>
                      </wps:spPr>
                      <wps:txbx>
                        <w:txbxContent>
                          <w:p w14:paraId="178274AC" w14:textId="6F1D8D01" w:rsidR="003E371E" w:rsidRPr="00BC7B58" w:rsidRDefault="003E371E" w:rsidP="00BC7B58">
                            <w:r w:rsidRPr="00167DCD">
                              <w:rPr>
                                <w:rFonts w:ascii="Arial" w:eastAsia="Times New Roman" w:hAnsi="Arial" w:cs="Arial"/>
                                <w:b/>
                                <w:bCs/>
                              </w:rPr>
                              <w:t>Conclusion</w:t>
                            </w:r>
                          </w:p>
                          <w:p w14:paraId="03040C13" w14:textId="412AF35E" w:rsidR="003E371E" w:rsidRDefault="003E371E" w:rsidP="00B57684">
                            <w:pPr>
                              <w:jc w:val="both"/>
                              <w:rPr>
                                <w:rFonts w:ascii="Arial" w:eastAsia="Times New Roman" w:hAnsi="Arial" w:cs="Arial"/>
                                <w:sz w:val="13"/>
                                <w:szCs w:val="13"/>
                              </w:rPr>
                            </w:pPr>
                            <w:r w:rsidRPr="00B57684">
                              <w:rPr>
                                <w:rFonts w:ascii="Arial" w:eastAsia="Times New Roman" w:hAnsi="Arial" w:cs="Arial"/>
                                <w:sz w:val="13"/>
                                <w:szCs w:val="13"/>
                              </w:rPr>
                              <w:t>Community disability services are an essential component of social care, promoting independence, social inclusion, and quality of life for people with disabilities. These services, which have historically been formed by deinstitutionalisation and legislative reforms, now function through multidisciplinary teams to provide individualized, rights-based care. While funding constraints and staffing shortages pose substantial problems, continued investment, technology integration, and person-</w:t>
                            </w:r>
                            <w:r w:rsidR="00B57684" w:rsidRPr="00B57684">
                              <w:rPr>
                                <w:rFonts w:ascii="Arial" w:eastAsia="Times New Roman" w:hAnsi="Arial" w:cs="Arial"/>
                                <w:sz w:val="13"/>
                                <w:szCs w:val="13"/>
                              </w:rPr>
                              <w:t>centred</w:t>
                            </w:r>
                            <w:r w:rsidRPr="00B57684">
                              <w:rPr>
                                <w:rFonts w:ascii="Arial" w:eastAsia="Times New Roman" w:hAnsi="Arial" w:cs="Arial"/>
                                <w:sz w:val="13"/>
                                <w:szCs w:val="13"/>
                              </w:rPr>
                              <w:t xml:space="preserve"> methods improve service delivery. The combination of holistic care, advocacy, and technology allows people with disabilities to participate actively in their communities, supporting the concepts of autonomy, dignity, and equality.</w:t>
                            </w:r>
                          </w:p>
                          <w:p w14:paraId="681B5CFF" w14:textId="77777777" w:rsidR="003131E6" w:rsidRPr="003131E6" w:rsidRDefault="003131E6" w:rsidP="003131E6">
                            <w:pPr>
                              <w:pStyle w:val="NormalWeb"/>
                              <w:rPr>
                                <w:rFonts w:ascii="Arial" w:hAnsi="Arial" w:cs="Arial"/>
                                <w:sz w:val="13"/>
                                <w:szCs w:val="13"/>
                              </w:rPr>
                            </w:pPr>
                            <w:r w:rsidRPr="003131E6">
                              <w:rPr>
                                <w:rFonts w:ascii="Arial" w:hAnsi="Arial" w:cs="Arial"/>
                                <w:sz w:val="13"/>
                                <w:szCs w:val="13"/>
                              </w:rPr>
                              <w:t>Barnes &amp; Mercer, 2017, Bigby &amp; Frawley, 2018, Borg et al., 2020, Emerson &amp; Hatton, 2014, Emerson et al., 2020, Fossey et al., 2018, Glasby &amp; Dickinson, 2021, Glasby, 2020, Kramer et al., 2019, Liddiard, 2016, Munday, 2018, NHS Digital, 2022, Shakespeare, 2018, WHO, 2021.</w:t>
                            </w:r>
                          </w:p>
                          <w:p w14:paraId="737CA46B" w14:textId="77777777" w:rsidR="006C4062" w:rsidRDefault="006C406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527.9pt;margin-top:281.9pt;width:239.65pt;height:166.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jxQZLgIAAFwEAAAOAAAAZHJzL2Uyb0RvYy54bWysVNuO0zAQfUfiHyy/0yTdBErUdLV0twhp&#13;&#10;uUgLH+DYTmLheILtNlm+nrHTdqsFXhB5sOzM5PjMOTNZX0+9JgdpnQJT0WyRUiINB6FMW9FvX3ev&#13;&#10;VpQ4z4xgGoys6KN09Hrz8sV6HEq5hA60kJYgiHHlOFS0834ok8TxTvbMLWCQBoMN2J55PNo2EZaN&#13;&#10;iN7rZJmmr5MRrBgscOkcvr2dg3QT8ZtGcv+5aZz0RFcUufm42rjWYU02a1a2lg2d4kca7B9Y9EwZ&#13;&#10;vPQMdcs8I3urfoPqFbfgoPELDn0CTaO4jDVgNVn6rJqHjg0y1oLiuOEsk/t/sPzT4WH4Yomf3sGE&#13;&#10;BsYi3HAP/LsjBrYdM628sRbGTjKBF2dBsmQcXHn8NEjtShdA6vEjCDSZ7T1EoKmxfVAF6ySIjgY8&#13;&#10;nkWXkyccX16l+VVRFJRwjC2zrFgtoy0JK0+fD9b59xJ6EjYVtehqhGeHe+cDHVaeUsJtDrQSO6V1&#13;&#10;PNi23mpLDgw7YBefWMGzNG3IWNE8z4t0luCvGGl8/oTRK4+9rFVf0dU5iZVBuDsjYqd5pvS8R87a&#13;&#10;BIIydikWMlNv/J1oJbFMoBpFnp60uEiL6gfBZ+n9VE9EYXq0JphRg3hEOyzM7Y7jiZsO7E9KRmz1&#13;&#10;irofe2YlJfqDQUvfZnkeZiMe8uIN6k/sZaS+jDDDEaqinpJ5u/VxngJ9AzdofaOiKU9Mjg2DLRy9&#13;&#10;Oo5bmJHLc8x6+ilsfgEAAP//AwBQSwMEFAAGAAgAAAAhAMWbDzTmAAAAEgEAAA8AAABkcnMvZG93&#13;&#10;bnJldi54bWxMj0FPwzAMhe9I/IfISNxYUqaM0TWdEAgJgSZEN8Q1a0JT0Thdk23l3887wcXyk+3n&#13;&#10;9xXL0XfsYIfYBlSQTQQwi3UwLTYKNuvnmzmwmDQa3QW0Cn5thGV5eVHo3IQjfthDlRpGJhhzrcCl&#13;&#10;1Oecx9pZr+Mk9BZp9h0GrxPJoeFm0Ecy9x2/FWLGvW6RPjjd20dn659q7xVU4f2rx9X6ddyt3sLO&#13;&#10;bT7li86Uur4anxZUHhbAkh3T3wWcGSg/lBRsG/ZoIutICykJICmQsyk15xU5lRmwrYL5/Z0AXhb8&#13;&#10;P0p5AgAA//8DAFBLAQItABQABgAIAAAAIQC2gziS/gAAAOEBAAATAAAAAAAAAAAAAAAAAAAAAABb&#13;&#10;Q29udGVudF9UeXBlc10ueG1sUEsBAi0AFAAGAAgAAAAhADj9If/WAAAAlAEAAAsAAAAAAAAAAAAA&#13;&#10;AAAALwEAAF9yZWxzLy5yZWxzUEsBAi0AFAAGAAgAAAAhAAqPFBkuAgAAXAQAAA4AAAAAAAAAAAAA&#13;&#10;AAAALgIAAGRycy9lMm9Eb2MueG1sUEsBAi0AFAAGAAgAAAAhAMWbDzTmAAAAEgEAAA8AAAAAAAAA&#13;&#10;AAAAAAAAiAQAAGRycy9kb3ducmV2LnhtbFBLBQYAAAAABAAEAPMAAACbBQAAAAA=&#13;&#10;" strokeweight="3.5pt">
                <v:textbox>
                  <w:txbxContent>
                    <w:p w14:paraId="178274AC" w14:textId="6F1D8D01" w:rsidR="003E371E" w:rsidRPr="00BC7B58" w:rsidRDefault="003E371E" w:rsidP="00BC7B58">
                      <w:r w:rsidRPr="00167DCD">
                        <w:rPr>
                          <w:rFonts w:ascii="Arial" w:eastAsia="Times New Roman" w:hAnsi="Arial" w:cs="Arial"/>
                          <w:b/>
                          <w:bCs/>
                        </w:rPr>
                        <w:t>Conclusion</w:t>
                      </w:r>
                    </w:p>
                    <w:p w14:paraId="03040C13" w14:textId="412AF35E" w:rsidR="003E371E" w:rsidRDefault="003E371E" w:rsidP="00B57684">
                      <w:pPr>
                        <w:jc w:val="both"/>
                        <w:rPr>
                          <w:rFonts w:ascii="Arial" w:eastAsia="Times New Roman" w:hAnsi="Arial" w:cs="Arial"/>
                          <w:sz w:val="13"/>
                          <w:szCs w:val="13"/>
                        </w:rPr>
                      </w:pPr>
                      <w:r w:rsidRPr="00B57684">
                        <w:rPr>
                          <w:rFonts w:ascii="Arial" w:eastAsia="Times New Roman" w:hAnsi="Arial" w:cs="Arial"/>
                          <w:sz w:val="13"/>
                          <w:szCs w:val="13"/>
                        </w:rPr>
                        <w:t>Community disability services are an essential component of social care, promoting independence, social inclusion, and quality of life for people with disabilities. These services, which have historically been formed by deinstitutionalisation and legislative reforms, now function through multidisciplinary teams to provide individualized, rights-based care. While funding constraints and staffing shortages pose substantial problems, continued investment, technology integration, and person-</w:t>
                      </w:r>
                      <w:r w:rsidR="00B57684" w:rsidRPr="00B57684">
                        <w:rPr>
                          <w:rFonts w:ascii="Arial" w:eastAsia="Times New Roman" w:hAnsi="Arial" w:cs="Arial"/>
                          <w:sz w:val="13"/>
                          <w:szCs w:val="13"/>
                        </w:rPr>
                        <w:t>centred</w:t>
                      </w:r>
                      <w:r w:rsidRPr="00B57684">
                        <w:rPr>
                          <w:rFonts w:ascii="Arial" w:eastAsia="Times New Roman" w:hAnsi="Arial" w:cs="Arial"/>
                          <w:sz w:val="13"/>
                          <w:szCs w:val="13"/>
                        </w:rPr>
                        <w:t xml:space="preserve"> methods improve service delivery. The combination of holistic care, advocacy, and technology allows people with disabilities to participate actively in their communities, supporting the concepts of autonomy, dignity, and equality.</w:t>
                      </w:r>
                    </w:p>
                    <w:p w14:paraId="681B5CFF" w14:textId="77777777" w:rsidR="003131E6" w:rsidRPr="003131E6" w:rsidRDefault="003131E6" w:rsidP="003131E6">
                      <w:pPr>
                        <w:pStyle w:val="NormalWeb"/>
                        <w:rPr>
                          <w:rFonts w:ascii="Arial" w:hAnsi="Arial" w:cs="Arial"/>
                          <w:sz w:val="13"/>
                          <w:szCs w:val="13"/>
                        </w:rPr>
                      </w:pPr>
                      <w:r w:rsidRPr="003131E6">
                        <w:rPr>
                          <w:rFonts w:ascii="Arial" w:hAnsi="Arial" w:cs="Arial"/>
                          <w:sz w:val="13"/>
                          <w:szCs w:val="13"/>
                        </w:rPr>
                        <w:t>Barnes &amp; Mercer, 2017, Bigby &amp; Frawley, 2018, Borg et al., 2020, Emerson &amp; Hatton, 2014, Emerson et al., 2020, Fossey et al., 2018, Glasby &amp; Dickinson, 2021, Glasby, 2020, Kramer et al., 2019, Liddiard, 2016, Munday, 2018, NHS Digital, 2022, Shakespeare, 2018, WHO, 2021.</w:t>
                      </w:r>
                    </w:p>
                    <w:p w14:paraId="737CA46B" w14:textId="77777777" w:rsidR="006C4062" w:rsidRDefault="006C4062"/>
                  </w:txbxContent>
                </v:textbox>
                <w10:wrap type="square" anchorx="margin"/>
              </v:shape>
            </w:pict>
          </mc:Fallback>
        </mc:AlternateContent>
      </w:r>
      <w:r w:rsidR="006C4062">
        <w:rPr>
          <w:noProof/>
        </w:rPr>
        <mc:AlternateContent>
          <mc:Choice Requires="wps">
            <w:drawing>
              <wp:anchor distT="45720" distB="45720" distL="114300" distR="114300" simplePos="0" relativeHeight="251665408" behindDoc="0" locked="0" layoutInCell="1" allowOverlap="1" wp14:anchorId="21A64788" wp14:editId="57E33909">
                <wp:simplePos x="0" y="0"/>
                <wp:positionH relativeFrom="margin">
                  <wp:posOffset>2272665</wp:posOffset>
                </wp:positionH>
                <wp:positionV relativeFrom="paragraph">
                  <wp:posOffset>896620</wp:posOffset>
                </wp:positionV>
                <wp:extent cx="4105910" cy="2685415"/>
                <wp:effectExtent l="25400" t="25400" r="21590" b="1968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5910" cy="2685415"/>
                        </a:xfrm>
                        <a:prstGeom prst="rect">
                          <a:avLst/>
                        </a:prstGeom>
                        <a:solidFill>
                          <a:srgbClr val="FFFFFF"/>
                        </a:solidFill>
                        <a:ln w="44450">
                          <a:solidFill>
                            <a:srgbClr val="000000"/>
                          </a:solidFill>
                          <a:miter lim="800000"/>
                          <a:headEnd/>
                          <a:tailEnd/>
                        </a:ln>
                        <a:effectLst>
                          <a:softEdge rad="25400"/>
                        </a:effectLst>
                      </wps:spPr>
                      <wps:txbx>
                        <w:txbxContent>
                          <w:p w14:paraId="2A6CE679" w14:textId="4F190D38" w:rsidR="00BE6BE0" w:rsidRPr="00D1019C" w:rsidRDefault="009058AE" w:rsidP="00D1019C">
                            <w:pPr>
                              <w:spacing w:after="0" w:line="360" w:lineRule="auto"/>
                              <w:jc w:val="both"/>
                              <w:rPr>
                                <w:rFonts w:ascii="Arial" w:eastAsia="Times New Roman" w:hAnsi="Arial" w:cs="Arial"/>
                                <w:b/>
                                <w:bCs/>
                              </w:rPr>
                            </w:pPr>
                            <w:r w:rsidRPr="00C82742">
                              <w:rPr>
                                <w:rFonts w:ascii="Arial" w:eastAsia="Times New Roman" w:hAnsi="Arial" w:cs="Arial"/>
                                <w:b/>
                                <w:bCs/>
                              </w:rPr>
                              <w:t>1.2</w:t>
                            </w:r>
                            <w:r w:rsidRPr="00C82742">
                              <w:rPr>
                                <w:rFonts w:ascii="Arial" w:eastAsia="Times New Roman" w:hAnsi="Arial" w:cs="Arial"/>
                                <w:b/>
                                <w:bCs/>
                              </w:rPr>
                              <w:tab/>
                              <w:t xml:space="preserve">Historical Context </w:t>
                            </w:r>
                          </w:p>
                          <w:p w14:paraId="725929D9" w14:textId="7B648D8C"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 xml:space="preserve">The </w:t>
                            </w:r>
                            <w:r w:rsidR="004E410B" w:rsidRPr="00D1019C">
                              <w:rPr>
                                <w:rFonts w:ascii="Arial" w:eastAsia="Times New Roman" w:hAnsi="Arial" w:cs="Arial"/>
                                <w:sz w:val="13"/>
                                <w:szCs w:val="13"/>
                              </w:rPr>
                              <w:t>development</w:t>
                            </w:r>
                            <w:r w:rsidRPr="00D1019C">
                              <w:rPr>
                                <w:rFonts w:ascii="Arial" w:eastAsia="Times New Roman" w:hAnsi="Arial" w:cs="Arial"/>
                                <w:sz w:val="13"/>
                                <w:szCs w:val="13"/>
                              </w:rPr>
                              <w:t xml:space="preserve"> of community disability services in the United Kingdom is inextricably connected to the mid-to-late twentieth-century </w:t>
                            </w:r>
                          </w:p>
                          <w:p w14:paraId="06E4CD28" w14:textId="5ECCD01F"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deinstitutionalization movement, which intended to replace large-scale residential institutions with community-based care models (Oliver, 2013 and Rioux &amp; Valentine, 2019). Historically, people with disabilities were stigmatized and isolated, frequently confined to institutional settings with little autonomy or access to meaningful social engagement (Barnes &amp; Mercer, 2017).</w:t>
                            </w:r>
                          </w:p>
                          <w:p w14:paraId="129F308E"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Also, significant legislative achievements have shaped the current situation. The Disability Discrimination Act of 1995 was a critical step, prohibiting discrimination in access to services and employment, and was followed by the Equality Act of 2010, which consolidated previous legislation and required reasonable adjustments for people with disabilities (UK Government, 2010; Shakespeare, 2018). International frameworks, such as the United Nations Convention on the Rights of Persons with Disabilities (2006), reaffirmed the notion of social inclusion while emphasizing the right to independent life and community involvement.</w:t>
                            </w:r>
                          </w:p>
                          <w:p w14:paraId="001673D5"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These historical trends reflect a paradigm shift from medical and charitable conceptions of disability, which emphasize treatment and protection, to social and rights-based models that highlight empowerment, choice, and self-determination (Glasby &amp; Dickinson, 2021; Fossey et al., 2018).</w:t>
                            </w:r>
                          </w:p>
                          <w:p w14:paraId="6BD93575" w14:textId="3FC72E1D" w:rsidR="009058AE" w:rsidRPr="00D1019C" w:rsidRDefault="009058AE" w:rsidP="00D1019C">
                            <w:pPr>
                              <w:spacing w:after="0" w:line="360" w:lineRule="auto"/>
                              <w:jc w:val="both"/>
                              <w:rPr>
                                <w:rFonts w:ascii="Arial" w:eastAsia="Times New Roman" w:hAnsi="Arial" w:cs="Arial"/>
                                <w:b/>
                                <w:bCs/>
                              </w:rPr>
                            </w:pPr>
                            <w:r>
                              <w:rPr>
                                <w:noProof/>
                              </w:rPr>
                              <w:drawing>
                                <wp:inline distT="0" distB="0" distL="0" distR="0" wp14:anchorId="5A52886C" wp14:editId="662F657E">
                                  <wp:extent cx="2998123" cy="1202146"/>
                                  <wp:effectExtent l="0" t="0" r="0" b="4445"/>
                                  <wp:docPr id="1323957781" name="Picture 1" descr="Dynamic Lycra garments can change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ynamic Lycra garments can change the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89070" cy="135890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178.95pt;margin-top:70.6pt;width:323.3pt;height:211.4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60LgIAAFwEAAAOAAAAZHJzL2Uyb0RvYy54bWysVNuOmzAQfa/Uf7D83gARbLMoZLXNbqpK&#13;&#10;24u07QcYY8Cq8bi2E0i/vmOTzaa3l6o8WDYzHJ85Z4b1zTQochDWSdAVzRYpJUJzaKTuKvrl8+7V&#13;&#10;ihLnmW6YAi0qehSO3mxevliPphRL6EE1whIE0a4cTUV7702ZJI73YmBuAUZoDLZgB+bxaLuksWxE&#13;&#10;9EElyzS9SkawjbHAhXP49m4O0k3Eb1vB/ce2dcITVVHk5uNq41qHNdmsWdlZZnrJTzTYP7AYmNR4&#13;&#10;6RnqjnlG9lb+BjVIbsFB6xcchgTaVnIRa8BqsvSXah57ZkSsBcVx5iyT+3+w/MPh0XyyxE9vYEID&#13;&#10;YxHOPAD/6oiGbc90J26thbEXrMGLsyBZMhpXnj4NUrvSBZB6fA8Nmsz2HiLQ1NohqIJ1EkRHA45n&#13;&#10;0cXkCceXeZYW1xmGOMaWV6siz4p4ByufPjfW+bcCBhI2FbXoaoRnhwfnAx1WPqWE2xwo2eykUvFg&#13;&#10;u3qrLDkw7IBdfE7oP6UpTUbkkudFOkvwV4w0Pn/CGKTHXlZyqOjqnMTKINy9bmKneSbVvEfOSgeC&#13;&#10;InYpFjJTb/190wliWYNqFHkaWxSTL9Ki+kHwWXo/1RORIT2QCmbU0BzRDgtzu+N44qYH+52SEVu9&#13;&#10;ou7bnllBiXqn0dLrLM/DbMRDXrxe4sFeRurLCNMcoSrqKZm3Wx/nKdDXcIvWtzKa8szk1DDYwtGr&#13;&#10;07iFGbk8x6znn8LmBwAAAP//AwBQSwMEFAAGAAgAAAAhAHEoBInlAAAAEQEAAA8AAABkcnMvZG93&#13;&#10;bnJldi54bWxMT11LwzAUfRf8D+EKvrmks91m13SIIogyxG7ia9bEptjcdE221X/v3ZO+HLicc89H&#13;&#10;sRpdx45mCK1HCclEADNYe91iI2G7ebpZAAtRoVadRyPhxwRYlZcXhcq1P+G7OVaxYWSCIVcSbIx9&#13;&#10;znmorXEqTHxvkLgvPzgV6Rwargd1InPX8akQM+5Ui5RgVW8erKm/q4OTUPm3zx7Xm5dxv371e7v9&#13;&#10;yJ5VIuX11fi4JLhfAotmjH8fcN5A/aGkYjt/QB1YJ+E2m9+RlIg0mQI7K4RIM2A7CdksTYCXBf+/&#13;&#10;pPwFAAD//wMAUEsBAi0AFAAGAAgAAAAhALaDOJL+AAAA4QEAABMAAAAAAAAAAAAAAAAAAAAAAFtD&#13;&#10;b250ZW50X1R5cGVzXS54bWxQSwECLQAUAAYACAAAACEAOP0h/9YAAACUAQAACwAAAAAAAAAAAAAA&#13;&#10;AAAvAQAAX3JlbHMvLnJlbHNQSwECLQAUAAYACAAAACEAr/o+tC4CAABcBAAADgAAAAAAAAAAAAAA&#13;&#10;AAAuAgAAZHJzL2Uyb0RvYy54bWxQSwECLQAUAAYACAAAACEAcSgEieUAAAARAQAADwAAAAAAAAAA&#13;&#10;AAAAAACIBAAAZHJzL2Rvd25yZXYueG1sUEsFBgAAAAAEAAQA8wAAAJoFAAAAAA==&#13;&#10;" strokeweight="3.5pt">
                <v:textbox>
                  <w:txbxContent>
                    <w:p w14:paraId="2A6CE679" w14:textId="4F190D38" w:rsidR="00BE6BE0" w:rsidRPr="00D1019C" w:rsidRDefault="009058AE" w:rsidP="00D1019C">
                      <w:pPr>
                        <w:spacing w:after="0" w:line="360" w:lineRule="auto"/>
                        <w:jc w:val="both"/>
                        <w:rPr>
                          <w:rFonts w:ascii="Arial" w:eastAsia="Times New Roman" w:hAnsi="Arial" w:cs="Arial"/>
                          <w:b/>
                          <w:bCs/>
                        </w:rPr>
                      </w:pPr>
                      <w:r w:rsidRPr="00C82742">
                        <w:rPr>
                          <w:rFonts w:ascii="Arial" w:eastAsia="Times New Roman" w:hAnsi="Arial" w:cs="Arial"/>
                          <w:b/>
                          <w:bCs/>
                        </w:rPr>
                        <w:t>1.2</w:t>
                      </w:r>
                      <w:r w:rsidRPr="00C82742">
                        <w:rPr>
                          <w:rFonts w:ascii="Arial" w:eastAsia="Times New Roman" w:hAnsi="Arial" w:cs="Arial"/>
                          <w:b/>
                          <w:bCs/>
                        </w:rPr>
                        <w:tab/>
                        <w:t xml:space="preserve">Historical Context </w:t>
                      </w:r>
                    </w:p>
                    <w:p w14:paraId="725929D9" w14:textId="7B648D8C"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 xml:space="preserve">The </w:t>
                      </w:r>
                      <w:r w:rsidR="004E410B" w:rsidRPr="00D1019C">
                        <w:rPr>
                          <w:rFonts w:ascii="Arial" w:eastAsia="Times New Roman" w:hAnsi="Arial" w:cs="Arial"/>
                          <w:sz w:val="13"/>
                          <w:szCs w:val="13"/>
                        </w:rPr>
                        <w:t>development</w:t>
                      </w:r>
                      <w:r w:rsidRPr="00D1019C">
                        <w:rPr>
                          <w:rFonts w:ascii="Arial" w:eastAsia="Times New Roman" w:hAnsi="Arial" w:cs="Arial"/>
                          <w:sz w:val="13"/>
                          <w:szCs w:val="13"/>
                        </w:rPr>
                        <w:t xml:space="preserve"> of community disability services in the United Kingdom is inextricably connected to the mid-to-late twentieth-century </w:t>
                      </w:r>
                    </w:p>
                    <w:p w14:paraId="06E4CD28" w14:textId="5ECCD01F"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deinstitutionalization movement, which intended to replace large-scale residential institutions with community-based care models (Oliver, 2013 and Rioux &amp; Valentine, 2019). Historically, people with disabilities were stigmatized and isolated, frequently confined to institutional settings with little autonomy or access to meaningful social engagement (Barnes &amp; Mercer, 2017).</w:t>
                      </w:r>
                    </w:p>
                    <w:p w14:paraId="129F308E"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Also, significant legislative achievements have shaped the current situation. The Disability Discrimination Act of 1995 was a critical step, prohibiting discrimination in access to services and employment, and was followed by the Equality Act of 2010, which consolidated previous legislation and required reasonable adjustments for people with disabilities (UK Government, 2010; Shakespeare, 2018). International frameworks, such as the United Nations Convention on the Rights of Persons with Disabilities (2006), reaffirmed the notion of social inclusion while emphasizing the right to independent life and community involvement.</w:t>
                      </w:r>
                    </w:p>
                    <w:p w14:paraId="001673D5" w14:textId="77777777" w:rsidR="009058AE" w:rsidRPr="00D1019C" w:rsidRDefault="009058AE" w:rsidP="00D1019C">
                      <w:pPr>
                        <w:spacing w:after="0" w:line="360" w:lineRule="auto"/>
                        <w:jc w:val="both"/>
                        <w:rPr>
                          <w:rFonts w:ascii="Arial" w:eastAsia="Times New Roman" w:hAnsi="Arial" w:cs="Arial"/>
                          <w:sz w:val="13"/>
                          <w:szCs w:val="13"/>
                        </w:rPr>
                      </w:pPr>
                      <w:r w:rsidRPr="00D1019C">
                        <w:rPr>
                          <w:rFonts w:ascii="Arial" w:eastAsia="Times New Roman" w:hAnsi="Arial" w:cs="Arial"/>
                          <w:sz w:val="13"/>
                          <w:szCs w:val="13"/>
                        </w:rPr>
                        <w:t>These historical trends reflect a paradigm shift from medical and charitable conceptions of disability, which emphasize treatment and protection, to social and rights-based models that highlight empowerment, choice, and self-determination (Glasby &amp; Dickinson, 2021; Fossey et al., 2018).</w:t>
                      </w:r>
                    </w:p>
                    <w:p w14:paraId="6BD93575" w14:textId="3FC72E1D" w:rsidR="009058AE" w:rsidRPr="00D1019C" w:rsidRDefault="009058AE" w:rsidP="00D1019C">
                      <w:pPr>
                        <w:spacing w:after="0" w:line="360" w:lineRule="auto"/>
                        <w:jc w:val="both"/>
                        <w:rPr>
                          <w:rFonts w:ascii="Arial" w:eastAsia="Times New Roman" w:hAnsi="Arial" w:cs="Arial"/>
                          <w:b/>
                          <w:bCs/>
                        </w:rPr>
                      </w:pPr>
                      <w:r>
                        <w:rPr>
                          <w:noProof/>
                        </w:rPr>
                        <w:drawing>
                          <wp:inline distT="0" distB="0" distL="0" distR="0" wp14:anchorId="5A52886C" wp14:editId="662F657E">
                            <wp:extent cx="2998123" cy="1202146"/>
                            <wp:effectExtent l="0" t="0" r="0" b="4445"/>
                            <wp:docPr id="1323957781" name="Picture 1" descr="Dynamic Lycra garments can change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ynamic Lycra garments can change the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89070" cy="1358902"/>
                                    </a:xfrm>
                                    <a:prstGeom prst="rect">
                                      <a:avLst/>
                                    </a:prstGeom>
                                    <a:noFill/>
                                    <a:ln>
                                      <a:noFill/>
                                    </a:ln>
                                  </pic:spPr>
                                </pic:pic>
                              </a:graphicData>
                            </a:graphic>
                          </wp:inline>
                        </w:drawing>
                      </w:r>
                    </w:p>
                  </w:txbxContent>
                </v:textbox>
                <w10:wrap type="square" anchorx="margin"/>
              </v:shape>
            </w:pict>
          </mc:Fallback>
        </mc:AlternateContent>
      </w:r>
      <w:r w:rsidR="006C4062">
        <w:rPr>
          <w:noProof/>
        </w:rPr>
        <mc:AlternateContent>
          <mc:Choice Requires="wps">
            <w:drawing>
              <wp:anchor distT="0" distB="0" distL="114300" distR="114300" simplePos="0" relativeHeight="251680768" behindDoc="0" locked="0" layoutInCell="1" allowOverlap="1" wp14:anchorId="07D4C2C9" wp14:editId="386CE697">
                <wp:simplePos x="0" y="0"/>
                <wp:positionH relativeFrom="column">
                  <wp:posOffset>6477712</wp:posOffset>
                </wp:positionH>
                <wp:positionV relativeFrom="paragraph">
                  <wp:posOffset>1743342</wp:posOffset>
                </wp:positionV>
                <wp:extent cx="3019425" cy="1743342"/>
                <wp:effectExtent l="0" t="0" r="15875" b="9525"/>
                <wp:wrapNone/>
                <wp:docPr id="434739842" name="Text Box 14"/>
                <wp:cNvGraphicFramePr/>
                <a:graphic xmlns:a="http://schemas.openxmlformats.org/drawingml/2006/main">
                  <a:graphicData uri="http://schemas.microsoft.com/office/word/2010/wordprocessingShape">
                    <wps:wsp>
                      <wps:cNvSpPr txBox="1"/>
                      <wps:spPr>
                        <a:xfrm>
                          <a:off x="0" y="0"/>
                          <a:ext cx="3019425" cy="1743342"/>
                        </a:xfrm>
                        <a:prstGeom prst="rect">
                          <a:avLst/>
                        </a:prstGeom>
                        <a:solidFill>
                          <a:schemeClr val="lt1"/>
                        </a:solidFill>
                        <a:ln w="6350">
                          <a:solidFill>
                            <a:prstClr val="black"/>
                          </a:solidFill>
                        </a:ln>
                      </wps:spPr>
                      <wps:txbx>
                        <w:txbxContent>
                          <w:p w14:paraId="414C670A"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Modern community disability services are provided by integrated multidisciplinary teams that include social workers, occupational therapists, physiotherapists, speech and language therapists, psychologists, and healthcare assistants (Glasby, 2020; Liddiard</w:t>
                            </w:r>
                            <w:r w:rsidRPr="00C82742">
                              <w:rPr>
                                <w:rFonts w:ascii="Arial" w:eastAsia="Times New Roman" w:hAnsi="Arial" w:cs="Arial"/>
                              </w:rPr>
                              <w:t xml:space="preserve">, </w:t>
                            </w:r>
                            <w:r w:rsidRPr="00B57684">
                              <w:rPr>
                                <w:rFonts w:ascii="Arial" w:eastAsia="Times New Roman" w:hAnsi="Arial" w:cs="Arial"/>
                                <w:sz w:val="13"/>
                                <w:szCs w:val="13"/>
                              </w:rPr>
                              <w:t>2016). Personalised care plans are created in collaboration with service users and, if appropriate, their families or carers to adjust</w:t>
                            </w:r>
                            <w:r w:rsidRPr="00C82742">
                              <w:rPr>
                                <w:rFonts w:ascii="Arial" w:eastAsia="Times New Roman" w:hAnsi="Arial" w:cs="Arial"/>
                              </w:rPr>
                              <w:t xml:space="preserve"> </w:t>
                            </w:r>
                            <w:r w:rsidRPr="00B57684">
                              <w:rPr>
                                <w:rFonts w:ascii="Arial" w:eastAsia="Times New Roman" w:hAnsi="Arial" w:cs="Arial"/>
                                <w:sz w:val="13"/>
                                <w:szCs w:val="13"/>
                              </w:rPr>
                              <w:t>services to individual requirements (Fossey et al., 2018; Bigby &amp; Frawley, 2018).</w:t>
                            </w:r>
                          </w:p>
                          <w:p w14:paraId="2B19B09E"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Main service functions include:</w:t>
                            </w:r>
                          </w:p>
                          <w:p w14:paraId="139969E7" w14:textId="297FBB27" w:rsidR="00943CF1" w:rsidRPr="00B57684" w:rsidRDefault="00943CF1" w:rsidP="00B57684">
                            <w:pPr>
                              <w:pStyle w:val="ListParagraph"/>
                              <w:numPr>
                                <w:ilvl w:val="0"/>
                                <w:numId w:val="4"/>
                              </w:numPr>
                              <w:spacing w:after="0" w:line="360" w:lineRule="auto"/>
                              <w:jc w:val="both"/>
                              <w:rPr>
                                <w:rFonts w:ascii="Arial" w:eastAsia="Times New Roman" w:hAnsi="Arial" w:cs="Arial"/>
                                <w:kern w:val="0"/>
                                <w:sz w:val="13"/>
                                <w:szCs w:val="13"/>
                                <w14:ligatures w14:val="none"/>
                              </w:rPr>
                            </w:pPr>
                            <w:r w:rsidRPr="00B57684">
                              <w:rPr>
                                <w:rFonts w:ascii="Arial" w:eastAsia="Times New Roman" w:hAnsi="Arial" w:cs="Arial"/>
                                <w:kern w:val="0"/>
                                <w:sz w:val="13"/>
                                <w:szCs w:val="13"/>
                                <w:lang w:val="nl-NL"/>
                                <w14:ligatures w14:val="none"/>
                              </w:rPr>
                              <w:t xml:space="preserve">Emerson et al. (2020) and Kramer et al. </w:t>
                            </w:r>
                            <w:r w:rsidRPr="00B57684">
                              <w:rPr>
                                <w:rFonts w:ascii="Arial" w:eastAsia="Times New Roman" w:hAnsi="Arial" w:cs="Arial"/>
                                <w:kern w:val="0"/>
                                <w:sz w:val="13"/>
                                <w:szCs w:val="13"/>
                                <w14:ligatures w14:val="none"/>
                              </w:rPr>
                              <w:t xml:space="preserve">(2019) recommend </w:t>
                            </w:r>
                            <w:r w:rsidR="00D1019C" w:rsidRPr="00B57684">
                              <w:rPr>
                                <w:rFonts w:ascii="Arial" w:eastAsia="Times New Roman" w:hAnsi="Arial" w:cs="Arial"/>
                                <w:kern w:val="0"/>
                                <w:sz w:val="13"/>
                                <w:szCs w:val="13"/>
                                <w14:ligatures w14:val="none"/>
                              </w:rPr>
                              <w:t>personalized</w:t>
                            </w:r>
                            <w:r w:rsidRPr="00B57684">
                              <w:rPr>
                                <w:rFonts w:ascii="Arial" w:eastAsia="Times New Roman" w:hAnsi="Arial" w:cs="Arial"/>
                                <w:kern w:val="0"/>
                                <w:sz w:val="13"/>
                                <w:szCs w:val="13"/>
                                <w14:ligatures w14:val="none"/>
                              </w:rPr>
                              <w:t xml:space="preserve"> care plans that describe specific goals, actions, and monitoring measures to ensure support fits with service users' preferences and capabilities.</w:t>
                            </w:r>
                          </w:p>
                          <w:p w14:paraId="7F8087D9"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B57684">
                              <w:rPr>
                                <w:rFonts w:ascii="Arial" w:eastAsia="Times New Roman" w:hAnsi="Arial" w:cs="Arial"/>
                                <w:kern w:val="0"/>
                                <w:sz w:val="13"/>
                                <w:szCs w:val="13"/>
                                <w14:ligatures w14:val="none"/>
                              </w:rPr>
                              <w:t xml:space="preserve">Rehabilitation and therapy services, including physiotherapy, occupational therapy, and speech and language therapy, improve functional abilities and promote independence (Kramer et al., </w:t>
                            </w:r>
                            <w:r w:rsidRPr="00D1019C">
                              <w:rPr>
                                <w:rFonts w:ascii="Arial" w:eastAsia="Times New Roman" w:hAnsi="Arial" w:cs="Arial"/>
                                <w:kern w:val="0"/>
                                <w:sz w:val="13"/>
                                <w:szCs w:val="13"/>
                                <w14:ligatures w14:val="none"/>
                              </w:rPr>
                              <w:t>2019; Borg et al., 2020).</w:t>
                            </w:r>
                          </w:p>
                          <w:p w14:paraId="00E8943C"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Social Support and Advocacy: Promotes community participation, education and employment opportunities, and rights protection (Bigby &amp; Frawley, 2018; Rioux &amp; Valentine, 2019).</w:t>
                            </w:r>
                          </w:p>
                          <w:p w14:paraId="758B73C5" w14:textId="77777777" w:rsidR="00943CF1" w:rsidRPr="00D1019C" w:rsidRDefault="00943CF1" w:rsidP="00D1019C">
                            <w:pPr>
                              <w:pStyle w:val="ListParagraph"/>
                              <w:numPr>
                                <w:ilvl w:val="0"/>
                                <w:numId w:val="4"/>
                              </w:numPr>
                              <w:spacing w:after="0" w:line="360" w:lineRule="auto"/>
                              <w:jc w:val="both"/>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Assistive technology, including mobility aids, hearing aids, adaptive communication tools, and digital supports, can improve autonomy and engagement in daily life (Borg et al., 2020; Topaz &amp; Pruinelli, 2022).</w:t>
                            </w:r>
                          </w:p>
                          <w:p w14:paraId="01E552B1" w14:textId="77777777" w:rsidR="00943CF1" w:rsidRDefault="00943CF1" w:rsidP="00943CF1">
                            <w:pPr>
                              <w:spacing w:after="0" w:line="360" w:lineRule="auto"/>
                              <w:jc w:val="both"/>
                              <w:rPr>
                                <w:rFonts w:ascii="Arial" w:eastAsia="Times New Roman" w:hAnsi="Arial" w:cs="Arial"/>
                              </w:rPr>
                            </w:pPr>
                            <w:r>
                              <w:rPr>
                                <w:noProof/>
                              </w:rPr>
                              <w:drawing>
                                <wp:inline distT="0" distB="0" distL="0" distR="0" wp14:anchorId="45FB9E00" wp14:editId="473E900D">
                                  <wp:extent cx="1319261" cy="725673"/>
                                  <wp:effectExtent l="0" t="0" r="1905" b="0"/>
                                  <wp:docPr id="246450305" name="Picture 2" descr="Cerebral Pals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erebral Palsy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3623" cy="799580"/>
                                          </a:xfrm>
                                          <a:prstGeom prst="rect">
                                            <a:avLst/>
                                          </a:prstGeom>
                                          <a:noFill/>
                                          <a:ln>
                                            <a:noFill/>
                                          </a:ln>
                                        </pic:spPr>
                                      </pic:pic>
                                    </a:graphicData>
                                  </a:graphic>
                                </wp:inline>
                              </w:drawing>
                            </w:r>
                          </w:p>
                          <w:p w14:paraId="3D5D1AE4" w14:textId="48295152" w:rsidR="00943CF1" w:rsidRPr="00D1019C" w:rsidRDefault="00943CF1"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Digital tools and electronic case management systems are becoming more important for care coordination, outcome monitoring, and service efficiency tracking (Topaz &amp; Pruinelli, 2022; Glasby, 2020). These technologies encourage timely communication among specialists, reduce service duplication, and give reliable data for continuous service improvement (Emerson et al.,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4C2C9" id="Text Box 14" o:spid="_x0000_s1029" type="#_x0000_t202" style="position:absolute;margin-left:510.05pt;margin-top:137.25pt;width:237.75pt;height:13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n0JQPQIAAIQEAAAOAAAAZHJzL2Uyb0RvYy54bWysVE1v2zAMvQ/YfxB0X2wnTrsacYosRYYB&#13;&#10;QVsgHXpWZDk2JouapMTOfv0o2flot9Owi0yJ1BP5+OjZfddIchDG1qBymoxiSoTiUNRql9PvL6tP&#13;&#10;nymxjqmCSVAip0dh6f3844dZqzMxhgpkIQxBEGWzVue0ck5nUWR5JRpmR6CFQmcJpmEOt2YXFYa1&#13;&#10;iN7IaBzHN1ELptAGuLAWTx96J50H/LIU3D2VpRWOyJxibi6sJqxbv0bzGct2humq5kMa7B+yaFit&#13;&#10;8NEz1ANzjOxN/QdUU3MDFko34tBEUJY1F6EGrCaJ31WzqZgWoRYkx+ozTfb/wfLHw0Y/G+K6L9Bh&#13;&#10;Az0hrbaZxUNfT1eaxn8xU4J+pPB4pk10jnA8nMTJXTqeUsLRl9ymk0k69jjR5bo21n0V0BBv5NRg&#13;&#10;XwJd7LC2rg89hfjXLMi6WNVSho3XglhKQw4MuyhdSBLB30RJRdqc3kymcQB+4/PQ5/tbyfiPIb2r&#13;&#10;KMSTCnO+FO8t1207UhdY44mYLRRH5MtALyWr+apG+DWz7pkZ1A5ShPPgnnApJWBOMFiUVGB+/e3c&#13;&#10;x2NL0UtJi1rMqf25Z0ZQIr8pbPZdkqZevGGTTm/HuDHXnu21R+2bJSBRCU6e5sH08U6ezNJA84pj&#13;&#10;s/Cvoospjm/n1J3MpesnBMeOi8UiBKFcNXNrtdHcQ/vGeFpfuldm9NBWh4p4hJNqWfauu32sv6lg&#13;&#10;sXdQ1qH1nuee1YF+lHoQzzCWfpau9yHq8vOY/wYAAP//AwBQSwMEFAAGAAgAAAAhAMnL+AziAAAA&#13;&#10;EgEAAA8AAABkcnMvZG93bnJldi54bWxMT7tOwzAU3ZH4B+tWYqN2o6QkaZyKR2FhoiBmN3Ztq/F1&#13;&#10;FLtp+HvcCZYrHd3zbLaz68mkxmA9clgtGRCFnZcWNYevz9f7EkiIAqXoPSoOPyrAtr29aUQt/QU/&#13;&#10;1LSPmiQTDLXgYGIcakpDZ5QTYekHhel39KMTMcFRUzmKSzJ3Pc0YW1MnLKYEIwb1bFR32p8dh92T&#13;&#10;rnRXitHsSmntNH8f3/Ub53eL+WWTzuMGSFRz/FPAdUPqD20qdvBnlIH0CbOMrRKXQ/aQF0CulLwq&#13;&#10;1kAOHIq8YkDbhv6f0v4CAAD//wMAUEsBAi0AFAAGAAgAAAAhALaDOJL+AAAA4QEAABMAAAAAAAAA&#13;&#10;AAAAAAAAAAAAAFtDb250ZW50X1R5cGVzXS54bWxQSwECLQAUAAYACAAAACEAOP0h/9YAAACUAQAA&#13;&#10;CwAAAAAAAAAAAAAAAAAvAQAAX3JlbHMvLnJlbHNQSwECLQAUAAYACAAAACEAJJ9CUD0CAACEBAAA&#13;&#10;DgAAAAAAAAAAAAAAAAAuAgAAZHJzL2Uyb0RvYy54bWxQSwECLQAUAAYACAAAACEAycv4DOIAAAAS&#13;&#10;AQAADwAAAAAAAAAAAAAAAACXBAAAZHJzL2Rvd25yZXYueG1sUEsFBgAAAAAEAAQA8wAAAKYFAAAA&#13;&#10;AA==&#13;&#10;" fillcolor="white [3201]" strokeweight=".5pt">
                <v:textbox>
                  <w:txbxContent>
                    <w:p w14:paraId="414C670A"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Modern community disability services are provided by integrated multidisciplinary teams that include social workers, occupational therapists, physiotherapists, speech and language therapists, psychologists, and healthcare assistants (Glasby, 2020; Liddiard</w:t>
                      </w:r>
                      <w:r w:rsidRPr="00C82742">
                        <w:rPr>
                          <w:rFonts w:ascii="Arial" w:eastAsia="Times New Roman" w:hAnsi="Arial" w:cs="Arial"/>
                        </w:rPr>
                        <w:t xml:space="preserve">, </w:t>
                      </w:r>
                      <w:r w:rsidRPr="00B57684">
                        <w:rPr>
                          <w:rFonts w:ascii="Arial" w:eastAsia="Times New Roman" w:hAnsi="Arial" w:cs="Arial"/>
                          <w:sz w:val="13"/>
                          <w:szCs w:val="13"/>
                        </w:rPr>
                        <w:t>2016). Personalised care plans are created in collaboration with service users and, if appropriate, their families or carers to adjust</w:t>
                      </w:r>
                      <w:r w:rsidRPr="00C82742">
                        <w:rPr>
                          <w:rFonts w:ascii="Arial" w:eastAsia="Times New Roman" w:hAnsi="Arial" w:cs="Arial"/>
                        </w:rPr>
                        <w:t xml:space="preserve"> </w:t>
                      </w:r>
                      <w:r w:rsidRPr="00B57684">
                        <w:rPr>
                          <w:rFonts w:ascii="Arial" w:eastAsia="Times New Roman" w:hAnsi="Arial" w:cs="Arial"/>
                          <w:sz w:val="13"/>
                          <w:szCs w:val="13"/>
                        </w:rPr>
                        <w:t>services to individual requirements (Fossey et al., 2018; Bigby &amp; Frawley, 2018).</w:t>
                      </w:r>
                    </w:p>
                    <w:p w14:paraId="2B19B09E" w14:textId="77777777" w:rsidR="00943CF1" w:rsidRPr="00B57684" w:rsidRDefault="00943CF1" w:rsidP="00B57684">
                      <w:pPr>
                        <w:spacing w:after="0" w:line="360" w:lineRule="auto"/>
                        <w:rPr>
                          <w:rFonts w:ascii="Arial" w:eastAsia="Times New Roman" w:hAnsi="Arial" w:cs="Arial"/>
                          <w:sz w:val="13"/>
                          <w:szCs w:val="13"/>
                        </w:rPr>
                      </w:pPr>
                      <w:r w:rsidRPr="00B57684">
                        <w:rPr>
                          <w:rFonts w:ascii="Arial" w:eastAsia="Times New Roman" w:hAnsi="Arial" w:cs="Arial"/>
                          <w:sz w:val="13"/>
                          <w:szCs w:val="13"/>
                        </w:rPr>
                        <w:t>Main service functions include:</w:t>
                      </w:r>
                    </w:p>
                    <w:p w14:paraId="139969E7" w14:textId="297FBB27" w:rsidR="00943CF1" w:rsidRPr="00B57684" w:rsidRDefault="00943CF1" w:rsidP="00B57684">
                      <w:pPr>
                        <w:pStyle w:val="ListParagraph"/>
                        <w:numPr>
                          <w:ilvl w:val="0"/>
                          <w:numId w:val="4"/>
                        </w:numPr>
                        <w:spacing w:after="0" w:line="360" w:lineRule="auto"/>
                        <w:jc w:val="both"/>
                        <w:rPr>
                          <w:rFonts w:ascii="Arial" w:eastAsia="Times New Roman" w:hAnsi="Arial" w:cs="Arial"/>
                          <w:kern w:val="0"/>
                          <w:sz w:val="13"/>
                          <w:szCs w:val="13"/>
                          <w14:ligatures w14:val="none"/>
                        </w:rPr>
                      </w:pPr>
                      <w:r w:rsidRPr="00B57684">
                        <w:rPr>
                          <w:rFonts w:ascii="Arial" w:eastAsia="Times New Roman" w:hAnsi="Arial" w:cs="Arial"/>
                          <w:kern w:val="0"/>
                          <w:sz w:val="13"/>
                          <w:szCs w:val="13"/>
                          <w:lang w:val="nl-NL"/>
                          <w14:ligatures w14:val="none"/>
                        </w:rPr>
                        <w:t xml:space="preserve">Emerson et al. (2020) and Kramer et al. </w:t>
                      </w:r>
                      <w:r w:rsidRPr="00B57684">
                        <w:rPr>
                          <w:rFonts w:ascii="Arial" w:eastAsia="Times New Roman" w:hAnsi="Arial" w:cs="Arial"/>
                          <w:kern w:val="0"/>
                          <w:sz w:val="13"/>
                          <w:szCs w:val="13"/>
                          <w14:ligatures w14:val="none"/>
                        </w:rPr>
                        <w:t xml:space="preserve">(2019) recommend </w:t>
                      </w:r>
                      <w:r w:rsidR="00D1019C" w:rsidRPr="00B57684">
                        <w:rPr>
                          <w:rFonts w:ascii="Arial" w:eastAsia="Times New Roman" w:hAnsi="Arial" w:cs="Arial"/>
                          <w:kern w:val="0"/>
                          <w:sz w:val="13"/>
                          <w:szCs w:val="13"/>
                          <w14:ligatures w14:val="none"/>
                        </w:rPr>
                        <w:t>personalized</w:t>
                      </w:r>
                      <w:r w:rsidRPr="00B57684">
                        <w:rPr>
                          <w:rFonts w:ascii="Arial" w:eastAsia="Times New Roman" w:hAnsi="Arial" w:cs="Arial"/>
                          <w:kern w:val="0"/>
                          <w:sz w:val="13"/>
                          <w:szCs w:val="13"/>
                          <w14:ligatures w14:val="none"/>
                        </w:rPr>
                        <w:t xml:space="preserve"> care plans that describe specific goals, actions, and monitoring measures to ensure support fits with service users' preferences and capabilities.</w:t>
                      </w:r>
                    </w:p>
                    <w:p w14:paraId="7F8087D9"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B57684">
                        <w:rPr>
                          <w:rFonts w:ascii="Arial" w:eastAsia="Times New Roman" w:hAnsi="Arial" w:cs="Arial"/>
                          <w:kern w:val="0"/>
                          <w:sz w:val="13"/>
                          <w:szCs w:val="13"/>
                          <w14:ligatures w14:val="none"/>
                        </w:rPr>
                        <w:t xml:space="preserve">Rehabilitation and therapy services, including physiotherapy, occupational therapy, and speech and language therapy, improve functional abilities and promote independence (Kramer et al., </w:t>
                      </w:r>
                      <w:r w:rsidRPr="00D1019C">
                        <w:rPr>
                          <w:rFonts w:ascii="Arial" w:eastAsia="Times New Roman" w:hAnsi="Arial" w:cs="Arial"/>
                          <w:kern w:val="0"/>
                          <w:sz w:val="13"/>
                          <w:szCs w:val="13"/>
                          <w14:ligatures w14:val="none"/>
                        </w:rPr>
                        <w:t>2019; Borg et al., 2020).</w:t>
                      </w:r>
                    </w:p>
                    <w:p w14:paraId="00E8943C" w14:textId="77777777" w:rsidR="00943CF1" w:rsidRPr="00D1019C" w:rsidRDefault="00943CF1" w:rsidP="00D1019C">
                      <w:pPr>
                        <w:pStyle w:val="ListParagraph"/>
                        <w:numPr>
                          <w:ilvl w:val="0"/>
                          <w:numId w:val="4"/>
                        </w:numPr>
                        <w:spacing w:after="0" w:line="360" w:lineRule="auto"/>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Social Support and Advocacy: Promotes community participation, education and employment opportunities, and rights protection (Bigby &amp; Frawley, 2018; Rioux &amp; Valentine, 2019).</w:t>
                      </w:r>
                    </w:p>
                    <w:p w14:paraId="758B73C5" w14:textId="77777777" w:rsidR="00943CF1" w:rsidRPr="00D1019C" w:rsidRDefault="00943CF1" w:rsidP="00D1019C">
                      <w:pPr>
                        <w:pStyle w:val="ListParagraph"/>
                        <w:numPr>
                          <w:ilvl w:val="0"/>
                          <w:numId w:val="4"/>
                        </w:numPr>
                        <w:spacing w:after="0" w:line="360" w:lineRule="auto"/>
                        <w:jc w:val="both"/>
                        <w:rPr>
                          <w:rFonts w:ascii="Arial" w:eastAsia="Times New Roman" w:hAnsi="Arial" w:cs="Arial"/>
                          <w:kern w:val="0"/>
                          <w:sz w:val="13"/>
                          <w:szCs w:val="13"/>
                          <w14:ligatures w14:val="none"/>
                        </w:rPr>
                      </w:pPr>
                      <w:r w:rsidRPr="00D1019C">
                        <w:rPr>
                          <w:rFonts w:ascii="Arial" w:eastAsia="Times New Roman" w:hAnsi="Arial" w:cs="Arial"/>
                          <w:kern w:val="0"/>
                          <w:sz w:val="13"/>
                          <w:szCs w:val="13"/>
                          <w14:ligatures w14:val="none"/>
                        </w:rPr>
                        <w:t>Assistive technology, including mobility aids, hearing aids, adaptive communication tools, and digital supports, can improve autonomy and engagement in daily life (Borg et al., 2020; Topaz &amp; Pruinelli, 2022).</w:t>
                      </w:r>
                    </w:p>
                    <w:p w14:paraId="01E552B1" w14:textId="77777777" w:rsidR="00943CF1" w:rsidRDefault="00943CF1" w:rsidP="00943CF1">
                      <w:pPr>
                        <w:spacing w:after="0" w:line="360" w:lineRule="auto"/>
                        <w:jc w:val="both"/>
                        <w:rPr>
                          <w:rFonts w:ascii="Arial" w:eastAsia="Times New Roman" w:hAnsi="Arial" w:cs="Arial"/>
                        </w:rPr>
                      </w:pPr>
                      <w:r>
                        <w:rPr>
                          <w:noProof/>
                        </w:rPr>
                        <w:drawing>
                          <wp:inline distT="0" distB="0" distL="0" distR="0" wp14:anchorId="45FB9E00" wp14:editId="473E900D">
                            <wp:extent cx="1319261" cy="725673"/>
                            <wp:effectExtent l="0" t="0" r="1905" b="0"/>
                            <wp:docPr id="246450305" name="Picture 2" descr="Cerebral Pals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erebral Palsy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3623" cy="799580"/>
                                    </a:xfrm>
                                    <a:prstGeom prst="rect">
                                      <a:avLst/>
                                    </a:prstGeom>
                                    <a:noFill/>
                                    <a:ln>
                                      <a:noFill/>
                                    </a:ln>
                                  </pic:spPr>
                                </pic:pic>
                              </a:graphicData>
                            </a:graphic>
                          </wp:inline>
                        </w:drawing>
                      </w:r>
                    </w:p>
                    <w:p w14:paraId="3D5D1AE4" w14:textId="48295152" w:rsidR="00943CF1" w:rsidRPr="00D1019C" w:rsidRDefault="00943CF1"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Digital tools and electronic case management systems are becoming more important for care coordination, outcome monitoring, and service efficiency tracking (Topaz &amp; Pruinelli, 2022; Glasby, 2020). These technologies encourage timely communication among specialists, reduce service duplication, and give reliable data for continuous service improvement (Emerson et al., 2020).</w:t>
                      </w:r>
                    </w:p>
                  </w:txbxContent>
                </v:textbox>
              </v:shape>
            </w:pict>
          </mc:Fallback>
        </mc:AlternateContent>
      </w:r>
      <w:r w:rsidR="00BC7B58">
        <w:rPr>
          <w:noProof/>
        </w:rPr>
        <mc:AlternateContent>
          <mc:Choice Requires="wps">
            <w:drawing>
              <wp:anchor distT="45720" distB="45720" distL="114300" distR="114300" simplePos="0" relativeHeight="251671552" behindDoc="0" locked="0" layoutInCell="1" allowOverlap="1" wp14:anchorId="5D749413" wp14:editId="70C11976">
                <wp:simplePos x="0" y="0"/>
                <wp:positionH relativeFrom="page">
                  <wp:posOffset>136496</wp:posOffset>
                </wp:positionH>
                <wp:positionV relativeFrom="paragraph">
                  <wp:posOffset>3861720</wp:posOffset>
                </wp:positionV>
                <wp:extent cx="3162182" cy="1836372"/>
                <wp:effectExtent l="25400" t="25400" r="26035" b="3111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182" cy="1836372"/>
                        </a:xfrm>
                        <a:prstGeom prst="rect">
                          <a:avLst/>
                        </a:prstGeom>
                        <a:solidFill>
                          <a:srgbClr val="FFFFFF"/>
                        </a:solidFill>
                        <a:ln w="47625">
                          <a:solidFill>
                            <a:srgbClr val="000000"/>
                          </a:solidFill>
                          <a:miter lim="800000"/>
                          <a:headEnd/>
                          <a:tailEnd/>
                        </a:ln>
                        <a:effectLst>
                          <a:softEdge rad="25400"/>
                        </a:effectLst>
                      </wps:spPr>
                      <wps:txbx>
                        <w:txbxContent>
                          <w:p w14:paraId="0809CF7E" w14:textId="450479BD" w:rsidR="00BE6BE0" w:rsidRDefault="00943CF1" w:rsidP="00BE6BE0">
                            <w:r w:rsidRPr="00C82742">
                              <w:rPr>
                                <w:rFonts w:ascii="Arial" w:eastAsia="Times New Roman" w:hAnsi="Arial" w:cs="Arial"/>
                                <w:b/>
                                <w:bCs/>
                              </w:rPr>
                              <w:t>1.4</w:t>
                            </w:r>
                            <w:r w:rsidRPr="00C82742">
                              <w:rPr>
                                <w:rFonts w:ascii="Arial" w:eastAsia="Times New Roman" w:hAnsi="Arial" w:cs="Arial"/>
                                <w:b/>
                                <w:bCs/>
                              </w:rPr>
                              <w:tab/>
                              <w:t>Challenges Faced</w:t>
                            </w:r>
                          </w:p>
                          <w:p w14:paraId="7B69BC2F" w14:textId="64E958D6" w:rsidR="00BE6BE0" w:rsidRDefault="00D1019C" w:rsidP="00BE6BE0">
                            <w:r>
                              <w:rPr>
                                <w:noProof/>
                              </w:rPr>
                              <w:drawing>
                                <wp:inline distT="0" distB="0" distL="0" distR="0" wp14:anchorId="6702049F" wp14:editId="4B2F4376">
                                  <wp:extent cx="3193143" cy="876300"/>
                                  <wp:effectExtent l="0" t="0" r="0" b="0"/>
                                  <wp:docPr id="342264708" name="Picture 16" descr="Systemic Challenges in Australia's ND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ystemic Challenges in Australia's NDIS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99693" cy="878097"/>
                                          </a:xfrm>
                                          <a:prstGeom prst="rect">
                                            <a:avLst/>
                                          </a:prstGeom>
                                          <a:noFill/>
                                          <a:ln>
                                            <a:noFill/>
                                          </a:ln>
                                        </pic:spPr>
                                      </pic:pic>
                                    </a:graphicData>
                                  </a:graphic>
                                </wp:inline>
                              </w:drawing>
                            </w:r>
                          </w:p>
                          <w:p w14:paraId="6595E1D4" w14:textId="5DFFDE75" w:rsidR="00E52E66" w:rsidRPr="00D1019C" w:rsidRDefault="00E52E66"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 xml:space="preserve">Community disability services </w:t>
                            </w:r>
                            <w:r w:rsidR="00B16A3D" w:rsidRPr="00D1019C">
                              <w:rPr>
                                <w:rFonts w:ascii="Arial" w:eastAsia="Times New Roman" w:hAnsi="Arial" w:cs="Arial"/>
                                <w:sz w:val="13"/>
                                <w:szCs w:val="13"/>
                              </w:rPr>
                              <w:t>encountered</w:t>
                            </w:r>
                            <w:r w:rsidRPr="00D1019C">
                              <w:rPr>
                                <w:rFonts w:ascii="Arial" w:eastAsia="Times New Roman" w:hAnsi="Arial" w:cs="Arial"/>
                                <w:sz w:val="13"/>
                                <w:szCs w:val="13"/>
                              </w:rPr>
                              <w:t xml:space="preserve"> numerous issues that impact service delivery and quality. Funding constraints limit the availability and intensity of support, leading organizations to prioritize care and potentially compromising service quality, such as access to assistive technologies and facility maintenance (Glasby &amp; Dickinson, 2021; Munday, 2018; WHO, 2021). Workforce shortages, such as high turnover, recruitment difficulties, and insufficient training, jeopardize continuity of care and may jeopardize safety and service user satisfaction, all while increasing workload pressures and reducing time for personalised interventions (Emerson et al., 2020; Skills for Care, 2022). Inequitable access for minority, rural, or socially disadvantaged groups, limited infrastructure, and environmental or transportation constraints are also additional obstacles (Shakespeare, 2018; WHO, 2021). To provide high-quality, accessible, and equitable community disability services, these concerns must be addressed through long-term funding, staff development, inclusive infrastructure, and supportive policy measures (Shakespeare, 2018; Emerson &amp; Hatton, 2014; Bigby &amp; Frawley, 2018).</w:t>
                            </w:r>
                          </w:p>
                          <w:p w14:paraId="30532A37" w14:textId="43F811F2" w:rsidR="00943CF1" w:rsidRDefault="00943CF1"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10.75pt;margin-top:304.05pt;width:249pt;height:144.6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UT1MQIAAFwEAAAOAAAAZHJzL2Uyb0RvYy54bWysVNuOmzAQfa/Uf7D83nAJuRSFrLbZTVVp&#13;&#10;e5G2/QBjDFg1Hmo7gfTrOzbZbHp7qcqD5cHD8ZlzZtjcjJ0iR2GsBF3QZBZTIjSHSuqmoF8+71+t&#13;&#10;KbGO6Yop0KKgJ2Hpzfbli83Q5yKFFlQlDEEQbfOhL2jrXJ9HkeWt6JidQS80HtZgOuYwNE1UGTYg&#13;&#10;eqeiNI6X0QCm6g1wYS2+vZsO6Tbg17Xg7mNdW+GIKihyc2E1YS39Gm03LG8M61vJzzTYP7DomNR4&#13;&#10;6QXqjjlGDkb+BtVJbsBC7WYcugjqWnIRasBqkviXah5b1otQC4pj+4tM9v/B8g/Hx/6TIW58AyMa&#13;&#10;GIqw/QPwr5Zo2LVMN+LWGBhawSq8OPGSRUNv8/OnXmqbWw9SDu+hQpPZwUEAGmvTeVWwToLoaMDp&#13;&#10;IroYHeH4cp4s02SdUsLxLFnPl/NVGu5g+dPnvbHurYCO+E1BDboa4NnxwTpPh+VPKf42C0pWe6lU&#13;&#10;CExT7pQhR4YdsA/PGf2nNKXJUNBstUwXkwR/xYjD8yeMTjrsZSW7gq4vSSz3wt3rKnSaY1JNe+Ss&#13;&#10;tCcoQpdiIRP12t1XjSCGVQVNF1kcWhSTr9KC+l7wSXo3liORmJ55Ut6MEqoT2mFganccT9y0YL5T&#13;&#10;MmCrF9R+OzAjKFHvNFr6OskyPxshyBarFANzfVJenzDNEaqgjpJpu3Nhnjx9DbdofS2DKc9Mzg2D&#13;&#10;LRy8Oo+bn5HrOGQ9/xS2PwAAAP//AwBQSwMEFAAGAAgAAAAhAKwv2Q3jAAAADwEAAA8AAABkcnMv&#13;&#10;ZG93bnJldi54bWxMT8lOwzAQvSPxD9YgcaN2ilrSNJOKRRVH1EIPvbmxSUK8RLHTpH/PcCqXkWbe&#13;&#10;m7fkm8kadtZ9aLxDSGYCmHalV42rEL4+tw8psBClU9J4pxEuOsCmuL3JZab86Hb6vI8VIxEXMolQ&#13;&#10;x9hlnIey1laGme+0I+zb91ZGWvuKq16OJG4Nnwux5FY2jhxq2enXWpftfrAIH+J9eyzb8eJfdk1r&#13;&#10;fqoh5YcB8f5uelvTeF4Di3qK1w/460D5oaBgJz84FZhBmCcLYiIsRZoAI8IiWdHlhJCunh6BFzn/&#13;&#10;36P4BQAA//8DAFBLAQItABQABgAIAAAAIQC2gziS/gAAAOEBAAATAAAAAAAAAAAAAAAAAAAAAABb&#13;&#10;Q29udGVudF9UeXBlc10ueG1sUEsBAi0AFAAGAAgAAAAhADj9If/WAAAAlAEAAAsAAAAAAAAAAAAA&#13;&#10;AAAALwEAAF9yZWxzLy5yZWxzUEsBAi0AFAAGAAgAAAAhAFN5RPUxAgAAXAQAAA4AAAAAAAAAAAAA&#13;&#10;AAAALgIAAGRycy9lMm9Eb2MueG1sUEsBAi0AFAAGAAgAAAAhAKwv2Q3jAAAADwEAAA8AAAAAAAAA&#13;&#10;AAAAAAAAiwQAAGRycy9kb3ducmV2LnhtbFBLBQYAAAAABAAEAPMAAACbBQAAAAA=&#13;&#10;" strokeweight="3.75pt">
                <v:textbox>
                  <w:txbxContent>
                    <w:p w14:paraId="0809CF7E" w14:textId="450479BD" w:rsidR="00BE6BE0" w:rsidRDefault="00943CF1" w:rsidP="00BE6BE0">
                      <w:r w:rsidRPr="00C82742">
                        <w:rPr>
                          <w:rFonts w:ascii="Arial" w:eastAsia="Times New Roman" w:hAnsi="Arial" w:cs="Arial"/>
                          <w:b/>
                          <w:bCs/>
                        </w:rPr>
                        <w:t>1.4</w:t>
                      </w:r>
                      <w:r w:rsidRPr="00C82742">
                        <w:rPr>
                          <w:rFonts w:ascii="Arial" w:eastAsia="Times New Roman" w:hAnsi="Arial" w:cs="Arial"/>
                          <w:b/>
                          <w:bCs/>
                        </w:rPr>
                        <w:tab/>
                        <w:t>Challenges Faced</w:t>
                      </w:r>
                    </w:p>
                    <w:p w14:paraId="7B69BC2F" w14:textId="64E958D6" w:rsidR="00BE6BE0" w:rsidRDefault="00D1019C" w:rsidP="00BE6BE0">
                      <w:r>
                        <w:rPr>
                          <w:noProof/>
                        </w:rPr>
                        <w:drawing>
                          <wp:inline distT="0" distB="0" distL="0" distR="0" wp14:anchorId="6702049F" wp14:editId="4B2F4376">
                            <wp:extent cx="3193143" cy="876300"/>
                            <wp:effectExtent l="0" t="0" r="0" b="0"/>
                            <wp:docPr id="342264708" name="Picture 16" descr="Systemic Challenges in Australia's ND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ystemic Challenges in Australia's NDIS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99693" cy="878097"/>
                                    </a:xfrm>
                                    <a:prstGeom prst="rect">
                                      <a:avLst/>
                                    </a:prstGeom>
                                    <a:noFill/>
                                    <a:ln>
                                      <a:noFill/>
                                    </a:ln>
                                  </pic:spPr>
                                </pic:pic>
                              </a:graphicData>
                            </a:graphic>
                          </wp:inline>
                        </w:drawing>
                      </w:r>
                    </w:p>
                    <w:p w14:paraId="6595E1D4" w14:textId="5DFFDE75" w:rsidR="00E52E66" w:rsidRPr="00D1019C" w:rsidRDefault="00E52E66" w:rsidP="00D1019C">
                      <w:pPr>
                        <w:spacing w:after="0" w:line="360" w:lineRule="auto"/>
                        <w:rPr>
                          <w:rFonts w:ascii="Arial" w:eastAsia="Times New Roman" w:hAnsi="Arial" w:cs="Arial"/>
                          <w:sz w:val="13"/>
                          <w:szCs w:val="13"/>
                        </w:rPr>
                      </w:pPr>
                      <w:r w:rsidRPr="00D1019C">
                        <w:rPr>
                          <w:rFonts w:ascii="Arial" w:eastAsia="Times New Roman" w:hAnsi="Arial" w:cs="Arial"/>
                          <w:sz w:val="13"/>
                          <w:szCs w:val="13"/>
                        </w:rPr>
                        <w:t xml:space="preserve">Community disability services </w:t>
                      </w:r>
                      <w:r w:rsidR="00B16A3D" w:rsidRPr="00D1019C">
                        <w:rPr>
                          <w:rFonts w:ascii="Arial" w:eastAsia="Times New Roman" w:hAnsi="Arial" w:cs="Arial"/>
                          <w:sz w:val="13"/>
                          <w:szCs w:val="13"/>
                        </w:rPr>
                        <w:t>encountered</w:t>
                      </w:r>
                      <w:r w:rsidRPr="00D1019C">
                        <w:rPr>
                          <w:rFonts w:ascii="Arial" w:eastAsia="Times New Roman" w:hAnsi="Arial" w:cs="Arial"/>
                          <w:sz w:val="13"/>
                          <w:szCs w:val="13"/>
                        </w:rPr>
                        <w:t xml:space="preserve"> numerous issues that impact service delivery and quality. Funding constraints limit the availability and intensity of support, leading organizations to prioritize care and potentially compromising service quality, such as access to assistive technologies and facility maintenance (Glasby &amp; Dickinson, 2021; Munday, 2018; WHO, 2021). Workforce shortages, such as high turnover, recruitment difficulties, and insufficient training, jeopardize continuity of care and may jeopardize safety and service user satisfaction, all while increasing workload pressures and reducing time for personalised interventions (Emerson et al., 2020; Skills for Care, 2022). Inequitable access for minority, rural, or socially disadvantaged groups, limited infrastructure, and environmental or transportation constraints are also additional obstacles (Shakespeare, 2018; WHO, 2021). To provide high-quality, accessible, and equitable community disability services, these concerns must be addressed through long-term funding, staff development, inclusive infrastructure, and supportive policy measures (Shakespeare, 2018; Emerson &amp; Hatton, 2014; Bigby &amp; Frawley, 2018).</w:t>
                      </w:r>
                    </w:p>
                    <w:p w14:paraId="30532A37" w14:textId="43F811F2" w:rsidR="00943CF1" w:rsidRDefault="00943CF1" w:rsidP="00BE6BE0"/>
                  </w:txbxContent>
                </v:textbox>
                <w10:wrap type="square" anchorx="page"/>
              </v:shape>
            </w:pict>
          </mc:Fallback>
        </mc:AlternateContent>
      </w:r>
      <w:r w:rsidR="00BC7B58">
        <w:rPr>
          <w:noProof/>
        </w:rPr>
        <mc:AlternateContent>
          <mc:Choice Requires="wps">
            <w:drawing>
              <wp:anchor distT="45720" distB="45720" distL="114300" distR="114300" simplePos="0" relativeHeight="251663360" behindDoc="0" locked="0" layoutInCell="1" allowOverlap="1" wp14:anchorId="04CAE92E" wp14:editId="4CF04856">
                <wp:simplePos x="0" y="0"/>
                <wp:positionH relativeFrom="page">
                  <wp:posOffset>67945</wp:posOffset>
                </wp:positionH>
                <wp:positionV relativeFrom="paragraph">
                  <wp:posOffset>873125</wp:posOffset>
                </wp:positionV>
                <wp:extent cx="3084830" cy="2908935"/>
                <wp:effectExtent l="25400" t="25400" r="26670" b="2476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4830" cy="2908935"/>
                        </a:xfrm>
                        <a:prstGeom prst="rect">
                          <a:avLst/>
                        </a:prstGeom>
                        <a:solidFill>
                          <a:srgbClr val="FFFFFF"/>
                        </a:solidFill>
                        <a:ln w="47625">
                          <a:solidFill>
                            <a:schemeClr val="accent2"/>
                          </a:solidFill>
                          <a:miter lim="800000"/>
                          <a:headEnd/>
                          <a:tailEnd/>
                        </a:ln>
                        <a:effectLst>
                          <a:softEdge rad="25400"/>
                        </a:effectLst>
                      </wps:spPr>
                      <wps:txbx>
                        <w:txbxContent>
                          <w:p w14:paraId="212CC376" w14:textId="5AAE1ECB" w:rsidR="00236969" w:rsidRPr="00B57684" w:rsidRDefault="00236969" w:rsidP="00B57684">
                            <w:pPr>
                              <w:rPr>
                                <w:rFonts w:ascii="Arial" w:eastAsia="Times New Roman" w:hAnsi="Arial" w:cs="Arial"/>
                                <w:b/>
                                <w:bCs/>
                              </w:rPr>
                            </w:pPr>
                            <w:r w:rsidRPr="00236969">
                              <w:rPr>
                                <w:rFonts w:ascii="Arial" w:eastAsia="Times New Roman" w:hAnsi="Arial" w:cs="Arial"/>
                                <w:b/>
                                <w:bCs/>
                              </w:rPr>
                              <w:t>1.0 Introduction</w:t>
                            </w:r>
                            <w:r w:rsidR="00B57684">
                              <w:rPr>
                                <w:rFonts w:ascii="Arial" w:eastAsia="Times New Roman" w:hAnsi="Arial" w:cs="Arial"/>
                                <w:b/>
                                <w:bCs/>
                              </w:rPr>
                              <w:br/>
                            </w:r>
                            <w:r w:rsidRPr="00B57684">
                              <w:rPr>
                                <w:rFonts w:ascii="Arial" w:eastAsia="Times New Roman" w:hAnsi="Arial" w:cs="Arial"/>
                                <w:sz w:val="14"/>
                                <w:szCs w:val="14"/>
                              </w:rPr>
                              <w:t xml:space="preserve">Community disability services are structured programs that aim to provide support to people with physical, learning, sensory, or combined disabilities to ensure full participation in society. This enables them to become independent in society (Shakespeare, 2018; WHO, 2021). The services provide a comprehensive approach to meet the needs of service users through the integration of healthcare, social care, and educational programs. This ensures access to appropriate support services while encouraging active participation in the community (Emerson &amp; Hatton, 2014; Bigby &amp; Frawley, 2018). The </w:t>
                            </w:r>
                            <w:r w:rsidR="00B57684" w:rsidRPr="00B57684">
                              <w:rPr>
                                <w:rFonts w:ascii="Arial" w:eastAsia="Times New Roman" w:hAnsi="Arial" w:cs="Arial"/>
                                <w:sz w:val="14"/>
                                <w:szCs w:val="14"/>
                              </w:rPr>
                              <w:t>goal</w:t>
                            </w:r>
                            <w:r w:rsidRPr="00B57684">
                              <w:rPr>
                                <w:rFonts w:ascii="Arial" w:eastAsia="Times New Roman" w:hAnsi="Arial" w:cs="Arial"/>
                                <w:sz w:val="14"/>
                                <w:szCs w:val="14"/>
                              </w:rPr>
                              <w:t xml:space="preserve"> is to ensure the improvement of the quality of life through the promotion of autonomy and inclusion in society (Barnes &amp; Mercer, 2017).</w:t>
                            </w:r>
                          </w:p>
                          <w:p w14:paraId="44A2397F" w14:textId="4D535C69" w:rsidR="00BE6BE0" w:rsidRPr="00B57684" w:rsidRDefault="00236969" w:rsidP="00B57684">
                            <w:pPr>
                              <w:jc w:val="both"/>
                              <w:rPr>
                                <w:rFonts w:ascii="Arial" w:hAnsi="Arial" w:cs="Arial"/>
                                <w:sz w:val="14"/>
                                <w:szCs w:val="14"/>
                              </w:rPr>
                            </w:pPr>
                            <w:r w:rsidRPr="00B57684">
                              <w:rPr>
                                <w:rFonts w:ascii="Arial" w:eastAsia="Times New Roman" w:hAnsi="Arial" w:cs="Arial"/>
                                <w:sz w:val="14"/>
                                <w:szCs w:val="14"/>
                              </w:rPr>
                              <w:t>According to Rioux &amp; Valentine (2019), community disability services provide a platform for service users to access healthcare services, education, and employment opportunities without facing discrimination. The structured support provided in daily activities such as personal care, mobility support, communication skills, and community participation reduces dependency. This enables service users to become independent in society (Glasby, 2020; Liddiard, 2016). In addition, community disability services contribute to the achievement of public health goals through the reduction of secondary health problems. This includes pressure sores, social isolation, mental health problems, which are associated with poor support services (Emerson et al., 2020; WHO,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5.35pt;margin-top:68.75pt;width:242.9pt;height:229.0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DtgBNgIAAF8EAAAOAAAAZHJzL2Uyb0RvYy54bWysVNtu2zAMfR+wfxD0vti5tYkRp+jSZhjQ&#13;&#10;XYBuH0DLcixMFj1JiZ19fSk5TdNtT8P8IJAmfUSeQ3p10zeaHaR1Ck3Ox6OUM2kElsrscv792/bd&#13;&#10;gjPnwZSg0cicH6XjN+u3b1Zdm8kJ1qhLaRmBGJd1bc5r79ssSZyoZQNuhK00FKzQNuDJtbuktNAR&#13;&#10;eqOTSZpeJR3asrUopHP09m4I8nXEryop/JeqctIznXOqzcfTxrMIZ7JeQbaz0NZKnMqAf6iiAWXo&#13;&#10;0jPUHXhge6v+gGqUsOiw8iOBTYJVpYSMPVA34/S3bh5raGXshchx7Zkm9/9gxefDY/vVMt+/x54E&#13;&#10;jE249gHFD8cMbmowO3lrLXa1hJIuHgfKkq512enTQLXLXAApuk9Yksiw9xiB+so2gRXqkxE6CXA8&#13;&#10;ky57zwS9nKaL2WJKIUGxyTJdLKfzeAdkz5+31vkPEhsWjJxbUjXCw+HB+VAOZM8p4TaHWpVbpXV0&#13;&#10;7K7YaMsOQBOwjc8J/VWaNqzL+ez6ajIfKHiFEaZRnlFACGn85G8wjfI0zlo1OV+k4QlJkAXu7k0Z&#13;&#10;bQ9KDzaVrU0Iyzio1MtQfeXvy51kFkoiZD4bQCj5Ii0KEDgf2Pd90TNF6ZG5oEeB5ZEUsThMPG0o&#13;&#10;GTXaX5x1NO05dz/3YCVn+qMhVZfj2SysR3Rm8+sJOfYyUlxGwAiCyrnnbDA3Pq5UKN/gLalfqajL&#13;&#10;SyWnmaEpjnKdNi6syaUfs17+C+snAAAA//8DAFBLAwQUAAYACAAAACEAOCid++MAAAAPAQAADwAA&#13;&#10;AGRycy9kb3ducmV2LnhtbExPy07DMBC8I/UfrK3EjTqFJm3TOFUFReIQCVL4ADd2HsJeR7HbpH/P&#13;&#10;coLL7o52dnYm20/WsKsefOdQwHIRAdNYOdVhI+Dr8/VhA8wHiUoah1rATXvY57O7TKbKjVjq6yk0&#13;&#10;jETQp1JAG0Kfcu6rVlvpF67XSLvaDVYGgkPD1SBHEreGP0ZRwq3skD60stfPra6+Txcr4G0qj7fV&#13;&#10;x4iFqYvS1YfiuHzfCHE/n152VA47YEFP4e8CfjOQf8jJ2NldUHlmCEdrYlJ/WsfAiLDaJjScBcTb&#13;&#10;OAGeZ/x/jvwHAAD//wMAUEsBAi0AFAAGAAgAAAAhALaDOJL+AAAA4QEAABMAAAAAAAAAAAAAAAAA&#13;&#10;AAAAAFtDb250ZW50X1R5cGVzXS54bWxQSwECLQAUAAYACAAAACEAOP0h/9YAAACUAQAACwAAAAAA&#13;&#10;AAAAAAAAAAAvAQAAX3JlbHMvLnJlbHNQSwECLQAUAAYACAAAACEAVw7YATYCAABfBAAADgAAAAAA&#13;&#10;AAAAAAAAAAAuAgAAZHJzL2Uyb0RvYy54bWxQSwECLQAUAAYACAAAACEAOCid++MAAAAPAQAADwAA&#13;&#10;AAAAAAAAAAAAAACQBAAAZHJzL2Rvd25yZXYueG1sUEsFBgAAAAAEAAQA8wAAAKAFAAAAAA==&#13;&#10;" strokecolor="#ed7d31 [3205]" strokeweight="3.75pt">
                <v:textbox>
                  <w:txbxContent>
                    <w:p w14:paraId="212CC376" w14:textId="5AAE1ECB" w:rsidR="00236969" w:rsidRPr="00B57684" w:rsidRDefault="00236969" w:rsidP="00B57684">
                      <w:pPr>
                        <w:rPr>
                          <w:rFonts w:ascii="Arial" w:eastAsia="Times New Roman" w:hAnsi="Arial" w:cs="Arial"/>
                          <w:b/>
                          <w:bCs/>
                        </w:rPr>
                      </w:pPr>
                      <w:r w:rsidRPr="00236969">
                        <w:rPr>
                          <w:rFonts w:ascii="Arial" w:eastAsia="Times New Roman" w:hAnsi="Arial" w:cs="Arial"/>
                          <w:b/>
                          <w:bCs/>
                        </w:rPr>
                        <w:t>1.0 Introduction</w:t>
                      </w:r>
                      <w:r w:rsidR="00B57684">
                        <w:rPr>
                          <w:rFonts w:ascii="Arial" w:eastAsia="Times New Roman" w:hAnsi="Arial" w:cs="Arial"/>
                          <w:b/>
                          <w:bCs/>
                        </w:rPr>
                        <w:br/>
                      </w:r>
                      <w:r w:rsidRPr="00B57684">
                        <w:rPr>
                          <w:rFonts w:ascii="Arial" w:eastAsia="Times New Roman" w:hAnsi="Arial" w:cs="Arial"/>
                          <w:sz w:val="14"/>
                          <w:szCs w:val="14"/>
                        </w:rPr>
                        <w:t xml:space="preserve">Community disability services are structured programs that aim to provide support to people with physical, learning, sensory, or combined disabilities to ensure full participation in society. This enables them to become independent in society (Shakespeare, 2018; WHO, 2021). The services provide a comprehensive approach to meet the needs of service users through the integration of healthcare, social care, and educational programs. This ensures access to appropriate support services while encouraging active participation in the community (Emerson &amp; Hatton, 2014; Bigby &amp; Frawley, 2018). The </w:t>
                      </w:r>
                      <w:r w:rsidR="00B57684" w:rsidRPr="00B57684">
                        <w:rPr>
                          <w:rFonts w:ascii="Arial" w:eastAsia="Times New Roman" w:hAnsi="Arial" w:cs="Arial"/>
                          <w:sz w:val="14"/>
                          <w:szCs w:val="14"/>
                        </w:rPr>
                        <w:t>goal</w:t>
                      </w:r>
                      <w:r w:rsidRPr="00B57684">
                        <w:rPr>
                          <w:rFonts w:ascii="Arial" w:eastAsia="Times New Roman" w:hAnsi="Arial" w:cs="Arial"/>
                          <w:sz w:val="14"/>
                          <w:szCs w:val="14"/>
                        </w:rPr>
                        <w:t xml:space="preserve"> is to ensure the improvement of the quality of life through the promotion of autonomy and inclusion in society (Barnes &amp; Mercer, 2017).</w:t>
                      </w:r>
                    </w:p>
                    <w:p w14:paraId="44A2397F" w14:textId="4D535C69" w:rsidR="00BE6BE0" w:rsidRPr="00B57684" w:rsidRDefault="00236969" w:rsidP="00B57684">
                      <w:pPr>
                        <w:jc w:val="both"/>
                        <w:rPr>
                          <w:rFonts w:ascii="Arial" w:hAnsi="Arial" w:cs="Arial"/>
                          <w:sz w:val="14"/>
                          <w:szCs w:val="14"/>
                        </w:rPr>
                      </w:pPr>
                      <w:r w:rsidRPr="00B57684">
                        <w:rPr>
                          <w:rFonts w:ascii="Arial" w:eastAsia="Times New Roman" w:hAnsi="Arial" w:cs="Arial"/>
                          <w:sz w:val="14"/>
                          <w:szCs w:val="14"/>
                        </w:rPr>
                        <w:t>According to Rioux &amp; Valentine (2019), community disability services provide a platform for service users to access healthcare services, education, and employment opportunities without facing discrimination. The structured support provided in daily activities such as personal care, mobility support, communication skills, and community participation reduces dependency. This enables service users to become independent in society (Glasby, 2020; Liddiard, 2016). In addition, community disability services contribute to the achievement of public health goals through the reduction of secondary health problems. This includes pressure sores, social isolation, mental health problems, which are associated with poor support services (Emerson et al., 2020; WHO, 2021).</w:t>
                      </w:r>
                    </w:p>
                  </w:txbxContent>
                </v:textbox>
                <w10:wrap type="square" anchorx="page"/>
              </v:shape>
            </w:pict>
          </mc:Fallback>
        </mc:AlternateContent>
      </w:r>
      <w:r w:rsidR="004A43F3">
        <w:rPr>
          <w:noProof/>
        </w:rPr>
        <mc:AlternateContent>
          <mc:Choice Requires="wps">
            <w:drawing>
              <wp:anchor distT="45720" distB="45720" distL="114300" distR="114300" simplePos="0" relativeHeight="251669504" behindDoc="0" locked="0" layoutInCell="1" allowOverlap="1" wp14:anchorId="298766ED" wp14:editId="65158453">
                <wp:simplePos x="0" y="0"/>
                <wp:positionH relativeFrom="column">
                  <wp:posOffset>6400165</wp:posOffset>
                </wp:positionH>
                <wp:positionV relativeFrom="paragraph">
                  <wp:posOffset>896620</wp:posOffset>
                </wp:positionV>
                <wp:extent cx="3281045" cy="2685415"/>
                <wp:effectExtent l="25400" t="25400" r="20955" b="1968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1045" cy="2685415"/>
                        </a:xfrm>
                        <a:prstGeom prst="rect">
                          <a:avLst/>
                        </a:prstGeom>
                        <a:solidFill>
                          <a:srgbClr val="FFFFFF"/>
                        </a:solidFill>
                        <a:ln w="44450">
                          <a:solidFill>
                            <a:srgbClr val="000000"/>
                          </a:solidFill>
                          <a:miter lim="800000"/>
                          <a:headEnd/>
                          <a:tailEnd/>
                        </a:ln>
                        <a:effectLst>
                          <a:softEdge rad="25400"/>
                        </a:effectLst>
                      </wps:spPr>
                      <wps:txbx>
                        <w:txbxContent>
                          <w:p w14:paraId="2F2C6041" w14:textId="63EDC0DA" w:rsidR="00BE6BE0" w:rsidRDefault="00943CF1" w:rsidP="00D1019C">
                            <w:pPr>
                              <w:jc w:val="center"/>
                            </w:pPr>
                            <w:r w:rsidRPr="00C82742">
                              <w:rPr>
                                <w:rFonts w:ascii="Arial" w:eastAsia="Times New Roman" w:hAnsi="Arial" w:cs="Arial"/>
                                <w:b/>
                                <w:bCs/>
                              </w:rPr>
                              <w:t>1.3</w:t>
                            </w:r>
                            <w:r w:rsidRPr="00C82742">
                              <w:rPr>
                                <w:rFonts w:ascii="Arial" w:eastAsia="Times New Roman" w:hAnsi="Arial" w:cs="Arial"/>
                                <w:b/>
                                <w:bCs/>
                              </w:rPr>
                              <w:tab/>
                              <w:t>Current Functioning</w:t>
                            </w:r>
                            <w:r w:rsidR="00B57684">
                              <w:rPr>
                                <w:noProof/>
                              </w:rPr>
                              <w:drawing>
                                <wp:inline distT="0" distB="0" distL="0" distR="0" wp14:anchorId="330C6481" wp14:editId="207F373A">
                                  <wp:extent cx="1489177" cy="603315"/>
                                  <wp:effectExtent l="0" t="0" r="0" b="6350"/>
                                  <wp:docPr id="716056359" name="Picture 12" descr="The Team Approach for Those with MNC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eam Approach for Those with MNCD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67893" cy="63520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2" type="#_x0000_t202" style="position:absolute;margin-left:503.95pt;margin-top:70.6pt;width:258.35pt;height:211.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V4/xMAIAAFwEAAAOAAAAZHJzL2Uyb0RvYy54bWysVNuOmzAQfa/Uf7D83gAppCkKWW2zm6rS&#13;&#10;9iJt+wHGGLBqPK7tBLZf37HJZtPbS1UeLA8ejs+cM8PmahoUOQrrJOiKZouUEqE5NFJ3Ff3yef9i&#13;&#10;TYnzTDdMgRYVfRCOXm2fP9uMphRL6EE1whIE0a4cTUV7702ZJI73YmBuAUZoPGzBDsxjaLuksWxE&#13;&#10;9EElyzRdJSPYxljgwjl8ezMf0m3Eb1vB/ce2dcITVVHk5uNq41qHNdluWNlZZnrJTzTYP7AYmNR4&#13;&#10;6RnqhnlGDlb+BjVIbsFB6xcchgTaVnIRa8BqsvSXau57ZkSsBcVx5iyT+3+w/MPx3nyyxE9vYEID&#13;&#10;YxHO3AH/6oiGXc90J66thbEXrMGLsyBZMhpXnj4NUrvSBZB6fA8NmswOHiLQ1NohqIJ1EkRHAx7O&#13;&#10;oovJE44vXy7XWZoXlHA8W67WRZ4V8Q5WPn5urPNvBQwkbCpq0dUIz453zgc6rHxMCbc5ULLZS6Vi&#13;&#10;YLt6pyw5MuyAfXxO6D+lKU3GiuZ5XqSzBH/FSOPzJ4xBeuxlJYeKrs9JrAzC3eomdppnUs175Kx0&#13;&#10;IChil2IhM/XW3zadIJY1qEaRp7FFMfkiLaofBJ+l91M9EYnpq0AqmFFD84B2WJjbHccTNz3Y75SM&#13;&#10;2OoVdd8OzApK1DuNlr7O8jzMRgzy4tUSA3t5Ul+eMM0RqqKeknm783GeAn0N12h9K6MpT0xODYMt&#13;&#10;HL06jVuYkcs4Zj39FLY/AAAA//8DAFBLAwQUAAYACAAAACEAD/YTHeUAAAASAQAADwAAAGRycy9k&#13;&#10;b3ducmV2LnhtbExPTUvDQBC9C/6HZQRvdjchiW2aTRFFEKWIacXrNlmzwexsmt228d93etLLMI95&#13;&#10;8z6K1WR7dtSj7xxKiGYCmMbaNR22Erab57s5MB8UNqp3qCX8ag+r8vqqUHnjTvihj1VoGYmgz5UE&#13;&#10;E8KQc+5ro63yMzdopNu3G60KBMeWN6M6kbjteSxExq3qkByMGvSj0fVPdbASKvf+NeB68zrt129u&#13;&#10;b7af6YuKpLy9mZ6WNB6WwIKewt8HXDpQfigp2M4dsPGsJyzE/YK4tCVRDOxCSeMkA7aTkGZJBLws&#13;&#10;+P8q5RkAAP//AwBQSwECLQAUAAYACAAAACEAtoM4kv4AAADhAQAAEwAAAAAAAAAAAAAAAAAAAAAA&#13;&#10;W0NvbnRlbnRfVHlwZXNdLnhtbFBLAQItABQABgAIAAAAIQA4/SH/1gAAAJQBAAALAAAAAAAAAAAA&#13;&#10;AAAAAC8BAABfcmVscy8ucmVsc1BLAQItABQABgAIAAAAIQACV4/xMAIAAFwEAAAOAAAAAAAAAAAA&#13;&#10;AAAAAC4CAABkcnMvZTJvRG9jLnhtbFBLAQItABQABgAIAAAAIQAP9hMd5QAAABIBAAAPAAAAAAAA&#13;&#10;AAAAAAAAAIoEAABkcnMvZG93bnJldi54bWxQSwUGAAAAAAQABADzAAAAnAUAAAAA&#13;&#10;" strokeweight="3.5pt">
                <v:textbox>
                  <w:txbxContent>
                    <w:p w14:paraId="2F2C6041" w14:textId="63EDC0DA" w:rsidR="00BE6BE0" w:rsidRDefault="00943CF1" w:rsidP="00D1019C">
                      <w:pPr>
                        <w:jc w:val="center"/>
                      </w:pPr>
                      <w:r w:rsidRPr="00C82742">
                        <w:rPr>
                          <w:rFonts w:ascii="Arial" w:eastAsia="Times New Roman" w:hAnsi="Arial" w:cs="Arial"/>
                          <w:b/>
                          <w:bCs/>
                        </w:rPr>
                        <w:t>1.3</w:t>
                      </w:r>
                      <w:r w:rsidRPr="00C82742">
                        <w:rPr>
                          <w:rFonts w:ascii="Arial" w:eastAsia="Times New Roman" w:hAnsi="Arial" w:cs="Arial"/>
                          <w:b/>
                          <w:bCs/>
                        </w:rPr>
                        <w:tab/>
                        <w:t>Current Functioning</w:t>
                      </w:r>
                      <w:r w:rsidR="00B57684">
                        <w:rPr>
                          <w:noProof/>
                        </w:rPr>
                        <w:drawing>
                          <wp:inline distT="0" distB="0" distL="0" distR="0" wp14:anchorId="330C6481" wp14:editId="207F373A">
                            <wp:extent cx="1489177" cy="603315"/>
                            <wp:effectExtent l="0" t="0" r="0" b="6350"/>
                            <wp:docPr id="716056359" name="Picture 12" descr="The Team Approach for Those with MNC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eam Approach for Those with MNCD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67893" cy="635205"/>
                                    </a:xfrm>
                                    <a:prstGeom prst="rect">
                                      <a:avLst/>
                                    </a:prstGeom>
                                    <a:noFill/>
                                    <a:ln>
                                      <a:noFill/>
                                    </a:ln>
                                  </pic:spPr>
                                </pic:pic>
                              </a:graphicData>
                            </a:graphic>
                          </wp:inline>
                        </w:drawing>
                      </w:r>
                    </w:p>
                  </w:txbxContent>
                </v:textbox>
                <w10:wrap type="square"/>
              </v:shape>
            </w:pict>
          </mc:Fallback>
        </mc:AlternateContent>
      </w:r>
      <w:r w:rsidR="00C75329">
        <w:rPr>
          <w:noProof/>
        </w:rPr>
        <mc:AlternateContent>
          <mc:Choice Requires="wps">
            <w:drawing>
              <wp:anchor distT="45720" distB="45720" distL="114300" distR="114300" simplePos="0" relativeHeight="251661312" behindDoc="0" locked="0" layoutInCell="1" allowOverlap="1" wp14:anchorId="3E780AA8" wp14:editId="0415FDFD">
                <wp:simplePos x="0" y="0"/>
                <wp:positionH relativeFrom="margin">
                  <wp:posOffset>-890033</wp:posOffset>
                </wp:positionH>
                <wp:positionV relativeFrom="paragraph">
                  <wp:posOffset>172</wp:posOffset>
                </wp:positionV>
                <wp:extent cx="10658475" cy="896448"/>
                <wp:effectExtent l="0" t="0" r="9525" b="1841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58475" cy="896448"/>
                        </a:xfrm>
                        <a:prstGeom prst="rect">
                          <a:avLst/>
                        </a:prstGeom>
                        <a:solidFill>
                          <a:srgbClr val="FFFFFF"/>
                        </a:solidFill>
                        <a:ln w="9525">
                          <a:solidFill>
                            <a:srgbClr val="000000"/>
                          </a:solidFill>
                          <a:miter lim="800000"/>
                          <a:headEnd/>
                          <a:tailEnd/>
                        </a:ln>
                        <a:effectLst>
                          <a:softEdge rad="50800"/>
                        </a:effectLst>
                      </wps:spPr>
                      <wps:txbx>
                        <w:txbxContent>
                          <w:p w14:paraId="68222198" w14:textId="082FA248" w:rsidR="00A133F5" w:rsidRPr="00A133F5" w:rsidRDefault="00A133F5" w:rsidP="00A133F5">
                            <w:pPr>
                              <w:spacing w:after="0" w:line="360" w:lineRule="auto"/>
                              <w:jc w:val="center"/>
                              <w:rPr>
                                <w:rFonts w:ascii="Arial" w:eastAsia="Times New Roman" w:hAnsi="Arial" w:cs="Arial"/>
                                <w:b/>
                                <w:bCs/>
                                <w:sz w:val="32"/>
                                <w:szCs w:val="32"/>
                              </w:rPr>
                            </w:pPr>
                            <w:r w:rsidRPr="00A133F5">
                              <w:rPr>
                                <w:rFonts w:ascii="Arial" w:eastAsia="Times New Roman" w:hAnsi="Arial" w:cs="Arial"/>
                                <w:b/>
                                <w:bCs/>
                                <w:sz w:val="32"/>
                                <w:szCs w:val="32"/>
                              </w:rPr>
                              <w:t>Community Disability Services</w:t>
                            </w:r>
                          </w:p>
                          <w:p w14:paraId="4B29F551" w14:textId="448338A2" w:rsidR="00BE6BE0" w:rsidRPr="00C82CC0" w:rsidRDefault="00BE6BE0" w:rsidP="00C75329">
                            <w:pPr>
                              <w:shd w:val="clear" w:color="auto" w:fill="F4B083" w:themeFill="accent2" w:themeFillTint="99"/>
                              <w:jc w:val="center"/>
                              <w:rPr>
                                <w:rFonts w:ascii="Arial" w:hAnsi="Arial" w:cs="Arial"/>
                                <w:sz w:val="24"/>
                                <w:szCs w:val="24"/>
                              </w:rPr>
                            </w:pPr>
                            <w:r w:rsidRPr="00C82CC0">
                              <w:rPr>
                                <w:rFonts w:ascii="Arial" w:hAnsi="Arial" w:cs="Arial"/>
                                <w:b/>
                                <w:bCs/>
                                <w:sz w:val="24"/>
                                <w:szCs w:val="24"/>
                              </w:rPr>
                              <w:t>Student Name</w:t>
                            </w:r>
                            <w:r w:rsidR="00A133F5" w:rsidRPr="00C82CC0">
                              <w:rPr>
                                <w:rFonts w:ascii="Arial" w:hAnsi="Arial" w:cs="Arial"/>
                                <w:b/>
                                <w:bCs/>
                                <w:sz w:val="24"/>
                                <w:szCs w:val="24"/>
                              </w:rPr>
                              <w:t>:</w:t>
                            </w:r>
                            <w:r w:rsidR="00A133F5" w:rsidRPr="00C82CC0">
                              <w:rPr>
                                <w:rFonts w:ascii="Arial" w:hAnsi="Arial" w:cs="Arial"/>
                                <w:sz w:val="24"/>
                                <w:szCs w:val="24"/>
                              </w:rPr>
                              <w:t xml:space="preserve"> Galaus Anniever Malibiran</w:t>
                            </w:r>
                            <w:r w:rsidRPr="00C82CC0">
                              <w:rPr>
                                <w:rFonts w:ascii="Arial" w:hAnsi="Arial" w:cs="Arial"/>
                                <w:sz w:val="24"/>
                                <w:szCs w:val="24"/>
                              </w:rPr>
                              <w:t xml:space="preserve"> </w:t>
                            </w:r>
                            <w:r w:rsidR="00DD37E9" w:rsidRPr="00C82CC0">
                              <w:rPr>
                                <w:rFonts w:ascii="Arial" w:hAnsi="Arial" w:cs="Arial"/>
                                <w:b/>
                                <w:bCs/>
                                <w:sz w:val="24"/>
                                <w:szCs w:val="24"/>
                              </w:rPr>
                              <w:t>Student ID</w:t>
                            </w:r>
                            <w:r w:rsidR="00DD37E9" w:rsidRPr="00C82CC0">
                              <w:rPr>
                                <w:rFonts w:ascii="Arial" w:hAnsi="Arial" w:cs="Arial"/>
                                <w:sz w:val="24"/>
                                <w:szCs w:val="24"/>
                              </w:rPr>
                              <w:t xml:space="preserve">: </w:t>
                            </w:r>
                            <w:r w:rsidR="00C82CC0" w:rsidRPr="00C82CC0">
                              <w:rPr>
                                <w:rFonts w:ascii="Arial" w:hAnsi="Arial" w:cs="Arial"/>
                                <w:sz w:val="24"/>
                                <w:szCs w:val="24"/>
                              </w:rPr>
                              <w:t>2508028,</w:t>
                            </w:r>
                            <w:r w:rsidRPr="00C82CC0">
                              <w:rPr>
                                <w:rFonts w:ascii="Arial" w:hAnsi="Arial" w:cs="Arial"/>
                                <w:b/>
                                <w:bCs/>
                                <w:sz w:val="24"/>
                                <w:szCs w:val="24"/>
                              </w:rPr>
                              <w:t>Course Name</w:t>
                            </w:r>
                            <w:r w:rsidR="00A133F5" w:rsidRPr="00C82CC0">
                              <w:rPr>
                                <w:rFonts w:ascii="Arial" w:hAnsi="Arial" w:cs="Arial"/>
                                <w:b/>
                                <w:bCs/>
                                <w:sz w:val="24"/>
                                <w:szCs w:val="24"/>
                              </w:rPr>
                              <w:t>:</w:t>
                            </w:r>
                            <w:r w:rsidR="00A133F5" w:rsidRPr="00C82CC0">
                              <w:rPr>
                                <w:rFonts w:ascii="Arial" w:hAnsi="Arial" w:cs="Arial"/>
                                <w:sz w:val="24"/>
                                <w:szCs w:val="24"/>
                              </w:rPr>
                              <w:t xml:space="preserve"> Introduction to Health and Social Care</w:t>
                            </w:r>
                            <w:r w:rsidR="004A43F3">
                              <w:rPr>
                                <w:rFonts w:ascii="Arial" w:hAnsi="Arial" w:cs="Arial"/>
                                <w:sz w:val="24"/>
                                <w:szCs w:val="24"/>
                              </w:rPr>
                              <w:t xml:space="preserve">, </w:t>
                            </w:r>
                            <w:r w:rsidRPr="00C82CC0">
                              <w:rPr>
                                <w:rFonts w:ascii="Arial" w:hAnsi="Arial" w:cs="Arial"/>
                                <w:b/>
                                <w:bCs/>
                                <w:sz w:val="24"/>
                                <w:szCs w:val="24"/>
                              </w:rPr>
                              <w:t>Email</w:t>
                            </w:r>
                            <w:r w:rsidR="00A133F5" w:rsidRPr="00C82CC0">
                              <w:rPr>
                                <w:rFonts w:ascii="Arial" w:hAnsi="Arial" w:cs="Arial"/>
                                <w:b/>
                                <w:bCs/>
                                <w:sz w:val="24"/>
                                <w:szCs w:val="24"/>
                              </w:rPr>
                              <w:t>:</w:t>
                            </w:r>
                            <w:r w:rsidR="00A133F5" w:rsidRPr="00C82CC0">
                              <w:rPr>
                                <w:rFonts w:ascii="Arial" w:hAnsi="Arial" w:cs="Arial"/>
                                <w:sz w:val="24"/>
                                <w:szCs w:val="24"/>
                              </w:rPr>
                              <w:t xml:space="preserve"> </w:t>
                            </w:r>
                            <w:r w:rsidR="00B57684" w:rsidRPr="00B57684">
                              <w:rPr>
                                <w:rFonts w:ascii="Arial" w:hAnsi="Arial" w:cs="Arial"/>
                                <w:sz w:val="24"/>
                                <w:szCs w:val="24"/>
                              </w:rPr>
                              <w:t>2508028@student.uwtsd.ac.uk</w:t>
                            </w:r>
                          </w:p>
                          <w:p w14:paraId="23B500BD" w14:textId="77777777" w:rsidR="00BE6BE0" w:rsidRPr="00A133F5" w:rsidRDefault="00BE6BE0" w:rsidP="00BE6BE0">
                            <w:pPr>
                              <w:shd w:val="clear" w:color="auto" w:fill="F4B083" w:themeFill="accent2" w:themeFillTint="99"/>
                              <w:rPr>
                                <w:rFonts w:ascii="Arial" w:hAnsi="Arial" w:cs="Arial"/>
                                <w:color w:val="00B0F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3" type="#_x0000_t202" style="position:absolute;margin-left:-70.1pt;margin-top:0;width:839.25pt;height:70.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sw66LQIAAFsEAAAOAAAAZHJzL2Uyb0RvYy54bWysVNuOmzAQfa/Uf7D83kAiyAWFrLbZTVVp&#13;&#10;u6207QcYY8Cq8VDbCaRf37Fhs+ntpSoPlocZzsycM8P2ZmgVOQljJeiczmcxJUJzKKWuc/rl8+HN&#13;&#10;mhLrmC6ZAi1yehaW3uxev9r2XSYW0IAqhSEIom3WdzltnOuyKLK8ES2zM+iERmcFpmUOTVNHpWE9&#13;&#10;orcqWsTxMurBlJ0BLqzFt3ejk+4CflUJ7j5WlRWOqJxibS6cJpyFP6PdlmW1YV0j+VQG+4cqWiY1&#13;&#10;Jr1A3THHyNHI36BayQ1YqNyMQxtBVUkuQg/YzTz+pZunhnUi9ILk2O5Ck/1/sPzx9NR9MsQNb2FA&#13;&#10;AUMTtnsA/tUSDfuG6VrcGgN9I1iJieeesqjvbDZ96qm2mfUgRf8BShSZHR0EoKEyrWcF+ySIjgKc&#13;&#10;L6SLwRHuU8bLdJ2sUko4OtebZZKsQw6WPX/eGeveCWiJv+TUoKoBnp0erPPlsOw5xGezoGR5kEoF&#13;&#10;w9TFXhlyYjgBh/BM6D+FKU36nG7SRToy8FeIODx/gmilw1FWssUuLkEs87zd6zIMmmNSjXcsWWlf&#13;&#10;nwhDin2MlVfuvqwFMazMaRojzpTpKiyQ7/kemXdDMRCJ4Ssf6rUooDyjGgbGacftxEsD5jslPU56&#13;&#10;Tu23IzOCEvVeo6KbeZL41QhGkq4WaJhrT3HtYZojVE4dJeN178I6+fI13KLylQyavFQyzQtOcJBq&#13;&#10;2ja/Itd2iHr5J+x+AAAA//8DAFBLAwQUAAYACAAAACEAHrxqweQAAAAPAQAADwAAAGRycy9kb3du&#13;&#10;cmV2LnhtbEyPT0/DMAzF70h8h8hIXNCW/mOUrumEQKBxYxuCa9ZmbUXilCTryrfHO8HFsvXs5/cr&#13;&#10;V5PRbFTO9xYFxPMImMLaNj22At53z7McmA8SG6ktKgE/ysOqurwoZdHYE27UuA0tIxP0hRTQhTAU&#13;&#10;nPu6U0b6uR0UknawzshAo2t54+SJzI3mSRQtuJE90odODuqxU/XX9mgE5Nl6/PSv6dtHvTjo+3Bz&#13;&#10;N758OyGur6anJZWHJbCgpvB3AWcGyg8VBdvbIzaeaQGzOIsS2hVAXGf9Ns1TYHvqsjgBXpX8P0f1&#13;&#10;CwAA//8DAFBLAQItABQABgAIAAAAIQC2gziS/gAAAOEBAAATAAAAAAAAAAAAAAAAAAAAAABbQ29u&#13;&#10;dGVudF9UeXBlc10ueG1sUEsBAi0AFAAGAAgAAAAhADj9If/WAAAAlAEAAAsAAAAAAAAAAAAAAAAA&#13;&#10;LwEAAF9yZWxzLy5yZWxzUEsBAi0AFAAGAAgAAAAhAGuzDrotAgAAWwQAAA4AAAAAAAAAAAAAAAAA&#13;&#10;LgIAAGRycy9lMm9Eb2MueG1sUEsBAi0AFAAGAAgAAAAhAB68asHkAAAADwEAAA8AAAAAAAAAAAAA&#13;&#10;AAAAhwQAAGRycy9kb3ducmV2LnhtbFBLBQYAAAAABAAEAPMAAACYBQAAAAA=&#13;&#10;">
                <v:textbox>
                  <w:txbxContent>
                    <w:p w14:paraId="68222198" w14:textId="082FA248" w:rsidR="00A133F5" w:rsidRPr="00A133F5" w:rsidRDefault="00A133F5" w:rsidP="00A133F5">
                      <w:pPr>
                        <w:spacing w:after="0" w:line="360" w:lineRule="auto"/>
                        <w:jc w:val="center"/>
                        <w:rPr>
                          <w:rFonts w:ascii="Arial" w:eastAsia="Times New Roman" w:hAnsi="Arial" w:cs="Arial"/>
                          <w:b/>
                          <w:bCs/>
                          <w:sz w:val="32"/>
                          <w:szCs w:val="32"/>
                        </w:rPr>
                      </w:pPr>
                      <w:r w:rsidRPr="00A133F5">
                        <w:rPr>
                          <w:rFonts w:ascii="Arial" w:eastAsia="Times New Roman" w:hAnsi="Arial" w:cs="Arial"/>
                          <w:b/>
                          <w:bCs/>
                          <w:sz w:val="32"/>
                          <w:szCs w:val="32"/>
                        </w:rPr>
                        <w:t>Community Disability Services</w:t>
                      </w:r>
                    </w:p>
                    <w:p w14:paraId="4B29F551" w14:textId="448338A2" w:rsidR="00BE6BE0" w:rsidRPr="00C82CC0" w:rsidRDefault="00BE6BE0" w:rsidP="00C75329">
                      <w:pPr>
                        <w:shd w:val="clear" w:color="auto" w:fill="F4B083" w:themeFill="accent2" w:themeFillTint="99"/>
                        <w:jc w:val="center"/>
                        <w:rPr>
                          <w:rFonts w:ascii="Arial" w:hAnsi="Arial" w:cs="Arial"/>
                          <w:sz w:val="24"/>
                          <w:szCs w:val="24"/>
                        </w:rPr>
                      </w:pPr>
                      <w:r w:rsidRPr="00C82CC0">
                        <w:rPr>
                          <w:rFonts w:ascii="Arial" w:hAnsi="Arial" w:cs="Arial"/>
                          <w:b/>
                          <w:bCs/>
                          <w:sz w:val="24"/>
                          <w:szCs w:val="24"/>
                        </w:rPr>
                        <w:t>Student Name</w:t>
                      </w:r>
                      <w:r w:rsidR="00A133F5" w:rsidRPr="00C82CC0">
                        <w:rPr>
                          <w:rFonts w:ascii="Arial" w:hAnsi="Arial" w:cs="Arial"/>
                          <w:b/>
                          <w:bCs/>
                          <w:sz w:val="24"/>
                          <w:szCs w:val="24"/>
                        </w:rPr>
                        <w:t>:</w:t>
                      </w:r>
                      <w:r w:rsidR="00A133F5" w:rsidRPr="00C82CC0">
                        <w:rPr>
                          <w:rFonts w:ascii="Arial" w:hAnsi="Arial" w:cs="Arial"/>
                          <w:sz w:val="24"/>
                          <w:szCs w:val="24"/>
                        </w:rPr>
                        <w:t xml:space="preserve"> Galaus Anniever Malibiran</w:t>
                      </w:r>
                      <w:r w:rsidRPr="00C82CC0">
                        <w:rPr>
                          <w:rFonts w:ascii="Arial" w:hAnsi="Arial" w:cs="Arial"/>
                          <w:sz w:val="24"/>
                          <w:szCs w:val="24"/>
                        </w:rPr>
                        <w:t xml:space="preserve"> </w:t>
                      </w:r>
                      <w:r w:rsidR="00DD37E9" w:rsidRPr="00C82CC0">
                        <w:rPr>
                          <w:rFonts w:ascii="Arial" w:hAnsi="Arial" w:cs="Arial"/>
                          <w:b/>
                          <w:bCs/>
                          <w:sz w:val="24"/>
                          <w:szCs w:val="24"/>
                        </w:rPr>
                        <w:t>Student ID</w:t>
                      </w:r>
                      <w:r w:rsidR="00DD37E9" w:rsidRPr="00C82CC0">
                        <w:rPr>
                          <w:rFonts w:ascii="Arial" w:hAnsi="Arial" w:cs="Arial"/>
                          <w:sz w:val="24"/>
                          <w:szCs w:val="24"/>
                        </w:rPr>
                        <w:t xml:space="preserve">: </w:t>
                      </w:r>
                      <w:r w:rsidR="00C82CC0" w:rsidRPr="00C82CC0">
                        <w:rPr>
                          <w:rFonts w:ascii="Arial" w:hAnsi="Arial" w:cs="Arial"/>
                          <w:sz w:val="24"/>
                          <w:szCs w:val="24"/>
                        </w:rPr>
                        <w:t>2508028,</w:t>
                      </w:r>
                      <w:r w:rsidRPr="00C82CC0">
                        <w:rPr>
                          <w:rFonts w:ascii="Arial" w:hAnsi="Arial" w:cs="Arial"/>
                          <w:b/>
                          <w:bCs/>
                          <w:sz w:val="24"/>
                          <w:szCs w:val="24"/>
                        </w:rPr>
                        <w:t>Course Name</w:t>
                      </w:r>
                      <w:r w:rsidR="00A133F5" w:rsidRPr="00C82CC0">
                        <w:rPr>
                          <w:rFonts w:ascii="Arial" w:hAnsi="Arial" w:cs="Arial"/>
                          <w:b/>
                          <w:bCs/>
                          <w:sz w:val="24"/>
                          <w:szCs w:val="24"/>
                        </w:rPr>
                        <w:t>:</w:t>
                      </w:r>
                      <w:r w:rsidR="00A133F5" w:rsidRPr="00C82CC0">
                        <w:rPr>
                          <w:rFonts w:ascii="Arial" w:hAnsi="Arial" w:cs="Arial"/>
                          <w:sz w:val="24"/>
                          <w:szCs w:val="24"/>
                        </w:rPr>
                        <w:t xml:space="preserve"> Introduction to Health and Social Care</w:t>
                      </w:r>
                      <w:r w:rsidR="004A43F3">
                        <w:rPr>
                          <w:rFonts w:ascii="Arial" w:hAnsi="Arial" w:cs="Arial"/>
                          <w:sz w:val="24"/>
                          <w:szCs w:val="24"/>
                        </w:rPr>
                        <w:t xml:space="preserve">, </w:t>
                      </w:r>
                      <w:r w:rsidRPr="00C82CC0">
                        <w:rPr>
                          <w:rFonts w:ascii="Arial" w:hAnsi="Arial" w:cs="Arial"/>
                          <w:b/>
                          <w:bCs/>
                          <w:sz w:val="24"/>
                          <w:szCs w:val="24"/>
                        </w:rPr>
                        <w:t>Email</w:t>
                      </w:r>
                      <w:r w:rsidR="00A133F5" w:rsidRPr="00C82CC0">
                        <w:rPr>
                          <w:rFonts w:ascii="Arial" w:hAnsi="Arial" w:cs="Arial"/>
                          <w:b/>
                          <w:bCs/>
                          <w:sz w:val="24"/>
                          <w:szCs w:val="24"/>
                        </w:rPr>
                        <w:t>:</w:t>
                      </w:r>
                      <w:r w:rsidR="00A133F5" w:rsidRPr="00C82CC0">
                        <w:rPr>
                          <w:rFonts w:ascii="Arial" w:hAnsi="Arial" w:cs="Arial"/>
                          <w:sz w:val="24"/>
                          <w:szCs w:val="24"/>
                        </w:rPr>
                        <w:t xml:space="preserve"> </w:t>
                      </w:r>
                      <w:r w:rsidR="00B57684" w:rsidRPr="00B57684">
                        <w:rPr>
                          <w:rFonts w:ascii="Arial" w:hAnsi="Arial" w:cs="Arial"/>
                          <w:sz w:val="24"/>
                          <w:szCs w:val="24"/>
                        </w:rPr>
                        <w:t>2508028@student.uwtsd.ac.uk</w:t>
                      </w:r>
                    </w:p>
                    <w:p w14:paraId="23B500BD" w14:textId="77777777" w:rsidR="00BE6BE0" w:rsidRPr="00A133F5" w:rsidRDefault="00BE6BE0" w:rsidP="00BE6BE0">
                      <w:pPr>
                        <w:shd w:val="clear" w:color="auto" w:fill="F4B083" w:themeFill="accent2" w:themeFillTint="99"/>
                        <w:rPr>
                          <w:rFonts w:ascii="Arial" w:hAnsi="Arial" w:cs="Arial"/>
                          <w:color w:val="00B0F0"/>
                        </w:rPr>
                      </w:pPr>
                    </w:p>
                  </w:txbxContent>
                </v:textbox>
                <w10:wrap type="square" anchorx="margin"/>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15637E22">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C8BA30"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O9yowIAANoFAAAOAAAAZHJzL2Uyb0RvYy54bWysVEtv2zAMvg/YfxB0X+0ESdoGdYqgRYcB&#13;&#10;XRusHXpWZCk2IImapMTJfv0o+ZH0gR2GXWSJj4/kZ5JX13utyE44X4Mp6Ogsp0QYDmVtNgX9+Xz3&#13;&#10;5YISH5gpmQIjCnoQnl4vPn+6auxcjKECVQpHEMT4eWMLWoVg51nmeSU082dghUGlBKdZwKfbZKVj&#13;&#10;DaJrlY3zfJY14ErrgAvvUXrbKuki4UspeHiU0otAVEExt5BOl851PLPFFZtvHLNVzbs02D9koVlt&#13;&#10;MOgAdcsCI1tXv4PSNXfgQYYzDjoDKWsuUg1YzSh/U81TxaxItSA53g40+f8Hyx92T3blkIbG+rnH&#13;&#10;a6xiL52OX8yP7BNZh4EssQ+Eo3CUz86nszGSylE5u5he5HniMzv6W+fDVwGaxEtBHf6OxBLb3fuA&#13;&#10;MdG0N4nhPKi6vKuVSo/YAuJGObJj+PPCfpRc1VZ/h7KVTTFi9wtRjD/6nZgpW7FWOpkd80vtFbFT&#13;&#10;Cq/CKvM+E7dZD3lcjm/zaV/niSeWEl2zI43pFg5KREBlfghJ6hKJG6c6hhTa7BjnwoS2RF+xUrwp&#13;&#10;BeEHj5R0AozIEvkasDuA19T12C3hnX10FWlABuf8b4m1zoNHigwmDM66NuA+AlBYVRe5te9JaqmJ&#13;&#10;LK2hPKwccdCOp7f8rsaGuWc+rJjDecQmwx0THvGQCpqCQnejpAL3+yN5tMcxQS0lDc53Qf2vLXOC&#13;&#10;EvXN4ABdjiaTuBDSYzI9j43sTjXrU43Z6hvALhzhNrM8XaN9UP1VOtAvuIqWMSqqmOEYu6A8uP5x&#13;&#10;E9q9g8uMi+UymeESsCzcmyfLI3hkNQ7E8/6FOdtNTcCJe4B+F7D5m+FpbaOngeU2gKzTZB157fjG&#13;&#10;BZIap1t2cUOdvpPVcSUv/gAAAP//AwBQSwMEFAAGAAgAAAAhAHMSkxXlAAAAEAEAAA8AAABkcnMv&#13;&#10;ZG93bnJldi54bWxMj0FvgzAMhe+T+h8iT9qtDdCpBUqoqk1IlbZL223aMSUZoBIHkdCyfz9zWi+W&#13;&#10;n2w/vy/bjqZlV927xqKAcBEA01ha1WAl4ONUzGNgzktUsrWoBfxqB9t89pDJVNkbHvT16CtGJuhS&#13;&#10;KaD2vks5d2WtjXQL22mk2Y/tjfQk+4qrXt7I3LQ8CoIVN7JB+lDLTr/UurwcByOg+I5P6rL/XHdf&#13;&#10;CS/eB49v4X4pxNPj+LqhstsA83r0/xcwMVB+yCnY2Q6oHGtJE44XMA+fp25aWMVRBOwsIFkmAfA8&#13;&#10;4/cg+R8AAAD//wMAUEsBAi0AFAAGAAgAAAAhALaDOJL+AAAA4QEAABMAAAAAAAAAAAAAAAAAAAAA&#13;&#10;AFtDb250ZW50X1R5cGVzXS54bWxQSwECLQAUAAYACAAAACEAOP0h/9YAAACUAQAACwAAAAAAAAAA&#13;&#10;AAAAAAAvAQAAX3JlbHMvLnJlbHNQSwECLQAUAAYACAAAACEAloTvcqMCAADaBQAADgAAAAAAAAAA&#13;&#10;AAAAAAAuAgAAZHJzL2Uyb0RvYy54bWxQSwECLQAUAAYACAAAACEAcxKTFeUAAAAQAQAADwAAAAAA&#13;&#10;AAAAAAAAAAD9BAAAZHJzL2Rvd25yZXYueG1sUEsFBgAAAAAEAAQA8wAAAA8GAAAAAA==&#13;&#10;" fillcolor="gray [1629]" strokecolor="#92d050" strokeweight="1pt">
                <v:fill opacity="30069f"/>
                <w10:wrap anchorx="page"/>
              </v:rect>
            </w:pict>
          </mc:Fallback>
        </mc:AlternateContent>
      </w:r>
    </w:p>
    <w:p w14:paraId="7E985953" w14:textId="77777777" w:rsidR="006400A2" w:rsidRDefault="003716A2" w:rsidP="006400A2">
      <w:pPr>
        <w:spacing w:before="100" w:beforeAutospacing="1" w:after="100" w:afterAutospacing="1" w:line="240" w:lineRule="auto"/>
        <w:outlineLvl w:val="1"/>
        <w:rPr>
          <w:rFonts w:ascii="Arial" w:eastAsia="Times New Roman" w:hAnsi="Arial" w:cs="Arial"/>
          <w:b/>
          <w:bCs/>
          <w:sz w:val="28"/>
          <w:szCs w:val="28"/>
          <w:lang w:eastAsia="en-GB"/>
        </w:rPr>
      </w:pPr>
      <w:r w:rsidRPr="003716A2">
        <w:rPr>
          <w:rFonts w:ascii="Arial" w:eastAsia="Times New Roman" w:hAnsi="Arial" w:cs="Arial"/>
          <w:b/>
          <w:bCs/>
          <w:sz w:val="28"/>
          <w:szCs w:val="28"/>
          <w:lang w:eastAsia="en-GB"/>
        </w:rPr>
        <w:lastRenderedPageBreak/>
        <w:t>Element 2</w:t>
      </w:r>
      <w:r w:rsidR="006400A2">
        <w:rPr>
          <w:rFonts w:ascii="Arial" w:eastAsia="Times New Roman" w:hAnsi="Arial" w:cs="Arial"/>
          <w:b/>
          <w:bCs/>
          <w:sz w:val="28"/>
          <w:szCs w:val="28"/>
          <w:lang w:eastAsia="en-GB"/>
        </w:rPr>
        <w:t xml:space="preserve"> </w:t>
      </w:r>
    </w:p>
    <w:p w14:paraId="1284F07C" w14:textId="6E7B79CA" w:rsidR="003716A2" w:rsidRPr="006400A2" w:rsidRDefault="003716A2" w:rsidP="006400A2">
      <w:pPr>
        <w:spacing w:before="100" w:beforeAutospacing="1" w:after="100" w:afterAutospacing="1" w:line="240" w:lineRule="auto"/>
        <w:outlineLvl w:val="1"/>
        <w:rPr>
          <w:rFonts w:ascii="Arial" w:eastAsia="Times New Roman" w:hAnsi="Arial" w:cs="Arial"/>
          <w:b/>
          <w:bCs/>
          <w:sz w:val="28"/>
          <w:szCs w:val="28"/>
          <w:lang w:eastAsia="en-GB"/>
        </w:rPr>
      </w:pPr>
      <w:r w:rsidRPr="006400A2">
        <w:rPr>
          <w:rFonts w:ascii="Arial" w:eastAsia="Times New Roman" w:hAnsi="Arial" w:cs="Arial"/>
          <w:b/>
          <w:bCs/>
          <w:sz w:val="24"/>
          <w:szCs w:val="24"/>
          <w:lang w:eastAsia="en-GB"/>
        </w:rPr>
        <w:t>Task 2: Essay: Community Antenatal Midwifery Service</w:t>
      </w:r>
      <w:r w:rsidR="00867D3E" w:rsidRPr="00867D3E">
        <w:rPr>
          <w:rFonts w:ascii="Arial" w:eastAsia="Times New Roman" w:hAnsi="Arial" w:cs="Arial"/>
          <w:noProof/>
          <w:sz w:val="24"/>
          <w:szCs w:val="24"/>
          <w:lang w:eastAsia="en-GB"/>
        </w:rPr>
        <w:pict w14:anchorId="45955E51">
          <v:rect id="_x0000_i1025" alt="" style="width:451.3pt;height:.05pt;mso-width-percent:0;mso-height-percent:0;mso-width-percent:0;mso-height-percent:0" o:hralign="center" o:hrstd="t" o:hr="t" fillcolor="#a0a0a0" stroked="f"/>
        </w:pict>
      </w:r>
    </w:p>
    <w:p w14:paraId="110A7933" w14:textId="77777777" w:rsidR="003716A2" w:rsidRPr="00F93CFB"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Traditional midwives, who were closely related to families and communities, established the foundation of community midwifery practice (Davis-Floyd, 2018). Their care was holistic and relational but rising maternal and newborn mortality in the nineteenth and early twentieth centuries highlighted the limitations of informal institutions. To promote safety and accountability, public health reformers implemented regulations and systematic training. The formation of the National Health Service in 1948 constituted a watershed moment, integrating midwifery into a national healthcare system while standardising education and access (Hunter, 2020).</w:t>
      </w:r>
    </w:p>
    <w:p w14:paraId="4511339F" w14:textId="100AD029" w:rsidR="003716A2" w:rsidRPr="003716A2" w:rsidRDefault="003716A2" w:rsidP="003716A2">
      <w:pPr>
        <w:spacing w:line="360" w:lineRule="auto"/>
        <w:jc w:val="both"/>
        <w:rPr>
          <w:rFonts w:ascii="Arial" w:eastAsia="Times New Roman" w:hAnsi="Arial" w:cs="Arial"/>
          <w:lang w:val="en-US"/>
        </w:rPr>
      </w:pPr>
      <w:r>
        <w:rPr>
          <w:rFonts w:ascii="Arial" w:eastAsia="Times New Roman" w:hAnsi="Arial" w:cs="Arial"/>
          <w:lang w:val="en-US"/>
        </w:rPr>
        <w:t>Also, p</w:t>
      </w:r>
      <w:r w:rsidRPr="00F93CFB">
        <w:rPr>
          <w:rFonts w:ascii="Arial" w:eastAsia="Times New Roman" w:hAnsi="Arial" w:cs="Arial"/>
          <w:lang w:val="en-US"/>
        </w:rPr>
        <w:t xml:space="preserve">rofessional regulation reinforced professional limits and public protection. Legislative improvements such as the Midwives Act of 1992 </w:t>
      </w:r>
      <w:r>
        <w:rPr>
          <w:rFonts w:ascii="Arial" w:eastAsia="Times New Roman" w:hAnsi="Arial" w:cs="Arial"/>
          <w:lang w:val="en-US"/>
        </w:rPr>
        <w:t>founded</w:t>
      </w:r>
      <w:r w:rsidRPr="00F93CFB">
        <w:rPr>
          <w:rFonts w:ascii="Arial" w:eastAsia="Times New Roman" w:hAnsi="Arial" w:cs="Arial"/>
          <w:lang w:val="en-US"/>
        </w:rPr>
        <w:t xml:space="preserve"> the scope of practice and accountability, while regulatory standards promoted evidence-based treatment and professional autonomy (Homer et al., 2017). These innovations established midwifery inside institutional healthcare organizations, hence increasing legitimacy and safety. However, this moves exacerbated tensions between community-based relational care and biomedical oversight. While regulation enhanced outcomes, it also placed midwives in systems that are increasingly affected by risk management and medical authority</w:t>
      </w:r>
      <w:r>
        <w:rPr>
          <w:rFonts w:ascii="Arial" w:eastAsia="Times New Roman" w:hAnsi="Arial" w:cs="Arial"/>
          <w:lang w:val="en-US"/>
        </w:rPr>
        <w:t>.</w:t>
      </w:r>
    </w:p>
    <w:p w14:paraId="3FF63F64" w14:textId="77777777" w:rsidR="003716A2" w:rsidRDefault="003716A2" w:rsidP="006400A2">
      <w:pPr>
        <w:spacing w:line="360" w:lineRule="auto"/>
        <w:jc w:val="both"/>
        <w:rPr>
          <w:rFonts w:ascii="Arial" w:eastAsia="Times New Roman" w:hAnsi="Arial" w:cs="Arial"/>
          <w:lang w:val="en-US"/>
        </w:rPr>
      </w:pPr>
      <w:r w:rsidRPr="00F93CFB">
        <w:rPr>
          <w:rFonts w:ascii="Arial" w:eastAsia="Times New Roman" w:hAnsi="Arial" w:cs="Arial"/>
          <w:lang w:val="en-US"/>
        </w:rPr>
        <w:t>Community prenatal midwifery is mostly provided via primary care networks in clinics, community settings, and women's homes (Renfrew et al., 2014). Maternal and fetal examination, screening, and teaching on diet, exercise, birth preparation, nursing, and postnatal care are all important roles</w:t>
      </w:r>
      <w:r>
        <w:rPr>
          <w:rFonts w:ascii="Arial" w:eastAsia="Times New Roman" w:hAnsi="Arial" w:cs="Arial"/>
          <w:lang w:val="en-US"/>
        </w:rPr>
        <w:t xml:space="preserve">. </w:t>
      </w:r>
      <w:r w:rsidRPr="00F93CFB">
        <w:rPr>
          <w:rFonts w:ascii="Arial" w:eastAsia="Times New Roman" w:hAnsi="Arial" w:cs="Arial"/>
          <w:lang w:val="en-US"/>
        </w:rPr>
        <w:t>Structured risk evaluations allow for the early detection of diseases including gestational diabetes and hypertension, as well as rapid referral. While this improves safety, excessive dependence on surveillance may unintentionally encourage medicalization over natural birth processes.</w:t>
      </w:r>
    </w:p>
    <w:p w14:paraId="64EAB6FE" w14:textId="77777777" w:rsidR="003716A2" w:rsidRPr="00F93CFB" w:rsidRDefault="003716A2" w:rsidP="006400A2">
      <w:pPr>
        <w:spacing w:line="360" w:lineRule="auto"/>
        <w:jc w:val="both"/>
        <w:rPr>
          <w:rFonts w:ascii="Arial" w:eastAsia="Times New Roman" w:hAnsi="Arial" w:cs="Arial"/>
          <w:lang w:val="en-US"/>
        </w:rPr>
      </w:pPr>
      <w:r w:rsidRPr="00F93CFB">
        <w:rPr>
          <w:rFonts w:ascii="Arial" w:eastAsia="Times New Roman" w:hAnsi="Arial" w:cs="Arial"/>
          <w:lang w:val="en-US"/>
        </w:rPr>
        <w:t>Psychosocial care is an essential component of contemporary practice. Midwives assess emotional well-being, offer reassurance, and tailor care to specific cultural circumstances. Continuity models, in which women are accompanied by a known midwife or a small team, increase trust and communication (Sandall et al., 2016). Such methods encourage the expression involving delicate concerns and foster collaborative decision-making. However, continuity necessitates stable staffing and manageable caseloads, which are not consistently met throughout regions.</w:t>
      </w:r>
    </w:p>
    <w:p w14:paraId="1B7B1C0C" w14:textId="77777777" w:rsidR="003716A2" w:rsidRPr="00F93CFB" w:rsidRDefault="003716A2" w:rsidP="006400A2">
      <w:pPr>
        <w:spacing w:line="360" w:lineRule="auto"/>
        <w:jc w:val="both"/>
        <w:rPr>
          <w:rFonts w:ascii="Arial" w:eastAsia="Times New Roman" w:hAnsi="Arial" w:cs="Arial"/>
          <w:lang w:val="en-US"/>
        </w:rPr>
      </w:pPr>
      <w:r w:rsidRPr="00F93CFB">
        <w:rPr>
          <w:rFonts w:ascii="Arial" w:eastAsia="Times New Roman" w:hAnsi="Arial" w:cs="Arial"/>
          <w:lang w:val="en-US"/>
        </w:rPr>
        <w:lastRenderedPageBreak/>
        <w:t>Collaboration among professionals is essential for providing safe community care. Midwives collaborate with general practitioners, obstetricians, health visitors, and social workers to provide complete care. Digital technologies, such as electronic health records and telemedicine, have improved information exchange and increased access, especially in remote areas (Rowe et al., 2019). While technology improves efficiency, overreliance can restrict face-to-face engagement, potentially reducing relational depth.</w:t>
      </w:r>
    </w:p>
    <w:p w14:paraId="2506783A" w14:textId="77777777" w:rsidR="003716A2" w:rsidRPr="00F93CFB"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Community prenatal services provide a substantial contribution to mother and newborn health. Early engagement aids in the diagnosis of complications and targeted treatments, lowering unnecessary morbidity (Cheng et al., 2019). Evidence suggests that continuity of midwifery care is linked to higher maternal satisfaction, reduced intervention rates, and better breastfeeding outcomes (Begley et al., 2019). Beyond therapeutic benefits, relationship care promotes confidence, autonomy, and psychological well-being.</w:t>
      </w:r>
    </w:p>
    <w:p w14:paraId="043F10DB" w14:textId="77777777" w:rsidR="003716A2" w:rsidRPr="00F93CFB"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Equitable access is essential for increasing quality of life. Community-based services remove barriers for socially disadvantaged groups and promote informed decision-making through personalized education</w:t>
      </w:r>
      <w:r>
        <w:rPr>
          <w:rFonts w:ascii="Arial" w:eastAsia="Times New Roman" w:hAnsi="Arial" w:cs="Arial"/>
          <w:lang w:val="en-US"/>
        </w:rPr>
        <w:t xml:space="preserve">. </w:t>
      </w:r>
      <w:r w:rsidRPr="00F93CFB">
        <w:rPr>
          <w:rFonts w:ascii="Arial" w:eastAsia="Times New Roman" w:hAnsi="Arial" w:cs="Arial"/>
          <w:lang w:val="en-US"/>
        </w:rPr>
        <w:t>Midwifery combines surveillance and empowerment to match public health aims with personalised treatment. However, attaining fairness requires enough resources and culturally relevant practice, rather than policy purpose alone.</w:t>
      </w:r>
    </w:p>
    <w:p w14:paraId="18C55A8F" w14:textId="77777777" w:rsidR="006400A2" w:rsidRDefault="003716A2" w:rsidP="003716A2">
      <w:pPr>
        <w:spacing w:line="360" w:lineRule="auto"/>
        <w:jc w:val="both"/>
        <w:rPr>
          <w:rFonts w:ascii="Arial" w:eastAsia="Times New Roman" w:hAnsi="Arial" w:cs="Arial"/>
          <w:lang w:val="en-US"/>
        </w:rPr>
      </w:pPr>
      <w:r w:rsidRPr="00F93CFB">
        <w:rPr>
          <w:rFonts w:ascii="Arial" w:eastAsia="Times New Roman" w:hAnsi="Arial" w:cs="Arial"/>
          <w:lang w:val="en-US"/>
        </w:rPr>
        <w:t>Community midwives continue to encounter workforce shortages, high caseloads, and unbalanced resource allocation, all of which jeopardize service quality</w:t>
      </w:r>
      <w:r>
        <w:rPr>
          <w:rFonts w:ascii="Arial" w:eastAsia="Times New Roman" w:hAnsi="Arial" w:cs="Arial"/>
          <w:lang w:val="en-US"/>
        </w:rPr>
        <w:t xml:space="preserve">. </w:t>
      </w:r>
      <w:r w:rsidRPr="00F93CFB">
        <w:rPr>
          <w:rFonts w:ascii="Arial" w:eastAsia="Times New Roman" w:hAnsi="Arial" w:cs="Arial"/>
          <w:lang w:val="en-US"/>
        </w:rPr>
        <w:t>Increasingly complex parental needs exacerbate time constraints and emotional stress. The COVID-19 pandemic sped the transition to remote treatment, demonstrating flexibility while identifying limitations in providing relational and emotional support online (Sandall et al., 2016). Maintaining high-quality treatment necessitates dedicated time, ongoing professional development, and enough staffing. Without institutional investment, it is impossible to sustain continuity and personalized assistance in community antenatal care</w:t>
      </w:r>
    </w:p>
    <w:p w14:paraId="539B1099" w14:textId="77777777" w:rsidR="006400A2" w:rsidRDefault="006400A2" w:rsidP="003716A2">
      <w:pPr>
        <w:spacing w:line="360" w:lineRule="auto"/>
        <w:jc w:val="both"/>
        <w:rPr>
          <w:rFonts w:ascii="Arial" w:eastAsia="Times New Roman" w:hAnsi="Arial" w:cs="Arial"/>
          <w:lang w:val="en-US"/>
        </w:rPr>
      </w:pPr>
    </w:p>
    <w:p w14:paraId="55C2E114" w14:textId="77777777" w:rsidR="006400A2" w:rsidRDefault="006400A2" w:rsidP="003716A2">
      <w:pPr>
        <w:spacing w:line="360" w:lineRule="auto"/>
        <w:jc w:val="both"/>
        <w:rPr>
          <w:rFonts w:ascii="Arial" w:eastAsia="Times New Roman" w:hAnsi="Arial" w:cs="Arial"/>
          <w:lang w:val="en-US"/>
        </w:rPr>
      </w:pPr>
    </w:p>
    <w:p w14:paraId="25049C26" w14:textId="77777777" w:rsidR="00BC7B58" w:rsidRDefault="00BC7B58" w:rsidP="006400A2">
      <w:pPr>
        <w:spacing w:line="360" w:lineRule="auto"/>
        <w:jc w:val="both"/>
        <w:rPr>
          <w:rFonts w:ascii="Arial" w:hAnsi="Arial" w:cs="Arial"/>
          <w:b/>
          <w:bCs/>
        </w:rPr>
      </w:pPr>
    </w:p>
    <w:p w14:paraId="0B68BC79" w14:textId="77777777" w:rsidR="00BC7B58" w:rsidRDefault="00BC7B58" w:rsidP="006400A2">
      <w:pPr>
        <w:spacing w:line="360" w:lineRule="auto"/>
        <w:jc w:val="both"/>
        <w:rPr>
          <w:rFonts w:ascii="Arial" w:hAnsi="Arial" w:cs="Arial"/>
          <w:b/>
          <w:bCs/>
        </w:rPr>
      </w:pPr>
    </w:p>
    <w:p w14:paraId="653A80EF" w14:textId="77777777" w:rsidR="00BC7B58" w:rsidRDefault="00BC7B58" w:rsidP="006400A2">
      <w:pPr>
        <w:spacing w:line="360" w:lineRule="auto"/>
        <w:jc w:val="both"/>
        <w:rPr>
          <w:rFonts w:ascii="Arial" w:hAnsi="Arial" w:cs="Arial"/>
          <w:b/>
          <w:bCs/>
        </w:rPr>
      </w:pPr>
    </w:p>
    <w:p w14:paraId="15C8478F" w14:textId="77777777" w:rsidR="00BC7B58" w:rsidRDefault="00BC7B58" w:rsidP="006400A2">
      <w:pPr>
        <w:spacing w:line="360" w:lineRule="auto"/>
        <w:jc w:val="both"/>
        <w:rPr>
          <w:rFonts w:ascii="Arial" w:hAnsi="Arial" w:cs="Arial"/>
          <w:b/>
          <w:bCs/>
        </w:rPr>
      </w:pPr>
    </w:p>
    <w:p w14:paraId="1A8B448C" w14:textId="77777777" w:rsidR="00BC7B58" w:rsidRDefault="00BC7B58" w:rsidP="006400A2">
      <w:pPr>
        <w:spacing w:line="360" w:lineRule="auto"/>
        <w:jc w:val="both"/>
        <w:rPr>
          <w:rFonts w:ascii="Arial" w:hAnsi="Arial" w:cs="Arial"/>
          <w:b/>
          <w:bCs/>
        </w:rPr>
      </w:pPr>
    </w:p>
    <w:p w14:paraId="2079C4F5" w14:textId="491E9699" w:rsidR="003716A2" w:rsidRDefault="003716A2" w:rsidP="006400A2">
      <w:pPr>
        <w:spacing w:line="360" w:lineRule="auto"/>
        <w:jc w:val="both"/>
        <w:rPr>
          <w:rFonts w:ascii="Arial" w:hAnsi="Arial" w:cs="Arial"/>
          <w:b/>
          <w:bCs/>
        </w:rPr>
      </w:pPr>
      <w:r w:rsidRPr="00981F1D">
        <w:rPr>
          <w:rFonts w:ascii="Arial" w:hAnsi="Arial" w:cs="Arial"/>
          <w:b/>
          <w:bCs/>
        </w:rPr>
        <w:lastRenderedPageBreak/>
        <w:t>References</w:t>
      </w:r>
    </w:p>
    <w:p w14:paraId="3D4E98FB" w14:textId="77777777" w:rsidR="00BC7B58" w:rsidRPr="006400A2" w:rsidRDefault="00BC7B58" w:rsidP="006400A2">
      <w:pPr>
        <w:spacing w:line="360" w:lineRule="auto"/>
        <w:jc w:val="both"/>
        <w:rPr>
          <w:rFonts w:ascii="Arial" w:hAnsi="Arial" w:cs="Arial"/>
        </w:rPr>
      </w:pPr>
    </w:p>
    <w:p w14:paraId="7A85BBD9"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Barnes, C. &amp; Mercer, G., </w:t>
      </w:r>
      <w:r>
        <w:rPr>
          <w:rFonts w:ascii="Arial" w:hAnsi="Arial" w:cs="Arial"/>
          <w:lang w:val="en-US"/>
        </w:rPr>
        <w:t>(</w:t>
      </w:r>
      <w:r w:rsidRPr="0020168D">
        <w:rPr>
          <w:rFonts w:ascii="Arial" w:hAnsi="Arial" w:cs="Arial"/>
          <w:lang w:val="en-US"/>
        </w:rPr>
        <w:t>2017</w:t>
      </w:r>
      <w:r>
        <w:rPr>
          <w:rFonts w:ascii="Arial" w:hAnsi="Arial" w:cs="Arial"/>
          <w:lang w:val="en-US"/>
        </w:rPr>
        <w:t>)</w:t>
      </w:r>
      <w:r w:rsidRPr="0020168D">
        <w:rPr>
          <w:rFonts w:ascii="Arial" w:hAnsi="Arial" w:cs="Arial"/>
          <w:lang w:val="en-US"/>
        </w:rPr>
        <w:t>. Exploring disability: A sociological introduction. 2nd ed. Cambridge: Polity Press.</w:t>
      </w:r>
    </w:p>
    <w:p w14:paraId="778473A8"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Begley, C., Devane, D., Clarke, M. &amp; eConnell, P., </w:t>
      </w:r>
      <w:r>
        <w:rPr>
          <w:rFonts w:ascii="Arial" w:hAnsi="Arial" w:cs="Arial"/>
          <w:lang w:val="en-US"/>
        </w:rPr>
        <w:t>(</w:t>
      </w:r>
      <w:r w:rsidRPr="0020168D">
        <w:rPr>
          <w:rFonts w:ascii="Arial" w:hAnsi="Arial" w:cs="Arial"/>
          <w:lang w:val="en-US"/>
        </w:rPr>
        <w:t>2019</w:t>
      </w:r>
      <w:r>
        <w:rPr>
          <w:rFonts w:ascii="Arial" w:hAnsi="Arial" w:cs="Arial"/>
          <w:lang w:val="en-US"/>
        </w:rPr>
        <w:t>)</w:t>
      </w:r>
      <w:r w:rsidRPr="0020168D">
        <w:rPr>
          <w:rFonts w:ascii="Arial" w:hAnsi="Arial" w:cs="Arial"/>
          <w:lang w:val="en-US"/>
        </w:rPr>
        <w:t xml:space="preserve">. Continuity of care in midwifery: A review of the evidence. </w:t>
      </w:r>
      <w:r w:rsidRPr="0020168D">
        <w:rPr>
          <w:rFonts w:ascii="Arial" w:hAnsi="Arial" w:cs="Arial"/>
          <w:i/>
          <w:iCs/>
          <w:lang w:val="en-US"/>
        </w:rPr>
        <w:t>Midwifery</w:t>
      </w:r>
      <w:r w:rsidRPr="0020168D">
        <w:rPr>
          <w:rFonts w:ascii="Arial" w:hAnsi="Arial" w:cs="Arial"/>
          <w:lang w:val="en-US"/>
        </w:rPr>
        <w:t>, 69, pp.17</w:t>
      </w:r>
      <w:r>
        <w:rPr>
          <w:rFonts w:ascii="Arial" w:hAnsi="Arial" w:cs="Arial"/>
          <w:lang w:val="en-US"/>
        </w:rPr>
        <w:t>-</w:t>
      </w:r>
      <w:r w:rsidRPr="0020168D">
        <w:rPr>
          <w:rFonts w:ascii="Arial" w:hAnsi="Arial" w:cs="Arial"/>
          <w:lang w:val="en-US"/>
        </w:rPr>
        <w:t>28.</w:t>
      </w:r>
    </w:p>
    <w:p w14:paraId="2F55EF97"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Bigby, C. &amp; Frawley, P., </w:t>
      </w:r>
      <w:r>
        <w:rPr>
          <w:rFonts w:ascii="Arial" w:hAnsi="Arial" w:cs="Arial"/>
          <w:lang w:val="en-US"/>
        </w:rPr>
        <w:t>(</w:t>
      </w:r>
      <w:r w:rsidRPr="0020168D">
        <w:rPr>
          <w:rFonts w:ascii="Arial" w:hAnsi="Arial" w:cs="Arial"/>
          <w:lang w:val="en-US"/>
        </w:rPr>
        <w:t>2018</w:t>
      </w:r>
      <w:r>
        <w:rPr>
          <w:rFonts w:ascii="Arial" w:hAnsi="Arial" w:cs="Arial"/>
          <w:lang w:val="en-US"/>
        </w:rPr>
        <w:t>)</w:t>
      </w:r>
      <w:r w:rsidRPr="0020168D">
        <w:rPr>
          <w:rFonts w:ascii="Arial" w:hAnsi="Arial" w:cs="Arial"/>
          <w:lang w:val="en-US"/>
        </w:rPr>
        <w:t xml:space="preserve">. Community-based disability services: Promoting inclusion and independence. </w:t>
      </w:r>
      <w:r w:rsidRPr="0020168D">
        <w:rPr>
          <w:rFonts w:ascii="Arial" w:hAnsi="Arial" w:cs="Arial"/>
          <w:i/>
          <w:iCs/>
          <w:lang w:val="en-US"/>
        </w:rPr>
        <w:t>Journal of Intellectual &amp; Developmental Disability</w:t>
      </w:r>
      <w:r w:rsidRPr="0020168D">
        <w:rPr>
          <w:rFonts w:ascii="Arial" w:hAnsi="Arial" w:cs="Arial"/>
          <w:lang w:val="en-US"/>
        </w:rPr>
        <w:t>, 43(1), pp.1</w:t>
      </w:r>
      <w:r>
        <w:rPr>
          <w:rFonts w:ascii="Arial" w:hAnsi="Arial" w:cs="Arial"/>
          <w:lang w:val="en-US"/>
        </w:rPr>
        <w:t>-</w:t>
      </w:r>
      <w:r w:rsidRPr="0020168D">
        <w:rPr>
          <w:rFonts w:ascii="Arial" w:hAnsi="Arial" w:cs="Arial"/>
          <w:lang w:val="en-US"/>
        </w:rPr>
        <w:t>12.</w:t>
      </w:r>
    </w:p>
    <w:p w14:paraId="0ED53B91"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Cheng, Y.W., Nicholson, J.M. &amp; Nakagawa, S., </w:t>
      </w:r>
      <w:r>
        <w:rPr>
          <w:rFonts w:ascii="Arial" w:hAnsi="Arial" w:cs="Arial"/>
          <w:lang w:val="en-US"/>
        </w:rPr>
        <w:t>(</w:t>
      </w:r>
      <w:r w:rsidRPr="0020168D">
        <w:rPr>
          <w:rFonts w:ascii="Arial" w:hAnsi="Arial" w:cs="Arial"/>
          <w:lang w:val="en-US"/>
        </w:rPr>
        <w:t>2019</w:t>
      </w:r>
      <w:r>
        <w:rPr>
          <w:rFonts w:ascii="Arial" w:hAnsi="Arial" w:cs="Arial"/>
          <w:lang w:val="en-US"/>
        </w:rPr>
        <w:t>)</w:t>
      </w:r>
      <w:r w:rsidRPr="0020168D">
        <w:rPr>
          <w:rFonts w:ascii="Arial" w:hAnsi="Arial" w:cs="Arial"/>
          <w:lang w:val="en-US"/>
        </w:rPr>
        <w:t xml:space="preserve">. Maternal health complications and early identification in antenatal care. </w:t>
      </w:r>
      <w:r w:rsidRPr="0020168D">
        <w:rPr>
          <w:rFonts w:ascii="Arial" w:hAnsi="Arial" w:cs="Arial"/>
          <w:i/>
          <w:iCs/>
          <w:lang w:val="en-US"/>
        </w:rPr>
        <w:t>BMC Pregnancy and Childbirth</w:t>
      </w:r>
      <w:r w:rsidRPr="0020168D">
        <w:rPr>
          <w:rFonts w:ascii="Arial" w:hAnsi="Arial" w:cs="Arial"/>
          <w:lang w:val="en-US"/>
        </w:rPr>
        <w:t>, 19(1), pp.1</w:t>
      </w:r>
      <w:r>
        <w:rPr>
          <w:rFonts w:ascii="Arial" w:hAnsi="Arial" w:cs="Arial"/>
          <w:lang w:val="en-US"/>
        </w:rPr>
        <w:t>-</w:t>
      </w:r>
      <w:r w:rsidRPr="0020168D">
        <w:rPr>
          <w:rFonts w:ascii="Arial" w:hAnsi="Arial" w:cs="Arial"/>
          <w:lang w:val="en-US"/>
        </w:rPr>
        <w:t>9.</w:t>
      </w:r>
    </w:p>
    <w:p w14:paraId="255AD6A2"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Davis-Floyd, R., </w:t>
      </w:r>
      <w:r>
        <w:rPr>
          <w:rFonts w:ascii="Arial" w:hAnsi="Arial" w:cs="Arial"/>
          <w:lang w:val="en-US"/>
        </w:rPr>
        <w:t>(</w:t>
      </w:r>
      <w:r w:rsidRPr="0020168D">
        <w:rPr>
          <w:rFonts w:ascii="Arial" w:hAnsi="Arial" w:cs="Arial"/>
          <w:lang w:val="en-US"/>
        </w:rPr>
        <w:t>2018</w:t>
      </w:r>
      <w:r>
        <w:rPr>
          <w:rFonts w:ascii="Arial" w:hAnsi="Arial" w:cs="Arial"/>
          <w:lang w:val="en-US"/>
        </w:rPr>
        <w:t>)</w:t>
      </w:r>
      <w:r w:rsidRPr="0020168D">
        <w:rPr>
          <w:rFonts w:ascii="Arial" w:hAnsi="Arial" w:cs="Arial"/>
          <w:lang w:val="en-US"/>
        </w:rPr>
        <w:t xml:space="preserve">. The power of midwifery: Models of care in historical context. </w:t>
      </w:r>
      <w:r w:rsidRPr="0020168D">
        <w:rPr>
          <w:rFonts w:ascii="Arial" w:hAnsi="Arial" w:cs="Arial"/>
          <w:i/>
          <w:iCs/>
          <w:lang w:val="en-US"/>
        </w:rPr>
        <w:t>Journal of Perinatal Education</w:t>
      </w:r>
      <w:r w:rsidRPr="0020168D">
        <w:rPr>
          <w:rFonts w:ascii="Arial" w:hAnsi="Arial" w:cs="Arial"/>
          <w:lang w:val="en-US"/>
        </w:rPr>
        <w:t>, 27(1), pp.1</w:t>
      </w:r>
      <w:r>
        <w:rPr>
          <w:rFonts w:ascii="Arial" w:hAnsi="Arial" w:cs="Arial"/>
          <w:lang w:val="en-US"/>
        </w:rPr>
        <w:t>-</w:t>
      </w:r>
      <w:r w:rsidRPr="0020168D">
        <w:rPr>
          <w:rFonts w:ascii="Arial" w:hAnsi="Arial" w:cs="Arial"/>
          <w:lang w:val="en-US"/>
        </w:rPr>
        <w:t>12.</w:t>
      </w:r>
    </w:p>
    <w:p w14:paraId="28E8DE18"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Emerson, E., Hatton, C., Robertson, J., Baines, S. &amp; Christie, A., </w:t>
      </w:r>
      <w:r>
        <w:rPr>
          <w:rFonts w:ascii="Arial" w:hAnsi="Arial" w:cs="Arial"/>
          <w:lang w:val="en-US"/>
        </w:rPr>
        <w:t>(</w:t>
      </w:r>
      <w:r w:rsidRPr="0020168D">
        <w:rPr>
          <w:rFonts w:ascii="Arial" w:hAnsi="Arial" w:cs="Arial"/>
          <w:lang w:val="en-US"/>
        </w:rPr>
        <w:t>2020</w:t>
      </w:r>
      <w:r>
        <w:rPr>
          <w:rFonts w:ascii="Arial" w:hAnsi="Arial" w:cs="Arial"/>
          <w:lang w:val="en-US"/>
        </w:rPr>
        <w:t>)</w:t>
      </w:r>
      <w:r w:rsidRPr="0020168D">
        <w:rPr>
          <w:rFonts w:ascii="Arial" w:hAnsi="Arial" w:cs="Arial"/>
          <w:lang w:val="en-US"/>
        </w:rPr>
        <w:t xml:space="preserve">. The health of people with learning disabilities in the UK: Evidence review. </w:t>
      </w:r>
      <w:r w:rsidRPr="0020168D">
        <w:rPr>
          <w:rFonts w:ascii="Arial" w:hAnsi="Arial" w:cs="Arial"/>
          <w:i/>
          <w:iCs/>
          <w:lang w:val="en-US"/>
        </w:rPr>
        <w:t>Lancet Public Health</w:t>
      </w:r>
      <w:r w:rsidRPr="0020168D">
        <w:rPr>
          <w:rFonts w:ascii="Arial" w:hAnsi="Arial" w:cs="Arial"/>
          <w:lang w:val="en-US"/>
        </w:rPr>
        <w:t>, 5(5), pp.e284</w:t>
      </w:r>
      <w:r>
        <w:rPr>
          <w:rFonts w:ascii="Arial" w:hAnsi="Arial" w:cs="Arial"/>
          <w:lang w:val="en-US"/>
        </w:rPr>
        <w:t>-</w:t>
      </w:r>
      <w:r w:rsidRPr="0020168D">
        <w:rPr>
          <w:rFonts w:ascii="Arial" w:hAnsi="Arial" w:cs="Arial"/>
          <w:lang w:val="en-US"/>
        </w:rPr>
        <w:t>e293.</w:t>
      </w:r>
    </w:p>
    <w:p w14:paraId="089CFF03"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Hunter, B., </w:t>
      </w:r>
      <w:r>
        <w:rPr>
          <w:rFonts w:ascii="Arial" w:hAnsi="Arial" w:cs="Arial"/>
          <w:lang w:val="en-US"/>
        </w:rPr>
        <w:t>(</w:t>
      </w:r>
      <w:r w:rsidRPr="0020168D">
        <w:rPr>
          <w:rFonts w:ascii="Arial" w:hAnsi="Arial" w:cs="Arial"/>
          <w:lang w:val="en-US"/>
        </w:rPr>
        <w:t>2020</w:t>
      </w:r>
      <w:r>
        <w:rPr>
          <w:rFonts w:ascii="Arial" w:hAnsi="Arial" w:cs="Arial"/>
          <w:lang w:val="en-US"/>
        </w:rPr>
        <w:t>)</w:t>
      </w:r>
      <w:r w:rsidRPr="0020168D">
        <w:rPr>
          <w:rFonts w:ascii="Arial" w:hAnsi="Arial" w:cs="Arial"/>
          <w:lang w:val="en-US"/>
        </w:rPr>
        <w:t xml:space="preserve">. The history and evolution of community midwifery in the United Kingdom. </w:t>
      </w:r>
      <w:r w:rsidRPr="0020168D">
        <w:rPr>
          <w:rFonts w:ascii="Arial" w:hAnsi="Arial" w:cs="Arial"/>
          <w:i/>
          <w:iCs/>
          <w:lang w:val="en-US"/>
        </w:rPr>
        <w:t>Midwifery</w:t>
      </w:r>
      <w:r w:rsidRPr="0020168D">
        <w:rPr>
          <w:rFonts w:ascii="Arial" w:hAnsi="Arial" w:cs="Arial"/>
          <w:lang w:val="en-US"/>
        </w:rPr>
        <w:t>, 85, pp.102</w:t>
      </w:r>
      <w:r>
        <w:rPr>
          <w:rFonts w:ascii="Arial" w:hAnsi="Arial" w:cs="Arial"/>
          <w:lang w:val="en-US"/>
        </w:rPr>
        <w:t>-</w:t>
      </w:r>
      <w:r w:rsidRPr="0020168D">
        <w:rPr>
          <w:rFonts w:ascii="Arial" w:hAnsi="Arial" w:cs="Arial"/>
          <w:lang w:val="en-US"/>
        </w:rPr>
        <w:t>110.</w:t>
      </w:r>
    </w:p>
    <w:p w14:paraId="09EFC3BA" w14:textId="77777777" w:rsidR="003716A2" w:rsidRPr="0020168D" w:rsidRDefault="003716A2" w:rsidP="003716A2">
      <w:pPr>
        <w:jc w:val="both"/>
        <w:rPr>
          <w:rFonts w:ascii="Arial" w:hAnsi="Arial" w:cs="Arial"/>
          <w:lang w:val="en-US"/>
        </w:rPr>
      </w:pPr>
      <w:r w:rsidRPr="0020168D">
        <w:rPr>
          <w:rFonts w:ascii="Arial" w:hAnsi="Arial" w:cs="Arial"/>
          <w:lang w:val="en-US"/>
        </w:rPr>
        <w:t xml:space="preserve">Sandall, J., Soltani, H., Gates, S., Shennan, A. &amp; Devane, D., </w:t>
      </w:r>
      <w:r>
        <w:rPr>
          <w:rFonts w:ascii="Arial" w:hAnsi="Arial" w:cs="Arial"/>
          <w:lang w:val="en-US"/>
        </w:rPr>
        <w:t>(</w:t>
      </w:r>
      <w:r w:rsidRPr="0020168D">
        <w:rPr>
          <w:rFonts w:ascii="Arial" w:hAnsi="Arial" w:cs="Arial"/>
          <w:lang w:val="en-US"/>
        </w:rPr>
        <w:t>2016</w:t>
      </w:r>
      <w:r>
        <w:rPr>
          <w:rFonts w:ascii="Arial" w:hAnsi="Arial" w:cs="Arial"/>
          <w:lang w:val="en-US"/>
        </w:rPr>
        <w:t>)</w:t>
      </w:r>
      <w:r w:rsidRPr="0020168D">
        <w:rPr>
          <w:rFonts w:ascii="Arial" w:hAnsi="Arial" w:cs="Arial"/>
          <w:lang w:val="en-US"/>
        </w:rPr>
        <w:t xml:space="preserve">. Midwife-led continuity models versus other models of care for childbearing women. </w:t>
      </w:r>
      <w:r w:rsidRPr="0020168D">
        <w:rPr>
          <w:rFonts w:ascii="Arial" w:hAnsi="Arial" w:cs="Arial"/>
          <w:i/>
          <w:iCs/>
          <w:lang w:val="en-US"/>
        </w:rPr>
        <w:t>Cochrane Database of Systematic Reviews</w:t>
      </w:r>
      <w:r w:rsidRPr="0020168D">
        <w:rPr>
          <w:rFonts w:ascii="Arial" w:hAnsi="Arial" w:cs="Arial"/>
          <w:lang w:val="en-US"/>
        </w:rPr>
        <w:t>, 4, pp.1</w:t>
      </w:r>
      <w:r>
        <w:rPr>
          <w:rFonts w:ascii="Arial" w:hAnsi="Arial" w:cs="Arial"/>
          <w:lang w:val="en-US"/>
        </w:rPr>
        <w:t>-</w:t>
      </w:r>
      <w:r w:rsidRPr="0020168D">
        <w:rPr>
          <w:rFonts w:ascii="Arial" w:hAnsi="Arial" w:cs="Arial"/>
          <w:lang w:val="en-US"/>
        </w:rPr>
        <w:t>79.</w:t>
      </w:r>
    </w:p>
    <w:p w14:paraId="0CB65D49" w14:textId="0FA2C3B2" w:rsidR="00DD37E9" w:rsidRPr="00A86FBE" w:rsidRDefault="00DD37E9" w:rsidP="003716A2">
      <w:pPr>
        <w:spacing w:before="100" w:beforeAutospacing="1" w:after="100" w:afterAutospacing="1" w:line="240" w:lineRule="auto"/>
        <w:outlineLvl w:val="0"/>
        <w:rPr>
          <w:rFonts w:ascii="Arial" w:hAnsi="Arial" w:cs="Arial"/>
          <w:lang w:val="en-US"/>
        </w:rPr>
      </w:pPr>
    </w:p>
    <w:sectPr w:rsidR="00DD37E9" w:rsidRPr="00A86FBE"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E77E5" w14:textId="77777777" w:rsidR="00867D3E" w:rsidRDefault="00867D3E" w:rsidP="00BE6BE0">
      <w:pPr>
        <w:spacing w:after="0" w:line="240" w:lineRule="auto"/>
      </w:pPr>
      <w:r>
        <w:separator/>
      </w:r>
    </w:p>
  </w:endnote>
  <w:endnote w:type="continuationSeparator" w:id="0">
    <w:p w14:paraId="7C6E667E" w14:textId="77777777" w:rsidR="00867D3E" w:rsidRDefault="00867D3E"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0683554"/>
      <w:docPartObj>
        <w:docPartGallery w:val="Page Numbers (Bottom of Page)"/>
        <w:docPartUnique/>
      </w:docPartObj>
    </w:sdtPr>
    <w:sdtEndPr>
      <w:rPr>
        <w:noProof/>
      </w:rPr>
    </w:sdtEndPr>
    <w:sdtContent>
      <w:p w14:paraId="6A547C28" w14:textId="7243FB70" w:rsidR="00DD37E9" w:rsidRDefault="00DD37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067FD" w14:textId="77777777" w:rsidR="00867D3E" w:rsidRDefault="00867D3E" w:rsidP="00BE6BE0">
      <w:pPr>
        <w:spacing w:after="0" w:line="240" w:lineRule="auto"/>
      </w:pPr>
      <w:r>
        <w:separator/>
      </w:r>
    </w:p>
  </w:footnote>
  <w:footnote w:type="continuationSeparator" w:id="0">
    <w:p w14:paraId="264E3ED4" w14:textId="77777777" w:rsidR="00867D3E" w:rsidRDefault="00867D3E"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77991871" name="Picture 17799187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11191"/>
    <w:multiLevelType w:val="hybridMultilevel"/>
    <w:tmpl w:val="2F2E4E1A"/>
    <w:lvl w:ilvl="0" w:tplc="88F8280E">
      <w:start w:val="1"/>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ECA1FE4"/>
    <w:multiLevelType w:val="multilevel"/>
    <w:tmpl w:val="3D08C3F4"/>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25197B5A"/>
    <w:multiLevelType w:val="hybridMultilevel"/>
    <w:tmpl w:val="1A405350"/>
    <w:lvl w:ilvl="0" w:tplc="59EAD410">
      <w:start w:val="1"/>
      <w:numFmt w:val="decimal"/>
      <w:lvlText w:val="%1."/>
      <w:lvlJc w:val="left"/>
      <w:pPr>
        <w:ind w:left="360" w:hanging="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46D19BB"/>
    <w:multiLevelType w:val="hybridMultilevel"/>
    <w:tmpl w:val="597C7740"/>
    <w:lvl w:ilvl="0" w:tplc="04090017">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5F4773CF"/>
    <w:multiLevelType w:val="multilevel"/>
    <w:tmpl w:val="3D0A2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5054A7"/>
    <w:multiLevelType w:val="multilevel"/>
    <w:tmpl w:val="2EEC5D3A"/>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val="0"/>
        <w:bCs/>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7E4B5B6E"/>
    <w:multiLevelType w:val="hybridMultilevel"/>
    <w:tmpl w:val="55868DAC"/>
    <w:lvl w:ilvl="0" w:tplc="EA36AA06">
      <w:start w:val="2"/>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425999194">
    <w:abstractNumId w:val="2"/>
  </w:num>
  <w:num w:numId="2" w16cid:durableId="1893275441">
    <w:abstractNumId w:val="6"/>
  </w:num>
  <w:num w:numId="3" w16cid:durableId="318195674">
    <w:abstractNumId w:val="5"/>
  </w:num>
  <w:num w:numId="4" w16cid:durableId="1042904513">
    <w:abstractNumId w:val="3"/>
  </w:num>
  <w:num w:numId="5" w16cid:durableId="2092119494">
    <w:abstractNumId w:val="4"/>
  </w:num>
  <w:num w:numId="6" w16cid:durableId="574705567">
    <w:abstractNumId w:val="0"/>
  </w:num>
  <w:num w:numId="7" w16cid:durableId="1854881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6787E"/>
    <w:rsid w:val="00102D89"/>
    <w:rsid w:val="001459D4"/>
    <w:rsid w:val="001B1478"/>
    <w:rsid w:val="001E29C1"/>
    <w:rsid w:val="00206902"/>
    <w:rsid w:val="00236969"/>
    <w:rsid w:val="00245FAC"/>
    <w:rsid w:val="002560AE"/>
    <w:rsid w:val="002671B7"/>
    <w:rsid w:val="002767BF"/>
    <w:rsid w:val="00286EB4"/>
    <w:rsid w:val="002C575B"/>
    <w:rsid w:val="002F4116"/>
    <w:rsid w:val="002F7197"/>
    <w:rsid w:val="003131E6"/>
    <w:rsid w:val="00352177"/>
    <w:rsid w:val="003716A2"/>
    <w:rsid w:val="003A000F"/>
    <w:rsid w:val="003E371E"/>
    <w:rsid w:val="003F33A8"/>
    <w:rsid w:val="00494C43"/>
    <w:rsid w:val="004A43F3"/>
    <w:rsid w:val="004B6103"/>
    <w:rsid w:val="004E410B"/>
    <w:rsid w:val="005304E4"/>
    <w:rsid w:val="0059250D"/>
    <w:rsid w:val="005E4573"/>
    <w:rsid w:val="005F03D8"/>
    <w:rsid w:val="00612249"/>
    <w:rsid w:val="006400A2"/>
    <w:rsid w:val="00643D9C"/>
    <w:rsid w:val="006A6816"/>
    <w:rsid w:val="006C4062"/>
    <w:rsid w:val="0070189C"/>
    <w:rsid w:val="007B3E40"/>
    <w:rsid w:val="007E15CF"/>
    <w:rsid w:val="00804A7F"/>
    <w:rsid w:val="00833470"/>
    <w:rsid w:val="00836BC7"/>
    <w:rsid w:val="00867D3E"/>
    <w:rsid w:val="008E578F"/>
    <w:rsid w:val="00904604"/>
    <w:rsid w:val="009058AE"/>
    <w:rsid w:val="00925D5E"/>
    <w:rsid w:val="00931F5D"/>
    <w:rsid w:val="00943CF1"/>
    <w:rsid w:val="00957373"/>
    <w:rsid w:val="009C6507"/>
    <w:rsid w:val="009D3C6E"/>
    <w:rsid w:val="009E257B"/>
    <w:rsid w:val="009F6829"/>
    <w:rsid w:val="00A133F5"/>
    <w:rsid w:val="00A34046"/>
    <w:rsid w:val="00A6165E"/>
    <w:rsid w:val="00A82690"/>
    <w:rsid w:val="00A86FBE"/>
    <w:rsid w:val="00A879DE"/>
    <w:rsid w:val="00AF5CDF"/>
    <w:rsid w:val="00B16A3D"/>
    <w:rsid w:val="00B46196"/>
    <w:rsid w:val="00B57684"/>
    <w:rsid w:val="00B61C1C"/>
    <w:rsid w:val="00B642EF"/>
    <w:rsid w:val="00B650F1"/>
    <w:rsid w:val="00BC7B58"/>
    <w:rsid w:val="00BE2844"/>
    <w:rsid w:val="00BE6BE0"/>
    <w:rsid w:val="00C75329"/>
    <w:rsid w:val="00C82CC0"/>
    <w:rsid w:val="00C83A82"/>
    <w:rsid w:val="00CB31B4"/>
    <w:rsid w:val="00CC0CF4"/>
    <w:rsid w:val="00CC30A9"/>
    <w:rsid w:val="00CC5524"/>
    <w:rsid w:val="00CD2C26"/>
    <w:rsid w:val="00D022E1"/>
    <w:rsid w:val="00D1019C"/>
    <w:rsid w:val="00D876BD"/>
    <w:rsid w:val="00DA5696"/>
    <w:rsid w:val="00DD24F3"/>
    <w:rsid w:val="00DD37E9"/>
    <w:rsid w:val="00DF587A"/>
    <w:rsid w:val="00E03D55"/>
    <w:rsid w:val="00E52E66"/>
    <w:rsid w:val="00E70374"/>
    <w:rsid w:val="00EC5A9F"/>
    <w:rsid w:val="00EC791D"/>
    <w:rsid w:val="00ED0D33"/>
    <w:rsid w:val="00EF3E35"/>
    <w:rsid w:val="00F141D2"/>
    <w:rsid w:val="00F36D02"/>
    <w:rsid w:val="00F64FBC"/>
    <w:rsid w:val="00F94E24"/>
    <w:rsid w:val="00FC4E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EC5A9F"/>
    <w:pPr>
      <w:spacing w:line="278" w:lineRule="auto"/>
      <w:ind w:left="720"/>
      <w:contextualSpacing/>
    </w:pPr>
    <w:rPr>
      <w:rFonts w:eastAsiaTheme="minorHAnsi"/>
      <w:kern w:val="2"/>
      <w:sz w:val="24"/>
      <w:szCs w:val="24"/>
      <w:lang w:val="en-US" w:eastAsia="en-US"/>
      <w14:ligatures w14:val="standardContextual"/>
    </w:rPr>
  </w:style>
  <w:style w:type="paragraph" w:styleId="NormalWeb">
    <w:name w:val="Normal (Web)"/>
    <w:basedOn w:val="Normal"/>
    <w:uiPriority w:val="99"/>
    <w:semiHidden/>
    <w:unhideWhenUsed/>
    <w:rsid w:val="003131E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6</Pages>
  <Words>869</Words>
  <Characters>5673</Characters>
  <Application>Microsoft Office Word</Application>
  <DocSecurity>0</DocSecurity>
  <Lines>138</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Galaus Anniever Malibiran (2508028)</cp:lastModifiedBy>
  <cp:revision>28</cp:revision>
  <dcterms:created xsi:type="dcterms:W3CDTF">2026-03-02T10:29:00Z</dcterms:created>
  <dcterms:modified xsi:type="dcterms:W3CDTF">2026-03-09T12:56:00Z</dcterms:modified>
</cp:coreProperties>
</file>