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B4B25B6" w:rsidP="5B4B25B6" w:rsidRDefault="5B4B25B6" w14:paraId="5E12B195" w14:textId="0F90131D">
      <w:pPr>
        <w:jc w:val="center"/>
        <w:rPr>
          <w:rFonts w:ascii="Arial" w:hAnsi="Arial" w:eastAsia="Arial" w:cs="Arial"/>
          <w:b w:val="1"/>
          <w:bCs w:val="1"/>
          <w:sz w:val="32"/>
          <w:szCs w:val="32"/>
        </w:rPr>
      </w:pPr>
      <w:r w:rsidRPr="5B4B25B6" w:rsidR="5B4B25B6">
        <w:rPr>
          <w:rFonts w:ascii="Arial" w:hAnsi="Arial" w:eastAsia="Arial" w:cs="Arial"/>
          <w:b w:val="1"/>
          <w:bCs w:val="1"/>
          <w:sz w:val="32"/>
          <w:szCs w:val="32"/>
        </w:rPr>
        <w:t>Liability by Omission</w:t>
      </w:r>
    </w:p>
    <w:p w:rsidR="5B4B25B6" w:rsidP="5B4B25B6" w:rsidRDefault="5B4B25B6" w14:paraId="063A1402" w14:textId="7CB80F65">
      <w:pPr>
        <w:pStyle w:val="Normal"/>
        <w:jc w:val="center"/>
        <w:rPr>
          <w:rFonts w:ascii="Arial" w:hAnsi="Arial" w:eastAsia="Arial" w:cs="Arial"/>
          <w:b w:val="1"/>
          <w:bCs w:val="1"/>
          <w:sz w:val="32"/>
          <w:szCs w:val="32"/>
        </w:rPr>
      </w:pPr>
    </w:p>
    <w:p w:rsidR="5B4B25B6" w:rsidP="5B4B25B6" w:rsidRDefault="5B4B25B6" w14:paraId="50FBBA5C" w14:textId="2B7C4AAB">
      <w:pPr>
        <w:pStyle w:val="Normal"/>
        <w:jc w:val="center"/>
        <w:rPr>
          <w:rFonts w:ascii="Arial" w:hAnsi="Arial" w:eastAsia="Arial" w:cs="Arial"/>
          <w:b w:val="1"/>
          <w:bCs w:val="1"/>
          <w:sz w:val="32"/>
          <w:szCs w:val="32"/>
        </w:rPr>
      </w:pPr>
    </w:p>
    <w:p w:rsidR="5B4B25B6" w:rsidP="5B4B25B6" w:rsidRDefault="5B4B25B6" w14:paraId="7D4ABED8" w14:textId="141DE668">
      <w:pPr>
        <w:pStyle w:val="Normal"/>
        <w:jc w:val="center"/>
        <w:rPr>
          <w:rFonts w:ascii="Arial" w:hAnsi="Arial" w:eastAsia="Arial" w:cs="Arial"/>
          <w:b w:val="1"/>
          <w:bCs w:val="1"/>
          <w:sz w:val="32"/>
          <w:szCs w:val="32"/>
        </w:rPr>
      </w:pPr>
    </w:p>
    <w:p w:rsidR="5B4B25B6" w:rsidP="5B4B25B6" w:rsidRDefault="5B4B25B6" w14:paraId="17C1256B" w14:textId="5C0E1039">
      <w:pPr>
        <w:pStyle w:val="Normal"/>
        <w:jc w:val="left"/>
        <w:rPr>
          <w:rFonts w:ascii="Arial" w:hAnsi="Arial" w:eastAsia="Arial" w:cs="Arial"/>
          <w:noProof w:val="0"/>
          <w:sz w:val="32"/>
          <w:szCs w:val="32"/>
          <w:lang w:val="en-GB"/>
        </w:rPr>
      </w:pPr>
      <w:r w:rsidRPr="5B4B25B6" w:rsidR="5B4B25B6">
        <w:rPr>
          <w:rFonts w:ascii="Arial" w:hAnsi="Arial" w:eastAsia="Arial" w:cs="Arial"/>
          <w:b w:val="0"/>
          <w:bCs w:val="0"/>
          <w:i w:val="0"/>
          <w:iCs w:val="0"/>
          <w:caps w:val="0"/>
          <w:smallCaps w:val="0"/>
          <w:strike w:val="0"/>
          <w:dstrike w:val="0"/>
          <w:noProof w:val="0"/>
          <w:color w:val="0E101A"/>
          <w:sz w:val="24"/>
          <w:szCs w:val="24"/>
          <w:u w:val="none"/>
          <w:lang w:val="en-GB"/>
        </w:rPr>
        <w:t xml:space="preserve">The study will highlight the term omission which means the failure to act, </w:t>
      </w:r>
      <w:r w:rsidRPr="5B4B25B6" w:rsidR="5B4B25B6">
        <w:rPr>
          <w:rFonts w:ascii="Arial" w:hAnsi="Arial" w:eastAsia="Arial" w:cs="Arial"/>
          <w:b w:val="0"/>
          <w:bCs w:val="0"/>
          <w:i w:val="0"/>
          <w:iCs w:val="0"/>
          <w:caps w:val="0"/>
          <w:smallCaps w:val="0"/>
          <w:strike w:val="0"/>
          <w:dstrike w:val="0"/>
          <w:noProof w:val="0"/>
          <w:color w:val="0E101A"/>
          <w:sz w:val="24"/>
          <w:szCs w:val="24"/>
          <w:u w:val="none"/>
          <w:lang w:val="en-GB"/>
        </w:rPr>
        <w:t>the general</w:t>
      </w:r>
      <w:r w:rsidRPr="5B4B25B6" w:rsidR="5B4B25B6">
        <w:rPr>
          <w:rFonts w:ascii="Arial" w:hAnsi="Arial" w:eastAsia="Arial" w:cs="Arial"/>
          <w:b w:val="0"/>
          <w:bCs w:val="0"/>
          <w:i w:val="0"/>
          <w:iCs w:val="0"/>
          <w:caps w:val="0"/>
          <w:smallCaps w:val="0"/>
          <w:strike w:val="0"/>
          <w:dstrike w:val="0"/>
          <w:noProof w:val="0"/>
          <w:color w:val="0E101A"/>
          <w:sz w:val="24"/>
          <w:szCs w:val="24"/>
          <w:u w:val="none"/>
          <w:lang w:val="en-GB"/>
        </w:rPr>
        <w:t xml:space="preserve"> duty to act and the requirements for a crime to be committed by omission.</w:t>
      </w:r>
    </w:p>
    <w:p w:rsidR="5B4B25B6" w:rsidP="5B4B25B6" w:rsidRDefault="5B4B25B6" w14:paraId="4402F82A" w14:textId="2808F068">
      <w:pPr>
        <w:pStyle w:val="Normal"/>
        <w:jc w:val="left"/>
        <w:rPr>
          <w:rFonts w:ascii="Arial" w:hAnsi="Arial" w:eastAsia="Arial" w:cs="Arial"/>
          <w:b w:val="0"/>
          <w:bCs w:val="0"/>
          <w:i w:val="0"/>
          <w:iCs w:val="0"/>
          <w:caps w:val="0"/>
          <w:smallCaps w:val="0"/>
          <w:strike w:val="0"/>
          <w:dstrike w:val="0"/>
          <w:noProof w:val="0"/>
          <w:color w:val="0E101A"/>
          <w:sz w:val="24"/>
          <w:szCs w:val="24"/>
          <w:u w:val="none"/>
          <w:lang w:val="en-GB"/>
        </w:rPr>
      </w:pPr>
    </w:p>
    <w:p w:rsidR="5B4B25B6" w:rsidP="5B4B25B6" w:rsidRDefault="5B4B25B6" w14:paraId="2B629A19" w14:textId="5D16C02C">
      <w:pPr>
        <w:pStyle w:val="Normal"/>
        <w:jc w:val="left"/>
        <w:rPr>
          <w:rFonts w:ascii="Arial" w:hAnsi="Arial" w:eastAsia="Arial" w:cs="Arial"/>
          <w:noProof w:val="0"/>
          <w:sz w:val="24"/>
          <w:szCs w:val="24"/>
          <w:lang w:val="en-GB"/>
        </w:rPr>
      </w:pPr>
      <w:r w:rsidRPr="5B4B25B6" w:rsidR="5B4B25B6">
        <w:rPr>
          <w:rFonts w:ascii="Arial" w:hAnsi="Arial" w:eastAsia="Arial" w:cs="Arial"/>
          <w:b w:val="0"/>
          <w:bCs w:val="0"/>
          <w:i w:val="0"/>
          <w:iCs w:val="0"/>
          <w:caps w:val="0"/>
          <w:smallCaps w:val="0"/>
          <w:strike w:val="0"/>
          <w:dstrike w:val="0"/>
          <w:noProof w:val="0"/>
          <w:color w:val="0E101A"/>
          <w:sz w:val="24"/>
          <w:szCs w:val="24"/>
          <w:u w:val="none"/>
          <w:lang w:val="en-GB"/>
        </w:rPr>
        <w:t xml:space="preserve">In English Criminal Law the failure to act of individuals is </w:t>
      </w:r>
      <w:r w:rsidRPr="5B4B25B6" w:rsidR="5B4B25B6">
        <w:rPr>
          <w:rFonts w:ascii="Arial" w:hAnsi="Arial" w:eastAsia="Arial" w:cs="Arial"/>
          <w:b w:val="0"/>
          <w:bCs w:val="0"/>
          <w:i w:val="0"/>
          <w:iCs w:val="0"/>
          <w:caps w:val="0"/>
          <w:smallCaps w:val="0"/>
          <w:strike w:val="0"/>
          <w:dstrike w:val="0"/>
          <w:noProof w:val="0"/>
          <w:color w:val="0E101A"/>
          <w:sz w:val="24"/>
          <w:szCs w:val="24"/>
          <w:u w:val="none"/>
          <w:lang w:val="en-GB"/>
        </w:rPr>
        <w:t>generally not</w:t>
      </w:r>
      <w:r w:rsidRPr="5B4B25B6" w:rsidR="5B4B25B6">
        <w:rPr>
          <w:rFonts w:ascii="Arial" w:hAnsi="Arial" w:eastAsia="Arial" w:cs="Arial"/>
          <w:b w:val="0"/>
          <w:bCs w:val="0"/>
          <w:i w:val="0"/>
          <w:iCs w:val="0"/>
          <w:caps w:val="0"/>
          <w:smallCaps w:val="0"/>
          <w:strike w:val="0"/>
          <w:dstrike w:val="0"/>
          <w:noProof w:val="0"/>
          <w:color w:val="0E101A"/>
          <w:sz w:val="24"/>
          <w:szCs w:val="24"/>
          <w:u w:val="none"/>
          <w:lang w:val="en-GB"/>
        </w:rPr>
        <w:t xml:space="preserve"> criminalised. For a failure to act to result in criminal liability  there are some exceptions, some requirements for a crime to be committed by omission, the conduct element of Actus Reus, the physical acts, having a duty of care, having contractual duty or by being negligent( </w:t>
      </w:r>
      <w:r w:rsidRPr="5B4B25B6" w:rsidR="5B4B25B6">
        <w:rPr>
          <w:rFonts w:ascii="Arial" w:hAnsi="Arial" w:eastAsia="Arial" w:cs="Arial"/>
          <w:b w:val="0"/>
          <w:bCs w:val="0"/>
          <w:i w:val="0"/>
          <w:iCs w:val="0"/>
          <w:caps w:val="0"/>
          <w:smallCaps w:val="0"/>
          <w:strike w:val="0"/>
          <w:dstrike w:val="0"/>
          <w:noProof w:val="0"/>
          <w:color w:val="0E101A"/>
          <w:sz w:val="24"/>
          <w:szCs w:val="24"/>
          <w:u w:val="none"/>
          <w:lang w:val="en-GB"/>
        </w:rPr>
        <w:t>Mens</w:t>
      </w:r>
      <w:r w:rsidRPr="5B4B25B6" w:rsidR="5B4B25B6">
        <w:rPr>
          <w:rFonts w:ascii="Arial" w:hAnsi="Arial" w:eastAsia="Arial" w:cs="Arial"/>
          <w:b w:val="0"/>
          <w:bCs w:val="0"/>
          <w:i w:val="0"/>
          <w:iCs w:val="0"/>
          <w:caps w:val="0"/>
          <w:smallCaps w:val="0"/>
          <w:strike w:val="0"/>
          <w:dstrike w:val="0"/>
          <w:noProof w:val="0"/>
          <w:color w:val="0E101A"/>
          <w:sz w:val="24"/>
          <w:szCs w:val="24"/>
          <w:u w:val="none"/>
          <w:lang w:val="en-GB"/>
        </w:rPr>
        <w:t xml:space="preserve"> rea), taking unreasonable risk and creating a hazard. When the duty of care was breached there is a causal connection between the breach of duty and the harm suffered. Defendant is convicted of a crime if commits unauthorised action and create the risk of serious damage by gaining access to data who leads to new attacks or crimes (</w:t>
      </w:r>
      <w:r w:rsidRPr="5B4B25B6" w:rsidR="5B4B25B6">
        <w:rPr>
          <w:rFonts w:ascii="Arial" w:hAnsi="Arial" w:eastAsia="Arial" w:cs="Arial"/>
          <w:noProof w:val="0"/>
          <w:color w:val="222222"/>
          <w:sz w:val="24"/>
          <w:szCs w:val="24"/>
          <w:lang w:val="en-GB"/>
        </w:rPr>
        <w:t xml:space="preserve">Bokovnya et al., 2019). </w:t>
      </w:r>
      <w:r w:rsidRPr="5B4B25B6" w:rsidR="5B4B25B6">
        <w:rPr>
          <w:rFonts w:ascii="Arial" w:hAnsi="Arial" w:eastAsia="Arial" w:cs="Arial"/>
          <w:noProof w:val="0"/>
          <w:color w:val="0E101A"/>
          <w:sz w:val="24"/>
          <w:szCs w:val="24"/>
          <w:lang w:val="en-GB"/>
        </w:rPr>
        <w:t>The omission liability is termed as the liability which is assessed for mere loss or failure to act. In omission liability cases, the criminal does not have the essential liability for the act's failure. The part of crime is related to criminal liability which is also termed as failure to the act when the individual is charged under the act of legal duty as the person was well able of doing so. The act of omission can also build criminal liability (</w:t>
      </w:r>
      <w:r w:rsidRPr="5B4B25B6" w:rsidR="5B4B25B6">
        <w:rPr>
          <w:rFonts w:ascii="Arial" w:hAnsi="Arial" w:eastAsia="Arial" w:cs="Arial"/>
          <w:noProof w:val="0"/>
          <w:color w:val="222222"/>
          <w:sz w:val="24"/>
          <w:szCs w:val="24"/>
          <w:lang w:val="en-GB"/>
        </w:rPr>
        <w:t>Sinaga et al., 2019)</w:t>
      </w:r>
      <w:r w:rsidRPr="5B4B25B6" w:rsidR="5B4B25B6">
        <w:rPr>
          <w:rFonts w:ascii="Arial" w:hAnsi="Arial" w:eastAsia="Arial" w:cs="Arial"/>
          <w:noProof w:val="0"/>
          <w:color w:val="0E101A"/>
          <w:sz w:val="24"/>
          <w:szCs w:val="24"/>
          <w:lang w:val="en-GB"/>
        </w:rPr>
        <w:t xml:space="preserve">. It is also defined as the act of failure to do some specific act. </w:t>
      </w:r>
    </w:p>
    <w:p w:rsidR="5B4B25B6" w:rsidP="5B4B25B6" w:rsidRDefault="5B4B25B6" w14:paraId="234A9904" w14:textId="5F67282B">
      <w:pPr>
        <w:pStyle w:val="Normal"/>
        <w:jc w:val="left"/>
        <w:rPr>
          <w:rFonts w:ascii="Arial" w:hAnsi="Arial" w:eastAsia="Arial" w:cs="Arial"/>
          <w:noProof w:val="0"/>
          <w:sz w:val="24"/>
          <w:szCs w:val="24"/>
          <w:lang w:val="en-GB"/>
        </w:rPr>
      </w:pPr>
      <w:r w:rsidRPr="5B4B25B6" w:rsidR="5B4B25B6">
        <w:rPr>
          <w:rFonts w:ascii="Arial" w:hAnsi="Arial" w:eastAsia="Arial" w:cs="Arial"/>
          <w:noProof w:val="0"/>
          <w:color w:val="0E101A"/>
          <w:sz w:val="24"/>
          <w:szCs w:val="24"/>
          <w:lang w:val="en-GB"/>
        </w:rPr>
        <w:t>The casual bond test in between the outcome and conduct is that possibility which does not occur in the same way with the absence of a criminal. The criminal liability is predicted as a failure of the act, the person can be charged under the legal duty to act as the criminal was desirable enough of doing so. Criminal law is termed as a body of law which is denoted for criminal offences. This criminal law regulates the charging of apprehension, fixes penalties, trials the suspected individuals, and fixes the mode of treatment for the application and charging. In specific situations, the law states that the act for omission will result in criminal liability which can put an exception that as per general rule, no liability is there for failure to act.</w:t>
      </w:r>
    </w:p>
    <w:p w:rsidR="5B4B25B6" w:rsidP="5B4B25B6" w:rsidRDefault="5B4B25B6" w14:paraId="588737CC" w14:textId="36714C1D">
      <w:pPr>
        <w:pStyle w:val="Normal"/>
        <w:jc w:val="left"/>
        <w:rPr>
          <w:rFonts w:ascii="Arial" w:hAnsi="Arial" w:eastAsia="Arial" w:cs="Arial"/>
          <w:noProof w:val="0"/>
          <w:color w:val="0E101A"/>
          <w:sz w:val="24"/>
          <w:szCs w:val="24"/>
          <w:lang w:val="en-GB"/>
        </w:rPr>
      </w:pPr>
    </w:p>
    <w:p w:rsidR="5B4B25B6" w:rsidP="5B4B25B6" w:rsidRDefault="5B4B25B6" w14:paraId="05AC02AA" w14:textId="0B0F29B2">
      <w:pPr>
        <w:spacing w:line="360" w:lineRule="auto"/>
        <w:jc w:val="both"/>
      </w:pPr>
      <w:r w:rsidRPr="5B4B25B6" w:rsidR="5B4B25B6">
        <w:rPr>
          <w:rFonts w:ascii="Arial" w:hAnsi="Arial" w:eastAsia="Arial" w:cs="Arial"/>
          <w:b w:val="1"/>
          <w:bCs w:val="1"/>
          <w:i w:val="1"/>
          <w:iCs w:val="1"/>
          <w:noProof w:val="0"/>
          <w:color w:val="0E101A"/>
          <w:sz w:val="24"/>
          <w:szCs w:val="24"/>
          <w:lang w:val="en-GB"/>
        </w:rPr>
        <w:t>The criminal law act 1967</w:t>
      </w:r>
      <w:r w:rsidRPr="5B4B25B6" w:rsidR="5B4B25B6">
        <w:rPr>
          <w:rFonts w:ascii="Arial" w:hAnsi="Arial" w:eastAsia="Arial" w:cs="Arial"/>
          <w:noProof w:val="0"/>
          <w:color w:val="0E101A"/>
          <w:sz w:val="24"/>
          <w:szCs w:val="24"/>
          <w:lang w:val="en-GB"/>
        </w:rPr>
        <w:t xml:space="preserve"> law was implemented by the legal law body of England and Wales for the criminal acts associated with both misdemeanours and felonies (</w:t>
      </w:r>
      <w:r w:rsidRPr="5B4B25B6" w:rsidR="5B4B25B6">
        <w:rPr>
          <w:rFonts w:ascii="Arial" w:hAnsi="Arial" w:eastAsia="Arial" w:cs="Arial"/>
          <w:noProof w:val="0"/>
          <w:color w:val="222222"/>
          <w:sz w:val="24"/>
          <w:szCs w:val="24"/>
          <w:lang w:val="en-GB"/>
        </w:rPr>
        <w:t>Simester, 2021)</w:t>
      </w:r>
      <w:r w:rsidRPr="5B4B25B6" w:rsidR="5B4B25B6">
        <w:rPr>
          <w:rFonts w:ascii="Arial" w:hAnsi="Arial" w:eastAsia="Arial" w:cs="Arial"/>
          <w:noProof w:val="0"/>
          <w:color w:val="0E101A"/>
          <w:sz w:val="24"/>
          <w:szCs w:val="24"/>
          <w:lang w:val="en-GB"/>
        </w:rPr>
        <w:t>. As per this law, the person can be arrested and charged for committing any criminal behaviour or activity.</w:t>
      </w:r>
    </w:p>
    <w:p w:rsidR="5B4B25B6" w:rsidP="5B4B25B6" w:rsidRDefault="5B4B25B6" w14:paraId="2D9CA163" w14:textId="44C94949">
      <w:pPr>
        <w:spacing w:line="360" w:lineRule="auto"/>
        <w:jc w:val="both"/>
      </w:pPr>
      <w:r w:rsidRPr="5B4B25B6" w:rsidR="5B4B25B6">
        <w:rPr>
          <w:rFonts w:ascii="Arial" w:hAnsi="Arial" w:eastAsia="Arial" w:cs="Arial"/>
          <w:noProof w:val="0"/>
          <w:color w:val="0E101A"/>
          <w:sz w:val="24"/>
          <w:szCs w:val="24"/>
          <w:lang w:val="en-GB"/>
        </w:rPr>
        <w:t xml:space="preserve">Though the general duty, the act has been discharged in the circumstance where the defendant has </w:t>
      </w:r>
      <w:r w:rsidRPr="5B4B25B6" w:rsidR="5B4B25B6">
        <w:rPr>
          <w:rFonts w:ascii="Arial" w:hAnsi="Arial" w:eastAsia="Arial" w:cs="Arial"/>
          <w:noProof w:val="0"/>
          <w:color w:val="0E101A"/>
          <w:sz w:val="24"/>
          <w:szCs w:val="24"/>
          <w:lang w:val="en-GB"/>
        </w:rPr>
        <w:t>initiated</w:t>
      </w:r>
      <w:r w:rsidRPr="5B4B25B6" w:rsidR="5B4B25B6">
        <w:rPr>
          <w:rFonts w:ascii="Arial" w:hAnsi="Arial" w:eastAsia="Arial" w:cs="Arial"/>
          <w:noProof w:val="0"/>
          <w:color w:val="0E101A"/>
          <w:sz w:val="24"/>
          <w:szCs w:val="24"/>
          <w:lang w:val="en-GB"/>
        </w:rPr>
        <w:t xml:space="preserve"> or taken any reasonable steps. The reasonable statement relies </w:t>
      </w:r>
      <w:r w:rsidRPr="5B4B25B6" w:rsidR="5B4B25B6">
        <w:rPr>
          <w:rFonts w:ascii="Arial" w:hAnsi="Arial" w:eastAsia="Arial" w:cs="Arial"/>
          <w:noProof w:val="0"/>
          <w:color w:val="0E101A"/>
          <w:sz w:val="24"/>
          <w:szCs w:val="24"/>
          <w:lang w:val="en-GB"/>
        </w:rPr>
        <w:t>about</w:t>
      </w:r>
      <w:r w:rsidRPr="5B4B25B6" w:rsidR="5B4B25B6">
        <w:rPr>
          <w:rFonts w:ascii="Arial" w:hAnsi="Arial" w:eastAsia="Arial" w:cs="Arial"/>
          <w:noProof w:val="0"/>
          <w:color w:val="0E101A"/>
          <w:sz w:val="24"/>
          <w:szCs w:val="24"/>
          <w:lang w:val="en-GB"/>
        </w:rPr>
        <w:t xml:space="preserve"> the associated crime case and has accordingly been judged. The</w:t>
      </w:r>
      <w:r w:rsidRPr="5B4B25B6" w:rsidR="5B4B25B6">
        <w:rPr>
          <w:rFonts w:ascii="Arial" w:hAnsi="Arial" w:eastAsia="Arial" w:cs="Arial"/>
          <w:b w:val="1"/>
          <w:bCs w:val="1"/>
          <w:i w:val="1"/>
          <w:iCs w:val="1"/>
          <w:noProof w:val="0"/>
          <w:color w:val="0E101A"/>
          <w:sz w:val="24"/>
          <w:szCs w:val="24"/>
          <w:lang w:val="en-GB"/>
        </w:rPr>
        <w:t xml:space="preserve"> common law </w:t>
      </w:r>
      <w:r w:rsidRPr="5B4B25B6" w:rsidR="5B4B25B6">
        <w:rPr>
          <w:rFonts w:ascii="Arial" w:hAnsi="Arial" w:eastAsia="Arial" w:cs="Arial"/>
          <w:noProof w:val="0"/>
          <w:color w:val="0E101A"/>
          <w:sz w:val="24"/>
          <w:szCs w:val="24"/>
          <w:lang w:val="en-GB"/>
        </w:rPr>
        <w:t xml:space="preserve">usually imposes the duty to act in </w:t>
      </w:r>
      <w:r w:rsidRPr="5B4B25B6" w:rsidR="5B4B25B6">
        <w:rPr>
          <w:rFonts w:ascii="Arial" w:hAnsi="Arial" w:eastAsia="Arial" w:cs="Arial"/>
          <w:noProof w:val="0"/>
          <w:color w:val="0E101A"/>
          <w:sz w:val="24"/>
          <w:szCs w:val="24"/>
          <w:lang w:val="en-GB"/>
        </w:rPr>
        <w:t>basically four</w:t>
      </w:r>
      <w:r w:rsidRPr="5B4B25B6" w:rsidR="5B4B25B6">
        <w:rPr>
          <w:rFonts w:ascii="Arial" w:hAnsi="Arial" w:eastAsia="Arial" w:cs="Arial"/>
          <w:noProof w:val="0"/>
          <w:color w:val="0E101A"/>
          <w:sz w:val="24"/>
          <w:szCs w:val="24"/>
          <w:lang w:val="en-GB"/>
        </w:rPr>
        <w:t xml:space="preserve"> </w:t>
      </w:r>
      <w:r w:rsidRPr="5B4B25B6" w:rsidR="5B4B25B6">
        <w:rPr>
          <w:rFonts w:ascii="Arial" w:hAnsi="Arial" w:eastAsia="Arial" w:cs="Arial"/>
          <w:noProof w:val="0"/>
          <w:color w:val="0E101A"/>
          <w:sz w:val="24"/>
          <w:szCs w:val="24"/>
          <w:lang w:val="en-GB"/>
        </w:rPr>
        <w:t>situations</w:t>
      </w:r>
      <w:r w:rsidRPr="5B4B25B6" w:rsidR="5B4B25B6">
        <w:rPr>
          <w:rFonts w:ascii="Arial" w:hAnsi="Arial" w:eastAsia="Arial" w:cs="Arial"/>
          <w:noProof w:val="0"/>
          <w:color w:val="0E101A"/>
          <w:sz w:val="24"/>
          <w:szCs w:val="24"/>
          <w:lang w:val="en-GB"/>
        </w:rPr>
        <w:t xml:space="preserve"> in which the defendant can be the public servant, has a biological bond to the victim, builds a dangerous situation for the victim and voluntarily assumes responsibility assumed for the victim.</w:t>
      </w:r>
    </w:p>
    <w:p w:rsidR="5B4B25B6" w:rsidP="5B4B25B6" w:rsidRDefault="5B4B25B6" w14:paraId="5B98F8E1" w14:textId="7BC24304">
      <w:pPr>
        <w:pStyle w:val="Normal"/>
        <w:spacing w:line="360" w:lineRule="auto"/>
        <w:jc w:val="both"/>
        <w:rPr>
          <w:rFonts w:ascii="Arial" w:hAnsi="Arial" w:eastAsia="Arial" w:cs="Arial"/>
          <w:noProof w:val="0"/>
          <w:sz w:val="24"/>
          <w:szCs w:val="24"/>
          <w:lang w:val="en-GB"/>
        </w:rPr>
      </w:pPr>
      <w:r w:rsidRPr="5B4B25B6" w:rsidR="5B4B25B6">
        <w:rPr>
          <w:rFonts w:ascii="Arial" w:hAnsi="Arial" w:eastAsia="Arial" w:cs="Arial"/>
          <w:noProof w:val="0"/>
          <w:color w:val="0E101A"/>
          <w:sz w:val="24"/>
          <w:szCs w:val="24"/>
          <w:lang w:val="en-GB"/>
        </w:rPr>
        <w:t xml:space="preserve">The act of omission can be considered as physical and emotional </w:t>
      </w:r>
      <w:r w:rsidRPr="5B4B25B6" w:rsidR="5B4B25B6">
        <w:rPr>
          <w:rFonts w:ascii="Arial" w:hAnsi="Arial" w:eastAsia="Arial" w:cs="Arial"/>
          <w:noProof w:val="0"/>
          <w:color w:val="0E101A"/>
          <w:sz w:val="24"/>
          <w:szCs w:val="24"/>
          <w:lang w:val="en-GB"/>
        </w:rPr>
        <w:t>neglect,</w:t>
      </w:r>
      <w:r w:rsidRPr="5B4B25B6" w:rsidR="5B4B25B6">
        <w:rPr>
          <w:rFonts w:ascii="Arial" w:hAnsi="Arial" w:eastAsia="Arial" w:cs="Arial"/>
          <w:noProof w:val="0"/>
          <w:color w:val="0E101A"/>
          <w:sz w:val="24"/>
          <w:szCs w:val="24"/>
          <w:lang w:val="en-GB"/>
        </w:rPr>
        <w:t xml:space="preserve"> which is equally traumatic, it also includes internment camps, abandonment in orphanages and profound isolation. The illegal omission is considered as the individual beings surrounded by law to </w:t>
      </w:r>
      <w:r w:rsidRPr="5B4B25B6" w:rsidR="5B4B25B6">
        <w:rPr>
          <w:rFonts w:ascii="Arial" w:hAnsi="Arial" w:eastAsia="Arial" w:cs="Arial"/>
          <w:noProof w:val="0"/>
          <w:color w:val="0E101A"/>
          <w:sz w:val="24"/>
          <w:szCs w:val="24"/>
          <w:lang w:val="en-GB"/>
        </w:rPr>
        <w:t>furnish</w:t>
      </w:r>
      <w:r w:rsidRPr="5B4B25B6" w:rsidR="5B4B25B6">
        <w:rPr>
          <w:rFonts w:ascii="Arial" w:hAnsi="Arial" w:eastAsia="Arial" w:cs="Arial"/>
          <w:noProof w:val="0"/>
          <w:color w:val="0E101A"/>
          <w:sz w:val="24"/>
          <w:szCs w:val="24"/>
          <w:lang w:val="en-GB"/>
        </w:rPr>
        <w:t xml:space="preserve"> services to the execution of any public duty willingly to </w:t>
      </w:r>
      <w:r w:rsidRPr="5B4B25B6" w:rsidR="5B4B25B6">
        <w:rPr>
          <w:rFonts w:ascii="Arial" w:hAnsi="Arial" w:eastAsia="Arial" w:cs="Arial"/>
          <w:noProof w:val="0"/>
          <w:color w:val="0E101A"/>
          <w:sz w:val="24"/>
          <w:szCs w:val="24"/>
          <w:lang w:val="en-GB"/>
        </w:rPr>
        <w:t>provide</w:t>
      </w:r>
      <w:r w:rsidRPr="5B4B25B6" w:rsidR="5B4B25B6">
        <w:rPr>
          <w:rFonts w:ascii="Arial" w:hAnsi="Arial" w:eastAsia="Arial" w:cs="Arial"/>
          <w:noProof w:val="0"/>
          <w:color w:val="0E101A"/>
          <w:sz w:val="24"/>
          <w:szCs w:val="24"/>
          <w:lang w:val="en-GB"/>
        </w:rPr>
        <w:t xml:space="preserve"> such order can be charged, </w:t>
      </w:r>
      <w:r w:rsidRPr="5B4B25B6" w:rsidR="5B4B25B6">
        <w:rPr>
          <w:rFonts w:ascii="Arial" w:hAnsi="Arial" w:eastAsia="Arial" w:cs="Arial"/>
          <w:noProof w:val="0"/>
          <w:color w:val="0E101A"/>
          <w:sz w:val="24"/>
          <w:szCs w:val="24"/>
          <w:lang w:val="en-GB"/>
        </w:rPr>
        <w:t>imprisoned</w:t>
      </w:r>
      <w:r w:rsidRPr="5B4B25B6" w:rsidR="5B4B25B6">
        <w:rPr>
          <w:rFonts w:ascii="Arial" w:hAnsi="Arial" w:eastAsia="Arial" w:cs="Arial"/>
          <w:noProof w:val="0"/>
          <w:color w:val="0E101A"/>
          <w:sz w:val="24"/>
          <w:szCs w:val="24"/>
          <w:lang w:val="en-GB"/>
        </w:rPr>
        <w:t xml:space="preserve"> and punished (</w:t>
      </w:r>
      <w:r w:rsidRPr="5B4B25B6" w:rsidR="5B4B25B6">
        <w:rPr>
          <w:rFonts w:ascii="Arial" w:hAnsi="Arial" w:eastAsia="Arial" w:cs="Arial"/>
          <w:noProof w:val="0"/>
          <w:color w:val="222222"/>
          <w:sz w:val="24"/>
          <w:szCs w:val="24"/>
          <w:lang w:val="en-GB"/>
        </w:rPr>
        <w:t xml:space="preserve">Davies </w:t>
      </w:r>
      <w:r w:rsidRPr="5B4B25B6" w:rsidR="5B4B25B6">
        <w:rPr>
          <w:rFonts w:ascii="Arial" w:hAnsi="Arial" w:eastAsia="Arial" w:cs="Arial"/>
          <w:i w:val="1"/>
          <w:iCs w:val="1"/>
          <w:noProof w:val="0"/>
          <w:color w:val="222222"/>
          <w:sz w:val="24"/>
          <w:szCs w:val="24"/>
          <w:lang w:val="en-GB"/>
        </w:rPr>
        <w:t>et al</w:t>
      </w:r>
      <w:r w:rsidRPr="5B4B25B6" w:rsidR="5B4B25B6">
        <w:rPr>
          <w:rFonts w:ascii="Arial" w:hAnsi="Arial" w:eastAsia="Arial" w:cs="Arial"/>
          <w:noProof w:val="0"/>
          <w:color w:val="222222"/>
          <w:sz w:val="24"/>
          <w:szCs w:val="24"/>
          <w:lang w:val="en-GB"/>
        </w:rPr>
        <w:t>., 2021)</w:t>
      </w:r>
      <w:r w:rsidRPr="5B4B25B6" w:rsidR="5B4B25B6">
        <w:rPr>
          <w:rFonts w:ascii="Arial" w:hAnsi="Arial" w:eastAsia="Arial" w:cs="Arial"/>
          <w:noProof w:val="0"/>
          <w:color w:val="0E101A"/>
          <w:sz w:val="24"/>
          <w:szCs w:val="24"/>
          <w:lang w:val="en-GB"/>
        </w:rPr>
        <w:t xml:space="preserve">. The criminal omission or the criminal activity must have </w:t>
      </w:r>
      <w:r w:rsidRPr="5B4B25B6" w:rsidR="5B4B25B6">
        <w:rPr>
          <w:rFonts w:ascii="Arial" w:hAnsi="Arial" w:eastAsia="Arial" w:cs="Arial"/>
          <w:noProof w:val="0"/>
          <w:color w:val="0E101A"/>
          <w:sz w:val="24"/>
          <w:szCs w:val="24"/>
          <w:lang w:val="en-GB"/>
        </w:rPr>
        <w:t>transpired</w:t>
      </w:r>
      <w:r w:rsidRPr="5B4B25B6" w:rsidR="5B4B25B6">
        <w:rPr>
          <w:rFonts w:ascii="Arial" w:hAnsi="Arial" w:eastAsia="Arial" w:cs="Arial"/>
          <w:noProof w:val="0"/>
          <w:color w:val="0E101A"/>
          <w:sz w:val="24"/>
          <w:szCs w:val="24"/>
          <w:lang w:val="en-GB"/>
        </w:rPr>
        <w:t xml:space="preserve"> which denotes that by desisting by not doing an act and crime is committed (</w:t>
      </w:r>
      <w:r w:rsidRPr="5B4B25B6" w:rsidR="5B4B25B6">
        <w:rPr>
          <w:rFonts w:ascii="Arial" w:hAnsi="Arial" w:eastAsia="Arial" w:cs="Arial"/>
          <w:noProof w:val="0"/>
          <w:color w:val="222222"/>
          <w:sz w:val="24"/>
          <w:szCs w:val="24"/>
          <w:lang w:val="en-GB"/>
        </w:rPr>
        <w:t>Coca-Vila, 2019)</w:t>
      </w:r>
      <w:r w:rsidRPr="5B4B25B6" w:rsidR="5B4B25B6">
        <w:rPr>
          <w:rFonts w:ascii="Arial" w:hAnsi="Arial" w:eastAsia="Arial" w:cs="Arial"/>
          <w:noProof w:val="0"/>
          <w:color w:val="0E101A"/>
          <w:sz w:val="24"/>
          <w:szCs w:val="24"/>
          <w:lang w:val="en-GB"/>
        </w:rPr>
        <w:t xml:space="preserve">. The act of omission is created for criminal liability which is denoted as an act of failure for doing some </w:t>
      </w:r>
      <w:r w:rsidRPr="5B4B25B6" w:rsidR="5B4B25B6">
        <w:rPr>
          <w:rFonts w:ascii="Arial" w:hAnsi="Arial" w:eastAsia="Arial" w:cs="Arial"/>
          <w:noProof w:val="0"/>
          <w:color w:val="0E101A"/>
          <w:sz w:val="24"/>
          <w:szCs w:val="24"/>
          <w:lang w:val="en-GB"/>
        </w:rPr>
        <w:t>tasks</w:t>
      </w:r>
      <w:r w:rsidRPr="5B4B25B6" w:rsidR="5B4B25B6">
        <w:rPr>
          <w:rFonts w:ascii="Arial" w:hAnsi="Arial" w:eastAsia="Arial" w:cs="Arial"/>
          <w:noProof w:val="0"/>
          <w:color w:val="0E101A"/>
          <w:sz w:val="24"/>
          <w:szCs w:val="24"/>
          <w:lang w:val="en-GB"/>
        </w:rPr>
        <w:t>.</w:t>
      </w:r>
    </w:p>
    <w:p w:rsidR="5B4B25B6" w:rsidP="5B4B25B6" w:rsidRDefault="5B4B25B6" w14:paraId="49D4DAD8" w14:textId="2614FB53">
      <w:pPr>
        <w:pStyle w:val="Normal"/>
        <w:spacing w:line="360" w:lineRule="auto"/>
        <w:jc w:val="both"/>
        <w:rPr>
          <w:rFonts w:ascii="Arial" w:hAnsi="Arial" w:eastAsia="Arial" w:cs="Arial"/>
          <w:noProof w:val="0"/>
          <w:color w:val="0E101A"/>
          <w:sz w:val="24"/>
          <w:szCs w:val="24"/>
          <w:lang w:val="en-GB"/>
        </w:rPr>
      </w:pPr>
      <w:r w:rsidRPr="5B4B25B6" w:rsidR="5B4B25B6">
        <w:rPr>
          <w:rFonts w:ascii="Arial" w:hAnsi="Arial" w:eastAsia="Arial" w:cs="Arial"/>
          <w:noProof w:val="0"/>
          <w:color w:val="0E101A"/>
          <w:sz w:val="24"/>
          <w:szCs w:val="24"/>
          <w:lang w:val="en-GB"/>
        </w:rPr>
        <w:t xml:space="preserve">The criminality liability by omission arises in the situation where there is a failure in </w:t>
      </w:r>
      <w:r w:rsidRPr="5B4B25B6" w:rsidR="5B4B25B6">
        <w:rPr>
          <w:rFonts w:ascii="Arial" w:hAnsi="Arial" w:eastAsia="Arial" w:cs="Arial"/>
          <w:noProof w:val="0"/>
          <w:color w:val="0E101A"/>
          <w:sz w:val="24"/>
          <w:szCs w:val="24"/>
          <w:lang w:val="en-GB"/>
        </w:rPr>
        <w:t>initiating</w:t>
      </w:r>
      <w:r w:rsidRPr="5B4B25B6" w:rsidR="5B4B25B6">
        <w:rPr>
          <w:rFonts w:ascii="Arial" w:hAnsi="Arial" w:eastAsia="Arial" w:cs="Arial"/>
          <w:noProof w:val="0"/>
          <w:color w:val="0E101A"/>
          <w:sz w:val="24"/>
          <w:szCs w:val="24"/>
          <w:lang w:val="en-GB"/>
        </w:rPr>
        <w:t xml:space="preserve"> any specific duty (</w:t>
      </w:r>
      <w:r w:rsidRPr="5B4B25B6" w:rsidR="5B4B25B6">
        <w:rPr>
          <w:rFonts w:ascii="Arial" w:hAnsi="Arial" w:eastAsia="Arial" w:cs="Arial"/>
          <w:noProof w:val="0"/>
          <w:color w:val="222222"/>
          <w:sz w:val="24"/>
          <w:szCs w:val="24"/>
          <w:lang w:val="en-GB"/>
        </w:rPr>
        <w:t>Hare et al., 2022). The</w:t>
      </w:r>
      <w:r w:rsidRPr="5B4B25B6" w:rsidR="5B4B25B6">
        <w:rPr>
          <w:rFonts w:ascii="Arial" w:hAnsi="Arial" w:eastAsia="Arial" w:cs="Arial"/>
          <w:noProof w:val="0"/>
          <w:color w:val="0E101A"/>
          <w:sz w:val="24"/>
          <w:szCs w:val="24"/>
          <w:lang w:val="en-GB"/>
        </w:rPr>
        <w:t xml:space="preserve"> case of omission can be understood with the relevant case which includes “</w:t>
      </w:r>
      <w:r w:rsidRPr="5B4B25B6" w:rsidR="5B4B25B6">
        <w:rPr>
          <w:rFonts w:ascii="Arial" w:hAnsi="Arial" w:eastAsia="Arial" w:cs="Arial"/>
          <w:b w:val="1"/>
          <w:bCs w:val="1"/>
          <w:noProof w:val="0"/>
          <w:color w:val="0E101A"/>
          <w:sz w:val="24"/>
          <w:szCs w:val="24"/>
          <w:lang w:val="en-GB"/>
        </w:rPr>
        <w:t>R.v</w:t>
      </w:r>
      <w:r w:rsidRPr="5B4B25B6" w:rsidR="5B4B25B6">
        <w:rPr>
          <w:rFonts w:ascii="Arial" w:hAnsi="Arial" w:eastAsia="Arial" w:cs="Arial"/>
          <w:b w:val="1"/>
          <w:bCs w:val="1"/>
          <w:noProof w:val="0"/>
          <w:color w:val="0E101A"/>
          <w:sz w:val="24"/>
          <w:szCs w:val="24"/>
          <w:lang w:val="en-GB"/>
        </w:rPr>
        <w:t xml:space="preserve"> Miller (1982)”</w:t>
      </w:r>
      <w:r w:rsidRPr="5B4B25B6" w:rsidR="5B4B25B6">
        <w:rPr>
          <w:rFonts w:ascii="Arial" w:hAnsi="Arial" w:eastAsia="Arial" w:cs="Arial"/>
          <w:noProof w:val="0"/>
          <w:color w:val="0E101A"/>
          <w:sz w:val="24"/>
          <w:szCs w:val="24"/>
          <w:lang w:val="en-GB"/>
        </w:rPr>
        <w:t xml:space="preserve"> when he falls asleep on a cigarette butt and the house caught fire. The defendant even being known about the fact that the house caught fire he did not take any initiative to inform anyone and neither did anything to stop it from spreading it, instead he just moved to another room and caused an extensive damage to the property and could have had put other people in serious danger and could have been charged for manslaughter as when the house burnt down recklessly he moved to another room not knowing if there are other occupants inside it as well . Had he woken up and the fire would have been out of control it would have been a different situation and there maybe he could have said he wasn’t in his right mind (</w:t>
      </w:r>
      <w:r w:rsidRPr="5B4B25B6" w:rsidR="5B4B25B6">
        <w:rPr>
          <w:rFonts w:ascii="Arial" w:hAnsi="Arial" w:eastAsia="Arial" w:cs="Arial"/>
          <w:noProof w:val="0"/>
          <w:color w:val="0E101A"/>
          <w:sz w:val="24"/>
          <w:szCs w:val="24"/>
          <w:lang w:val="en-GB"/>
        </w:rPr>
        <w:t>Mens</w:t>
      </w:r>
      <w:r w:rsidRPr="5B4B25B6" w:rsidR="5B4B25B6">
        <w:rPr>
          <w:rFonts w:ascii="Arial" w:hAnsi="Arial" w:eastAsia="Arial" w:cs="Arial"/>
          <w:noProof w:val="0"/>
          <w:color w:val="0E101A"/>
          <w:sz w:val="24"/>
          <w:szCs w:val="24"/>
          <w:lang w:val="en-GB"/>
        </w:rPr>
        <w:t xml:space="preserve"> Rea) which he tried to use in his defence but even so this wasn’t associated with Actus Reus as in the end, by relying on the facts because he created a dangerous situation  he had a duty to put the fire out. His recklessness decision of not putting out the fire or call for help it led to a dangerous situation, the defendant was found responsible for the act and so in this situation he was liable of omission (LawTeacher,2013).</w:t>
      </w:r>
    </w:p>
    <w:p w:rsidR="5B4B25B6" w:rsidP="5B4B25B6" w:rsidRDefault="5B4B25B6" w14:paraId="78CA32D9" w14:textId="7CF97631">
      <w:pPr>
        <w:pStyle w:val="Normal"/>
        <w:bidi w:val="0"/>
        <w:spacing w:before="0" w:beforeAutospacing="off" w:after="160" w:afterAutospacing="off" w:line="360" w:lineRule="auto"/>
        <w:ind w:left="0" w:right="0"/>
        <w:jc w:val="both"/>
        <w:rPr>
          <w:rFonts w:ascii="Arial" w:hAnsi="Arial" w:eastAsia="Arial" w:cs="Arial"/>
          <w:b w:val="0"/>
          <w:bCs w:val="0"/>
          <w:noProof w:val="0"/>
          <w:color w:val="0E101A"/>
          <w:sz w:val="24"/>
          <w:szCs w:val="24"/>
          <w:lang w:val="en-GB"/>
        </w:rPr>
      </w:pPr>
      <w:r w:rsidRPr="5B4B25B6" w:rsidR="5B4B25B6">
        <w:rPr>
          <w:rFonts w:ascii="Arial" w:hAnsi="Arial" w:eastAsia="Arial" w:cs="Arial"/>
          <w:noProof w:val="0"/>
          <w:color w:val="0E101A"/>
          <w:sz w:val="24"/>
          <w:szCs w:val="24"/>
          <w:lang w:val="en-GB"/>
        </w:rPr>
        <w:t xml:space="preserve">If Miller would have had caused harm to other people, he would have </w:t>
      </w:r>
      <w:r w:rsidRPr="5B4B25B6" w:rsidR="5B4B25B6">
        <w:rPr>
          <w:rFonts w:ascii="Arial" w:hAnsi="Arial" w:eastAsia="Arial" w:cs="Arial"/>
          <w:noProof w:val="0"/>
          <w:color w:val="0E101A"/>
          <w:sz w:val="24"/>
          <w:szCs w:val="24"/>
          <w:lang w:val="en-GB"/>
        </w:rPr>
        <w:t>probably been</w:t>
      </w:r>
      <w:r w:rsidRPr="5B4B25B6" w:rsidR="5B4B25B6">
        <w:rPr>
          <w:rFonts w:ascii="Arial" w:hAnsi="Arial" w:eastAsia="Arial" w:cs="Arial"/>
          <w:noProof w:val="0"/>
          <w:color w:val="0E101A"/>
          <w:sz w:val="24"/>
          <w:szCs w:val="24"/>
          <w:lang w:val="en-GB"/>
        </w:rPr>
        <w:t xml:space="preserve"> charged for manslaughter as well. This conclusion is supported by the other well-known negligence manslaughter case of “</w:t>
      </w:r>
      <w:r w:rsidRPr="5B4B25B6" w:rsidR="5B4B25B6">
        <w:rPr>
          <w:rFonts w:ascii="Arial" w:hAnsi="Arial" w:eastAsia="Arial" w:cs="Arial"/>
          <w:b w:val="1"/>
          <w:bCs w:val="1"/>
          <w:noProof w:val="0"/>
          <w:color w:val="0E101A"/>
          <w:sz w:val="24"/>
          <w:szCs w:val="24"/>
          <w:lang w:val="en-GB"/>
        </w:rPr>
        <w:t xml:space="preserve">R v Evans (2009) </w:t>
      </w:r>
      <w:r w:rsidRPr="5B4B25B6" w:rsidR="5B4B25B6">
        <w:rPr>
          <w:rFonts w:ascii="Arial" w:hAnsi="Arial" w:eastAsia="Arial" w:cs="Arial"/>
          <w:b w:val="0"/>
          <w:bCs w:val="0"/>
          <w:noProof w:val="0"/>
          <w:color w:val="0E101A"/>
          <w:sz w:val="24"/>
          <w:szCs w:val="24"/>
          <w:lang w:val="en-GB"/>
        </w:rPr>
        <w:t xml:space="preserve">  where Evans bought heroin and gave it to his half-sister who took the drug by herself. Evans noticed she </w:t>
      </w:r>
      <w:r w:rsidRPr="5B4B25B6" w:rsidR="5B4B25B6">
        <w:rPr>
          <w:rFonts w:ascii="Arial" w:hAnsi="Arial" w:eastAsia="Arial" w:cs="Arial"/>
          <w:b w:val="0"/>
          <w:bCs w:val="0"/>
          <w:noProof w:val="0"/>
          <w:color w:val="0E101A"/>
          <w:sz w:val="24"/>
          <w:szCs w:val="24"/>
          <w:lang w:val="en-GB"/>
        </w:rPr>
        <w:t>isn’t</w:t>
      </w:r>
      <w:r w:rsidRPr="5B4B25B6" w:rsidR="5B4B25B6">
        <w:rPr>
          <w:rFonts w:ascii="Arial" w:hAnsi="Arial" w:eastAsia="Arial" w:cs="Arial"/>
          <w:b w:val="0"/>
          <w:bCs w:val="0"/>
          <w:noProof w:val="0"/>
          <w:color w:val="0E101A"/>
          <w:sz w:val="24"/>
          <w:szCs w:val="24"/>
          <w:lang w:val="en-GB"/>
        </w:rPr>
        <w:t xml:space="preserve"> well and looked like she had an overdose as she started to complain of symptoms similar with the ones of an overdose, he together with their mum </w:t>
      </w:r>
      <w:r w:rsidRPr="5B4B25B6" w:rsidR="5B4B25B6">
        <w:rPr>
          <w:rFonts w:ascii="Arial" w:hAnsi="Arial" w:eastAsia="Arial" w:cs="Arial"/>
          <w:b w:val="0"/>
          <w:bCs w:val="0"/>
          <w:noProof w:val="0"/>
          <w:color w:val="0E101A"/>
          <w:sz w:val="24"/>
          <w:szCs w:val="24"/>
          <w:lang w:val="en-GB"/>
        </w:rPr>
        <w:t>didn’t</w:t>
      </w:r>
      <w:r w:rsidRPr="5B4B25B6" w:rsidR="5B4B25B6">
        <w:rPr>
          <w:rFonts w:ascii="Arial" w:hAnsi="Arial" w:eastAsia="Arial" w:cs="Arial"/>
          <w:b w:val="0"/>
          <w:bCs w:val="0"/>
          <w:noProof w:val="0"/>
          <w:color w:val="0E101A"/>
          <w:sz w:val="24"/>
          <w:szCs w:val="24"/>
          <w:lang w:val="en-GB"/>
        </w:rPr>
        <w:t xml:space="preserve"> call for any professional help as they were scared that they will get </w:t>
      </w:r>
      <w:r w:rsidRPr="5B4B25B6" w:rsidR="5B4B25B6">
        <w:rPr>
          <w:rFonts w:ascii="Arial" w:hAnsi="Arial" w:eastAsia="Arial" w:cs="Arial"/>
          <w:b w:val="0"/>
          <w:bCs w:val="0"/>
          <w:noProof w:val="0"/>
          <w:color w:val="0E101A"/>
          <w:sz w:val="24"/>
          <w:szCs w:val="24"/>
          <w:lang w:val="en-GB"/>
        </w:rPr>
        <w:t xml:space="preserve">into trouble. Because they </w:t>
      </w:r>
      <w:r w:rsidRPr="5B4B25B6" w:rsidR="5B4B25B6">
        <w:rPr>
          <w:rFonts w:ascii="Arial" w:hAnsi="Arial" w:eastAsia="Arial" w:cs="Arial"/>
          <w:b w:val="0"/>
          <w:bCs w:val="0"/>
          <w:noProof w:val="0"/>
          <w:color w:val="0E101A"/>
          <w:sz w:val="24"/>
          <w:szCs w:val="24"/>
          <w:lang w:val="en-GB"/>
        </w:rPr>
        <w:t>didn’t</w:t>
      </w:r>
      <w:r w:rsidRPr="5B4B25B6" w:rsidR="5B4B25B6">
        <w:rPr>
          <w:rFonts w:ascii="Arial" w:hAnsi="Arial" w:eastAsia="Arial" w:cs="Arial"/>
          <w:b w:val="0"/>
          <w:bCs w:val="0"/>
          <w:noProof w:val="0"/>
          <w:color w:val="0E101A"/>
          <w:sz w:val="24"/>
          <w:szCs w:val="24"/>
          <w:lang w:val="en-GB"/>
        </w:rPr>
        <w:t xml:space="preserve"> call for medical </w:t>
      </w:r>
      <w:r w:rsidRPr="5B4B25B6" w:rsidR="5B4B25B6">
        <w:rPr>
          <w:rFonts w:ascii="Arial" w:hAnsi="Arial" w:eastAsia="Arial" w:cs="Arial"/>
          <w:b w:val="0"/>
          <w:bCs w:val="0"/>
          <w:noProof w:val="0"/>
          <w:color w:val="0E101A"/>
          <w:sz w:val="24"/>
          <w:szCs w:val="24"/>
          <w:lang w:val="en-GB"/>
        </w:rPr>
        <w:t>assistance</w:t>
      </w:r>
      <w:r w:rsidRPr="5B4B25B6" w:rsidR="5B4B25B6">
        <w:rPr>
          <w:rFonts w:ascii="Arial" w:hAnsi="Arial" w:eastAsia="Arial" w:cs="Arial"/>
          <w:b w:val="0"/>
          <w:bCs w:val="0"/>
          <w:noProof w:val="0"/>
          <w:color w:val="0E101A"/>
          <w:sz w:val="24"/>
          <w:szCs w:val="24"/>
          <w:lang w:val="en-GB"/>
        </w:rPr>
        <w:t xml:space="preserve"> and instead decided  to check on her regularly over the night even though both the defendant and the mother were heroin addicts, and they knew  the danger and the risk of heroin poisoning. Unfortunately, his half-sister was dead the next morning. The defendant was the one creating the life-threatening situation by buying and giving heroin to her sister and so she had a duty of care to help her, but because she didn’t call for medical assistance and didn’t do anything to save her sister’s life, Evans the defendant was found guilty of manslaughter together with her mother who had a familial duty of care  towards her daughter. Even if Evans indirectly caused harm to her sister, because her sister was the one deciding to self-inject herself, Evans is still the one liable for her sister death because the defendant was the one supplying her sister with the heroin and also the facts shows that her sister was still alive after the overdose for some time but Evans together with her mother didn’t seek medical assistance (Baker,2010).</w:t>
      </w:r>
    </w:p>
    <w:p w:rsidR="5B4B25B6" w:rsidP="5B4B25B6" w:rsidRDefault="5B4B25B6" w14:paraId="14619F82" w14:textId="07564D08">
      <w:pPr>
        <w:spacing w:line="360" w:lineRule="auto"/>
        <w:jc w:val="both"/>
      </w:pPr>
      <w:r w:rsidRPr="5B4B25B6" w:rsidR="5B4B25B6">
        <w:rPr>
          <w:rFonts w:ascii="Arial" w:hAnsi="Arial" w:eastAsia="Arial" w:cs="Arial"/>
          <w:noProof w:val="0"/>
          <w:color w:val="0E101A"/>
          <w:sz w:val="24"/>
          <w:szCs w:val="24"/>
          <w:lang w:val="en-GB"/>
        </w:rPr>
        <w:t>Further omissions also arise in a situation like “</w:t>
      </w:r>
      <w:r w:rsidRPr="5B4B25B6" w:rsidR="5B4B25B6">
        <w:rPr>
          <w:rFonts w:ascii="Arial" w:hAnsi="Arial" w:eastAsia="Arial" w:cs="Arial"/>
          <w:b w:val="1"/>
          <w:bCs w:val="1"/>
          <w:noProof w:val="0"/>
          <w:color w:val="0E101A"/>
          <w:sz w:val="24"/>
          <w:szCs w:val="24"/>
          <w:lang w:val="en-GB"/>
        </w:rPr>
        <w:t>R,v. Gibbins and Proctor (1918)”</w:t>
      </w:r>
      <w:r w:rsidRPr="5B4B25B6" w:rsidR="5B4B25B6">
        <w:rPr>
          <w:rFonts w:ascii="Arial" w:hAnsi="Arial" w:eastAsia="Arial" w:cs="Arial"/>
          <w:noProof w:val="0"/>
          <w:color w:val="0E101A"/>
          <w:sz w:val="24"/>
          <w:szCs w:val="24"/>
          <w:lang w:val="en-GB"/>
        </w:rPr>
        <w:t xml:space="preserve"> in this case the couple who lived together and had a daughter from the man's side (</w:t>
      </w:r>
      <w:r w:rsidRPr="5B4B25B6" w:rsidR="5B4B25B6">
        <w:rPr>
          <w:rFonts w:ascii="Arial" w:hAnsi="Arial" w:eastAsia="Arial" w:cs="Arial"/>
          <w:noProof w:val="0"/>
          <w:color w:val="222222"/>
          <w:sz w:val="24"/>
          <w:szCs w:val="24"/>
          <w:lang w:val="en-GB"/>
        </w:rPr>
        <w:t>Davies, 2020)</w:t>
      </w:r>
      <w:r w:rsidRPr="5B4B25B6" w:rsidR="5B4B25B6">
        <w:rPr>
          <w:rFonts w:ascii="Arial" w:hAnsi="Arial" w:eastAsia="Arial" w:cs="Arial"/>
          <w:noProof w:val="0"/>
          <w:color w:val="0E101A"/>
          <w:sz w:val="24"/>
          <w:szCs w:val="24"/>
          <w:lang w:val="en-GB"/>
        </w:rPr>
        <w:t>. The couple failed to facilitate the child with the proper diet and food materials, which resulted in the loss of life of the child (</w:t>
      </w:r>
      <w:r w:rsidRPr="5B4B25B6" w:rsidR="5B4B25B6">
        <w:rPr>
          <w:rFonts w:ascii="Arial" w:hAnsi="Arial" w:eastAsia="Arial" w:cs="Arial"/>
          <w:noProof w:val="0"/>
          <w:color w:val="222222"/>
          <w:sz w:val="24"/>
          <w:szCs w:val="24"/>
          <w:lang w:val="en-GB"/>
        </w:rPr>
        <w:t>Wilkes, 2020)</w:t>
      </w:r>
      <w:r w:rsidRPr="5B4B25B6" w:rsidR="5B4B25B6">
        <w:rPr>
          <w:rFonts w:ascii="Arial" w:hAnsi="Arial" w:eastAsia="Arial" w:cs="Arial"/>
          <w:noProof w:val="0"/>
          <w:color w:val="0E101A"/>
          <w:sz w:val="24"/>
          <w:szCs w:val="24"/>
          <w:lang w:val="en-GB"/>
        </w:rPr>
        <w:t>. The judge states they are being charged with the murder offence since they failed to do their responsibilities and duties thus in this situation the omission arose.</w:t>
      </w:r>
    </w:p>
    <w:p w:rsidR="5B4B25B6" w:rsidP="5B4B25B6" w:rsidRDefault="5B4B25B6" w14:paraId="32E3D55C" w14:textId="6A136B97">
      <w:pPr>
        <w:spacing w:line="360" w:lineRule="auto"/>
        <w:jc w:val="both"/>
      </w:pPr>
      <w:r w:rsidRPr="5B4B25B6" w:rsidR="5B4B25B6">
        <w:rPr>
          <w:rFonts w:ascii="Arial" w:hAnsi="Arial" w:eastAsia="Arial" w:cs="Arial"/>
          <w:noProof w:val="0"/>
          <w:color w:val="0E101A"/>
          <w:sz w:val="24"/>
          <w:szCs w:val="24"/>
          <w:lang w:val="en-GB"/>
        </w:rPr>
        <w:t xml:space="preserve">A general duty to the act is present as these will help to outline the things associated with the crime and help to prevent them and the act of injury or loss can be prevented. Since the attributes of omission can lead to a huge damage in life as well as property further, the law of the legal system helps to punish the individual who did the crime even if </w:t>
      </w:r>
      <w:r w:rsidRPr="5B4B25B6" w:rsidR="5B4B25B6">
        <w:rPr>
          <w:rFonts w:ascii="Arial" w:hAnsi="Arial" w:eastAsia="Arial" w:cs="Arial"/>
          <w:noProof w:val="0"/>
          <w:color w:val="0E101A"/>
          <w:sz w:val="24"/>
          <w:szCs w:val="24"/>
          <w:lang w:val="en-GB"/>
        </w:rPr>
        <w:t>it's</w:t>
      </w:r>
      <w:r w:rsidRPr="5B4B25B6" w:rsidR="5B4B25B6">
        <w:rPr>
          <w:rFonts w:ascii="Arial" w:hAnsi="Arial" w:eastAsia="Arial" w:cs="Arial"/>
          <w:noProof w:val="0"/>
          <w:color w:val="0E101A"/>
          <w:sz w:val="24"/>
          <w:szCs w:val="24"/>
          <w:lang w:val="en-GB"/>
        </w:rPr>
        <w:t xml:space="preserve"> not done intentionally (</w:t>
      </w:r>
      <w:r w:rsidRPr="5B4B25B6" w:rsidR="5B4B25B6">
        <w:rPr>
          <w:rFonts w:ascii="Arial" w:hAnsi="Arial" w:eastAsia="Arial" w:cs="Arial"/>
          <w:noProof w:val="0"/>
          <w:color w:val="222222"/>
          <w:sz w:val="24"/>
          <w:szCs w:val="24"/>
          <w:lang w:val="en-GB"/>
        </w:rPr>
        <w:t>Chuasanga</w:t>
      </w:r>
      <w:r w:rsidRPr="5B4B25B6" w:rsidR="5B4B25B6">
        <w:rPr>
          <w:rFonts w:ascii="Arial" w:hAnsi="Arial" w:eastAsia="Arial" w:cs="Arial"/>
          <w:noProof w:val="0"/>
          <w:color w:val="222222"/>
          <w:sz w:val="24"/>
          <w:szCs w:val="24"/>
          <w:lang w:val="en-GB"/>
        </w:rPr>
        <w:t xml:space="preserve"> and Victoria, 2019)</w:t>
      </w:r>
      <w:r w:rsidRPr="5B4B25B6" w:rsidR="5B4B25B6">
        <w:rPr>
          <w:rFonts w:ascii="Arial" w:hAnsi="Arial" w:eastAsia="Arial" w:cs="Arial"/>
          <w:noProof w:val="0"/>
          <w:color w:val="0E101A"/>
          <w:sz w:val="24"/>
          <w:szCs w:val="24"/>
          <w:lang w:val="en-GB"/>
        </w:rPr>
        <w:t>. The general act can show the presence of a guilty act, actus reus, or guilty mentality. All these aspects can reduce the act of crime or omission.</w:t>
      </w:r>
    </w:p>
    <w:p w:rsidR="5B4B25B6" w:rsidP="5B4B25B6" w:rsidRDefault="5B4B25B6" w14:paraId="120B1F8A" w14:textId="78259524">
      <w:pPr>
        <w:pStyle w:val="Normal"/>
        <w:spacing w:line="360" w:lineRule="auto"/>
        <w:jc w:val="both"/>
      </w:pPr>
      <w:r w:rsidRPr="5B4B25B6" w:rsidR="5B4B25B6">
        <w:rPr>
          <w:rFonts w:ascii="Arial" w:hAnsi="Arial" w:eastAsia="Arial" w:cs="Arial"/>
          <w:noProof w:val="0"/>
          <w:color w:val="0E101A"/>
          <w:sz w:val="24"/>
          <w:szCs w:val="24"/>
          <w:lang w:val="en-GB"/>
        </w:rPr>
        <w:t xml:space="preserve">The pros of general duty help to </w:t>
      </w:r>
      <w:r w:rsidRPr="5B4B25B6" w:rsidR="5B4B25B6">
        <w:rPr>
          <w:rFonts w:ascii="Arial" w:hAnsi="Arial" w:eastAsia="Arial" w:cs="Arial"/>
          <w:noProof w:val="0"/>
          <w:color w:val="0E101A"/>
          <w:sz w:val="24"/>
          <w:szCs w:val="24"/>
          <w:lang w:val="en-GB"/>
        </w:rPr>
        <w:t>provide</w:t>
      </w:r>
      <w:r w:rsidRPr="5B4B25B6" w:rsidR="5B4B25B6">
        <w:rPr>
          <w:rFonts w:ascii="Arial" w:hAnsi="Arial" w:eastAsia="Arial" w:cs="Arial"/>
          <w:noProof w:val="0"/>
          <w:color w:val="0E101A"/>
          <w:sz w:val="24"/>
          <w:szCs w:val="24"/>
          <w:lang w:val="en-GB"/>
        </w:rPr>
        <w:t xml:space="preserve"> the occupational safety and health act as per section 5 (a) (1). This general duty helps to </w:t>
      </w:r>
      <w:r w:rsidRPr="5B4B25B6" w:rsidR="5B4B25B6">
        <w:rPr>
          <w:rFonts w:ascii="Arial" w:hAnsi="Arial" w:eastAsia="Arial" w:cs="Arial"/>
          <w:noProof w:val="0"/>
          <w:color w:val="0E101A"/>
          <w:sz w:val="24"/>
          <w:szCs w:val="24"/>
          <w:lang w:val="en-GB"/>
        </w:rPr>
        <w:t>facilitate</w:t>
      </w:r>
      <w:r w:rsidRPr="5B4B25B6" w:rsidR="5B4B25B6">
        <w:rPr>
          <w:rFonts w:ascii="Arial" w:hAnsi="Arial" w:eastAsia="Arial" w:cs="Arial"/>
          <w:noProof w:val="0"/>
          <w:color w:val="0E101A"/>
          <w:sz w:val="24"/>
          <w:szCs w:val="24"/>
          <w:lang w:val="en-GB"/>
        </w:rPr>
        <w:t xml:space="preserve"> the workplace to become free from any kind of hazards which can lead to physical harm or cause death (</w:t>
      </w:r>
      <w:r w:rsidRPr="5B4B25B6" w:rsidR="5B4B25B6">
        <w:rPr>
          <w:rFonts w:ascii="Arial" w:hAnsi="Arial" w:eastAsia="Arial" w:cs="Arial"/>
          <w:noProof w:val="0"/>
          <w:color w:val="222222"/>
          <w:sz w:val="24"/>
          <w:szCs w:val="24"/>
          <w:lang w:val="en-GB"/>
        </w:rPr>
        <w:t>Schomburg et al., 2021)</w:t>
      </w:r>
      <w:r w:rsidRPr="5B4B25B6" w:rsidR="5B4B25B6">
        <w:rPr>
          <w:rFonts w:ascii="Arial" w:hAnsi="Arial" w:eastAsia="Arial" w:cs="Arial"/>
          <w:noProof w:val="0"/>
          <w:color w:val="0E101A"/>
          <w:sz w:val="24"/>
          <w:szCs w:val="24"/>
          <w:lang w:val="en-GB"/>
        </w:rPr>
        <w:t>.</w:t>
      </w:r>
    </w:p>
    <w:p w:rsidR="5B4B25B6" w:rsidP="5B4B25B6" w:rsidRDefault="5B4B25B6" w14:paraId="22AEA03A" w14:textId="5FA3C756">
      <w:pPr>
        <w:pStyle w:val="Normal"/>
        <w:spacing w:before="0" w:beforeAutospacing="off" w:after="0" w:afterAutospacing="off"/>
        <w:jc w:val="left"/>
        <w:rPr>
          <w:rFonts w:ascii="Arial" w:hAnsi="Arial" w:eastAsia="Arial" w:cs="Arial"/>
          <w:noProof w:val="0"/>
          <w:sz w:val="24"/>
          <w:szCs w:val="24"/>
          <w:lang w:val="en-GB"/>
        </w:rPr>
      </w:pPr>
      <w:r w:rsidRPr="5B4B25B6" w:rsidR="5B4B25B6">
        <w:rPr>
          <w:rFonts w:ascii="Arial" w:hAnsi="Arial" w:eastAsia="Arial" w:cs="Arial"/>
          <w:b w:val="0"/>
          <w:bCs w:val="0"/>
          <w:i w:val="0"/>
          <w:iCs w:val="0"/>
          <w:caps w:val="0"/>
          <w:smallCaps w:val="0"/>
          <w:noProof w:val="0"/>
          <w:color w:val="202124"/>
          <w:sz w:val="24"/>
          <w:szCs w:val="24"/>
          <w:lang w:val="en-GB"/>
        </w:rPr>
        <w:t xml:space="preserve">When talking about the pros and cons in duty of care there are arguments for both sides. Depending on the case and situation when having a duty of care, </w:t>
      </w:r>
      <w:r w:rsidRPr="5B4B25B6" w:rsidR="5B4B25B6">
        <w:rPr>
          <w:rFonts w:ascii="Arial" w:hAnsi="Arial" w:eastAsia="Arial" w:cs="Arial"/>
          <w:b w:val="0"/>
          <w:bCs w:val="0"/>
          <w:i w:val="0"/>
          <w:iCs w:val="0"/>
          <w:caps w:val="0"/>
          <w:smallCaps w:val="0"/>
          <w:noProof w:val="0"/>
          <w:color w:val="202124"/>
          <w:sz w:val="24"/>
          <w:szCs w:val="24"/>
          <w:lang w:val="en-GB"/>
        </w:rPr>
        <w:t>it’s</w:t>
      </w:r>
      <w:r w:rsidRPr="5B4B25B6" w:rsidR="5B4B25B6">
        <w:rPr>
          <w:rFonts w:ascii="Arial" w:hAnsi="Arial" w:eastAsia="Arial" w:cs="Arial"/>
          <w:b w:val="0"/>
          <w:bCs w:val="0"/>
          <w:i w:val="0"/>
          <w:iCs w:val="0"/>
          <w:caps w:val="0"/>
          <w:smallCaps w:val="0"/>
          <w:noProof w:val="0"/>
          <w:color w:val="202124"/>
          <w:sz w:val="24"/>
          <w:szCs w:val="24"/>
          <w:lang w:val="en-GB"/>
        </w:rPr>
        <w:t xml:space="preserve"> argued that it would</w:t>
      </w:r>
      <w:r w:rsidRPr="5B4B25B6" w:rsidR="5B4B25B6">
        <w:rPr>
          <w:rFonts w:ascii="Arial" w:hAnsi="Arial" w:eastAsia="Arial" w:cs="Arial"/>
          <w:b w:val="0"/>
          <w:bCs w:val="0"/>
          <w:i w:val="0"/>
          <w:iCs w:val="0"/>
          <w:caps w:val="0"/>
          <w:smallCaps w:val="0"/>
          <w:noProof w:val="0"/>
          <w:color w:val="202124"/>
          <w:sz w:val="24"/>
          <w:szCs w:val="24"/>
          <w:lang w:val="en-GB"/>
        </w:rPr>
        <w:t xml:space="preserve"> </w:t>
      </w:r>
      <w:r w:rsidRPr="5B4B25B6" w:rsidR="5B4B25B6">
        <w:rPr>
          <w:rFonts w:ascii="Arial" w:hAnsi="Arial" w:eastAsia="Arial" w:cs="Arial"/>
          <w:b w:val="0"/>
          <w:bCs w:val="0"/>
          <w:i w:val="0"/>
          <w:iCs w:val="0"/>
          <w:caps w:val="0"/>
          <w:smallCaps w:val="0"/>
          <w:noProof w:val="0"/>
          <w:color w:val="040C28"/>
          <w:sz w:val="24"/>
          <w:szCs w:val="24"/>
          <w:lang w:val="en-GB"/>
        </w:rPr>
        <w:t>prevent harm to others but on the other side,</w:t>
      </w:r>
      <w:r w:rsidRPr="5B4B25B6" w:rsidR="5B4B25B6">
        <w:rPr>
          <w:rFonts w:ascii="Arial" w:hAnsi="Arial" w:eastAsia="Arial" w:cs="Arial"/>
          <w:b w:val="0"/>
          <w:bCs w:val="0"/>
          <w:i w:val="0"/>
          <w:iCs w:val="0"/>
          <w:caps w:val="0"/>
          <w:smallCaps w:val="0"/>
          <w:noProof w:val="0"/>
          <w:color w:val="202124"/>
          <w:sz w:val="24"/>
          <w:szCs w:val="24"/>
          <w:lang w:val="en-GB"/>
        </w:rPr>
        <w:t xml:space="preserve"> there is a counter argument that people could also cause more harm if trying to help an injured person then by not doing anything at all. When talking about duty of care Pros and Cons in liability by omission there are four circumstances that we must consider such as: the duty arises when the </w:t>
      </w:r>
      <w:r w:rsidRPr="5B4B25B6" w:rsidR="5B4B25B6">
        <w:rPr>
          <w:rFonts w:ascii="Arial" w:hAnsi="Arial" w:eastAsia="Arial" w:cs="Arial"/>
          <w:b w:val="0"/>
          <w:bCs w:val="0"/>
          <w:i w:val="0"/>
          <w:iCs w:val="0"/>
          <w:caps w:val="0"/>
          <w:smallCaps w:val="0"/>
          <w:noProof w:val="0"/>
          <w:color w:val="auto"/>
          <w:sz w:val="24"/>
          <w:szCs w:val="24"/>
          <w:lang w:val="en-GB"/>
        </w:rPr>
        <w:t xml:space="preserve">defendant is a public servant, for example </w:t>
      </w:r>
      <w:r w:rsidRPr="5B4B25B6" w:rsidR="5B4B25B6">
        <w:rPr>
          <w:rFonts w:ascii="Arial" w:hAnsi="Arial" w:eastAsia="Arial" w:cs="Arial"/>
          <w:b w:val="1"/>
          <w:bCs w:val="1"/>
          <w:i w:val="0"/>
          <w:iCs w:val="0"/>
          <w:noProof w:val="0"/>
          <w:color w:val="000000" w:themeColor="text1" w:themeTint="FF" w:themeShade="FF"/>
          <w:sz w:val="24"/>
          <w:szCs w:val="24"/>
          <w:lang w:val="en-GB"/>
        </w:rPr>
        <w:t>Dytham</w:t>
      </w:r>
      <w:r w:rsidRPr="5B4B25B6" w:rsidR="5B4B25B6">
        <w:rPr>
          <w:rFonts w:ascii="Arial" w:hAnsi="Arial" w:eastAsia="Arial" w:cs="Arial"/>
          <w:b w:val="1"/>
          <w:bCs w:val="1"/>
          <w:i w:val="0"/>
          <w:iCs w:val="0"/>
          <w:noProof w:val="0"/>
          <w:color w:val="000000" w:themeColor="text1" w:themeTint="FF" w:themeShade="FF"/>
          <w:sz w:val="24"/>
          <w:szCs w:val="24"/>
          <w:lang w:val="en-GB"/>
        </w:rPr>
        <w:t xml:space="preserve"> (1979) </w:t>
      </w:r>
      <w:r w:rsidRPr="5B4B25B6" w:rsidR="5B4B25B6">
        <w:rPr>
          <w:rFonts w:ascii="Arial" w:hAnsi="Arial" w:eastAsia="Arial" w:cs="Arial"/>
          <w:b w:val="0"/>
          <w:bCs w:val="0"/>
          <w:i w:val="0"/>
          <w:iCs w:val="0"/>
          <w:noProof w:val="0"/>
          <w:color w:val="000000" w:themeColor="text1" w:themeTint="FF" w:themeShade="FF"/>
          <w:sz w:val="24"/>
          <w:szCs w:val="24"/>
          <w:lang w:val="en-GB"/>
        </w:rPr>
        <w:t>a public officer</w:t>
      </w:r>
      <w:r w:rsidRPr="5B4B25B6" w:rsidR="5B4B25B6">
        <w:rPr>
          <w:rFonts w:ascii="Arial" w:hAnsi="Arial" w:eastAsia="Arial" w:cs="Arial"/>
          <w:b w:val="0"/>
          <w:bCs w:val="0"/>
          <w:noProof w:val="0"/>
          <w:color w:val="000000" w:themeColor="text1" w:themeTint="FF" w:themeShade="FF"/>
          <w:sz w:val="24"/>
          <w:szCs w:val="24"/>
          <w:lang w:val="en-GB"/>
        </w:rPr>
        <w:t xml:space="preserve">  committed an offence when he knowingly failed to intervene when the victim was ejected from a nightclub and beaten to death by the bouncer by saying that his shift was due to an end and left the scene.(Tutor2u,2022).</w:t>
      </w:r>
    </w:p>
    <w:p w:rsidR="5B4B25B6" w:rsidP="5B4B25B6" w:rsidRDefault="5B4B25B6" w14:paraId="653822BF" w14:textId="561FE4CF">
      <w:pPr>
        <w:pStyle w:val="Normal"/>
        <w:spacing w:before="0" w:beforeAutospacing="off" w:after="0" w:afterAutospacing="off"/>
        <w:jc w:val="left"/>
        <w:rPr>
          <w:rFonts w:ascii="Arial" w:hAnsi="Arial" w:eastAsia="Arial" w:cs="Arial"/>
          <w:noProof w:val="0"/>
          <w:sz w:val="24"/>
          <w:szCs w:val="24"/>
          <w:lang w:val="en-GB"/>
        </w:rPr>
      </w:pPr>
      <w:r w:rsidRPr="5B4B25B6" w:rsidR="5B4B25B6">
        <w:rPr>
          <w:rFonts w:ascii="Arial" w:hAnsi="Arial" w:eastAsia="Arial" w:cs="Arial"/>
          <w:b w:val="0"/>
          <w:bCs w:val="0"/>
          <w:noProof w:val="0"/>
          <w:color w:val="000000" w:themeColor="text1" w:themeTint="FF" w:themeShade="FF"/>
          <w:sz w:val="24"/>
          <w:szCs w:val="24"/>
          <w:lang w:val="en-GB"/>
        </w:rPr>
        <w:t>When</w:t>
      </w:r>
      <w:r w:rsidRPr="5B4B25B6" w:rsidR="5B4B25B6">
        <w:rPr>
          <w:rFonts w:ascii="Arial" w:hAnsi="Arial" w:eastAsia="Arial" w:cs="Arial"/>
          <w:b w:val="0"/>
          <w:bCs w:val="0"/>
          <w:i w:val="0"/>
          <w:iCs w:val="0"/>
          <w:caps w:val="0"/>
          <w:smallCaps w:val="0"/>
          <w:noProof w:val="0"/>
          <w:color w:val="auto"/>
          <w:sz w:val="24"/>
          <w:szCs w:val="24"/>
          <w:lang w:val="en-GB"/>
        </w:rPr>
        <w:t>is a special relationship between the defendant and the victim, and when the defendant voluntarily assumes responsibility for the victim or created the danger to the victim.</w:t>
      </w:r>
      <w:r w:rsidRPr="5B4B25B6" w:rsidR="5B4B25B6">
        <w:rPr>
          <w:rFonts w:ascii="Calibri" w:hAnsi="Calibri" w:eastAsia="Calibri" w:cs="Calibri"/>
          <w:noProof w:val="0"/>
          <w:color w:val="000000" w:themeColor="text1" w:themeTint="FF" w:themeShade="FF"/>
          <w:sz w:val="22"/>
          <w:szCs w:val="22"/>
          <w:lang w:val="en-GB"/>
        </w:rPr>
        <w:t xml:space="preserve"> </w:t>
      </w:r>
      <w:r w:rsidRPr="5B4B25B6" w:rsidR="5B4B25B6">
        <w:rPr>
          <w:rFonts w:ascii="Arial" w:hAnsi="Arial" w:eastAsia="Arial" w:cs="Arial"/>
          <w:b w:val="1"/>
          <w:bCs w:val="1"/>
          <w:noProof w:val="0"/>
          <w:color w:val="000000" w:themeColor="text1" w:themeTint="FF" w:themeShade="FF"/>
          <w:sz w:val="24"/>
          <w:szCs w:val="24"/>
          <w:lang w:val="en-GB"/>
        </w:rPr>
        <w:t>Instan</w:t>
      </w:r>
      <w:r w:rsidRPr="5B4B25B6" w:rsidR="5B4B25B6">
        <w:rPr>
          <w:rFonts w:ascii="Arial" w:hAnsi="Arial" w:eastAsia="Arial" w:cs="Arial"/>
          <w:b w:val="1"/>
          <w:bCs w:val="1"/>
          <w:noProof w:val="0"/>
          <w:color w:val="000000" w:themeColor="text1" w:themeTint="FF" w:themeShade="FF"/>
          <w:sz w:val="24"/>
          <w:szCs w:val="24"/>
          <w:lang w:val="en-GB"/>
        </w:rPr>
        <w:t xml:space="preserve"> (1893)</w:t>
      </w:r>
      <w:r w:rsidRPr="5B4B25B6" w:rsidR="5B4B25B6">
        <w:rPr>
          <w:rFonts w:ascii="Arial" w:hAnsi="Arial" w:eastAsia="Arial" w:cs="Arial"/>
          <w:noProof w:val="0"/>
          <w:color w:val="000000" w:themeColor="text1" w:themeTint="FF" w:themeShade="FF"/>
          <w:sz w:val="24"/>
          <w:szCs w:val="24"/>
          <w:lang w:val="en-GB"/>
        </w:rPr>
        <w:t xml:space="preserve"> Defendant lived with elderly and infirm aunt, the aunt was neglected, and she died. Neglect accelerated aunts' death and Defendant was guilty of manslaughter on grounds that the defendant assumed responsibility to care for her aunt (LawTeacher,2021)</w:t>
      </w:r>
    </w:p>
    <w:p w:rsidR="5B4B25B6" w:rsidP="5B4B25B6" w:rsidRDefault="5B4B25B6" w14:paraId="3283D9DB" w14:textId="48265D81">
      <w:pPr>
        <w:pStyle w:val="Normal"/>
        <w:spacing w:line="360" w:lineRule="auto"/>
        <w:jc w:val="both"/>
        <w:rPr>
          <w:rFonts w:ascii="Arial" w:hAnsi="Arial" w:eastAsia="Arial" w:cs="Arial"/>
          <w:noProof w:val="0"/>
          <w:sz w:val="24"/>
          <w:szCs w:val="24"/>
          <w:lang w:val="en-GB"/>
        </w:rPr>
      </w:pPr>
      <w:r w:rsidRPr="5B4B25B6" w:rsidR="5B4B25B6">
        <w:rPr>
          <w:rFonts w:ascii="Arial" w:hAnsi="Arial" w:eastAsia="Arial" w:cs="Arial"/>
          <w:noProof w:val="0"/>
          <w:color w:val="0E101A"/>
          <w:sz w:val="24"/>
          <w:szCs w:val="24"/>
          <w:lang w:val="en-GB"/>
        </w:rPr>
        <w:t xml:space="preserve">The duties must be built and should also focus on the law on omission and liability by </w:t>
      </w:r>
      <w:r w:rsidRPr="5B4B25B6" w:rsidR="5B4B25B6">
        <w:rPr>
          <w:rFonts w:ascii="Arial" w:hAnsi="Arial" w:eastAsia="Arial" w:cs="Arial"/>
          <w:noProof w:val="0"/>
          <w:color w:val="0E101A"/>
          <w:sz w:val="24"/>
          <w:szCs w:val="24"/>
          <w:lang w:val="en-GB"/>
        </w:rPr>
        <w:t>monitoring</w:t>
      </w:r>
      <w:r w:rsidRPr="5B4B25B6" w:rsidR="5B4B25B6">
        <w:rPr>
          <w:rFonts w:ascii="Arial" w:hAnsi="Arial" w:eastAsia="Arial" w:cs="Arial"/>
          <w:noProof w:val="0"/>
          <w:color w:val="0E101A"/>
          <w:sz w:val="24"/>
          <w:szCs w:val="24"/>
          <w:lang w:val="en-GB"/>
        </w:rPr>
        <w:t xml:space="preserve"> the conduct of the criminal activity. The legislative body of England and Wales can take legislative measures to reduce criminal activity and </w:t>
      </w:r>
      <w:r w:rsidRPr="5B4B25B6" w:rsidR="5B4B25B6">
        <w:rPr>
          <w:rFonts w:ascii="Arial" w:hAnsi="Arial" w:eastAsia="Arial" w:cs="Arial"/>
          <w:noProof w:val="0"/>
          <w:color w:val="0E101A"/>
          <w:sz w:val="24"/>
          <w:szCs w:val="24"/>
          <w:lang w:val="en-GB"/>
        </w:rPr>
        <w:t>anticipate</w:t>
      </w:r>
      <w:r w:rsidRPr="5B4B25B6" w:rsidR="5B4B25B6">
        <w:rPr>
          <w:rFonts w:ascii="Arial" w:hAnsi="Arial" w:eastAsia="Arial" w:cs="Arial"/>
          <w:noProof w:val="0"/>
          <w:color w:val="0E101A"/>
          <w:sz w:val="24"/>
          <w:szCs w:val="24"/>
          <w:lang w:val="en-GB"/>
        </w:rPr>
        <w:t xml:space="preserve"> the activism of the judiciary in omission liability.</w:t>
      </w:r>
    </w:p>
    <w:p w:rsidR="5B4B25B6" w:rsidP="5B4B25B6" w:rsidRDefault="5B4B25B6" w14:paraId="5E4660CA" w14:textId="5E85D38B">
      <w:pPr>
        <w:spacing w:line="360" w:lineRule="auto"/>
        <w:jc w:val="both"/>
      </w:pPr>
      <w:r w:rsidRPr="5B4B25B6" w:rsidR="5B4B25B6">
        <w:rPr>
          <w:rFonts w:ascii="Arial" w:hAnsi="Arial" w:eastAsia="Arial" w:cs="Arial"/>
          <w:noProof w:val="0"/>
          <w:color w:val="0E101A"/>
          <w:sz w:val="24"/>
          <w:szCs w:val="24"/>
          <w:lang w:val="en-GB"/>
        </w:rPr>
        <w:t>The study has outlined the terms general duty and omission liability in aspects of criminal law in the broader context. The study has highlighted the part of failure for the associated crime, it has analysed the requirement to commit a crime by omission. The study has also discussed the advantages and disadvantages of implementing the general duty to the act of criminal law.</w:t>
      </w:r>
    </w:p>
    <w:p w:rsidR="5B4B25B6" w:rsidP="5B4B25B6" w:rsidRDefault="5B4B25B6" w14:paraId="600772AF" w14:textId="7A543C29">
      <w:pPr>
        <w:pStyle w:val="Normal"/>
        <w:spacing w:line="360" w:lineRule="auto"/>
        <w:jc w:val="both"/>
        <w:rPr>
          <w:rFonts w:ascii="Arial" w:hAnsi="Arial" w:eastAsia="Arial" w:cs="Arial"/>
          <w:noProof w:val="0"/>
          <w:color w:val="0E101A"/>
          <w:sz w:val="24"/>
          <w:szCs w:val="24"/>
          <w:lang w:val="en-GB"/>
        </w:rPr>
      </w:pPr>
    </w:p>
    <w:p w:rsidR="5B4B25B6" w:rsidP="5B4B25B6" w:rsidRDefault="5B4B25B6" w14:paraId="668A694F" w14:textId="3B3786A5">
      <w:pPr>
        <w:pStyle w:val="Normal"/>
        <w:spacing w:line="360" w:lineRule="auto"/>
        <w:jc w:val="both"/>
        <w:rPr>
          <w:rFonts w:ascii="Arial" w:hAnsi="Arial" w:eastAsia="Arial" w:cs="Arial"/>
          <w:noProof w:val="0"/>
          <w:color w:val="0E101A"/>
          <w:sz w:val="24"/>
          <w:szCs w:val="24"/>
          <w:lang w:val="en-GB"/>
        </w:rPr>
      </w:pPr>
    </w:p>
    <w:p w:rsidR="5B4B25B6" w:rsidP="5B4B25B6" w:rsidRDefault="5B4B25B6" w14:paraId="44062B5D" w14:textId="68788FCD">
      <w:pPr>
        <w:pStyle w:val="Normal"/>
        <w:spacing w:line="360" w:lineRule="auto"/>
        <w:jc w:val="both"/>
        <w:rPr>
          <w:rFonts w:ascii="Arial" w:hAnsi="Arial" w:eastAsia="Arial" w:cs="Arial"/>
          <w:noProof w:val="0"/>
          <w:color w:val="0E101A"/>
          <w:sz w:val="24"/>
          <w:szCs w:val="24"/>
          <w:lang w:val="en-GB"/>
        </w:rPr>
      </w:pPr>
    </w:p>
    <w:p w:rsidR="5B4B25B6" w:rsidP="5B4B25B6" w:rsidRDefault="5B4B25B6" w14:paraId="2FB7CB0A" w14:textId="42223F6C">
      <w:pPr>
        <w:pStyle w:val="Normal"/>
        <w:spacing w:line="360" w:lineRule="auto"/>
        <w:jc w:val="both"/>
        <w:rPr>
          <w:rFonts w:ascii="Arial" w:hAnsi="Arial" w:eastAsia="Arial" w:cs="Arial"/>
          <w:noProof w:val="0"/>
          <w:color w:val="0E101A"/>
          <w:sz w:val="24"/>
          <w:szCs w:val="24"/>
          <w:lang w:val="en-GB"/>
        </w:rPr>
      </w:pPr>
    </w:p>
    <w:p w:rsidR="5B4B25B6" w:rsidP="5B4B25B6" w:rsidRDefault="5B4B25B6" w14:paraId="6532779B" w14:textId="35813281">
      <w:pPr>
        <w:pStyle w:val="Normal"/>
        <w:spacing w:line="360" w:lineRule="auto"/>
        <w:jc w:val="both"/>
        <w:rPr>
          <w:rFonts w:ascii="Arial" w:hAnsi="Arial" w:eastAsia="Arial" w:cs="Arial"/>
          <w:noProof w:val="0"/>
          <w:color w:val="0E101A"/>
          <w:sz w:val="24"/>
          <w:szCs w:val="24"/>
          <w:lang w:val="en-GB"/>
        </w:rPr>
      </w:pPr>
    </w:p>
    <w:p w:rsidR="5B4B25B6" w:rsidP="5B4B25B6" w:rsidRDefault="5B4B25B6" w14:paraId="0038128C" w14:textId="10D76779">
      <w:pPr>
        <w:pStyle w:val="Normal"/>
        <w:spacing w:line="360" w:lineRule="auto"/>
        <w:jc w:val="both"/>
        <w:rPr>
          <w:rFonts w:ascii="Arial" w:hAnsi="Arial" w:eastAsia="Arial" w:cs="Arial"/>
          <w:noProof w:val="0"/>
          <w:color w:val="0E101A"/>
          <w:sz w:val="24"/>
          <w:szCs w:val="24"/>
          <w:lang w:val="en-GB"/>
        </w:rPr>
      </w:pPr>
    </w:p>
    <w:p w:rsidR="5B4B25B6" w:rsidP="5B4B25B6" w:rsidRDefault="5B4B25B6" w14:paraId="64B1C63D" w14:textId="21B7BF14">
      <w:pPr>
        <w:pStyle w:val="Normal"/>
        <w:spacing w:line="360" w:lineRule="auto"/>
        <w:jc w:val="both"/>
        <w:rPr>
          <w:rFonts w:ascii="Arial" w:hAnsi="Arial" w:eastAsia="Arial" w:cs="Arial"/>
          <w:noProof w:val="0"/>
          <w:color w:val="0E101A"/>
          <w:sz w:val="24"/>
          <w:szCs w:val="24"/>
          <w:lang w:val="en-GB"/>
        </w:rPr>
      </w:pPr>
    </w:p>
    <w:p w:rsidR="5B4B25B6" w:rsidP="5B4B25B6" w:rsidRDefault="5B4B25B6" w14:paraId="7E3B5667" w14:textId="30FE5E4D">
      <w:pPr>
        <w:pStyle w:val="Normal"/>
        <w:spacing w:line="360" w:lineRule="auto"/>
        <w:jc w:val="both"/>
        <w:rPr>
          <w:rFonts w:ascii="Arial" w:hAnsi="Arial" w:eastAsia="Arial" w:cs="Arial"/>
          <w:noProof w:val="0"/>
          <w:color w:val="0E101A"/>
          <w:sz w:val="24"/>
          <w:szCs w:val="24"/>
          <w:lang w:val="en-GB"/>
        </w:rPr>
      </w:pPr>
    </w:p>
    <w:p w:rsidR="5B4B25B6" w:rsidP="5B4B25B6" w:rsidRDefault="5B4B25B6" w14:paraId="0297DBE4" w14:textId="522241B1">
      <w:pPr>
        <w:spacing w:line="360" w:lineRule="auto"/>
        <w:jc w:val="both"/>
      </w:pPr>
      <w:r w:rsidRPr="5B4B25B6" w:rsidR="5B4B25B6">
        <w:rPr>
          <w:rFonts w:ascii="Arial" w:hAnsi="Arial" w:eastAsia="Arial" w:cs="Arial"/>
          <w:noProof w:val="0"/>
          <w:color w:val="222222"/>
          <w:sz w:val="24"/>
          <w:szCs w:val="24"/>
          <w:lang w:val="en-GB"/>
        </w:rPr>
        <w:t xml:space="preserve">Ambos, K., Duff, A., Roberts, J., Weigend, T. and Heinze, A. eds., (2020) </w:t>
      </w:r>
      <w:r w:rsidRPr="5B4B25B6" w:rsidR="5B4B25B6">
        <w:rPr>
          <w:rFonts w:ascii="Arial" w:hAnsi="Arial" w:eastAsia="Arial" w:cs="Arial"/>
          <w:i w:val="1"/>
          <w:iCs w:val="1"/>
          <w:noProof w:val="0"/>
          <w:color w:val="222222"/>
          <w:sz w:val="24"/>
          <w:szCs w:val="24"/>
          <w:lang w:val="en-GB"/>
        </w:rPr>
        <w:t>Core Concepts in Criminal Law and Criminal Justice: Anglo-German Dialogues</w:t>
      </w:r>
      <w:r w:rsidRPr="5B4B25B6" w:rsidR="5B4B25B6">
        <w:rPr>
          <w:rFonts w:ascii="Arial" w:hAnsi="Arial" w:eastAsia="Arial" w:cs="Arial"/>
          <w:noProof w:val="0"/>
          <w:color w:val="222222"/>
          <w:sz w:val="24"/>
          <w:szCs w:val="24"/>
          <w:lang w:val="en-GB"/>
        </w:rPr>
        <w:t xml:space="preserve"> (Vol. 1). Cambridge University Press.</w:t>
      </w:r>
    </w:p>
    <w:p w:rsidR="5B4B25B6" w:rsidP="5B4B25B6" w:rsidRDefault="5B4B25B6" w14:paraId="34755461" w14:textId="221AF17A">
      <w:pPr>
        <w:pStyle w:val="Normal"/>
        <w:spacing w:line="360" w:lineRule="auto"/>
        <w:jc w:val="left"/>
        <w:rPr>
          <w:rFonts w:ascii="Arial" w:hAnsi="Arial" w:eastAsia="Arial" w:cs="Arial"/>
          <w:noProof w:val="0"/>
          <w:sz w:val="24"/>
          <w:szCs w:val="24"/>
          <w:lang w:val="en-GB"/>
        </w:rPr>
      </w:pPr>
      <w:r w:rsidRPr="5B4B25B6" w:rsidR="5B4B25B6">
        <w:rPr>
          <w:rFonts w:ascii="Arial" w:hAnsi="Arial" w:eastAsia="Arial" w:cs="Arial"/>
          <w:noProof w:val="0"/>
          <w:color w:val="222222"/>
          <w:sz w:val="24"/>
          <w:szCs w:val="24"/>
          <w:lang w:val="en-GB"/>
        </w:rPr>
        <w:t xml:space="preserve"> </w:t>
      </w:r>
      <w:r w:rsidRPr="5B4B25B6" w:rsidR="5B4B25B6">
        <w:rPr>
          <w:rFonts w:ascii="Arial" w:hAnsi="Arial" w:eastAsia="Arial" w:cs="Arial"/>
          <w:b w:val="0"/>
          <w:bCs w:val="0"/>
          <w:i w:val="0"/>
          <w:iCs w:val="0"/>
          <w:caps w:val="0"/>
          <w:smallCaps w:val="0"/>
          <w:noProof w:val="0"/>
          <w:color w:val="3A3A3A"/>
          <w:sz w:val="24"/>
          <w:szCs w:val="24"/>
          <w:lang w:val="en-GB"/>
        </w:rPr>
        <w:t>Baker, D.J. (2010) ‘Omissions Liability for Homicide Offences: Reconciling R v Kennedy with R v Evans’,</w:t>
      </w:r>
      <w:r w:rsidRPr="5B4B25B6" w:rsidR="5B4B25B6">
        <w:rPr>
          <w:rFonts w:ascii="Arial" w:hAnsi="Arial" w:eastAsia="Arial" w:cs="Arial"/>
          <w:b w:val="0"/>
          <w:bCs w:val="0"/>
          <w:i w:val="0"/>
          <w:iCs w:val="0"/>
          <w:caps w:val="0"/>
          <w:smallCaps w:val="0"/>
          <w:noProof w:val="0"/>
          <w:color w:val="3A3A3A"/>
          <w:sz w:val="24"/>
          <w:szCs w:val="24"/>
          <w:lang w:val="en-GB"/>
        </w:rPr>
        <w:t xml:space="preserve"> </w:t>
      </w:r>
      <w:r w:rsidRPr="5B4B25B6" w:rsidR="5B4B25B6">
        <w:rPr>
          <w:rFonts w:ascii="Arial" w:hAnsi="Arial" w:eastAsia="Arial" w:cs="Arial"/>
          <w:b w:val="0"/>
          <w:bCs w:val="0"/>
          <w:i w:val="1"/>
          <w:iCs w:val="1"/>
          <w:caps w:val="0"/>
          <w:smallCaps w:val="0"/>
          <w:noProof w:val="0"/>
          <w:color w:val="3A3A3A"/>
          <w:sz w:val="24"/>
          <w:szCs w:val="24"/>
          <w:lang w:val="en-GB"/>
        </w:rPr>
        <w:t>Journal of criminal law (Hertford)</w:t>
      </w:r>
      <w:r w:rsidRPr="5B4B25B6" w:rsidR="5B4B25B6">
        <w:rPr>
          <w:rFonts w:ascii="Arial" w:hAnsi="Arial" w:eastAsia="Arial" w:cs="Arial"/>
          <w:b w:val="0"/>
          <w:bCs w:val="0"/>
          <w:i w:val="0"/>
          <w:iCs w:val="0"/>
          <w:caps w:val="0"/>
          <w:smallCaps w:val="0"/>
          <w:noProof w:val="0"/>
          <w:color w:val="3A3A3A"/>
          <w:sz w:val="24"/>
          <w:szCs w:val="24"/>
          <w:lang w:val="en-GB"/>
        </w:rPr>
        <w:t>, 74(4), pp. 310–320.</w:t>
      </w:r>
    </w:p>
    <w:p w:rsidR="5B4B25B6" w:rsidP="5B4B25B6" w:rsidRDefault="5B4B25B6" w14:paraId="15973EDC" w14:textId="07C029CF">
      <w:pPr>
        <w:pStyle w:val="Normal"/>
        <w:spacing w:line="360" w:lineRule="auto"/>
        <w:jc w:val="both"/>
        <w:rPr>
          <w:rFonts w:ascii="Arial" w:hAnsi="Arial" w:eastAsia="Arial" w:cs="Arial"/>
          <w:noProof w:val="0"/>
          <w:color w:val="222222"/>
          <w:sz w:val="24"/>
          <w:szCs w:val="24"/>
          <w:lang w:val="en-GB"/>
        </w:rPr>
      </w:pPr>
    </w:p>
    <w:p w:rsidR="5B4B25B6" w:rsidP="5B4B25B6" w:rsidRDefault="5B4B25B6" w14:paraId="7E4C67A6" w14:textId="68BDB3E7">
      <w:pPr>
        <w:spacing w:line="360" w:lineRule="auto"/>
        <w:jc w:val="both"/>
      </w:pPr>
      <w:r w:rsidRPr="5B4B25B6" w:rsidR="5B4B25B6">
        <w:rPr>
          <w:rFonts w:ascii="Arial" w:hAnsi="Arial" w:eastAsia="Arial" w:cs="Arial"/>
          <w:noProof w:val="0"/>
          <w:color w:val="222222"/>
          <w:sz w:val="24"/>
          <w:szCs w:val="24"/>
          <w:lang w:val="en-GB"/>
        </w:rPr>
        <w:t xml:space="preserve">Bokovnya, A.Y., Khisamova, Z.I. and Begishev, I.R., (2019). Study of Russian and the UK Legislations in Combating Digital Crimes. </w:t>
      </w:r>
      <w:r w:rsidRPr="5B4B25B6" w:rsidR="5B4B25B6">
        <w:rPr>
          <w:rFonts w:ascii="Arial" w:hAnsi="Arial" w:eastAsia="Arial" w:cs="Arial"/>
          <w:i w:val="1"/>
          <w:iCs w:val="1"/>
          <w:noProof w:val="0"/>
          <w:color w:val="222222"/>
          <w:sz w:val="24"/>
          <w:szCs w:val="24"/>
          <w:lang w:val="en-GB"/>
        </w:rPr>
        <w:t>Helix</w:t>
      </w:r>
      <w:r w:rsidRPr="5B4B25B6" w:rsidR="5B4B25B6">
        <w:rPr>
          <w:rFonts w:ascii="Arial" w:hAnsi="Arial" w:eastAsia="Arial" w:cs="Arial"/>
          <w:noProof w:val="0"/>
          <w:color w:val="222222"/>
          <w:sz w:val="24"/>
          <w:szCs w:val="24"/>
          <w:lang w:val="en-GB"/>
        </w:rPr>
        <w:t xml:space="preserve">, </w:t>
      </w:r>
      <w:r w:rsidRPr="5B4B25B6" w:rsidR="5B4B25B6">
        <w:rPr>
          <w:rFonts w:ascii="Arial" w:hAnsi="Arial" w:eastAsia="Arial" w:cs="Arial"/>
          <w:i w:val="1"/>
          <w:iCs w:val="1"/>
          <w:noProof w:val="0"/>
          <w:color w:val="222222"/>
          <w:sz w:val="24"/>
          <w:szCs w:val="24"/>
          <w:lang w:val="en-GB"/>
        </w:rPr>
        <w:t>9</w:t>
      </w:r>
      <w:r w:rsidRPr="5B4B25B6" w:rsidR="5B4B25B6">
        <w:rPr>
          <w:rFonts w:ascii="Arial" w:hAnsi="Arial" w:eastAsia="Arial" w:cs="Arial"/>
          <w:noProof w:val="0"/>
          <w:color w:val="222222"/>
          <w:sz w:val="24"/>
          <w:szCs w:val="24"/>
          <w:lang w:val="en-GB"/>
        </w:rPr>
        <w:t>(5), pp.5458-5461.</w:t>
      </w:r>
    </w:p>
    <w:p w:rsidR="5B4B25B6" w:rsidP="5B4B25B6" w:rsidRDefault="5B4B25B6" w14:paraId="32538B6D" w14:textId="5FE43492">
      <w:pPr>
        <w:spacing w:line="360" w:lineRule="auto"/>
        <w:jc w:val="both"/>
      </w:pPr>
      <w:r w:rsidRPr="5B4B25B6" w:rsidR="5B4B25B6">
        <w:rPr>
          <w:rFonts w:ascii="Arial" w:hAnsi="Arial" w:eastAsia="Arial" w:cs="Arial"/>
          <w:noProof w:val="0"/>
          <w:color w:val="222222"/>
          <w:sz w:val="24"/>
          <w:szCs w:val="24"/>
          <w:lang w:val="en-GB"/>
        </w:rPr>
        <w:t xml:space="preserve"> </w:t>
      </w:r>
    </w:p>
    <w:p w:rsidR="5B4B25B6" w:rsidP="5B4B25B6" w:rsidRDefault="5B4B25B6" w14:paraId="58A4D6DD" w14:textId="0E3CC147">
      <w:pPr>
        <w:spacing w:line="360" w:lineRule="auto"/>
        <w:jc w:val="both"/>
      </w:pPr>
      <w:r w:rsidRPr="5B4B25B6" w:rsidR="5B4B25B6">
        <w:rPr>
          <w:rFonts w:ascii="Arial" w:hAnsi="Arial" w:eastAsia="Arial" w:cs="Arial"/>
          <w:noProof w:val="0"/>
          <w:color w:val="222222"/>
          <w:sz w:val="24"/>
          <w:szCs w:val="24"/>
          <w:lang w:val="en-GB"/>
        </w:rPr>
        <w:t xml:space="preserve">Chuasanga, A. and Victoria, O.A., (2019) Legal Principles Under Criminal Law in Indonesia Dan Thailand. </w:t>
      </w:r>
      <w:r w:rsidRPr="5B4B25B6" w:rsidR="5B4B25B6">
        <w:rPr>
          <w:rFonts w:ascii="Arial" w:hAnsi="Arial" w:eastAsia="Arial" w:cs="Arial"/>
          <w:i w:val="1"/>
          <w:iCs w:val="1"/>
          <w:noProof w:val="0"/>
          <w:color w:val="222222"/>
          <w:sz w:val="24"/>
          <w:szCs w:val="24"/>
          <w:lang w:val="en-GB"/>
        </w:rPr>
        <w:t>Journal Daulat Hukum</w:t>
      </w:r>
      <w:r w:rsidRPr="5B4B25B6" w:rsidR="5B4B25B6">
        <w:rPr>
          <w:rFonts w:ascii="Arial" w:hAnsi="Arial" w:eastAsia="Arial" w:cs="Arial"/>
          <w:noProof w:val="0"/>
          <w:color w:val="222222"/>
          <w:sz w:val="24"/>
          <w:szCs w:val="24"/>
          <w:lang w:val="en-GB"/>
        </w:rPr>
        <w:t xml:space="preserve">, </w:t>
      </w:r>
      <w:r w:rsidRPr="5B4B25B6" w:rsidR="5B4B25B6">
        <w:rPr>
          <w:rFonts w:ascii="Arial" w:hAnsi="Arial" w:eastAsia="Arial" w:cs="Arial"/>
          <w:i w:val="1"/>
          <w:iCs w:val="1"/>
          <w:noProof w:val="0"/>
          <w:color w:val="222222"/>
          <w:sz w:val="24"/>
          <w:szCs w:val="24"/>
          <w:lang w:val="en-GB"/>
        </w:rPr>
        <w:t>2</w:t>
      </w:r>
      <w:r w:rsidRPr="5B4B25B6" w:rsidR="5B4B25B6">
        <w:rPr>
          <w:rFonts w:ascii="Arial" w:hAnsi="Arial" w:eastAsia="Arial" w:cs="Arial"/>
          <w:noProof w:val="0"/>
          <w:color w:val="222222"/>
          <w:sz w:val="24"/>
          <w:szCs w:val="24"/>
          <w:lang w:val="en-GB"/>
        </w:rPr>
        <w:t>(1), pp.131-138.</w:t>
      </w:r>
    </w:p>
    <w:p w:rsidR="5B4B25B6" w:rsidP="5B4B25B6" w:rsidRDefault="5B4B25B6" w14:paraId="4FFD5955" w14:textId="7465BC59">
      <w:pPr>
        <w:spacing w:line="360" w:lineRule="auto"/>
        <w:jc w:val="both"/>
      </w:pPr>
      <w:r w:rsidRPr="5B4B25B6" w:rsidR="5B4B25B6">
        <w:rPr>
          <w:rFonts w:ascii="Arial" w:hAnsi="Arial" w:eastAsia="Arial" w:cs="Arial"/>
          <w:noProof w:val="0"/>
          <w:color w:val="222222"/>
          <w:sz w:val="24"/>
          <w:szCs w:val="24"/>
          <w:lang w:val="en-GB"/>
        </w:rPr>
        <w:t xml:space="preserve"> </w:t>
      </w:r>
    </w:p>
    <w:p w:rsidR="5B4B25B6" w:rsidP="5B4B25B6" w:rsidRDefault="5B4B25B6" w14:paraId="29C238F3" w14:textId="29FDE287">
      <w:pPr>
        <w:spacing w:line="360" w:lineRule="auto"/>
        <w:jc w:val="both"/>
      </w:pPr>
      <w:r w:rsidRPr="5B4B25B6" w:rsidR="5B4B25B6">
        <w:rPr>
          <w:rFonts w:ascii="Arial" w:hAnsi="Arial" w:eastAsia="Arial" w:cs="Arial"/>
          <w:noProof w:val="0"/>
          <w:color w:val="222222"/>
          <w:sz w:val="24"/>
          <w:szCs w:val="24"/>
          <w:lang w:val="en-GB"/>
        </w:rPr>
        <w:t xml:space="preserve">Coca-Vila, I., (2019) Conflicting duties in criminal law. </w:t>
      </w:r>
      <w:r w:rsidRPr="5B4B25B6" w:rsidR="5B4B25B6">
        <w:rPr>
          <w:rFonts w:ascii="Arial" w:hAnsi="Arial" w:eastAsia="Arial" w:cs="Arial"/>
          <w:i w:val="1"/>
          <w:iCs w:val="1"/>
          <w:noProof w:val="0"/>
          <w:color w:val="222222"/>
          <w:sz w:val="24"/>
          <w:szCs w:val="24"/>
          <w:lang w:val="en-GB"/>
        </w:rPr>
        <w:t>New Criminal Law Review</w:t>
      </w:r>
      <w:r w:rsidRPr="5B4B25B6" w:rsidR="5B4B25B6">
        <w:rPr>
          <w:rFonts w:ascii="Arial" w:hAnsi="Arial" w:eastAsia="Arial" w:cs="Arial"/>
          <w:noProof w:val="0"/>
          <w:color w:val="222222"/>
          <w:sz w:val="24"/>
          <w:szCs w:val="24"/>
          <w:lang w:val="en-GB"/>
        </w:rPr>
        <w:t xml:space="preserve">, </w:t>
      </w:r>
      <w:r w:rsidRPr="5B4B25B6" w:rsidR="5B4B25B6">
        <w:rPr>
          <w:rFonts w:ascii="Arial" w:hAnsi="Arial" w:eastAsia="Arial" w:cs="Arial"/>
          <w:i w:val="1"/>
          <w:iCs w:val="1"/>
          <w:noProof w:val="0"/>
          <w:color w:val="222222"/>
          <w:sz w:val="24"/>
          <w:szCs w:val="24"/>
          <w:lang w:val="en-GB"/>
        </w:rPr>
        <w:t>22</w:t>
      </w:r>
      <w:r w:rsidRPr="5B4B25B6" w:rsidR="5B4B25B6">
        <w:rPr>
          <w:rFonts w:ascii="Arial" w:hAnsi="Arial" w:eastAsia="Arial" w:cs="Arial"/>
          <w:noProof w:val="0"/>
          <w:color w:val="222222"/>
          <w:sz w:val="24"/>
          <w:szCs w:val="24"/>
          <w:lang w:val="en-GB"/>
        </w:rPr>
        <w:t>(1), pp.34-72.</w:t>
      </w:r>
    </w:p>
    <w:p w:rsidR="5B4B25B6" w:rsidP="5B4B25B6" w:rsidRDefault="5B4B25B6" w14:paraId="1636FA04" w14:textId="154B8D05">
      <w:pPr>
        <w:spacing w:line="360" w:lineRule="auto"/>
        <w:jc w:val="both"/>
      </w:pPr>
      <w:r w:rsidRPr="5B4B25B6" w:rsidR="5B4B25B6">
        <w:rPr>
          <w:rFonts w:ascii="Arial" w:hAnsi="Arial" w:eastAsia="Arial" w:cs="Arial"/>
          <w:noProof w:val="0"/>
          <w:color w:val="222222"/>
          <w:sz w:val="24"/>
          <w:szCs w:val="24"/>
          <w:lang w:val="en-GB"/>
        </w:rPr>
        <w:t xml:space="preserve"> </w:t>
      </w:r>
    </w:p>
    <w:p w:rsidR="5B4B25B6" w:rsidP="5B4B25B6" w:rsidRDefault="5B4B25B6" w14:paraId="4E63824A" w14:textId="1D05DDA0">
      <w:pPr>
        <w:spacing w:line="360" w:lineRule="auto"/>
        <w:jc w:val="both"/>
      </w:pPr>
      <w:r w:rsidRPr="5B4B25B6" w:rsidR="5B4B25B6">
        <w:rPr>
          <w:rFonts w:ascii="Arial" w:hAnsi="Arial" w:eastAsia="Arial" w:cs="Arial"/>
          <w:noProof w:val="0"/>
          <w:color w:val="222222"/>
          <w:sz w:val="24"/>
          <w:szCs w:val="24"/>
          <w:lang w:val="en-GB"/>
        </w:rPr>
        <w:t xml:space="preserve">Davies, G., (2020) Shining a light on policing of the dark web: an analysis of UK investigatory powers. </w:t>
      </w:r>
      <w:r w:rsidRPr="5B4B25B6" w:rsidR="5B4B25B6">
        <w:rPr>
          <w:rFonts w:ascii="Arial" w:hAnsi="Arial" w:eastAsia="Arial" w:cs="Arial"/>
          <w:i w:val="1"/>
          <w:iCs w:val="1"/>
          <w:noProof w:val="0"/>
          <w:color w:val="222222"/>
          <w:sz w:val="24"/>
          <w:szCs w:val="24"/>
          <w:lang w:val="en-GB"/>
        </w:rPr>
        <w:t>The Journal of Criminal Law</w:t>
      </w:r>
      <w:r w:rsidRPr="5B4B25B6" w:rsidR="5B4B25B6">
        <w:rPr>
          <w:rFonts w:ascii="Arial" w:hAnsi="Arial" w:eastAsia="Arial" w:cs="Arial"/>
          <w:noProof w:val="0"/>
          <w:color w:val="222222"/>
          <w:sz w:val="24"/>
          <w:szCs w:val="24"/>
          <w:lang w:val="en-GB"/>
        </w:rPr>
        <w:t xml:space="preserve">, </w:t>
      </w:r>
      <w:r w:rsidRPr="5B4B25B6" w:rsidR="5B4B25B6">
        <w:rPr>
          <w:rFonts w:ascii="Arial" w:hAnsi="Arial" w:eastAsia="Arial" w:cs="Arial"/>
          <w:i w:val="1"/>
          <w:iCs w:val="1"/>
          <w:noProof w:val="0"/>
          <w:color w:val="222222"/>
          <w:sz w:val="24"/>
          <w:szCs w:val="24"/>
          <w:lang w:val="en-GB"/>
        </w:rPr>
        <w:t>84</w:t>
      </w:r>
      <w:r w:rsidRPr="5B4B25B6" w:rsidR="5B4B25B6">
        <w:rPr>
          <w:rFonts w:ascii="Arial" w:hAnsi="Arial" w:eastAsia="Arial" w:cs="Arial"/>
          <w:noProof w:val="0"/>
          <w:color w:val="222222"/>
          <w:sz w:val="24"/>
          <w:szCs w:val="24"/>
          <w:lang w:val="en-GB"/>
        </w:rPr>
        <w:t>(5), pp.407-426.</w:t>
      </w:r>
    </w:p>
    <w:p w:rsidR="5B4B25B6" w:rsidP="5B4B25B6" w:rsidRDefault="5B4B25B6" w14:paraId="638F6A9A" w14:textId="21B50626">
      <w:pPr>
        <w:spacing w:line="360" w:lineRule="auto"/>
        <w:jc w:val="both"/>
      </w:pPr>
      <w:r w:rsidRPr="5B4B25B6" w:rsidR="5B4B25B6">
        <w:rPr>
          <w:rFonts w:ascii="Arial" w:hAnsi="Arial" w:eastAsia="Arial" w:cs="Arial"/>
          <w:noProof w:val="0"/>
          <w:color w:val="222222"/>
          <w:sz w:val="24"/>
          <w:szCs w:val="24"/>
          <w:lang w:val="en-GB"/>
        </w:rPr>
        <w:t xml:space="preserve"> </w:t>
      </w:r>
    </w:p>
    <w:p w:rsidR="5B4B25B6" w:rsidP="5B4B25B6" w:rsidRDefault="5B4B25B6" w14:paraId="33837E70" w14:textId="126CE040">
      <w:pPr>
        <w:spacing w:line="360" w:lineRule="auto"/>
        <w:jc w:val="both"/>
      </w:pPr>
      <w:r w:rsidRPr="5B4B25B6" w:rsidR="5B4B25B6">
        <w:rPr>
          <w:rFonts w:ascii="Arial" w:hAnsi="Arial" w:eastAsia="Arial" w:cs="Arial"/>
          <w:noProof w:val="0"/>
          <w:color w:val="222222"/>
          <w:sz w:val="24"/>
          <w:szCs w:val="24"/>
          <w:lang w:val="en-GB"/>
        </w:rPr>
        <w:t xml:space="preserve">Davies, P., Wyatt, T., Davies, P. and Wyatt, T., (2021) Crime and Power: Introduction. </w:t>
      </w:r>
      <w:r w:rsidRPr="5B4B25B6" w:rsidR="5B4B25B6">
        <w:rPr>
          <w:rFonts w:ascii="Arial" w:hAnsi="Arial" w:eastAsia="Arial" w:cs="Arial"/>
          <w:i w:val="1"/>
          <w:iCs w:val="1"/>
          <w:noProof w:val="0"/>
          <w:color w:val="222222"/>
          <w:sz w:val="24"/>
          <w:szCs w:val="24"/>
          <w:lang w:val="en-GB"/>
        </w:rPr>
        <w:t>Crime and Power</w:t>
      </w:r>
      <w:r w:rsidRPr="5B4B25B6" w:rsidR="5B4B25B6">
        <w:rPr>
          <w:rFonts w:ascii="Arial" w:hAnsi="Arial" w:eastAsia="Arial" w:cs="Arial"/>
          <w:noProof w:val="0"/>
          <w:color w:val="222222"/>
          <w:sz w:val="24"/>
          <w:szCs w:val="24"/>
          <w:lang w:val="en-GB"/>
        </w:rPr>
        <w:t>, pp.1-17.</w:t>
      </w:r>
    </w:p>
    <w:p w:rsidR="5B4B25B6" w:rsidP="5B4B25B6" w:rsidRDefault="5B4B25B6" w14:paraId="4370CBDF" w14:textId="750AF139">
      <w:pPr>
        <w:spacing w:line="360" w:lineRule="auto"/>
        <w:jc w:val="both"/>
      </w:pPr>
      <w:r w:rsidRPr="5B4B25B6" w:rsidR="5B4B25B6">
        <w:rPr>
          <w:rFonts w:ascii="Arial" w:hAnsi="Arial" w:eastAsia="Arial" w:cs="Arial"/>
          <w:noProof w:val="0"/>
          <w:color w:val="222222"/>
          <w:sz w:val="24"/>
          <w:szCs w:val="24"/>
          <w:lang w:val="en-GB"/>
        </w:rPr>
        <w:t xml:space="preserve"> </w:t>
      </w:r>
    </w:p>
    <w:p w:rsidR="5B4B25B6" w:rsidP="5B4B25B6" w:rsidRDefault="5B4B25B6" w14:paraId="5B29A882" w14:textId="40C0BF03">
      <w:pPr>
        <w:spacing w:line="360" w:lineRule="auto"/>
        <w:jc w:val="both"/>
      </w:pPr>
      <w:r w:rsidRPr="5B4B25B6" w:rsidR="5B4B25B6">
        <w:rPr>
          <w:rFonts w:ascii="Arial" w:hAnsi="Arial" w:eastAsia="Arial" w:cs="Arial"/>
          <w:noProof w:val="0"/>
          <w:color w:val="222222"/>
          <w:sz w:val="24"/>
          <w:szCs w:val="24"/>
          <w:lang w:val="en-GB"/>
        </w:rPr>
        <w:t xml:space="preserve">Hare, R.D., León-Mayer, E., Salinas, J.R., Folino, J. and Neumann, C.S., (2022) Psychopathy and crimes against humanity: A conceptual and empirical examination of human rights violators. </w:t>
      </w:r>
      <w:r w:rsidRPr="5B4B25B6" w:rsidR="5B4B25B6">
        <w:rPr>
          <w:rFonts w:ascii="Arial" w:hAnsi="Arial" w:eastAsia="Arial" w:cs="Arial"/>
          <w:i w:val="1"/>
          <w:iCs w:val="1"/>
          <w:noProof w:val="0"/>
          <w:color w:val="222222"/>
          <w:sz w:val="24"/>
          <w:szCs w:val="24"/>
          <w:lang w:val="en-GB"/>
        </w:rPr>
        <w:t>Journal of criminal justice</w:t>
      </w:r>
      <w:r w:rsidRPr="5B4B25B6" w:rsidR="5B4B25B6">
        <w:rPr>
          <w:rFonts w:ascii="Arial" w:hAnsi="Arial" w:eastAsia="Arial" w:cs="Arial"/>
          <w:noProof w:val="0"/>
          <w:color w:val="222222"/>
          <w:sz w:val="24"/>
          <w:szCs w:val="24"/>
          <w:lang w:val="en-GB"/>
        </w:rPr>
        <w:t xml:space="preserve">, </w:t>
      </w:r>
      <w:r w:rsidRPr="5B4B25B6" w:rsidR="5B4B25B6">
        <w:rPr>
          <w:rFonts w:ascii="Arial" w:hAnsi="Arial" w:eastAsia="Arial" w:cs="Arial"/>
          <w:i w:val="1"/>
          <w:iCs w:val="1"/>
          <w:noProof w:val="0"/>
          <w:color w:val="222222"/>
          <w:sz w:val="24"/>
          <w:szCs w:val="24"/>
          <w:lang w:val="en-GB"/>
        </w:rPr>
        <w:t>81</w:t>
      </w:r>
      <w:r w:rsidRPr="5B4B25B6" w:rsidR="5B4B25B6">
        <w:rPr>
          <w:rFonts w:ascii="Arial" w:hAnsi="Arial" w:eastAsia="Arial" w:cs="Arial"/>
          <w:noProof w:val="0"/>
          <w:color w:val="222222"/>
          <w:sz w:val="24"/>
          <w:szCs w:val="24"/>
          <w:lang w:val="en-GB"/>
        </w:rPr>
        <w:t>, p.101901.</w:t>
      </w:r>
    </w:p>
    <w:p w:rsidR="5B4B25B6" w:rsidP="5B4B25B6" w:rsidRDefault="5B4B25B6" w14:paraId="4ED5F733" w14:textId="16CD9193">
      <w:pPr>
        <w:spacing w:line="360" w:lineRule="auto"/>
        <w:jc w:val="both"/>
      </w:pPr>
      <w:r w:rsidRPr="5B4B25B6" w:rsidR="5B4B25B6">
        <w:rPr>
          <w:rFonts w:ascii="Arial" w:hAnsi="Arial" w:eastAsia="Arial" w:cs="Arial"/>
          <w:noProof w:val="0"/>
          <w:color w:val="222222"/>
          <w:sz w:val="24"/>
          <w:szCs w:val="24"/>
          <w:lang w:val="en-GB"/>
        </w:rPr>
        <w:t xml:space="preserve"> </w:t>
      </w:r>
    </w:p>
    <w:p w:rsidR="5B4B25B6" w:rsidP="5B4B25B6" w:rsidRDefault="5B4B25B6" w14:paraId="5EE9AE0F" w14:textId="6F7FC9C2">
      <w:pPr>
        <w:spacing w:line="360" w:lineRule="auto"/>
        <w:jc w:val="both"/>
      </w:pPr>
      <w:r w:rsidRPr="5B4B25B6" w:rsidR="5B4B25B6">
        <w:rPr>
          <w:rFonts w:ascii="Arial" w:hAnsi="Arial" w:eastAsia="Arial" w:cs="Arial"/>
          <w:noProof w:val="0"/>
          <w:color w:val="222222"/>
          <w:sz w:val="24"/>
          <w:szCs w:val="24"/>
          <w:lang w:val="en-GB"/>
        </w:rPr>
        <w:t xml:space="preserve">Kalpouzos, I., (2020) International Criminal Law and the Violence against Migrants. </w:t>
      </w:r>
      <w:r w:rsidRPr="5B4B25B6" w:rsidR="5B4B25B6">
        <w:rPr>
          <w:rFonts w:ascii="Arial" w:hAnsi="Arial" w:eastAsia="Arial" w:cs="Arial"/>
          <w:i w:val="1"/>
          <w:iCs w:val="1"/>
          <w:noProof w:val="0"/>
          <w:color w:val="222222"/>
          <w:sz w:val="24"/>
          <w:szCs w:val="24"/>
          <w:lang w:val="en-GB"/>
        </w:rPr>
        <w:t>German Law Journal</w:t>
      </w:r>
      <w:r w:rsidRPr="5B4B25B6" w:rsidR="5B4B25B6">
        <w:rPr>
          <w:rFonts w:ascii="Arial" w:hAnsi="Arial" w:eastAsia="Arial" w:cs="Arial"/>
          <w:noProof w:val="0"/>
          <w:color w:val="222222"/>
          <w:sz w:val="24"/>
          <w:szCs w:val="24"/>
          <w:lang w:val="en-GB"/>
        </w:rPr>
        <w:t xml:space="preserve">, </w:t>
      </w:r>
      <w:r w:rsidRPr="5B4B25B6" w:rsidR="5B4B25B6">
        <w:rPr>
          <w:rFonts w:ascii="Arial" w:hAnsi="Arial" w:eastAsia="Arial" w:cs="Arial"/>
          <w:i w:val="1"/>
          <w:iCs w:val="1"/>
          <w:noProof w:val="0"/>
          <w:color w:val="222222"/>
          <w:sz w:val="24"/>
          <w:szCs w:val="24"/>
          <w:lang w:val="en-GB"/>
        </w:rPr>
        <w:t>21</w:t>
      </w:r>
      <w:r w:rsidRPr="5B4B25B6" w:rsidR="5B4B25B6">
        <w:rPr>
          <w:rFonts w:ascii="Arial" w:hAnsi="Arial" w:eastAsia="Arial" w:cs="Arial"/>
          <w:noProof w:val="0"/>
          <w:color w:val="222222"/>
          <w:sz w:val="24"/>
          <w:szCs w:val="24"/>
          <w:lang w:val="en-GB"/>
        </w:rPr>
        <w:t>(3), pp.571-597.</w:t>
      </w:r>
    </w:p>
    <w:p w:rsidR="5B4B25B6" w:rsidP="5B4B25B6" w:rsidRDefault="5B4B25B6" w14:paraId="0B6B7266" w14:textId="1596CFC7">
      <w:pPr>
        <w:spacing w:line="360" w:lineRule="auto"/>
        <w:jc w:val="both"/>
      </w:pPr>
      <w:r w:rsidRPr="5B4B25B6" w:rsidR="5B4B25B6">
        <w:rPr>
          <w:rFonts w:ascii="Arial" w:hAnsi="Arial" w:eastAsia="Arial" w:cs="Arial"/>
          <w:noProof w:val="0"/>
          <w:color w:val="222222"/>
          <w:sz w:val="24"/>
          <w:szCs w:val="24"/>
          <w:lang w:val="en-GB"/>
        </w:rPr>
        <w:t xml:space="preserve"> </w:t>
      </w:r>
    </w:p>
    <w:p w:rsidR="5B4B25B6" w:rsidP="5B4B25B6" w:rsidRDefault="5B4B25B6" w14:paraId="271782A0" w14:textId="6DF31DC6">
      <w:pPr>
        <w:pStyle w:val="Normal"/>
        <w:spacing w:line="360" w:lineRule="auto"/>
        <w:jc w:val="both"/>
      </w:pPr>
      <w:r w:rsidRPr="5B4B25B6" w:rsidR="5B4B25B6">
        <w:rPr>
          <w:rFonts w:ascii="Arial" w:hAnsi="Arial" w:eastAsia="Arial" w:cs="Arial"/>
          <w:noProof w:val="0"/>
          <w:sz w:val="24"/>
          <w:szCs w:val="24"/>
          <w:lang w:val="en-GB"/>
        </w:rPr>
        <w:t>LawTeacher</w:t>
      </w:r>
      <w:r w:rsidRPr="5B4B25B6" w:rsidR="5B4B25B6">
        <w:rPr>
          <w:rFonts w:ascii="Arial" w:hAnsi="Arial" w:eastAsia="Arial" w:cs="Arial"/>
          <w:noProof w:val="0"/>
          <w:sz w:val="24"/>
          <w:szCs w:val="24"/>
          <w:lang w:val="en-GB"/>
        </w:rPr>
        <w:t xml:space="preserve">. November (2013) </w:t>
      </w:r>
      <w:r w:rsidRPr="5B4B25B6" w:rsidR="5B4B25B6">
        <w:rPr>
          <w:rFonts w:ascii="Arial" w:hAnsi="Arial" w:eastAsia="Arial" w:cs="Arial"/>
          <w:i w:val="1"/>
          <w:iCs w:val="1"/>
          <w:noProof w:val="0"/>
          <w:sz w:val="24"/>
          <w:szCs w:val="24"/>
          <w:lang w:val="en-GB"/>
        </w:rPr>
        <w:t>R v Miller [1983] 2 AC 161</w:t>
      </w:r>
      <w:r w:rsidRPr="5B4B25B6" w:rsidR="5B4B25B6">
        <w:rPr>
          <w:rFonts w:ascii="Arial" w:hAnsi="Arial" w:eastAsia="Arial" w:cs="Arial"/>
          <w:noProof w:val="0"/>
          <w:sz w:val="24"/>
          <w:szCs w:val="24"/>
          <w:lang w:val="en-GB"/>
        </w:rPr>
        <w:t>. [online]. Available from: https://www.lawteacher.net/cases/r-v-miller.php?vref=1 [</w:t>
      </w:r>
      <w:r w:rsidRPr="5B4B25B6" w:rsidR="5B4B25B6">
        <w:rPr>
          <w:rFonts w:ascii="Arial" w:hAnsi="Arial" w:eastAsia="Arial" w:cs="Arial"/>
          <w:noProof w:val="0"/>
          <w:sz w:val="24"/>
          <w:szCs w:val="24"/>
          <w:lang w:val="en-GB"/>
        </w:rPr>
        <w:t xml:space="preserve">Accessed July </w:t>
      </w:r>
      <w:r w:rsidRPr="5B4B25B6" w:rsidR="5B4B25B6">
        <w:rPr>
          <w:rFonts w:ascii="Arial" w:hAnsi="Arial" w:eastAsia="Arial" w:cs="Arial"/>
          <w:noProof w:val="0"/>
          <w:sz w:val="24"/>
          <w:szCs w:val="24"/>
          <w:lang w:val="en-GB"/>
        </w:rPr>
        <w:t>2023].</w:t>
      </w:r>
    </w:p>
    <w:p w:rsidR="5B4B25B6" w:rsidP="5B4B25B6" w:rsidRDefault="5B4B25B6" w14:paraId="440B3B5A" w14:textId="58419648">
      <w:pPr>
        <w:pStyle w:val="Normal"/>
        <w:spacing w:line="360" w:lineRule="auto"/>
        <w:jc w:val="both"/>
      </w:pPr>
      <w:r w:rsidRPr="5B4B25B6" w:rsidR="5B4B25B6">
        <w:rPr>
          <w:rFonts w:ascii="Arial" w:hAnsi="Arial" w:eastAsia="Arial" w:cs="Arial"/>
          <w:noProof w:val="0"/>
          <w:sz w:val="24"/>
          <w:szCs w:val="24"/>
          <w:lang w:val="en-GB"/>
        </w:rPr>
        <w:t>LawTeacher</w:t>
      </w:r>
      <w:r w:rsidRPr="5B4B25B6" w:rsidR="5B4B25B6">
        <w:rPr>
          <w:rFonts w:ascii="Arial" w:hAnsi="Arial" w:eastAsia="Arial" w:cs="Arial"/>
          <w:noProof w:val="0"/>
          <w:sz w:val="24"/>
          <w:szCs w:val="24"/>
          <w:lang w:val="en-GB"/>
        </w:rPr>
        <w:t xml:space="preserve">. November 2013. </w:t>
      </w:r>
      <w:r w:rsidRPr="5B4B25B6" w:rsidR="5B4B25B6">
        <w:rPr>
          <w:rFonts w:ascii="Arial" w:hAnsi="Arial" w:eastAsia="Arial" w:cs="Arial"/>
          <w:i w:val="1"/>
          <w:iCs w:val="1"/>
          <w:noProof w:val="0"/>
          <w:sz w:val="24"/>
          <w:szCs w:val="24"/>
          <w:lang w:val="en-GB"/>
        </w:rPr>
        <w:t xml:space="preserve">R v </w:t>
      </w:r>
      <w:r w:rsidRPr="5B4B25B6" w:rsidR="5B4B25B6">
        <w:rPr>
          <w:rFonts w:ascii="Arial" w:hAnsi="Arial" w:eastAsia="Arial" w:cs="Arial"/>
          <w:i w:val="1"/>
          <w:iCs w:val="1"/>
          <w:noProof w:val="0"/>
          <w:sz w:val="24"/>
          <w:szCs w:val="24"/>
          <w:lang w:val="en-GB"/>
        </w:rPr>
        <w:t>Instan</w:t>
      </w:r>
      <w:r w:rsidRPr="5B4B25B6" w:rsidR="5B4B25B6">
        <w:rPr>
          <w:rFonts w:ascii="Arial" w:hAnsi="Arial" w:eastAsia="Arial" w:cs="Arial"/>
          <w:i w:val="1"/>
          <w:iCs w:val="1"/>
          <w:noProof w:val="0"/>
          <w:sz w:val="24"/>
          <w:szCs w:val="24"/>
          <w:lang w:val="en-GB"/>
        </w:rPr>
        <w:t xml:space="preserve"> - 1893.</w:t>
      </w:r>
      <w:r w:rsidRPr="5B4B25B6" w:rsidR="5B4B25B6">
        <w:rPr>
          <w:rFonts w:ascii="Arial" w:hAnsi="Arial" w:eastAsia="Arial" w:cs="Arial"/>
          <w:noProof w:val="0"/>
          <w:sz w:val="24"/>
          <w:szCs w:val="24"/>
          <w:lang w:val="en-GB"/>
        </w:rPr>
        <w:t xml:space="preserve"> [online]. Available from: https://www.lawteacher.net/cases/r-v-instan.php?vref=1 [Accessed  July 2023].</w:t>
      </w:r>
    </w:p>
    <w:p w:rsidR="5B4B25B6" w:rsidP="5B4B25B6" w:rsidRDefault="5B4B25B6" w14:paraId="3B137583" w14:textId="51584912">
      <w:pPr>
        <w:pStyle w:val="Normal"/>
        <w:spacing w:line="360" w:lineRule="auto"/>
        <w:jc w:val="both"/>
        <w:rPr>
          <w:rFonts w:ascii="Arial" w:hAnsi="Arial" w:eastAsia="Arial" w:cs="Arial"/>
          <w:noProof w:val="0"/>
          <w:sz w:val="24"/>
          <w:szCs w:val="24"/>
          <w:lang w:val="en-GB"/>
        </w:rPr>
      </w:pPr>
    </w:p>
    <w:p w:rsidR="5B4B25B6" w:rsidP="5B4B25B6" w:rsidRDefault="5B4B25B6" w14:paraId="1CDDDAC8" w14:textId="4CD59B00">
      <w:pPr>
        <w:spacing w:line="360" w:lineRule="auto"/>
        <w:jc w:val="both"/>
      </w:pPr>
      <w:r w:rsidRPr="5B4B25B6" w:rsidR="5B4B25B6">
        <w:rPr>
          <w:rFonts w:ascii="Arial" w:hAnsi="Arial" w:eastAsia="Arial" w:cs="Arial"/>
          <w:noProof w:val="0"/>
          <w:color w:val="222222"/>
          <w:sz w:val="24"/>
          <w:szCs w:val="24"/>
          <w:lang w:val="en-GB"/>
        </w:rPr>
        <w:t xml:space="preserve">Schomburg, W. and Oehmichen, A., (2021) Brexit: First observations on the EU–UK Trade and Cooperation Agreement in criminal law. </w:t>
      </w:r>
      <w:r w:rsidRPr="5B4B25B6" w:rsidR="5B4B25B6">
        <w:rPr>
          <w:rFonts w:ascii="Arial" w:hAnsi="Arial" w:eastAsia="Arial" w:cs="Arial"/>
          <w:i w:val="1"/>
          <w:iCs w:val="1"/>
          <w:noProof w:val="0"/>
          <w:color w:val="222222"/>
          <w:sz w:val="24"/>
          <w:szCs w:val="24"/>
          <w:lang w:val="en-GB"/>
        </w:rPr>
        <w:t>New Journal of European Criminal Law</w:t>
      </w:r>
      <w:r w:rsidRPr="5B4B25B6" w:rsidR="5B4B25B6">
        <w:rPr>
          <w:rFonts w:ascii="Arial" w:hAnsi="Arial" w:eastAsia="Arial" w:cs="Arial"/>
          <w:noProof w:val="0"/>
          <w:color w:val="222222"/>
          <w:sz w:val="24"/>
          <w:szCs w:val="24"/>
          <w:lang w:val="en-GB"/>
        </w:rPr>
        <w:t xml:space="preserve">, </w:t>
      </w:r>
      <w:r w:rsidRPr="5B4B25B6" w:rsidR="5B4B25B6">
        <w:rPr>
          <w:rFonts w:ascii="Arial" w:hAnsi="Arial" w:eastAsia="Arial" w:cs="Arial"/>
          <w:i w:val="1"/>
          <w:iCs w:val="1"/>
          <w:noProof w:val="0"/>
          <w:color w:val="222222"/>
          <w:sz w:val="24"/>
          <w:szCs w:val="24"/>
          <w:lang w:val="en-GB"/>
        </w:rPr>
        <w:t>12</w:t>
      </w:r>
      <w:r w:rsidRPr="5B4B25B6" w:rsidR="5B4B25B6">
        <w:rPr>
          <w:rFonts w:ascii="Arial" w:hAnsi="Arial" w:eastAsia="Arial" w:cs="Arial"/>
          <w:noProof w:val="0"/>
          <w:color w:val="222222"/>
          <w:sz w:val="24"/>
          <w:szCs w:val="24"/>
          <w:lang w:val="en-GB"/>
        </w:rPr>
        <w:t>(2), pp.193-201.</w:t>
      </w:r>
    </w:p>
    <w:p w:rsidR="5B4B25B6" w:rsidP="5B4B25B6" w:rsidRDefault="5B4B25B6" w14:paraId="00D1A0B5" w14:textId="14223416">
      <w:pPr>
        <w:spacing w:line="360" w:lineRule="auto"/>
        <w:jc w:val="both"/>
      </w:pPr>
      <w:r w:rsidRPr="5B4B25B6" w:rsidR="5B4B25B6">
        <w:rPr>
          <w:rFonts w:ascii="Arial" w:hAnsi="Arial" w:eastAsia="Arial" w:cs="Arial"/>
          <w:noProof w:val="0"/>
          <w:color w:val="222222"/>
          <w:sz w:val="24"/>
          <w:szCs w:val="24"/>
          <w:lang w:val="en-GB"/>
        </w:rPr>
        <w:t xml:space="preserve">Schomburg, W., Oehmichen, A. and Kayß, K., (2021) Human rights and the rule of law in judicial cooperation in criminal matters under the EU–UK Trade and Cooperation Agreement. </w:t>
      </w:r>
      <w:r w:rsidRPr="5B4B25B6" w:rsidR="5B4B25B6">
        <w:rPr>
          <w:rFonts w:ascii="Arial" w:hAnsi="Arial" w:eastAsia="Arial" w:cs="Arial"/>
          <w:i w:val="1"/>
          <w:iCs w:val="1"/>
          <w:noProof w:val="0"/>
          <w:color w:val="222222"/>
          <w:sz w:val="24"/>
          <w:szCs w:val="24"/>
          <w:lang w:val="en-GB"/>
        </w:rPr>
        <w:t>New Journal of European Criminal Law</w:t>
      </w:r>
      <w:r w:rsidRPr="5B4B25B6" w:rsidR="5B4B25B6">
        <w:rPr>
          <w:rFonts w:ascii="Arial" w:hAnsi="Arial" w:eastAsia="Arial" w:cs="Arial"/>
          <w:noProof w:val="0"/>
          <w:color w:val="222222"/>
          <w:sz w:val="24"/>
          <w:szCs w:val="24"/>
          <w:lang w:val="en-GB"/>
        </w:rPr>
        <w:t xml:space="preserve">, </w:t>
      </w:r>
      <w:r w:rsidRPr="5B4B25B6" w:rsidR="5B4B25B6">
        <w:rPr>
          <w:rFonts w:ascii="Arial" w:hAnsi="Arial" w:eastAsia="Arial" w:cs="Arial"/>
          <w:i w:val="1"/>
          <w:iCs w:val="1"/>
          <w:noProof w:val="0"/>
          <w:color w:val="222222"/>
          <w:sz w:val="24"/>
          <w:szCs w:val="24"/>
          <w:lang w:val="en-GB"/>
        </w:rPr>
        <w:t>12</w:t>
      </w:r>
      <w:r w:rsidRPr="5B4B25B6" w:rsidR="5B4B25B6">
        <w:rPr>
          <w:rFonts w:ascii="Arial" w:hAnsi="Arial" w:eastAsia="Arial" w:cs="Arial"/>
          <w:noProof w:val="0"/>
          <w:color w:val="222222"/>
          <w:sz w:val="24"/>
          <w:szCs w:val="24"/>
          <w:lang w:val="en-GB"/>
        </w:rPr>
        <w:t>(2), pp.246-256.</w:t>
      </w:r>
    </w:p>
    <w:p w:rsidR="5B4B25B6" w:rsidP="5B4B25B6" w:rsidRDefault="5B4B25B6" w14:paraId="2067274E" w14:textId="7D9BD3AA">
      <w:pPr>
        <w:spacing w:line="360" w:lineRule="auto"/>
        <w:jc w:val="both"/>
      </w:pPr>
      <w:r w:rsidRPr="5B4B25B6" w:rsidR="5B4B25B6">
        <w:rPr>
          <w:rFonts w:ascii="Arial" w:hAnsi="Arial" w:eastAsia="Arial" w:cs="Arial"/>
          <w:noProof w:val="0"/>
          <w:color w:val="222222"/>
          <w:sz w:val="24"/>
          <w:szCs w:val="24"/>
          <w:lang w:val="en-GB"/>
        </w:rPr>
        <w:t xml:space="preserve"> </w:t>
      </w:r>
    </w:p>
    <w:p w:rsidR="5B4B25B6" w:rsidP="5B4B25B6" w:rsidRDefault="5B4B25B6" w14:paraId="49BCB91E" w14:textId="437344D2">
      <w:pPr>
        <w:spacing w:line="360" w:lineRule="auto"/>
        <w:jc w:val="both"/>
      </w:pPr>
      <w:r w:rsidRPr="5B4B25B6" w:rsidR="5B4B25B6">
        <w:rPr>
          <w:rFonts w:ascii="Arial" w:hAnsi="Arial" w:eastAsia="Arial" w:cs="Arial"/>
          <w:noProof w:val="0"/>
          <w:color w:val="222222"/>
          <w:sz w:val="24"/>
          <w:szCs w:val="24"/>
          <w:lang w:val="en-GB"/>
        </w:rPr>
        <w:t xml:space="preserve">Sharifi Far, S., King, R., Bird, S., Overstall, A., Worthington, H. and Jewell, N., (2021) Multiple systems estimation for modern slavery: Robustness of list omission and combination. </w:t>
      </w:r>
      <w:r w:rsidRPr="5B4B25B6" w:rsidR="5B4B25B6">
        <w:rPr>
          <w:rFonts w:ascii="Arial" w:hAnsi="Arial" w:eastAsia="Arial" w:cs="Arial"/>
          <w:i w:val="1"/>
          <w:iCs w:val="1"/>
          <w:noProof w:val="0"/>
          <w:color w:val="222222"/>
          <w:sz w:val="24"/>
          <w:szCs w:val="24"/>
          <w:lang w:val="en-GB"/>
        </w:rPr>
        <w:t>Crime &amp; Delinquency</w:t>
      </w:r>
      <w:r w:rsidRPr="5B4B25B6" w:rsidR="5B4B25B6">
        <w:rPr>
          <w:rFonts w:ascii="Arial" w:hAnsi="Arial" w:eastAsia="Arial" w:cs="Arial"/>
          <w:noProof w:val="0"/>
          <w:color w:val="222222"/>
          <w:sz w:val="24"/>
          <w:szCs w:val="24"/>
          <w:lang w:val="en-GB"/>
        </w:rPr>
        <w:t xml:space="preserve">, </w:t>
      </w:r>
      <w:r w:rsidRPr="5B4B25B6" w:rsidR="5B4B25B6">
        <w:rPr>
          <w:rFonts w:ascii="Arial" w:hAnsi="Arial" w:eastAsia="Arial" w:cs="Arial"/>
          <w:i w:val="1"/>
          <w:iCs w:val="1"/>
          <w:noProof w:val="0"/>
          <w:color w:val="222222"/>
          <w:sz w:val="24"/>
          <w:szCs w:val="24"/>
          <w:lang w:val="en-GB"/>
        </w:rPr>
        <w:t>67</w:t>
      </w:r>
      <w:r w:rsidRPr="5B4B25B6" w:rsidR="5B4B25B6">
        <w:rPr>
          <w:rFonts w:ascii="Arial" w:hAnsi="Arial" w:eastAsia="Arial" w:cs="Arial"/>
          <w:noProof w:val="0"/>
          <w:color w:val="222222"/>
          <w:sz w:val="24"/>
          <w:szCs w:val="24"/>
          <w:lang w:val="en-GB"/>
        </w:rPr>
        <w:t>(13-14), pp.2213-2236.</w:t>
      </w:r>
    </w:p>
    <w:p w:rsidR="5B4B25B6" w:rsidP="5B4B25B6" w:rsidRDefault="5B4B25B6" w14:paraId="02EE3251" w14:textId="11F19EC7">
      <w:pPr>
        <w:spacing w:line="360" w:lineRule="auto"/>
        <w:jc w:val="both"/>
      </w:pPr>
      <w:r w:rsidRPr="5B4B25B6" w:rsidR="5B4B25B6">
        <w:rPr>
          <w:rFonts w:ascii="Arial" w:hAnsi="Arial" w:eastAsia="Arial" w:cs="Arial"/>
          <w:noProof w:val="0"/>
          <w:color w:val="222222"/>
          <w:sz w:val="24"/>
          <w:szCs w:val="24"/>
          <w:lang w:val="en-GB"/>
        </w:rPr>
        <w:t xml:space="preserve"> </w:t>
      </w:r>
    </w:p>
    <w:p w:rsidR="5B4B25B6" w:rsidP="5B4B25B6" w:rsidRDefault="5B4B25B6" w14:paraId="470B8221" w14:textId="0C4F2F5D">
      <w:pPr>
        <w:spacing w:line="360" w:lineRule="auto"/>
        <w:jc w:val="both"/>
      </w:pPr>
      <w:r w:rsidRPr="5B4B25B6" w:rsidR="5B4B25B6">
        <w:rPr>
          <w:rFonts w:ascii="Arial" w:hAnsi="Arial" w:eastAsia="Arial" w:cs="Arial"/>
          <w:noProof w:val="0"/>
          <w:color w:val="222222"/>
          <w:sz w:val="24"/>
          <w:szCs w:val="24"/>
          <w:lang w:val="en-GB"/>
        </w:rPr>
        <w:t xml:space="preserve">Simester, A., (2021) </w:t>
      </w:r>
      <w:r w:rsidRPr="5B4B25B6" w:rsidR="5B4B25B6">
        <w:rPr>
          <w:rFonts w:ascii="Arial" w:hAnsi="Arial" w:eastAsia="Arial" w:cs="Arial"/>
          <w:i w:val="1"/>
          <w:iCs w:val="1"/>
          <w:noProof w:val="0"/>
          <w:color w:val="222222"/>
          <w:sz w:val="24"/>
          <w:szCs w:val="24"/>
          <w:lang w:val="en-GB"/>
        </w:rPr>
        <w:t>Fundamentals of criminal law: responsibility, culpability, and wrongdoing</w:t>
      </w:r>
      <w:r w:rsidRPr="5B4B25B6" w:rsidR="5B4B25B6">
        <w:rPr>
          <w:rFonts w:ascii="Arial" w:hAnsi="Arial" w:eastAsia="Arial" w:cs="Arial"/>
          <w:noProof w:val="0"/>
          <w:color w:val="222222"/>
          <w:sz w:val="24"/>
          <w:szCs w:val="24"/>
          <w:lang w:val="en-GB"/>
        </w:rPr>
        <w:t>. Oxford University Press, USA.</w:t>
      </w:r>
    </w:p>
    <w:p w:rsidR="5B4B25B6" w:rsidP="5B4B25B6" w:rsidRDefault="5B4B25B6" w14:paraId="52095993" w14:textId="12B4A573">
      <w:pPr>
        <w:spacing w:line="360" w:lineRule="auto"/>
        <w:jc w:val="both"/>
      </w:pPr>
      <w:r w:rsidRPr="5B4B25B6" w:rsidR="5B4B25B6">
        <w:rPr>
          <w:rFonts w:ascii="Arial" w:hAnsi="Arial" w:eastAsia="Arial" w:cs="Arial"/>
          <w:noProof w:val="0"/>
          <w:color w:val="222222"/>
          <w:sz w:val="24"/>
          <w:szCs w:val="24"/>
          <w:lang w:val="en-GB"/>
        </w:rPr>
        <w:t xml:space="preserve"> </w:t>
      </w:r>
    </w:p>
    <w:p w:rsidR="5B4B25B6" w:rsidP="5B4B25B6" w:rsidRDefault="5B4B25B6" w14:paraId="6D56672B" w14:textId="22192692">
      <w:pPr>
        <w:spacing w:line="360" w:lineRule="auto"/>
        <w:jc w:val="both"/>
      </w:pPr>
      <w:r w:rsidRPr="5B4B25B6" w:rsidR="5B4B25B6">
        <w:rPr>
          <w:rFonts w:ascii="Arial" w:hAnsi="Arial" w:eastAsia="Arial" w:cs="Arial"/>
          <w:noProof w:val="0"/>
          <w:color w:val="222222"/>
          <w:sz w:val="24"/>
          <w:szCs w:val="24"/>
          <w:lang w:val="en-GB"/>
        </w:rPr>
        <w:t xml:space="preserve">Sinaga, H.D.P., Samekto, F.A. and Emirzon, J., (2019) Ideal corporate criminal liability for the performance and accreditation of public accountant audit reports in Indonesia. </w:t>
      </w:r>
      <w:r w:rsidRPr="5B4B25B6" w:rsidR="5B4B25B6">
        <w:rPr>
          <w:rFonts w:ascii="Arial" w:hAnsi="Arial" w:eastAsia="Arial" w:cs="Arial"/>
          <w:i w:val="1"/>
          <w:iCs w:val="1"/>
          <w:noProof w:val="0"/>
          <w:color w:val="222222"/>
          <w:sz w:val="24"/>
          <w:szCs w:val="24"/>
          <w:lang w:val="en-GB"/>
        </w:rPr>
        <w:t>International Journal of Economics and Business Administration</w:t>
      </w:r>
      <w:r w:rsidRPr="5B4B25B6" w:rsidR="5B4B25B6">
        <w:rPr>
          <w:rFonts w:ascii="Arial" w:hAnsi="Arial" w:eastAsia="Arial" w:cs="Arial"/>
          <w:noProof w:val="0"/>
          <w:color w:val="222222"/>
          <w:sz w:val="24"/>
          <w:szCs w:val="24"/>
          <w:lang w:val="en-GB"/>
        </w:rPr>
        <w:t xml:space="preserve">, </w:t>
      </w:r>
      <w:r w:rsidRPr="5B4B25B6" w:rsidR="5B4B25B6">
        <w:rPr>
          <w:rFonts w:ascii="Arial" w:hAnsi="Arial" w:eastAsia="Arial" w:cs="Arial"/>
          <w:i w:val="1"/>
          <w:iCs w:val="1"/>
          <w:noProof w:val="0"/>
          <w:color w:val="222222"/>
          <w:sz w:val="24"/>
          <w:szCs w:val="24"/>
          <w:lang w:val="en-GB"/>
        </w:rPr>
        <w:t>7</w:t>
      </w:r>
      <w:r w:rsidRPr="5B4B25B6" w:rsidR="5B4B25B6">
        <w:rPr>
          <w:rFonts w:ascii="Arial" w:hAnsi="Arial" w:eastAsia="Arial" w:cs="Arial"/>
          <w:noProof w:val="0"/>
          <w:color w:val="222222"/>
          <w:sz w:val="24"/>
          <w:szCs w:val="24"/>
          <w:lang w:val="en-GB"/>
        </w:rPr>
        <w:t>(4), pp.451-63.</w:t>
      </w:r>
    </w:p>
    <w:p w:rsidR="5B4B25B6" w:rsidP="5B4B25B6" w:rsidRDefault="5B4B25B6" w14:paraId="18B90D2E" w14:textId="1AEFAA73">
      <w:pPr>
        <w:pStyle w:val="Heading1"/>
      </w:pPr>
      <w:r w:rsidRPr="5B4B25B6" w:rsidR="5B4B25B6">
        <w:rPr>
          <w:rFonts w:ascii="Arial" w:hAnsi="Arial" w:eastAsia="Arial" w:cs="Arial"/>
          <w:noProof w:val="0"/>
          <w:color w:val="222222"/>
          <w:sz w:val="24"/>
          <w:szCs w:val="24"/>
          <w:lang w:val="en-GB"/>
        </w:rPr>
        <w:t xml:space="preserve"> Tutor2u, (September ,2022) </w:t>
      </w:r>
      <w:r w:rsidRPr="5B4B25B6" w:rsidR="5B4B25B6">
        <w:rPr>
          <w:rFonts w:ascii="Arial" w:hAnsi="Arial" w:eastAsia="Arial" w:cs="Arial"/>
          <w:b w:val="0"/>
          <w:bCs w:val="0"/>
          <w:i w:val="1"/>
          <w:iCs w:val="1"/>
          <w:caps w:val="0"/>
          <w:smallCaps w:val="0"/>
          <w:noProof w:val="0"/>
          <w:color w:val="auto"/>
          <w:sz w:val="24"/>
          <w:szCs w:val="24"/>
          <w:lang w:val="en-GB"/>
        </w:rPr>
        <w:t xml:space="preserve">R v </w:t>
      </w:r>
      <w:r w:rsidRPr="5B4B25B6" w:rsidR="5B4B25B6">
        <w:rPr>
          <w:rFonts w:ascii="Arial" w:hAnsi="Arial" w:eastAsia="Arial" w:cs="Arial"/>
          <w:b w:val="0"/>
          <w:bCs w:val="0"/>
          <w:i w:val="1"/>
          <w:iCs w:val="1"/>
          <w:caps w:val="0"/>
          <w:smallCaps w:val="0"/>
          <w:noProof w:val="0"/>
          <w:color w:val="auto"/>
          <w:sz w:val="24"/>
          <w:szCs w:val="24"/>
          <w:lang w:val="en-GB"/>
        </w:rPr>
        <w:t>Dytham</w:t>
      </w:r>
      <w:r w:rsidRPr="5B4B25B6" w:rsidR="5B4B25B6">
        <w:rPr>
          <w:rFonts w:ascii="Arial" w:hAnsi="Arial" w:eastAsia="Arial" w:cs="Arial"/>
          <w:b w:val="0"/>
          <w:bCs w:val="0"/>
          <w:i w:val="1"/>
          <w:iCs w:val="1"/>
          <w:caps w:val="0"/>
          <w:smallCaps w:val="0"/>
          <w:noProof w:val="0"/>
          <w:color w:val="auto"/>
          <w:sz w:val="24"/>
          <w:szCs w:val="24"/>
          <w:lang w:val="en-GB"/>
        </w:rPr>
        <w:t xml:space="preserve"> (1979) </w:t>
      </w:r>
      <w:r w:rsidRPr="5B4B25B6" w:rsidR="5B4B25B6">
        <w:rPr>
          <w:rFonts w:ascii="Arial" w:hAnsi="Arial" w:eastAsia="Arial" w:cs="Arial"/>
          <w:b w:val="0"/>
          <w:bCs w:val="0"/>
          <w:i w:val="0"/>
          <w:iCs w:val="0"/>
          <w:caps w:val="0"/>
          <w:smallCaps w:val="0"/>
          <w:noProof w:val="0"/>
          <w:color w:val="auto"/>
          <w:sz w:val="24"/>
          <w:szCs w:val="24"/>
          <w:lang w:val="en-GB"/>
        </w:rPr>
        <w:t>(online)</w:t>
      </w:r>
    </w:p>
    <w:p w:rsidR="5B4B25B6" w:rsidP="5B4B25B6" w:rsidRDefault="5B4B25B6" w14:paraId="0694FAA5" w14:textId="3CF1ED4E">
      <w:pPr>
        <w:pStyle w:val="Normal"/>
        <w:spacing w:line="360" w:lineRule="auto"/>
        <w:jc w:val="both"/>
        <w:rPr>
          <w:rFonts w:ascii="Arial" w:hAnsi="Arial" w:eastAsia="Arial" w:cs="Arial"/>
          <w:noProof w:val="0"/>
          <w:color w:val="222222"/>
          <w:sz w:val="24"/>
          <w:szCs w:val="24"/>
          <w:lang w:val="en-GB"/>
        </w:rPr>
      </w:pPr>
      <w:r w:rsidRPr="5B4B25B6" w:rsidR="5B4B25B6">
        <w:rPr>
          <w:rFonts w:ascii="Arial" w:hAnsi="Arial" w:eastAsia="Arial" w:cs="Arial"/>
          <w:noProof w:val="0"/>
          <w:sz w:val="24"/>
          <w:szCs w:val="24"/>
          <w:lang w:val="en-GB"/>
        </w:rPr>
        <w:t>Available at https://www.tutor2u.net/law/reference/r-v-dytham-1979-actus-reus-duty-to-act-due-to-public-duty-from-an-official-position</w:t>
      </w:r>
    </w:p>
    <w:p w:rsidR="5B4B25B6" w:rsidP="5B4B25B6" w:rsidRDefault="5B4B25B6" w14:paraId="21FFB32E" w14:textId="3AA87BDB">
      <w:pPr>
        <w:spacing w:line="360" w:lineRule="auto"/>
        <w:jc w:val="both"/>
      </w:pPr>
      <w:r w:rsidRPr="5B4B25B6" w:rsidR="5B4B25B6">
        <w:rPr>
          <w:rFonts w:ascii="Arial" w:hAnsi="Arial" w:eastAsia="Arial" w:cs="Arial"/>
          <w:noProof w:val="0"/>
          <w:color w:val="222222"/>
          <w:sz w:val="24"/>
          <w:szCs w:val="24"/>
          <w:lang w:val="en-GB"/>
        </w:rPr>
        <w:t xml:space="preserve">Wiener, C., (2022) Coercive Control and the Criminal </w:t>
      </w:r>
      <w:r w:rsidRPr="5B4B25B6" w:rsidR="5B4B25B6">
        <w:rPr>
          <w:rFonts w:ascii="Arial" w:hAnsi="Arial" w:eastAsia="Arial" w:cs="Arial"/>
          <w:noProof w:val="0"/>
          <w:color w:val="222222"/>
          <w:sz w:val="24"/>
          <w:szCs w:val="24"/>
          <w:lang w:val="en-GB"/>
        </w:rPr>
        <w:t>Law</w:t>
      </w:r>
    </w:p>
    <w:p w:rsidR="5B4B25B6" w:rsidP="5B4B25B6" w:rsidRDefault="5B4B25B6" w14:paraId="1682188E" w14:textId="76E4C365">
      <w:pPr>
        <w:spacing w:line="360" w:lineRule="auto"/>
        <w:jc w:val="both"/>
      </w:pPr>
      <w:r w:rsidRPr="5B4B25B6" w:rsidR="5B4B25B6">
        <w:rPr>
          <w:rFonts w:ascii="Arial" w:hAnsi="Arial" w:eastAsia="Arial" w:cs="Arial"/>
          <w:noProof w:val="0"/>
          <w:color w:val="222222"/>
          <w:sz w:val="24"/>
          <w:szCs w:val="24"/>
          <w:lang w:val="en-GB"/>
        </w:rPr>
        <w:t>Wilkes,</w:t>
      </w:r>
      <w:r w:rsidRPr="5B4B25B6" w:rsidR="5B4B25B6">
        <w:rPr>
          <w:rFonts w:ascii="Arial" w:hAnsi="Arial" w:eastAsia="Arial" w:cs="Arial"/>
          <w:noProof w:val="0"/>
          <w:color w:val="222222"/>
          <w:sz w:val="24"/>
          <w:szCs w:val="24"/>
          <w:lang w:val="en-GB"/>
        </w:rPr>
        <w:t xml:space="preserve"> C.J., (2020) A Case for Reforming the Anti-Money Laundering Regulatory Regime: How Financial Institutions' Criminal Reporting Duties Have Created an Unfunded Private Police Force. </w:t>
      </w:r>
      <w:r w:rsidRPr="5B4B25B6" w:rsidR="5B4B25B6">
        <w:rPr>
          <w:rFonts w:ascii="Arial" w:hAnsi="Arial" w:eastAsia="Arial" w:cs="Arial"/>
          <w:i w:val="1"/>
          <w:iCs w:val="1"/>
          <w:noProof w:val="0"/>
          <w:color w:val="222222"/>
          <w:sz w:val="24"/>
          <w:szCs w:val="24"/>
          <w:lang w:val="en-GB"/>
        </w:rPr>
        <w:t>Ind. LJ</w:t>
      </w:r>
      <w:r w:rsidRPr="5B4B25B6" w:rsidR="5B4B25B6">
        <w:rPr>
          <w:rFonts w:ascii="Arial" w:hAnsi="Arial" w:eastAsia="Arial" w:cs="Arial"/>
          <w:noProof w:val="0"/>
          <w:color w:val="222222"/>
          <w:sz w:val="24"/>
          <w:szCs w:val="24"/>
          <w:lang w:val="en-GB"/>
        </w:rPr>
        <w:t xml:space="preserve">, </w:t>
      </w:r>
      <w:r w:rsidRPr="5B4B25B6" w:rsidR="5B4B25B6">
        <w:rPr>
          <w:rFonts w:ascii="Arial" w:hAnsi="Arial" w:eastAsia="Arial" w:cs="Arial"/>
          <w:i w:val="1"/>
          <w:iCs w:val="1"/>
          <w:noProof w:val="0"/>
          <w:color w:val="222222"/>
          <w:sz w:val="24"/>
          <w:szCs w:val="24"/>
          <w:lang w:val="en-GB"/>
        </w:rPr>
        <w:t>95</w:t>
      </w:r>
      <w:r w:rsidRPr="5B4B25B6" w:rsidR="5B4B25B6">
        <w:rPr>
          <w:rFonts w:ascii="Arial" w:hAnsi="Arial" w:eastAsia="Arial" w:cs="Arial"/>
          <w:noProof w:val="0"/>
          <w:color w:val="222222"/>
          <w:sz w:val="24"/>
          <w:szCs w:val="24"/>
          <w:lang w:val="en-GB"/>
        </w:rPr>
        <w:t>, p.649.</w:t>
      </w:r>
    </w:p>
    <w:p w:rsidR="5B4B25B6" w:rsidP="5B4B25B6" w:rsidRDefault="5B4B25B6" w14:paraId="3F053D10" w14:textId="2E3F61B2">
      <w:pPr>
        <w:pStyle w:val="Normal"/>
        <w:spacing w:line="360" w:lineRule="auto"/>
        <w:jc w:val="both"/>
        <w:rPr>
          <w:rFonts w:ascii="Arial" w:hAnsi="Arial" w:eastAsia="Arial" w:cs="Arial"/>
          <w:noProof w:val="0"/>
          <w:color w:val="0E101A"/>
          <w:sz w:val="24"/>
          <w:szCs w:val="24"/>
          <w:lang w:val="en-GB"/>
        </w:rPr>
      </w:pPr>
    </w:p>
    <w:p w:rsidR="5B4B25B6" w:rsidP="5B4B25B6" w:rsidRDefault="5B4B25B6" w14:paraId="3A961E95" w14:textId="45115A7A">
      <w:pPr>
        <w:pStyle w:val="Normal"/>
        <w:spacing w:line="360" w:lineRule="auto"/>
        <w:jc w:val="both"/>
        <w:rPr>
          <w:rFonts w:ascii="Arial" w:hAnsi="Arial" w:eastAsia="Arial" w:cs="Arial"/>
          <w:noProof w:val="0"/>
          <w:color w:val="0E101A"/>
          <w:sz w:val="24"/>
          <w:szCs w:val="24"/>
          <w:lang w:val="en-GB"/>
        </w:rPr>
      </w:pPr>
    </w:p>
    <w:p w:rsidR="5B4B25B6" w:rsidP="5B4B25B6" w:rsidRDefault="5B4B25B6" w14:paraId="78D1CE94" w14:textId="3A06FF31">
      <w:pPr>
        <w:pStyle w:val="Normal"/>
        <w:spacing w:line="360" w:lineRule="auto"/>
        <w:jc w:val="both"/>
        <w:rPr>
          <w:rFonts w:ascii="Arial" w:hAnsi="Arial" w:eastAsia="Arial" w:cs="Arial"/>
          <w:noProof w:val="0"/>
          <w:color w:val="0E101A"/>
          <w:sz w:val="24"/>
          <w:szCs w:val="24"/>
          <w:lang w:val="en-GB"/>
        </w:rPr>
      </w:pPr>
    </w:p>
    <w:p w:rsidR="5B4B25B6" w:rsidP="5B4B25B6" w:rsidRDefault="5B4B25B6" w14:paraId="5FE072D4" w14:textId="36FB1198">
      <w:pPr>
        <w:pStyle w:val="Normal"/>
        <w:spacing w:line="360" w:lineRule="auto"/>
        <w:jc w:val="both"/>
        <w:rPr>
          <w:rFonts w:ascii="Arial" w:hAnsi="Arial" w:eastAsia="Arial" w:cs="Arial"/>
          <w:noProof w:val="0"/>
          <w:color w:val="0E101A"/>
          <w:sz w:val="24"/>
          <w:szCs w:val="24"/>
          <w:lang w:val="en-GB"/>
        </w:rPr>
      </w:pPr>
    </w:p>
    <w:p w:rsidR="5B4B25B6" w:rsidP="5B4B25B6" w:rsidRDefault="5B4B25B6" w14:paraId="2ED31F99" w14:textId="0F992BD5">
      <w:pPr>
        <w:pStyle w:val="Normal"/>
        <w:spacing w:line="360" w:lineRule="auto"/>
        <w:jc w:val="both"/>
        <w:rPr>
          <w:rFonts w:ascii="Arial" w:hAnsi="Arial" w:eastAsia="Arial" w:cs="Arial"/>
          <w:noProof w:val="0"/>
          <w:color w:val="0E101A"/>
          <w:sz w:val="24"/>
          <w:szCs w:val="24"/>
          <w:lang w:val="en-GB"/>
        </w:rPr>
      </w:pPr>
    </w:p>
    <w:p w:rsidR="5B4B25B6" w:rsidP="5B4B25B6" w:rsidRDefault="5B4B25B6" w14:paraId="1FAB443F" w14:textId="68A817C4">
      <w:pPr>
        <w:spacing w:line="360" w:lineRule="auto"/>
        <w:jc w:val="both"/>
        <w:rPr>
          <w:rFonts w:ascii="Arial" w:hAnsi="Arial" w:eastAsia="Arial" w:cs="Arial"/>
          <w:noProof w:val="0"/>
          <w:color w:val="0E101A"/>
          <w:sz w:val="24"/>
          <w:szCs w:val="24"/>
          <w:lang w:val="en-GB"/>
        </w:rPr>
      </w:pPr>
    </w:p>
    <w:p w:rsidR="5B4B25B6" w:rsidP="5B4B25B6" w:rsidRDefault="5B4B25B6" w14:paraId="49663812" w14:textId="14F5B9C7">
      <w:pPr>
        <w:pStyle w:val="Normal"/>
        <w:jc w:val="left"/>
        <w:rPr>
          <w:rFonts w:ascii="Arial" w:hAnsi="Arial" w:eastAsia="Arial" w:cs="Arial"/>
          <w:noProof w:val="0"/>
          <w:color w:val="0E101A"/>
          <w:sz w:val="24"/>
          <w:szCs w:val="24"/>
          <w:lang w:val="en-GB"/>
        </w:rPr>
      </w:pPr>
    </w:p>
    <w:p w:rsidR="5B4B25B6" w:rsidP="5B4B25B6" w:rsidRDefault="5B4B25B6" w14:paraId="496B4535" w14:textId="365CF439">
      <w:pPr>
        <w:pStyle w:val="Normal"/>
        <w:jc w:val="left"/>
        <w:rPr>
          <w:rFonts w:ascii="Arial" w:hAnsi="Arial" w:eastAsia="Arial" w:cs="Arial"/>
          <w:b w:val="0"/>
          <w:bCs w:val="0"/>
          <w:i w:val="0"/>
          <w:iCs w:val="0"/>
          <w:caps w:val="0"/>
          <w:smallCaps w:val="0"/>
          <w:strike w:val="0"/>
          <w:dstrike w:val="0"/>
          <w:noProof w:val="0"/>
          <w:color w:val="0E101A"/>
          <w:sz w:val="24"/>
          <w:szCs w:val="24"/>
          <w:u w:val="none"/>
          <w:lang w:val="en-GB"/>
        </w:rPr>
      </w:pPr>
    </w:p>
    <w:p w:rsidR="5B4B25B6" w:rsidP="5B4B25B6" w:rsidRDefault="5B4B25B6" w14:paraId="4C61A08B" w14:textId="3FE11319">
      <w:pPr>
        <w:pStyle w:val="Normal"/>
        <w:jc w:val="left"/>
        <w:rPr>
          <w:rFonts w:ascii="Arial" w:hAnsi="Arial" w:eastAsia="Arial" w:cs="Arial"/>
          <w:b w:val="0"/>
          <w:bCs w:val="0"/>
          <w:i w:val="0"/>
          <w:iCs w:val="0"/>
          <w:caps w:val="0"/>
          <w:smallCaps w:val="0"/>
          <w:strike w:val="0"/>
          <w:dstrike w:val="0"/>
          <w:noProof w:val="0"/>
          <w:color w:val="0E101A"/>
          <w:sz w:val="24"/>
          <w:szCs w:val="24"/>
          <w:u w:val="none"/>
          <w:lang w:val="en-GB"/>
        </w:rPr>
      </w:pPr>
    </w:p>
    <w:p w:rsidR="5B4B25B6" w:rsidP="5B4B25B6" w:rsidRDefault="5B4B25B6" w14:paraId="6BFB51E7" w14:textId="2827FCCE">
      <w:pPr>
        <w:pStyle w:val="Normal"/>
        <w:jc w:val="left"/>
        <w:rPr>
          <w:rFonts w:ascii="Arial" w:hAnsi="Arial" w:eastAsia="Arial" w:cs="Arial"/>
          <w:b w:val="1"/>
          <w:bCs w:val="1"/>
          <w:sz w:val="32"/>
          <w:szCs w:val="32"/>
        </w:rPr>
      </w:pPr>
    </w:p>
    <w:p w:rsidR="5B4B25B6" w:rsidP="5B4B25B6" w:rsidRDefault="5B4B25B6" w14:paraId="5EDCD377" w14:textId="7C328BDD">
      <w:pPr>
        <w:pStyle w:val="Normal"/>
        <w:jc w:val="left"/>
        <w:rPr>
          <w:rFonts w:ascii="Arial" w:hAnsi="Arial" w:eastAsia="Arial" w:cs="Arial"/>
          <w:b w:val="1"/>
          <w:bCs w:val="1"/>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894273"/>
    <w:rsid w:val="3C894273"/>
    <w:rsid w:val="5B4B2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7C000"/>
  <w15:chartTrackingRefBased/>
  <w15:docId w15:val="{8D02F8F8-7656-4D41-93F4-0102AFD5C5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Stefania Matei-Avirvarii</dc:creator>
  <keywords/>
  <dc:description/>
  <lastModifiedBy>Stefania Matei-Avirvarii</lastModifiedBy>
  <revision>2</revision>
  <dcterms:created xsi:type="dcterms:W3CDTF">2023-07-20T15:16:15.4136949Z</dcterms:created>
  <dcterms:modified xsi:type="dcterms:W3CDTF">2023-07-21T19:14:57.3285499Z</dcterms:modified>
</coreProperties>
</file>