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45E49C5" w14:textId="77777777" w:rsidR="00CA4225" w:rsidRPr="00CA4225" w:rsidRDefault="003A67DD" w:rsidP="00CA4225">
      <w:pPr>
        <w:jc w:val="center"/>
        <w:rPr>
          <w:b/>
          <w:sz w:val="32"/>
          <w:lang w:val="en-GB"/>
        </w:rPr>
      </w:pPr>
      <w:r>
        <w:rPr>
          <w:noProof/>
          <w:lang w:val="en-IN"/>
        </w:rPr>
        <w:drawing>
          <wp:inline distT="0" distB="0" distL="0" distR="0" wp14:anchorId="3DC150CB" wp14:editId="3C45422E">
            <wp:extent cx="2762250" cy="1231253"/>
            <wp:effectExtent l="0" t="0" r="0" b="7620"/>
            <wp:docPr id="9" name="Picture 9" descr="University of Wales Trinity Saint David - Sagar Consul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University of Wales Trinity Saint David - Sagar Consultant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76074" cy="1237415"/>
                    </a:xfrm>
                    <a:prstGeom prst="rect">
                      <a:avLst/>
                    </a:prstGeom>
                    <a:noFill/>
                    <a:ln>
                      <a:noFill/>
                    </a:ln>
                  </pic:spPr>
                </pic:pic>
              </a:graphicData>
            </a:graphic>
          </wp:inline>
        </w:drawing>
      </w:r>
    </w:p>
    <w:p w14:paraId="104105C0" w14:textId="77777777" w:rsidR="00CA4225" w:rsidRPr="00CA4225" w:rsidRDefault="00CA4225" w:rsidP="00CA4225">
      <w:pPr>
        <w:jc w:val="center"/>
        <w:rPr>
          <w:b/>
          <w:sz w:val="32"/>
          <w:lang w:val="en-GB"/>
        </w:rPr>
      </w:pPr>
    </w:p>
    <w:p w14:paraId="298661E8" w14:textId="77777777" w:rsidR="00CA4225" w:rsidRPr="00CA4225" w:rsidRDefault="003A67DD" w:rsidP="00CA4225">
      <w:pPr>
        <w:jc w:val="center"/>
        <w:rPr>
          <w:b/>
          <w:sz w:val="32"/>
          <w:lang w:val="en-GB"/>
        </w:rPr>
      </w:pPr>
      <w:r w:rsidRPr="003A67DD">
        <w:rPr>
          <w:b/>
          <w:sz w:val="32"/>
          <w:lang w:val="en-GB"/>
        </w:rPr>
        <w:t>PROGRAMME: MASTER OF BUSINESS ADMINISTRATION</w:t>
      </w:r>
    </w:p>
    <w:p w14:paraId="2366BBE1" w14:textId="77777777" w:rsidR="003F36A5" w:rsidRPr="00CA4225" w:rsidRDefault="00CA4225" w:rsidP="00CA4225">
      <w:pPr>
        <w:jc w:val="center"/>
        <w:rPr>
          <w:b/>
          <w:sz w:val="32"/>
          <w:lang w:val="en-GB"/>
        </w:rPr>
      </w:pPr>
      <w:r w:rsidRPr="00CA4225">
        <w:rPr>
          <w:b/>
          <w:sz w:val="32"/>
          <w:lang w:val="en-GB"/>
        </w:rPr>
        <w:t>MODULE: HUMAN CAPITAL MANAGEMENT</w:t>
      </w:r>
    </w:p>
    <w:p w14:paraId="37425BDD" w14:textId="77777777" w:rsidR="003F36A5" w:rsidRPr="00CA4225" w:rsidRDefault="00CA4225" w:rsidP="00CA4225">
      <w:pPr>
        <w:jc w:val="center"/>
        <w:rPr>
          <w:b/>
          <w:sz w:val="32"/>
          <w:lang w:val="en-GB"/>
        </w:rPr>
      </w:pPr>
      <w:r w:rsidRPr="00CA4225">
        <w:rPr>
          <w:b/>
          <w:sz w:val="32"/>
          <w:lang w:val="en-GB"/>
        </w:rPr>
        <w:t>MODULE CODE: LCMB7023</w:t>
      </w:r>
    </w:p>
    <w:p w14:paraId="07CAFED0" w14:textId="77777777" w:rsidR="003F36A5" w:rsidRPr="00CA4225" w:rsidRDefault="00CA4225" w:rsidP="00CA4225">
      <w:pPr>
        <w:jc w:val="center"/>
        <w:rPr>
          <w:b/>
          <w:sz w:val="32"/>
          <w:lang w:val="en-GB"/>
        </w:rPr>
      </w:pPr>
      <w:r w:rsidRPr="00CA4225">
        <w:rPr>
          <w:b/>
          <w:sz w:val="32"/>
          <w:lang w:val="en-GB"/>
        </w:rPr>
        <w:t>TOPIC: INNOVATING NEW WORKING PRACTICES AND BREEDING AN ENVIRONMENT WHERE TALENT MAY GROW</w:t>
      </w:r>
    </w:p>
    <w:p w14:paraId="119E16A8" w14:textId="77777777" w:rsidR="003F36A5" w:rsidRPr="00CA4225" w:rsidRDefault="00CA4225" w:rsidP="00CA4225">
      <w:pPr>
        <w:jc w:val="center"/>
        <w:rPr>
          <w:b/>
          <w:sz w:val="32"/>
          <w:lang w:val="en-GB"/>
        </w:rPr>
      </w:pPr>
      <w:r w:rsidRPr="00CA4225">
        <w:rPr>
          <w:b/>
          <w:sz w:val="32"/>
          <w:lang w:val="en-GB"/>
        </w:rPr>
        <w:t>SCENARIO: NEXSPACE HEALTH SYSTEMS (NHSX)</w:t>
      </w:r>
    </w:p>
    <w:p w14:paraId="78D7DB22" w14:textId="77777777" w:rsidR="00CA4225" w:rsidRPr="00CA4225" w:rsidRDefault="00CA4225" w:rsidP="00CA4225">
      <w:pPr>
        <w:jc w:val="center"/>
        <w:rPr>
          <w:b/>
          <w:sz w:val="32"/>
          <w:lang w:val="en-GB"/>
        </w:rPr>
      </w:pPr>
    </w:p>
    <w:p w14:paraId="7E499777" w14:textId="1CDD6DFC" w:rsidR="008117D8" w:rsidRPr="008117D8" w:rsidRDefault="00016A0D" w:rsidP="008117D8">
      <w:pPr>
        <w:spacing w:after="0"/>
        <w:jc w:val="center"/>
        <w:rPr>
          <w:b/>
          <w:sz w:val="32"/>
          <w:lang w:val="en-GB"/>
        </w:rPr>
      </w:pPr>
      <w:r w:rsidRPr="008117D8">
        <w:rPr>
          <w:b/>
          <w:sz w:val="32"/>
          <w:lang w:val="en-GB"/>
        </w:rPr>
        <w:t>Name: -</w:t>
      </w:r>
      <w:r w:rsidR="008117D8" w:rsidRPr="008117D8">
        <w:rPr>
          <w:b/>
          <w:sz w:val="32"/>
          <w:lang w:val="en-GB"/>
        </w:rPr>
        <w:t xml:space="preserve"> Sujal Joshi</w:t>
      </w:r>
    </w:p>
    <w:p w14:paraId="6844B1B4" w14:textId="75BC2C9F" w:rsidR="008117D8" w:rsidRPr="008117D8" w:rsidRDefault="00016A0D" w:rsidP="008117D8">
      <w:pPr>
        <w:spacing w:after="0"/>
        <w:jc w:val="center"/>
        <w:rPr>
          <w:b/>
          <w:sz w:val="32"/>
          <w:lang w:val="en-GB"/>
        </w:rPr>
      </w:pPr>
      <w:r w:rsidRPr="008117D8">
        <w:rPr>
          <w:b/>
          <w:sz w:val="32"/>
          <w:lang w:val="en-GB"/>
        </w:rPr>
        <w:t>Course: -</w:t>
      </w:r>
      <w:r w:rsidR="008117D8" w:rsidRPr="008117D8">
        <w:rPr>
          <w:b/>
          <w:sz w:val="32"/>
          <w:lang w:val="en-GB"/>
        </w:rPr>
        <w:t xml:space="preserve"> MBA INTERNATIONAL Bunnies Management</w:t>
      </w:r>
    </w:p>
    <w:p w14:paraId="2E6241CD" w14:textId="33125D96" w:rsidR="008117D8" w:rsidRPr="008117D8" w:rsidRDefault="008117D8" w:rsidP="008117D8">
      <w:pPr>
        <w:spacing w:after="0"/>
        <w:jc w:val="center"/>
        <w:rPr>
          <w:b/>
          <w:sz w:val="32"/>
          <w:lang w:val="en-GB"/>
        </w:rPr>
      </w:pPr>
      <w:r w:rsidRPr="008117D8">
        <w:rPr>
          <w:b/>
          <w:sz w:val="32"/>
          <w:lang w:val="en-GB"/>
        </w:rPr>
        <w:t xml:space="preserve">ROLL </w:t>
      </w:r>
      <w:r w:rsidR="00016A0D" w:rsidRPr="008117D8">
        <w:rPr>
          <w:b/>
          <w:sz w:val="32"/>
          <w:lang w:val="en-GB"/>
        </w:rPr>
        <w:t>NO: -</w:t>
      </w:r>
      <w:r w:rsidRPr="008117D8">
        <w:rPr>
          <w:b/>
          <w:sz w:val="32"/>
          <w:lang w:val="en-GB"/>
        </w:rPr>
        <w:t xml:space="preserve"> 2616040</w:t>
      </w:r>
    </w:p>
    <w:p w14:paraId="0A830F2C" w14:textId="3C2B4936" w:rsidR="008117D8" w:rsidRPr="008117D8" w:rsidRDefault="008117D8" w:rsidP="008117D8">
      <w:pPr>
        <w:spacing w:after="0"/>
        <w:jc w:val="center"/>
        <w:rPr>
          <w:b/>
          <w:sz w:val="32"/>
          <w:lang w:val="en-GB"/>
        </w:rPr>
      </w:pPr>
      <w:r w:rsidRPr="008117D8">
        <w:rPr>
          <w:b/>
          <w:sz w:val="32"/>
          <w:lang w:val="en-GB"/>
        </w:rPr>
        <w:t xml:space="preserve">Submission </w:t>
      </w:r>
      <w:r w:rsidR="00016A0D" w:rsidRPr="008117D8">
        <w:rPr>
          <w:b/>
          <w:sz w:val="32"/>
          <w:lang w:val="en-GB"/>
        </w:rPr>
        <w:t>date: -</w:t>
      </w:r>
      <w:r w:rsidRPr="008117D8">
        <w:rPr>
          <w:b/>
          <w:sz w:val="32"/>
          <w:lang w:val="en-GB"/>
        </w:rPr>
        <w:t xml:space="preserve"> 15/10/2026</w:t>
      </w:r>
    </w:p>
    <w:p w14:paraId="3FC10357" w14:textId="77777777" w:rsidR="00827605" w:rsidRDefault="00016A0D" w:rsidP="008117D8">
      <w:pPr>
        <w:spacing w:after="0"/>
        <w:jc w:val="center"/>
        <w:rPr>
          <w:b/>
          <w:sz w:val="32"/>
          <w:lang w:val="en-GB"/>
        </w:rPr>
      </w:pPr>
      <w:r w:rsidRPr="008117D8">
        <w:rPr>
          <w:b/>
          <w:sz w:val="32"/>
          <w:lang w:val="en-GB"/>
        </w:rPr>
        <w:t>Subject: -</w:t>
      </w:r>
      <w:r w:rsidR="008117D8" w:rsidRPr="008117D8">
        <w:rPr>
          <w:b/>
          <w:sz w:val="32"/>
          <w:lang w:val="en-GB"/>
        </w:rPr>
        <w:t xml:space="preserve"> human capital management</w:t>
      </w:r>
    </w:p>
    <w:p w14:paraId="0AF46971" w14:textId="32BFBC3A" w:rsidR="00CD127D" w:rsidRDefault="008466BA" w:rsidP="008117D8">
      <w:pPr>
        <w:spacing w:after="0"/>
        <w:jc w:val="center"/>
        <w:rPr>
          <w:lang w:val="en-GB"/>
        </w:rPr>
      </w:pPr>
      <w:proofErr w:type="gramStart"/>
      <w:r>
        <w:rPr>
          <w:b/>
          <w:sz w:val="32"/>
          <w:lang w:val="en-GB"/>
        </w:rPr>
        <w:t>Lecturer:</w:t>
      </w:r>
      <w:r w:rsidR="00827605">
        <w:rPr>
          <w:b/>
          <w:sz w:val="32"/>
          <w:lang w:val="en-GB"/>
        </w:rPr>
        <w:t>-</w:t>
      </w:r>
      <w:proofErr w:type="gramEnd"/>
      <w:r w:rsidR="00827605">
        <w:rPr>
          <w:b/>
          <w:sz w:val="32"/>
          <w:lang w:val="en-GB"/>
        </w:rPr>
        <w:t xml:space="preserve"> Dr Eno Maycock</w:t>
      </w:r>
      <w:r w:rsidR="00CD127D">
        <w:rPr>
          <w:lang w:val="en-GB"/>
        </w:rPr>
        <w:br w:type="page"/>
      </w:r>
    </w:p>
    <w:sdt>
      <w:sdtPr>
        <w:rPr>
          <w:rFonts w:ascii="Times New Roman" w:eastAsia="Times New Roman" w:hAnsi="Times New Roman" w:cs="Times New Roman"/>
          <w:color w:val="auto"/>
          <w:sz w:val="24"/>
          <w:szCs w:val="24"/>
          <w:lang w:val="en" w:eastAsia="en-IN"/>
        </w:rPr>
        <w:id w:val="446356957"/>
        <w:docPartObj>
          <w:docPartGallery w:val="Table of Contents"/>
          <w:docPartUnique/>
        </w:docPartObj>
      </w:sdtPr>
      <w:sdtEndPr>
        <w:rPr>
          <w:b/>
          <w:bCs/>
          <w:noProof/>
        </w:rPr>
      </w:sdtEndPr>
      <w:sdtContent>
        <w:p w14:paraId="5D7DBF6F" w14:textId="77777777" w:rsidR="00CD127D" w:rsidRPr="00CD127D" w:rsidRDefault="00CD127D" w:rsidP="008117D8">
          <w:pPr>
            <w:pStyle w:val="TOCHeading"/>
            <w:jc w:val="center"/>
            <w:rPr>
              <w:rFonts w:ascii="Times New Roman" w:hAnsi="Times New Roman" w:cs="Times New Roman"/>
              <w:b/>
              <w:color w:val="auto"/>
              <w:sz w:val="28"/>
            </w:rPr>
          </w:pPr>
          <w:r w:rsidRPr="00CD127D">
            <w:rPr>
              <w:rFonts w:ascii="Times New Roman" w:hAnsi="Times New Roman" w:cs="Times New Roman"/>
              <w:b/>
              <w:color w:val="auto"/>
              <w:sz w:val="28"/>
            </w:rPr>
            <w:t>Table of Contents</w:t>
          </w:r>
        </w:p>
        <w:p w14:paraId="27E2C789" w14:textId="77777777" w:rsidR="006B0E43" w:rsidRDefault="00CD127D">
          <w:pPr>
            <w:pStyle w:val="TOC1"/>
            <w:tabs>
              <w:tab w:val="right" w:leader="dot" w:pos="9016"/>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242605626" w:history="1">
            <w:r w:rsidR="006B0E43" w:rsidRPr="00FA7FC2">
              <w:rPr>
                <w:rStyle w:val="Hyperlink"/>
                <w:noProof/>
              </w:rPr>
              <w:t>Introduction</w:t>
            </w:r>
            <w:r w:rsidR="006B0E43">
              <w:rPr>
                <w:noProof/>
                <w:webHidden/>
              </w:rPr>
              <w:tab/>
            </w:r>
            <w:r w:rsidR="006B0E43">
              <w:rPr>
                <w:noProof/>
                <w:webHidden/>
              </w:rPr>
              <w:fldChar w:fldCharType="begin"/>
            </w:r>
            <w:r w:rsidR="006B0E43">
              <w:rPr>
                <w:noProof/>
                <w:webHidden/>
              </w:rPr>
              <w:instrText xml:space="preserve"> PAGEREF _Toc242605626 \h </w:instrText>
            </w:r>
            <w:r w:rsidR="006B0E43">
              <w:rPr>
                <w:noProof/>
                <w:webHidden/>
              </w:rPr>
            </w:r>
            <w:r w:rsidR="006B0E43">
              <w:rPr>
                <w:noProof/>
                <w:webHidden/>
              </w:rPr>
              <w:fldChar w:fldCharType="separate"/>
            </w:r>
            <w:r w:rsidR="006B0E43">
              <w:rPr>
                <w:noProof/>
                <w:webHidden/>
              </w:rPr>
              <w:t>3</w:t>
            </w:r>
            <w:r w:rsidR="006B0E43">
              <w:rPr>
                <w:noProof/>
                <w:webHidden/>
              </w:rPr>
              <w:fldChar w:fldCharType="end"/>
            </w:r>
          </w:hyperlink>
        </w:p>
        <w:p w14:paraId="420D959B" w14:textId="77777777" w:rsidR="006B0E43" w:rsidRDefault="006B0E43">
          <w:pPr>
            <w:pStyle w:val="TOC1"/>
            <w:tabs>
              <w:tab w:val="right" w:leader="dot" w:pos="9016"/>
            </w:tabs>
            <w:rPr>
              <w:rFonts w:asciiTheme="minorHAnsi" w:eastAsiaTheme="minorEastAsia" w:hAnsiTheme="minorHAnsi" w:cstheme="minorBidi"/>
              <w:noProof/>
              <w:sz w:val="22"/>
              <w:szCs w:val="22"/>
              <w:lang w:val="en-IN"/>
            </w:rPr>
          </w:pPr>
          <w:hyperlink w:anchor="_Toc242605627" w:history="1">
            <w:r w:rsidRPr="00FA7FC2">
              <w:rPr>
                <w:rStyle w:val="Hyperlink"/>
                <w:noProof/>
                <w:lang w:val="en-GB"/>
              </w:rPr>
              <w:t>Task A: Designing Innovative Working Practices</w:t>
            </w:r>
            <w:r>
              <w:rPr>
                <w:noProof/>
                <w:webHidden/>
              </w:rPr>
              <w:tab/>
            </w:r>
            <w:r>
              <w:rPr>
                <w:noProof/>
                <w:webHidden/>
              </w:rPr>
              <w:fldChar w:fldCharType="begin"/>
            </w:r>
            <w:r>
              <w:rPr>
                <w:noProof/>
                <w:webHidden/>
              </w:rPr>
              <w:instrText xml:space="preserve"> PAGEREF _Toc242605627 \h </w:instrText>
            </w:r>
            <w:r>
              <w:rPr>
                <w:noProof/>
                <w:webHidden/>
              </w:rPr>
            </w:r>
            <w:r>
              <w:rPr>
                <w:noProof/>
                <w:webHidden/>
              </w:rPr>
              <w:fldChar w:fldCharType="separate"/>
            </w:r>
            <w:r>
              <w:rPr>
                <w:noProof/>
                <w:webHidden/>
              </w:rPr>
              <w:t>3</w:t>
            </w:r>
            <w:r>
              <w:rPr>
                <w:noProof/>
                <w:webHidden/>
              </w:rPr>
              <w:fldChar w:fldCharType="end"/>
            </w:r>
          </w:hyperlink>
        </w:p>
        <w:p w14:paraId="1E31360D" w14:textId="77777777" w:rsidR="006B0E43" w:rsidRDefault="006B0E43">
          <w:pPr>
            <w:pStyle w:val="TOC2"/>
            <w:tabs>
              <w:tab w:val="right" w:leader="dot" w:pos="9016"/>
            </w:tabs>
            <w:rPr>
              <w:rFonts w:asciiTheme="minorHAnsi" w:eastAsiaTheme="minorEastAsia" w:hAnsiTheme="minorHAnsi" w:cstheme="minorBidi"/>
              <w:noProof/>
              <w:sz w:val="22"/>
              <w:szCs w:val="22"/>
              <w:lang w:val="en-IN"/>
            </w:rPr>
          </w:pPr>
          <w:hyperlink w:anchor="_Toc242605628" w:history="1">
            <w:r w:rsidRPr="00FA7FC2">
              <w:rPr>
                <w:rStyle w:val="Hyperlink"/>
                <w:noProof/>
                <w:lang w:val="en-GB"/>
              </w:rPr>
              <w:t>1.1 Critical Evaluation: Traditional versus Contemporary Work Design</w:t>
            </w:r>
            <w:r>
              <w:rPr>
                <w:noProof/>
                <w:webHidden/>
              </w:rPr>
              <w:tab/>
            </w:r>
            <w:r>
              <w:rPr>
                <w:noProof/>
                <w:webHidden/>
              </w:rPr>
              <w:fldChar w:fldCharType="begin"/>
            </w:r>
            <w:r>
              <w:rPr>
                <w:noProof/>
                <w:webHidden/>
              </w:rPr>
              <w:instrText xml:space="preserve"> PAGEREF _Toc242605628 \h </w:instrText>
            </w:r>
            <w:r>
              <w:rPr>
                <w:noProof/>
                <w:webHidden/>
              </w:rPr>
            </w:r>
            <w:r>
              <w:rPr>
                <w:noProof/>
                <w:webHidden/>
              </w:rPr>
              <w:fldChar w:fldCharType="separate"/>
            </w:r>
            <w:r>
              <w:rPr>
                <w:noProof/>
                <w:webHidden/>
              </w:rPr>
              <w:t>3</w:t>
            </w:r>
            <w:r>
              <w:rPr>
                <w:noProof/>
                <w:webHidden/>
              </w:rPr>
              <w:fldChar w:fldCharType="end"/>
            </w:r>
          </w:hyperlink>
        </w:p>
        <w:p w14:paraId="60F342EC" w14:textId="77777777" w:rsidR="006B0E43" w:rsidRDefault="006B0E43">
          <w:pPr>
            <w:pStyle w:val="TOC2"/>
            <w:tabs>
              <w:tab w:val="right" w:leader="dot" w:pos="9016"/>
            </w:tabs>
            <w:rPr>
              <w:rFonts w:asciiTheme="minorHAnsi" w:eastAsiaTheme="minorEastAsia" w:hAnsiTheme="minorHAnsi" w:cstheme="minorBidi"/>
              <w:noProof/>
              <w:sz w:val="22"/>
              <w:szCs w:val="22"/>
              <w:lang w:val="en-IN"/>
            </w:rPr>
          </w:pPr>
          <w:hyperlink w:anchor="_Toc242605629" w:history="1">
            <w:r w:rsidRPr="00FA7FC2">
              <w:rPr>
                <w:rStyle w:val="Hyperlink"/>
                <w:noProof/>
                <w:lang w:val="en-GB"/>
              </w:rPr>
              <w:t>1.2 Recommended Working Practices for NHSX</w:t>
            </w:r>
            <w:r>
              <w:rPr>
                <w:noProof/>
                <w:webHidden/>
              </w:rPr>
              <w:tab/>
            </w:r>
            <w:r>
              <w:rPr>
                <w:noProof/>
                <w:webHidden/>
              </w:rPr>
              <w:fldChar w:fldCharType="begin"/>
            </w:r>
            <w:r>
              <w:rPr>
                <w:noProof/>
                <w:webHidden/>
              </w:rPr>
              <w:instrText xml:space="preserve"> PAGEREF _Toc242605629 \h </w:instrText>
            </w:r>
            <w:r>
              <w:rPr>
                <w:noProof/>
                <w:webHidden/>
              </w:rPr>
            </w:r>
            <w:r>
              <w:rPr>
                <w:noProof/>
                <w:webHidden/>
              </w:rPr>
              <w:fldChar w:fldCharType="separate"/>
            </w:r>
            <w:r>
              <w:rPr>
                <w:noProof/>
                <w:webHidden/>
              </w:rPr>
              <w:t>4</w:t>
            </w:r>
            <w:r>
              <w:rPr>
                <w:noProof/>
                <w:webHidden/>
              </w:rPr>
              <w:fldChar w:fldCharType="end"/>
            </w:r>
          </w:hyperlink>
        </w:p>
        <w:p w14:paraId="6F5B4C65" w14:textId="77777777" w:rsidR="006B0E43" w:rsidRDefault="006B0E43">
          <w:pPr>
            <w:pStyle w:val="TOC1"/>
            <w:tabs>
              <w:tab w:val="right" w:leader="dot" w:pos="9016"/>
            </w:tabs>
            <w:rPr>
              <w:rFonts w:asciiTheme="minorHAnsi" w:eastAsiaTheme="minorEastAsia" w:hAnsiTheme="minorHAnsi" w:cstheme="minorBidi"/>
              <w:noProof/>
              <w:sz w:val="22"/>
              <w:szCs w:val="22"/>
              <w:lang w:val="en-IN"/>
            </w:rPr>
          </w:pPr>
          <w:hyperlink w:anchor="_Toc242605630" w:history="1">
            <w:r w:rsidRPr="00FA7FC2">
              <w:rPr>
                <w:rStyle w:val="Hyperlink"/>
                <w:noProof/>
                <w:lang w:val="en-GB"/>
              </w:rPr>
              <w:t>Task B: Breeding an Environment Where Talent May Grow</w:t>
            </w:r>
            <w:r>
              <w:rPr>
                <w:noProof/>
                <w:webHidden/>
              </w:rPr>
              <w:tab/>
            </w:r>
            <w:r>
              <w:rPr>
                <w:noProof/>
                <w:webHidden/>
              </w:rPr>
              <w:fldChar w:fldCharType="begin"/>
            </w:r>
            <w:r>
              <w:rPr>
                <w:noProof/>
                <w:webHidden/>
              </w:rPr>
              <w:instrText xml:space="preserve"> PAGEREF _Toc242605630 \h </w:instrText>
            </w:r>
            <w:r>
              <w:rPr>
                <w:noProof/>
                <w:webHidden/>
              </w:rPr>
            </w:r>
            <w:r>
              <w:rPr>
                <w:noProof/>
                <w:webHidden/>
              </w:rPr>
              <w:fldChar w:fldCharType="separate"/>
            </w:r>
            <w:r>
              <w:rPr>
                <w:noProof/>
                <w:webHidden/>
              </w:rPr>
              <w:t>8</w:t>
            </w:r>
            <w:r>
              <w:rPr>
                <w:noProof/>
                <w:webHidden/>
              </w:rPr>
              <w:fldChar w:fldCharType="end"/>
            </w:r>
          </w:hyperlink>
        </w:p>
        <w:p w14:paraId="1C8EB7C7" w14:textId="77777777" w:rsidR="006B0E43" w:rsidRDefault="006B0E43">
          <w:pPr>
            <w:pStyle w:val="TOC2"/>
            <w:tabs>
              <w:tab w:val="right" w:leader="dot" w:pos="9016"/>
            </w:tabs>
            <w:rPr>
              <w:rFonts w:asciiTheme="minorHAnsi" w:eastAsiaTheme="minorEastAsia" w:hAnsiTheme="minorHAnsi" w:cstheme="minorBidi"/>
              <w:noProof/>
              <w:sz w:val="22"/>
              <w:szCs w:val="22"/>
              <w:lang w:val="en-IN"/>
            </w:rPr>
          </w:pPr>
          <w:hyperlink w:anchor="_Toc242605631" w:history="1">
            <w:r w:rsidRPr="00FA7FC2">
              <w:rPr>
                <w:rStyle w:val="Hyperlink"/>
                <w:noProof/>
                <w:lang w:val="en-GB"/>
              </w:rPr>
              <w:t xml:space="preserve">2.1 Critical Evaluation: Creating Environments </w:t>
            </w:r>
            <w:r w:rsidRPr="00FA7FC2">
              <w:rPr>
                <w:rStyle w:val="Hyperlink"/>
                <w:noProof/>
              </w:rPr>
              <w:t>Where Talent Flourishes</w:t>
            </w:r>
            <w:r>
              <w:rPr>
                <w:noProof/>
                <w:webHidden/>
              </w:rPr>
              <w:tab/>
            </w:r>
            <w:r>
              <w:rPr>
                <w:noProof/>
                <w:webHidden/>
              </w:rPr>
              <w:fldChar w:fldCharType="begin"/>
            </w:r>
            <w:r>
              <w:rPr>
                <w:noProof/>
                <w:webHidden/>
              </w:rPr>
              <w:instrText xml:space="preserve"> PAGEREF _Toc242605631 \h </w:instrText>
            </w:r>
            <w:r>
              <w:rPr>
                <w:noProof/>
                <w:webHidden/>
              </w:rPr>
            </w:r>
            <w:r>
              <w:rPr>
                <w:noProof/>
                <w:webHidden/>
              </w:rPr>
              <w:fldChar w:fldCharType="separate"/>
            </w:r>
            <w:r>
              <w:rPr>
                <w:noProof/>
                <w:webHidden/>
              </w:rPr>
              <w:t>8</w:t>
            </w:r>
            <w:r>
              <w:rPr>
                <w:noProof/>
                <w:webHidden/>
              </w:rPr>
              <w:fldChar w:fldCharType="end"/>
            </w:r>
          </w:hyperlink>
        </w:p>
        <w:p w14:paraId="2A2D1527" w14:textId="77777777" w:rsidR="006B0E43" w:rsidRDefault="006B0E43">
          <w:pPr>
            <w:pStyle w:val="TOC2"/>
            <w:tabs>
              <w:tab w:val="right" w:leader="dot" w:pos="9016"/>
            </w:tabs>
            <w:rPr>
              <w:rFonts w:asciiTheme="minorHAnsi" w:eastAsiaTheme="minorEastAsia" w:hAnsiTheme="minorHAnsi" w:cstheme="minorBidi"/>
              <w:noProof/>
              <w:sz w:val="22"/>
              <w:szCs w:val="22"/>
              <w:lang w:val="en-IN"/>
            </w:rPr>
          </w:pPr>
          <w:hyperlink w:anchor="_Toc242605632" w:history="1">
            <w:r w:rsidRPr="00FA7FC2">
              <w:rPr>
                <w:rStyle w:val="Hyperlink"/>
                <w:noProof/>
                <w:lang w:val="en-GB"/>
              </w:rPr>
              <w:t>2.2 Talent Growth Strategy for NHSX</w:t>
            </w:r>
            <w:r>
              <w:rPr>
                <w:noProof/>
                <w:webHidden/>
              </w:rPr>
              <w:tab/>
            </w:r>
            <w:r>
              <w:rPr>
                <w:noProof/>
                <w:webHidden/>
              </w:rPr>
              <w:fldChar w:fldCharType="begin"/>
            </w:r>
            <w:r>
              <w:rPr>
                <w:noProof/>
                <w:webHidden/>
              </w:rPr>
              <w:instrText xml:space="preserve"> PAGEREF _Toc242605632 \h </w:instrText>
            </w:r>
            <w:r>
              <w:rPr>
                <w:noProof/>
                <w:webHidden/>
              </w:rPr>
            </w:r>
            <w:r>
              <w:rPr>
                <w:noProof/>
                <w:webHidden/>
              </w:rPr>
              <w:fldChar w:fldCharType="separate"/>
            </w:r>
            <w:r>
              <w:rPr>
                <w:noProof/>
                <w:webHidden/>
              </w:rPr>
              <w:t>9</w:t>
            </w:r>
            <w:r>
              <w:rPr>
                <w:noProof/>
                <w:webHidden/>
              </w:rPr>
              <w:fldChar w:fldCharType="end"/>
            </w:r>
          </w:hyperlink>
        </w:p>
        <w:p w14:paraId="1E913410" w14:textId="77777777" w:rsidR="006B0E43" w:rsidRDefault="006B0E43">
          <w:pPr>
            <w:pStyle w:val="TOC1"/>
            <w:tabs>
              <w:tab w:val="right" w:leader="dot" w:pos="9016"/>
            </w:tabs>
            <w:rPr>
              <w:rFonts w:asciiTheme="minorHAnsi" w:eastAsiaTheme="minorEastAsia" w:hAnsiTheme="minorHAnsi" w:cstheme="minorBidi"/>
              <w:noProof/>
              <w:sz w:val="22"/>
              <w:szCs w:val="22"/>
              <w:lang w:val="en-IN"/>
            </w:rPr>
          </w:pPr>
          <w:hyperlink w:anchor="_Toc242605633" w:history="1">
            <w:r w:rsidRPr="00FA7FC2">
              <w:rPr>
                <w:rStyle w:val="Hyperlink"/>
                <w:noProof/>
                <w:lang w:val="en-GB"/>
              </w:rPr>
              <w:t>Task C – Reflective Report</w:t>
            </w:r>
            <w:r>
              <w:rPr>
                <w:noProof/>
                <w:webHidden/>
              </w:rPr>
              <w:tab/>
            </w:r>
            <w:r>
              <w:rPr>
                <w:noProof/>
                <w:webHidden/>
              </w:rPr>
              <w:fldChar w:fldCharType="begin"/>
            </w:r>
            <w:r>
              <w:rPr>
                <w:noProof/>
                <w:webHidden/>
              </w:rPr>
              <w:instrText xml:space="preserve"> PAGEREF _Toc242605633 \h </w:instrText>
            </w:r>
            <w:r>
              <w:rPr>
                <w:noProof/>
                <w:webHidden/>
              </w:rPr>
            </w:r>
            <w:r>
              <w:rPr>
                <w:noProof/>
                <w:webHidden/>
              </w:rPr>
              <w:fldChar w:fldCharType="separate"/>
            </w:r>
            <w:r>
              <w:rPr>
                <w:noProof/>
                <w:webHidden/>
              </w:rPr>
              <w:t>12</w:t>
            </w:r>
            <w:r>
              <w:rPr>
                <w:noProof/>
                <w:webHidden/>
              </w:rPr>
              <w:fldChar w:fldCharType="end"/>
            </w:r>
          </w:hyperlink>
        </w:p>
        <w:p w14:paraId="43871ACF" w14:textId="77777777" w:rsidR="006B0E43" w:rsidRDefault="006B0E43">
          <w:pPr>
            <w:pStyle w:val="TOC2"/>
            <w:tabs>
              <w:tab w:val="right" w:leader="dot" w:pos="9016"/>
            </w:tabs>
            <w:rPr>
              <w:rFonts w:asciiTheme="minorHAnsi" w:eastAsiaTheme="minorEastAsia" w:hAnsiTheme="minorHAnsi" w:cstheme="minorBidi"/>
              <w:noProof/>
              <w:sz w:val="22"/>
              <w:szCs w:val="22"/>
              <w:lang w:val="en-IN"/>
            </w:rPr>
          </w:pPr>
          <w:hyperlink w:anchor="_Toc242605634" w:history="1">
            <w:r w:rsidRPr="00FA7FC2">
              <w:rPr>
                <w:rStyle w:val="Hyperlink"/>
                <w:noProof/>
                <w:lang w:val="en-GB"/>
              </w:rPr>
              <w:t>3.1 AI as Strategic Decision-Support Tool HRM</w:t>
            </w:r>
            <w:r>
              <w:rPr>
                <w:noProof/>
                <w:webHidden/>
              </w:rPr>
              <w:tab/>
            </w:r>
            <w:r>
              <w:rPr>
                <w:noProof/>
                <w:webHidden/>
              </w:rPr>
              <w:fldChar w:fldCharType="begin"/>
            </w:r>
            <w:r>
              <w:rPr>
                <w:noProof/>
                <w:webHidden/>
              </w:rPr>
              <w:instrText xml:space="preserve"> PAGEREF _Toc242605634 \h </w:instrText>
            </w:r>
            <w:r>
              <w:rPr>
                <w:noProof/>
                <w:webHidden/>
              </w:rPr>
            </w:r>
            <w:r>
              <w:rPr>
                <w:noProof/>
                <w:webHidden/>
              </w:rPr>
              <w:fldChar w:fldCharType="separate"/>
            </w:r>
            <w:r>
              <w:rPr>
                <w:noProof/>
                <w:webHidden/>
              </w:rPr>
              <w:t>12</w:t>
            </w:r>
            <w:r>
              <w:rPr>
                <w:noProof/>
                <w:webHidden/>
              </w:rPr>
              <w:fldChar w:fldCharType="end"/>
            </w:r>
          </w:hyperlink>
        </w:p>
        <w:p w14:paraId="311C5E9A" w14:textId="77777777" w:rsidR="006B0E43" w:rsidRDefault="006B0E43">
          <w:pPr>
            <w:pStyle w:val="TOC2"/>
            <w:tabs>
              <w:tab w:val="right" w:leader="dot" w:pos="9016"/>
            </w:tabs>
            <w:rPr>
              <w:rFonts w:asciiTheme="minorHAnsi" w:eastAsiaTheme="minorEastAsia" w:hAnsiTheme="minorHAnsi" w:cstheme="minorBidi"/>
              <w:noProof/>
              <w:sz w:val="22"/>
              <w:szCs w:val="22"/>
              <w:lang w:val="en-IN"/>
            </w:rPr>
          </w:pPr>
          <w:hyperlink w:anchor="_Toc242605635" w:history="1">
            <w:r w:rsidRPr="00FA7FC2">
              <w:rPr>
                <w:rStyle w:val="Hyperlink"/>
                <w:noProof/>
              </w:rPr>
              <w:t>3.2 Reflective Analysis: Three Specific Instances of AI Use</w:t>
            </w:r>
            <w:r>
              <w:rPr>
                <w:noProof/>
                <w:webHidden/>
              </w:rPr>
              <w:tab/>
            </w:r>
            <w:r>
              <w:rPr>
                <w:noProof/>
                <w:webHidden/>
              </w:rPr>
              <w:fldChar w:fldCharType="begin"/>
            </w:r>
            <w:r>
              <w:rPr>
                <w:noProof/>
                <w:webHidden/>
              </w:rPr>
              <w:instrText xml:space="preserve"> PAGEREF _Toc242605635 \h </w:instrText>
            </w:r>
            <w:r>
              <w:rPr>
                <w:noProof/>
                <w:webHidden/>
              </w:rPr>
            </w:r>
            <w:r>
              <w:rPr>
                <w:noProof/>
                <w:webHidden/>
              </w:rPr>
              <w:fldChar w:fldCharType="separate"/>
            </w:r>
            <w:r>
              <w:rPr>
                <w:noProof/>
                <w:webHidden/>
              </w:rPr>
              <w:t>12</w:t>
            </w:r>
            <w:r>
              <w:rPr>
                <w:noProof/>
                <w:webHidden/>
              </w:rPr>
              <w:fldChar w:fldCharType="end"/>
            </w:r>
          </w:hyperlink>
        </w:p>
        <w:p w14:paraId="286606E6" w14:textId="77777777" w:rsidR="006B0E43" w:rsidRDefault="006B0E43">
          <w:pPr>
            <w:pStyle w:val="TOC2"/>
            <w:tabs>
              <w:tab w:val="right" w:leader="dot" w:pos="9016"/>
            </w:tabs>
            <w:rPr>
              <w:rFonts w:asciiTheme="minorHAnsi" w:eastAsiaTheme="minorEastAsia" w:hAnsiTheme="minorHAnsi" w:cstheme="minorBidi"/>
              <w:noProof/>
              <w:sz w:val="22"/>
              <w:szCs w:val="22"/>
              <w:lang w:val="en-IN"/>
            </w:rPr>
          </w:pPr>
          <w:hyperlink w:anchor="_Toc242605636" w:history="1">
            <w:r w:rsidRPr="00FA7FC2">
              <w:rPr>
                <w:rStyle w:val="Hyperlink"/>
                <w:noProof/>
              </w:rPr>
              <w:t>3.3 Personal Capability Development Plan</w:t>
            </w:r>
            <w:r>
              <w:rPr>
                <w:noProof/>
                <w:webHidden/>
              </w:rPr>
              <w:tab/>
            </w:r>
            <w:r>
              <w:rPr>
                <w:noProof/>
                <w:webHidden/>
              </w:rPr>
              <w:fldChar w:fldCharType="begin"/>
            </w:r>
            <w:r>
              <w:rPr>
                <w:noProof/>
                <w:webHidden/>
              </w:rPr>
              <w:instrText xml:space="preserve"> PAGEREF _Toc242605636 \h </w:instrText>
            </w:r>
            <w:r>
              <w:rPr>
                <w:noProof/>
                <w:webHidden/>
              </w:rPr>
            </w:r>
            <w:r>
              <w:rPr>
                <w:noProof/>
                <w:webHidden/>
              </w:rPr>
              <w:fldChar w:fldCharType="separate"/>
            </w:r>
            <w:r>
              <w:rPr>
                <w:noProof/>
                <w:webHidden/>
              </w:rPr>
              <w:t>13</w:t>
            </w:r>
            <w:r>
              <w:rPr>
                <w:noProof/>
                <w:webHidden/>
              </w:rPr>
              <w:fldChar w:fldCharType="end"/>
            </w:r>
          </w:hyperlink>
        </w:p>
        <w:p w14:paraId="6D236DEF" w14:textId="77777777" w:rsidR="006B0E43" w:rsidRDefault="006B0E43">
          <w:pPr>
            <w:pStyle w:val="TOC1"/>
            <w:tabs>
              <w:tab w:val="right" w:leader="dot" w:pos="9016"/>
            </w:tabs>
            <w:rPr>
              <w:rFonts w:asciiTheme="minorHAnsi" w:eastAsiaTheme="minorEastAsia" w:hAnsiTheme="minorHAnsi" w:cstheme="minorBidi"/>
              <w:noProof/>
              <w:sz w:val="22"/>
              <w:szCs w:val="22"/>
              <w:lang w:val="en-IN"/>
            </w:rPr>
          </w:pPr>
          <w:hyperlink w:anchor="_Toc242605637" w:history="1">
            <w:r w:rsidRPr="00FA7FC2">
              <w:rPr>
                <w:rStyle w:val="Hyperlink"/>
                <w:noProof/>
                <w:lang w:val="en-GB"/>
              </w:rPr>
              <w:t>Conclusion</w:t>
            </w:r>
            <w:r>
              <w:rPr>
                <w:noProof/>
                <w:webHidden/>
              </w:rPr>
              <w:tab/>
            </w:r>
            <w:r>
              <w:rPr>
                <w:noProof/>
                <w:webHidden/>
              </w:rPr>
              <w:fldChar w:fldCharType="begin"/>
            </w:r>
            <w:r>
              <w:rPr>
                <w:noProof/>
                <w:webHidden/>
              </w:rPr>
              <w:instrText xml:space="preserve"> PAGEREF _Toc242605637 \h </w:instrText>
            </w:r>
            <w:r>
              <w:rPr>
                <w:noProof/>
                <w:webHidden/>
              </w:rPr>
            </w:r>
            <w:r>
              <w:rPr>
                <w:noProof/>
                <w:webHidden/>
              </w:rPr>
              <w:fldChar w:fldCharType="separate"/>
            </w:r>
            <w:r>
              <w:rPr>
                <w:noProof/>
                <w:webHidden/>
              </w:rPr>
              <w:t>14</w:t>
            </w:r>
            <w:r>
              <w:rPr>
                <w:noProof/>
                <w:webHidden/>
              </w:rPr>
              <w:fldChar w:fldCharType="end"/>
            </w:r>
          </w:hyperlink>
        </w:p>
        <w:p w14:paraId="033D5580" w14:textId="77777777" w:rsidR="006B0E43" w:rsidRDefault="006B0E43">
          <w:pPr>
            <w:pStyle w:val="TOC1"/>
            <w:tabs>
              <w:tab w:val="right" w:leader="dot" w:pos="9016"/>
            </w:tabs>
            <w:rPr>
              <w:rFonts w:asciiTheme="minorHAnsi" w:eastAsiaTheme="minorEastAsia" w:hAnsiTheme="minorHAnsi" w:cstheme="minorBidi"/>
              <w:noProof/>
              <w:sz w:val="22"/>
              <w:szCs w:val="22"/>
              <w:lang w:val="en-IN"/>
            </w:rPr>
          </w:pPr>
          <w:hyperlink w:anchor="_Toc242605638" w:history="1">
            <w:r w:rsidRPr="00FA7FC2">
              <w:rPr>
                <w:rStyle w:val="Hyperlink"/>
                <w:noProof/>
                <w:lang w:val="en-GB"/>
              </w:rPr>
              <w:t>References</w:t>
            </w:r>
            <w:r>
              <w:rPr>
                <w:noProof/>
                <w:webHidden/>
              </w:rPr>
              <w:tab/>
            </w:r>
            <w:r>
              <w:rPr>
                <w:noProof/>
                <w:webHidden/>
              </w:rPr>
              <w:fldChar w:fldCharType="begin"/>
            </w:r>
            <w:r>
              <w:rPr>
                <w:noProof/>
                <w:webHidden/>
              </w:rPr>
              <w:instrText xml:space="preserve"> PAGEREF _Toc242605638 \h </w:instrText>
            </w:r>
            <w:r>
              <w:rPr>
                <w:noProof/>
                <w:webHidden/>
              </w:rPr>
            </w:r>
            <w:r>
              <w:rPr>
                <w:noProof/>
                <w:webHidden/>
              </w:rPr>
              <w:fldChar w:fldCharType="separate"/>
            </w:r>
            <w:r>
              <w:rPr>
                <w:noProof/>
                <w:webHidden/>
              </w:rPr>
              <w:t>15</w:t>
            </w:r>
            <w:r>
              <w:rPr>
                <w:noProof/>
                <w:webHidden/>
              </w:rPr>
              <w:fldChar w:fldCharType="end"/>
            </w:r>
          </w:hyperlink>
        </w:p>
        <w:p w14:paraId="0DB740CA" w14:textId="77777777" w:rsidR="00CD127D" w:rsidRDefault="00CD127D" w:rsidP="008117D8">
          <w:pPr>
            <w:jc w:val="center"/>
          </w:pPr>
          <w:r>
            <w:rPr>
              <w:b/>
              <w:bCs/>
              <w:noProof/>
            </w:rPr>
            <w:fldChar w:fldCharType="end"/>
          </w:r>
        </w:p>
      </w:sdtContent>
    </w:sdt>
    <w:p w14:paraId="4A3D3629" w14:textId="77777777" w:rsidR="003F36A5" w:rsidRPr="00CA4225" w:rsidRDefault="00FB1DF3">
      <w:pPr>
        <w:rPr>
          <w:lang w:val="en-GB"/>
        </w:rPr>
      </w:pPr>
      <w:r w:rsidRPr="00CA4225">
        <w:rPr>
          <w:lang w:val="en-GB"/>
        </w:rPr>
        <w:br w:type="page"/>
      </w:r>
    </w:p>
    <w:p w14:paraId="26AFCF66" w14:textId="41AEFE7C" w:rsidR="00F45F92" w:rsidRDefault="00F45F92">
      <w:pPr>
        <w:pStyle w:val="Heading1"/>
      </w:pPr>
      <w:bookmarkStart w:id="0" w:name="_wb5mvyou1qjk" w:colFirst="0" w:colLast="0"/>
      <w:bookmarkStart w:id="1" w:name="_Toc242605626"/>
      <w:bookmarkEnd w:id="0"/>
      <w:r>
        <w:lastRenderedPageBreak/>
        <w:t>Introduction</w:t>
      </w:r>
      <w:bookmarkEnd w:id="1"/>
    </w:p>
    <w:p w14:paraId="57FC5D65" w14:textId="5773F009" w:rsidR="00F45F92" w:rsidRPr="00F45F92" w:rsidRDefault="00F45F92" w:rsidP="00F45F92">
      <w:r>
        <w:t xml:space="preserve">NexSpace Health Systems (NHSX) is fast-growing healthcare technology organisation having 600 employees working throughout the UK, India, and the UAE. It builds on AI-based digital health platforms, remote patient monitoring tools and clinical decision-making support systems. The main issues identified by the board are traditional type of working structures which slows down decision-making </w:t>
      </w:r>
      <w:r w:rsidR="00BD6DE6">
        <w:t xml:space="preserve">and innovation. Apart from this, employees feeling congested in terms of space for creativity, hybrid working has made it harder for the global teams to collaborate and share knowledge. Also, high-performing workers seen to be leaving due to very limited opportunities for career growth, and learning. Lastly, managers find it difficult to provide support to employee’s wellbeing while meeting high-performance expectations. </w:t>
      </w:r>
    </w:p>
    <w:p w14:paraId="2953A640" w14:textId="77777777" w:rsidR="003F36A5" w:rsidRPr="00CA4225" w:rsidRDefault="00CD127D">
      <w:pPr>
        <w:pStyle w:val="Heading1"/>
        <w:rPr>
          <w:lang w:val="en-GB"/>
        </w:rPr>
      </w:pPr>
      <w:bookmarkStart w:id="2" w:name="_Toc242605627"/>
      <w:r w:rsidRPr="00CA4225">
        <w:rPr>
          <w:lang w:val="en-GB"/>
        </w:rPr>
        <w:t xml:space="preserve">Task </w:t>
      </w:r>
      <w:r w:rsidR="00FB1DF3" w:rsidRPr="00CA4225">
        <w:rPr>
          <w:lang w:val="en-GB"/>
        </w:rPr>
        <w:t>A: Designing Innovative Working Practices</w:t>
      </w:r>
      <w:bookmarkEnd w:id="2"/>
      <w:r w:rsidR="00FB1DF3" w:rsidRPr="00CA4225">
        <w:rPr>
          <w:lang w:val="en-GB"/>
        </w:rPr>
        <w:t xml:space="preserve"> </w:t>
      </w:r>
    </w:p>
    <w:p w14:paraId="091DB98C" w14:textId="77777777" w:rsidR="003F36A5" w:rsidRPr="00CA4225" w:rsidRDefault="00FB1DF3">
      <w:pPr>
        <w:pStyle w:val="Heading2"/>
        <w:rPr>
          <w:lang w:val="en-GB"/>
        </w:rPr>
      </w:pPr>
      <w:bookmarkStart w:id="3" w:name="_kt4clofq00i7" w:colFirst="0" w:colLast="0"/>
      <w:bookmarkStart w:id="4" w:name="_Toc242605628"/>
      <w:bookmarkEnd w:id="3"/>
      <w:r w:rsidRPr="00CA4225">
        <w:rPr>
          <w:lang w:val="en-GB"/>
        </w:rPr>
        <w:t>1.1 Critical Evaluation: Traditional versus Contemporary Work Design</w:t>
      </w:r>
      <w:bookmarkEnd w:id="4"/>
      <w:r w:rsidRPr="00CA4225">
        <w:rPr>
          <w:lang w:val="en-GB"/>
        </w:rPr>
        <w:t xml:space="preserve"> </w:t>
      </w:r>
    </w:p>
    <w:p w14:paraId="5463F099" w14:textId="15CC6C1A" w:rsidR="003F36A5" w:rsidRDefault="00FB1DF3">
      <w:pPr>
        <w:rPr>
          <w:lang w:val="en-GB"/>
        </w:rPr>
      </w:pPr>
      <w:r w:rsidRPr="0062524E">
        <w:rPr>
          <w:lang w:val="en-GB"/>
        </w:rPr>
        <w:t xml:space="preserve">Traditional hierarchical work systems </w:t>
      </w:r>
      <w:r w:rsidR="00860C5B" w:rsidRPr="0062524E">
        <w:rPr>
          <w:lang w:val="en-GB"/>
        </w:rPr>
        <w:t>be situated</w:t>
      </w:r>
      <w:r w:rsidRPr="0062524E">
        <w:rPr>
          <w:lang w:val="en-GB"/>
        </w:rPr>
        <w:t xml:space="preserve"> </w:t>
      </w:r>
      <w:r w:rsidR="0062524E" w:rsidRPr="0062524E">
        <w:rPr>
          <w:lang w:val="en-GB"/>
        </w:rPr>
        <w:t>as</w:t>
      </w:r>
      <w:r w:rsidRPr="0062524E">
        <w:rPr>
          <w:lang w:val="en-GB"/>
        </w:rPr>
        <w:t xml:space="preserve"> decision-making, </w:t>
      </w:r>
      <w:r w:rsidR="0062524E" w:rsidRPr="0062524E">
        <w:rPr>
          <w:lang w:val="en-GB"/>
        </w:rPr>
        <w:t>severe</w:t>
      </w:r>
      <w:r w:rsidRPr="0062524E">
        <w:rPr>
          <w:lang w:val="en-GB"/>
        </w:rPr>
        <w:t xml:space="preserve"> role </w:t>
      </w:r>
      <w:r w:rsidR="0062524E" w:rsidRPr="0062524E">
        <w:rPr>
          <w:lang w:val="en-GB"/>
        </w:rPr>
        <w:t>limitations</w:t>
      </w:r>
      <w:r w:rsidRPr="0062524E">
        <w:rPr>
          <w:lang w:val="en-GB"/>
        </w:rPr>
        <w:t xml:space="preserve">, </w:t>
      </w:r>
      <w:r w:rsidR="0062524E" w:rsidRPr="0062524E">
        <w:rPr>
          <w:lang w:val="en-GB"/>
        </w:rPr>
        <w:t>as well as</w:t>
      </w:r>
      <w:r w:rsidRPr="0062524E">
        <w:rPr>
          <w:lang w:val="en-GB"/>
        </w:rPr>
        <w:t xml:space="preserve"> linear communication, which are </w:t>
      </w:r>
      <w:r w:rsidR="0062524E" w:rsidRPr="0062524E">
        <w:rPr>
          <w:lang w:val="en-GB"/>
        </w:rPr>
        <w:t>progressively</w:t>
      </w:r>
      <w:r w:rsidRPr="0062524E">
        <w:rPr>
          <w:lang w:val="en-GB"/>
        </w:rPr>
        <w:t xml:space="preserve"> </w:t>
      </w:r>
      <w:r w:rsidR="0062524E" w:rsidRPr="0062524E">
        <w:rPr>
          <w:lang w:val="en-GB"/>
        </w:rPr>
        <w:t>documented</w:t>
      </w:r>
      <w:r w:rsidRPr="0062524E">
        <w:rPr>
          <w:lang w:val="en-GB"/>
        </w:rPr>
        <w:t xml:space="preserve"> as being </w:t>
      </w:r>
      <w:r w:rsidR="0062524E" w:rsidRPr="0062524E">
        <w:rPr>
          <w:lang w:val="en-GB"/>
        </w:rPr>
        <w:t>adversative</w:t>
      </w:r>
      <w:r w:rsidRPr="0062524E">
        <w:rPr>
          <w:lang w:val="en-GB"/>
        </w:rPr>
        <w:t xml:space="preserve"> to organisational </w:t>
      </w:r>
      <w:r w:rsidR="0062524E" w:rsidRPr="0062524E">
        <w:rPr>
          <w:lang w:val="en-GB"/>
        </w:rPr>
        <w:t>revolution</w:t>
      </w:r>
      <w:r w:rsidRPr="0062524E">
        <w:rPr>
          <w:lang w:val="en-GB"/>
        </w:rPr>
        <w:t xml:space="preserve">. </w:t>
      </w:r>
      <w:r w:rsidRPr="00CA4225">
        <w:rPr>
          <w:lang w:val="en-GB"/>
        </w:rPr>
        <w:t xml:space="preserve">In knowledge-intensive sectors such as healthcare technology, these systems involve structures with bureaucratic drag and systemic slowness rather than adaptive responses to environmental change (Naqshbandi, 2025). </w:t>
      </w:r>
    </w:p>
    <w:p w14:paraId="4B766107" w14:textId="3E2B45DE" w:rsidR="00856D42" w:rsidRPr="00856D42" w:rsidRDefault="00856D42">
      <w:pPr>
        <w:rPr>
          <w:b/>
        </w:rPr>
      </w:pPr>
      <w:r w:rsidRPr="00856D42">
        <w:rPr>
          <w:b/>
        </w:rPr>
        <w:t>Traditional vs. High-Performance Work Systems (HPWS)</w:t>
      </w:r>
    </w:p>
    <w:p w14:paraId="1D2424DA" w14:textId="3DABF2C4" w:rsidR="00856D42" w:rsidRDefault="00856D42">
      <w:pPr>
        <w:rPr>
          <w:lang w:val="en-GB"/>
        </w:rPr>
      </w:pPr>
      <w:r w:rsidRPr="00856D42">
        <w:rPr>
          <w:lang w:val="en-GB"/>
        </w:rPr>
        <w:t>Traditional work systems involve employees carrying out pre-established procedures and performing specific work tasks. In contrast, High-Performance Work Systems (HPWS) bundle together practices like selective recruitment, performance-based rewards, and frequent skill training to boost skills, motivation and productivi</w:t>
      </w:r>
      <w:r>
        <w:rPr>
          <w:lang w:val="en-GB"/>
        </w:rPr>
        <w:t>ty as a system (Bhardwaj</w:t>
      </w:r>
      <w:r w:rsidRPr="00856D42">
        <w:rPr>
          <w:i/>
          <w:lang w:val="en-GB"/>
        </w:rPr>
        <w:t xml:space="preserve"> et al.</w:t>
      </w:r>
      <w:r w:rsidRPr="00856D42">
        <w:rPr>
          <w:lang w:val="en-GB"/>
        </w:rPr>
        <w:t xml:space="preserve"> 2025). Singh </w:t>
      </w:r>
      <w:r w:rsidRPr="00856D42">
        <w:rPr>
          <w:i/>
          <w:lang w:val="en-GB"/>
        </w:rPr>
        <w:t>et al.</w:t>
      </w:r>
      <w:r w:rsidRPr="00856D42">
        <w:rPr>
          <w:lang w:val="en-GB"/>
        </w:rPr>
        <w:t xml:space="preserve"> (2025) have noted that agility and technology adoption have become central characteristics of successful HPWS, which is especially pertinent for an organization that is heavily reliant on AI, such as NHSX. A potential risk, however, is that HPWS may cause employees to strive to follow the rules, rather than trying new things; this can lead to a decrea</w:t>
      </w:r>
      <w:r>
        <w:rPr>
          <w:lang w:val="en-GB"/>
        </w:rPr>
        <w:t>se in innovation (Naskar</w:t>
      </w:r>
      <w:r w:rsidRPr="00856D42">
        <w:rPr>
          <w:i/>
          <w:lang w:val="en-GB"/>
        </w:rPr>
        <w:t xml:space="preserve"> et al.</w:t>
      </w:r>
      <w:r w:rsidRPr="00856D42">
        <w:rPr>
          <w:lang w:val="en-GB"/>
        </w:rPr>
        <w:t xml:space="preserve"> 2025). </w:t>
      </w:r>
    </w:p>
    <w:p w14:paraId="27B218A6" w14:textId="44DE2EC5" w:rsidR="00856D42" w:rsidRPr="00856D42" w:rsidRDefault="00856D42">
      <w:pPr>
        <w:rPr>
          <w:b/>
        </w:rPr>
      </w:pPr>
      <w:r w:rsidRPr="00856D42">
        <w:rPr>
          <w:b/>
        </w:rPr>
        <w:t>Traditional vs. High-Involvement Work Systems (HIWS)</w:t>
      </w:r>
    </w:p>
    <w:p w14:paraId="1AB514E2" w14:textId="088D2392" w:rsidR="00856D42" w:rsidRDefault="00856D42">
      <w:pPr>
        <w:rPr>
          <w:lang w:val="en-GB"/>
        </w:rPr>
      </w:pPr>
      <w:r w:rsidRPr="00856D42">
        <w:rPr>
          <w:lang w:val="en-GB"/>
        </w:rPr>
        <w:t>Traditional systems keep information and decision-making power at management level.</w:t>
      </w:r>
      <w:r>
        <w:rPr>
          <w:lang w:val="en-GB"/>
        </w:rPr>
        <w:t xml:space="preserve"> </w:t>
      </w:r>
      <w:r w:rsidRPr="00856D42">
        <w:rPr>
          <w:lang w:val="en-GB"/>
        </w:rPr>
        <w:t xml:space="preserve">High-Involvement Work Systems (HIWS) are the opposite, in that they distribute information, </w:t>
      </w:r>
      <w:r w:rsidRPr="00856D42">
        <w:rPr>
          <w:lang w:val="en-GB"/>
        </w:rPr>
        <w:lastRenderedPageBreak/>
        <w:t>responsibility, and rewards more broadly within the organisation. Evidence also indicates that HIWS facilitates employees' innovative behaviour by satisfying their needs to feel competent and c</w:t>
      </w:r>
      <w:r>
        <w:rPr>
          <w:lang w:val="en-GB"/>
        </w:rPr>
        <w:t xml:space="preserve">onnected at work (Jiang </w:t>
      </w:r>
      <w:r w:rsidRPr="00856D42">
        <w:rPr>
          <w:i/>
          <w:lang w:val="en-GB"/>
        </w:rPr>
        <w:t>et al.</w:t>
      </w:r>
      <w:r>
        <w:rPr>
          <w:lang w:val="en-GB"/>
        </w:rPr>
        <w:t xml:space="preserve"> </w:t>
      </w:r>
      <w:r w:rsidRPr="00856D42">
        <w:rPr>
          <w:lang w:val="en-GB"/>
        </w:rPr>
        <w:t xml:space="preserve">2024). </w:t>
      </w:r>
    </w:p>
    <w:p w14:paraId="628E8FF2" w14:textId="5A4871C1" w:rsidR="00856D42" w:rsidRPr="00856D42" w:rsidRDefault="00856D42">
      <w:pPr>
        <w:rPr>
          <w:b/>
        </w:rPr>
      </w:pPr>
      <w:r w:rsidRPr="00856D42">
        <w:rPr>
          <w:b/>
        </w:rPr>
        <w:t>Traditional vs. Agile Working</w:t>
      </w:r>
    </w:p>
    <w:p w14:paraId="2840DA72" w14:textId="64663187" w:rsidR="00856D42" w:rsidRPr="00CA4225" w:rsidRDefault="00856D42">
      <w:pPr>
        <w:rPr>
          <w:lang w:val="en-GB"/>
        </w:rPr>
      </w:pPr>
      <w:r w:rsidRPr="00856D42">
        <w:rPr>
          <w:lang w:val="en-GB"/>
        </w:rPr>
        <w:t xml:space="preserve">Traditional project management is linear, that is, plans are formulated in the beginning and then implemented one by one, and variations are seen as disruptions. Agile working involves dividing up work into short cycles (known as sprints) typically lasting no more than 2 weeks, with regular check-ins in between and the ability to make course corrections as more information comes to light. Yao </w:t>
      </w:r>
      <w:r w:rsidRPr="00856D42">
        <w:rPr>
          <w:i/>
          <w:lang w:val="en-GB"/>
        </w:rPr>
        <w:t>et al.</w:t>
      </w:r>
      <w:r w:rsidRPr="00856D42">
        <w:rPr>
          <w:lang w:val="en-GB"/>
        </w:rPr>
        <w:t xml:space="preserve"> (2025) discovered that job performance was significantly better in agile-organised organisations with cross-functional teams and quicker decision making cycles in healthcare settings. Agile working is a better model for NHSX than the traditional model, given the fast-changing nature of its clinical needs.</w:t>
      </w:r>
    </w:p>
    <w:p w14:paraId="3561502C" w14:textId="2719B03B" w:rsidR="003F36A5" w:rsidRPr="00856D42" w:rsidRDefault="00856D42">
      <w:pPr>
        <w:rPr>
          <w:b/>
          <w:lang w:val="en-GB"/>
        </w:rPr>
      </w:pPr>
      <w:r w:rsidRPr="00856D42">
        <w:rPr>
          <w:b/>
          <w:lang w:val="en-GB"/>
        </w:rPr>
        <w:t>Traditional vs. Flexible Working</w:t>
      </w:r>
    </w:p>
    <w:p w14:paraId="41F0D610" w14:textId="065BBE27" w:rsidR="003F36A5" w:rsidRDefault="00856D42" w:rsidP="00856D42">
      <w:pPr>
        <w:rPr>
          <w:lang w:val="en-GB"/>
        </w:rPr>
      </w:pPr>
      <w:r w:rsidRPr="00856D42">
        <w:rPr>
          <w:lang w:val="en-GB"/>
        </w:rPr>
        <w:t>Traditional work involves working in the workplace at designated times, typically on a single working day irrespective of the location of the staff and/or other employees. Flexible working is the right to change their working time or pattern to suit the needs of their role and workplace. NHSX has staff working across the UK, India and the UAE with a time gap of around four to five hours between the sites making real-time collaboration difficult. A flexible working model with rotation of personnel, who start and end work at different times, may have an immediate impact on strengthening cross-site cooperation, having an overlapping window of working hours could lead directly to an increase in working time.</w:t>
      </w:r>
      <w:r w:rsidR="00FB1DF3" w:rsidRPr="00CA4225">
        <w:rPr>
          <w:lang w:val="en-GB"/>
        </w:rPr>
        <w:t xml:space="preserve"> </w:t>
      </w:r>
    </w:p>
    <w:p w14:paraId="15BA82C2" w14:textId="7111599E" w:rsidR="00E44755" w:rsidRPr="00566927" w:rsidRDefault="00E44755">
      <w:pPr>
        <w:rPr>
          <w:b/>
          <w:bCs/>
          <w:lang w:val="en-GB"/>
        </w:rPr>
      </w:pPr>
      <w:r w:rsidRPr="00566927">
        <w:rPr>
          <w:b/>
        </w:rPr>
        <w:t>Sociotechnical Systems Theory (SST)</w:t>
      </w:r>
    </w:p>
    <w:p w14:paraId="70FE8EBC" w14:textId="30D9BD97" w:rsidR="00E44755" w:rsidRPr="00CA4225" w:rsidRDefault="00566927">
      <w:pPr>
        <w:rPr>
          <w:lang w:val="en-GB"/>
        </w:rPr>
      </w:pPr>
      <w:r w:rsidRPr="00566927">
        <w:rPr>
          <w:bCs/>
          <w:lang w:val="en-GB"/>
        </w:rPr>
        <w:t>SST</w:t>
      </w:r>
      <w:r>
        <w:rPr>
          <w:b/>
          <w:bCs/>
          <w:lang w:val="en-GB"/>
        </w:rPr>
        <w:t xml:space="preserve"> </w:t>
      </w:r>
      <w:r w:rsidR="00E44755" w:rsidRPr="00CA4225">
        <w:rPr>
          <w:lang w:val="en-GB"/>
        </w:rPr>
        <w:t xml:space="preserve">originated in the Tavistock Institute’s work, which remains significantly relevant. Iden and Bygstad (2025) demonstrated that SST that advocates for joint optimisation of technical and social sub-systems that is an effective lens for having knowledge on digital transformation. Applied to the NHSX, SST counsels against the deployment of AI clinical decision-support tools in isolation from human work redesign, which must evolve in concert (Parker </w:t>
      </w:r>
      <w:r w:rsidR="00E44755" w:rsidRPr="00CA4225">
        <w:rPr>
          <w:i/>
          <w:iCs/>
          <w:lang w:val="en-GB"/>
        </w:rPr>
        <w:t xml:space="preserve">et al. </w:t>
      </w:r>
      <w:r w:rsidR="00E44755" w:rsidRPr="00CA4225">
        <w:rPr>
          <w:lang w:val="en-GB"/>
        </w:rPr>
        <w:t>2026).</w:t>
      </w:r>
    </w:p>
    <w:p w14:paraId="4F50F70F" w14:textId="29C6EDD8" w:rsidR="003F36A5" w:rsidRDefault="00FB1DF3">
      <w:pPr>
        <w:pStyle w:val="Heading2"/>
        <w:rPr>
          <w:lang w:val="en-GB"/>
        </w:rPr>
      </w:pPr>
      <w:bookmarkStart w:id="5" w:name="_eyxlgdbe09gt" w:colFirst="0" w:colLast="0"/>
      <w:bookmarkStart w:id="6" w:name="_Toc242605629"/>
      <w:bookmarkEnd w:id="5"/>
      <w:r w:rsidRPr="00CA4225">
        <w:rPr>
          <w:lang w:val="en-GB"/>
        </w:rPr>
        <w:t xml:space="preserve">1.2 </w:t>
      </w:r>
      <w:r w:rsidR="00566927" w:rsidRPr="00566927">
        <w:rPr>
          <w:lang w:val="en-GB"/>
        </w:rPr>
        <w:t>Recommended Working Practices for NHSX</w:t>
      </w:r>
      <w:bookmarkEnd w:id="6"/>
      <w:r w:rsidRPr="00CA4225">
        <w:rPr>
          <w:lang w:val="en-GB"/>
        </w:rPr>
        <w:t xml:space="preserve"> </w:t>
      </w:r>
    </w:p>
    <w:tbl>
      <w:tblPr>
        <w:tblStyle w:val="GridTable5Dark-Accent4"/>
        <w:tblW w:w="5000" w:type="pct"/>
        <w:jc w:val="center"/>
        <w:tblLook w:val="04A0" w:firstRow="1" w:lastRow="0" w:firstColumn="1" w:lastColumn="0" w:noHBand="0" w:noVBand="1"/>
      </w:tblPr>
      <w:tblGrid>
        <w:gridCol w:w="3553"/>
        <w:gridCol w:w="2053"/>
        <w:gridCol w:w="3410"/>
      </w:tblGrid>
      <w:tr w:rsidR="00566927" w:rsidRPr="00566927" w14:paraId="31CE1441" w14:textId="77777777" w:rsidTr="0056692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44" w:type="pct"/>
            <w:hideMark/>
          </w:tcPr>
          <w:p w14:paraId="449EF430" w14:textId="77777777" w:rsidR="00566927" w:rsidRPr="00566927" w:rsidRDefault="00566927" w:rsidP="00566927">
            <w:pPr>
              <w:spacing w:after="0" w:line="360" w:lineRule="auto"/>
              <w:jc w:val="center"/>
              <w:rPr>
                <w:lang w:val="en-IN"/>
              </w:rPr>
            </w:pPr>
            <w:r w:rsidRPr="00566927">
              <w:rPr>
                <w:lang w:val="en-IN"/>
              </w:rPr>
              <w:t>Recommended Practice</w:t>
            </w:r>
          </w:p>
        </w:tc>
        <w:tc>
          <w:tcPr>
            <w:tcW w:w="1123" w:type="pct"/>
            <w:hideMark/>
          </w:tcPr>
          <w:p w14:paraId="210ABBDE" w14:textId="77777777" w:rsidR="00566927" w:rsidRPr="00566927" w:rsidRDefault="00566927" w:rsidP="00566927">
            <w:pPr>
              <w:spacing w:after="0" w:line="360" w:lineRule="auto"/>
              <w:jc w:val="center"/>
              <w:cnfStyle w:val="100000000000" w:firstRow="1" w:lastRow="0" w:firstColumn="0" w:lastColumn="0" w:oddVBand="0" w:evenVBand="0" w:oddHBand="0" w:evenHBand="0" w:firstRowFirstColumn="0" w:firstRowLastColumn="0" w:lastRowFirstColumn="0" w:lastRowLastColumn="0"/>
              <w:rPr>
                <w:lang w:val="en-IN"/>
              </w:rPr>
            </w:pPr>
            <w:r w:rsidRPr="00566927">
              <w:rPr>
                <w:lang w:val="en-IN"/>
              </w:rPr>
              <w:t>Theoretical Basis</w:t>
            </w:r>
          </w:p>
        </w:tc>
        <w:tc>
          <w:tcPr>
            <w:tcW w:w="1866" w:type="pct"/>
            <w:hideMark/>
          </w:tcPr>
          <w:p w14:paraId="33D5F2BD" w14:textId="77777777" w:rsidR="00566927" w:rsidRPr="00566927" w:rsidRDefault="00566927" w:rsidP="00566927">
            <w:pPr>
              <w:spacing w:after="0" w:line="360" w:lineRule="auto"/>
              <w:jc w:val="center"/>
              <w:cnfStyle w:val="100000000000" w:firstRow="1" w:lastRow="0" w:firstColumn="0" w:lastColumn="0" w:oddVBand="0" w:evenVBand="0" w:oddHBand="0" w:evenHBand="0" w:firstRowFirstColumn="0" w:firstRowLastColumn="0" w:lastRowFirstColumn="0" w:lastRowLastColumn="0"/>
              <w:rPr>
                <w:lang w:val="en-IN"/>
              </w:rPr>
            </w:pPr>
            <w:r w:rsidRPr="00566927">
              <w:rPr>
                <w:lang w:val="en-IN"/>
              </w:rPr>
              <w:t>Problem It Solves</w:t>
            </w:r>
          </w:p>
        </w:tc>
      </w:tr>
      <w:tr w:rsidR="00566927" w:rsidRPr="00566927" w14:paraId="7DC8F046" w14:textId="77777777" w:rsidTr="0056692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44" w:type="pct"/>
            <w:hideMark/>
          </w:tcPr>
          <w:p w14:paraId="49EBC20D" w14:textId="77777777" w:rsidR="00566927" w:rsidRPr="00566927" w:rsidRDefault="00566927" w:rsidP="00566927">
            <w:pPr>
              <w:spacing w:after="0" w:line="360" w:lineRule="auto"/>
              <w:jc w:val="left"/>
              <w:rPr>
                <w:lang w:val="en-IN"/>
              </w:rPr>
            </w:pPr>
            <w:r w:rsidRPr="00566927">
              <w:rPr>
                <w:lang w:val="en-IN"/>
              </w:rPr>
              <w:lastRenderedPageBreak/>
              <w:t>High-Performance Work Systems (HPWS) with team-level OKRs</w:t>
            </w:r>
          </w:p>
        </w:tc>
        <w:tc>
          <w:tcPr>
            <w:tcW w:w="1123" w:type="pct"/>
            <w:hideMark/>
          </w:tcPr>
          <w:p w14:paraId="74804EA7" w14:textId="77777777" w:rsidR="00566927" w:rsidRPr="00566927" w:rsidRDefault="00566927" w:rsidP="00566927">
            <w:pPr>
              <w:spacing w:after="0" w:line="360" w:lineRule="auto"/>
              <w:jc w:val="left"/>
              <w:cnfStyle w:val="000000100000" w:firstRow="0" w:lastRow="0" w:firstColumn="0" w:lastColumn="0" w:oddVBand="0" w:evenVBand="0" w:oddHBand="1" w:evenHBand="0" w:firstRowFirstColumn="0" w:firstRowLastColumn="0" w:lastRowFirstColumn="0" w:lastRowLastColumn="0"/>
              <w:rPr>
                <w:lang w:val="en-IN"/>
              </w:rPr>
            </w:pPr>
            <w:r w:rsidRPr="00566927">
              <w:rPr>
                <w:lang w:val="en-IN"/>
              </w:rPr>
              <w:t xml:space="preserve">HPWS (Bhardwaj </w:t>
            </w:r>
            <w:r w:rsidRPr="00566927">
              <w:rPr>
                <w:i/>
                <w:iCs/>
                <w:lang w:val="en-IN"/>
              </w:rPr>
              <w:t>et al.</w:t>
            </w:r>
            <w:r w:rsidRPr="00566927">
              <w:rPr>
                <w:lang w:val="en-IN"/>
              </w:rPr>
              <w:t>, 2025)</w:t>
            </w:r>
          </w:p>
        </w:tc>
        <w:tc>
          <w:tcPr>
            <w:tcW w:w="1866" w:type="pct"/>
            <w:hideMark/>
          </w:tcPr>
          <w:p w14:paraId="79564604" w14:textId="77777777" w:rsidR="00566927" w:rsidRPr="00566927" w:rsidRDefault="00566927" w:rsidP="00566927">
            <w:pPr>
              <w:spacing w:after="0" w:line="360" w:lineRule="auto"/>
              <w:jc w:val="left"/>
              <w:cnfStyle w:val="000000100000" w:firstRow="0" w:lastRow="0" w:firstColumn="0" w:lastColumn="0" w:oddVBand="0" w:evenVBand="0" w:oddHBand="1" w:evenHBand="0" w:firstRowFirstColumn="0" w:firstRowLastColumn="0" w:lastRowFirstColumn="0" w:lastRowLastColumn="0"/>
              <w:rPr>
                <w:lang w:val="en-IN"/>
              </w:rPr>
            </w:pPr>
            <w:r w:rsidRPr="00566927">
              <w:rPr>
                <w:lang w:val="en-IN"/>
              </w:rPr>
              <w:t>Slow decision-making; limited creativity and experimentation</w:t>
            </w:r>
          </w:p>
        </w:tc>
      </w:tr>
      <w:tr w:rsidR="00566927" w:rsidRPr="00566927" w14:paraId="1A1465D3" w14:textId="77777777" w:rsidTr="00566927">
        <w:trPr>
          <w:jc w:val="center"/>
        </w:trPr>
        <w:tc>
          <w:tcPr>
            <w:cnfStyle w:val="001000000000" w:firstRow="0" w:lastRow="0" w:firstColumn="1" w:lastColumn="0" w:oddVBand="0" w:evenVBand="0" w:oddHBand="0" w:evenHBand="0" w:firstRowFirstColumn="0" w:firstRowLastColumn="0" w:lastRowFirstColumn="0" w:lastRowLastColumn="0"/>
            <w:tcW w:w="1944" w:type="pct"/>
            <w:hideMark/>
          </w:tcPr>
          <w:p w14:paraId="20B6B221" w14:textId="77777777" w:rsidR="00566927" w:rsidRPr="00566927" w:rsidRDefault="00566927" w:rsidP="00566927">
            <w:pPr>
              <w:spacing w:after="0" w:line="360" w:lineRule="auto"/>
              <w:jc w:val="left"/>
              <w:rPr>
                <w:lang w:val="en-IN"/>
              </w:rPr>
            </w:pPr>
            <w:r w:rsidRPr="00566927">
              <w:rPr>
                <w:lang w:val="en-IN"/>
              </w:rPr>
              <w:t>Agile project teams with two-week sprint cycles</w:t>
            </w:r>
          </w:p>
        </w:tc>
        <w:tc>
          <w:tcPr>
            <w:tcW w:w="1123" w:type="pct"/>
            <w:hideMark/>
          </w:tcPr>
          <w:p w14:paraId="1BDC69D7" w14:textId="77777777" w:rsidR="00566927" w:rsidRPr="00566927" w:rsidRDefault="00566927" w:rsidP="00566927">
            <w:pPr>
              <w:spacing w:after="0" w:line="360" w:lineRule="auto"/>
              <w:jc w:val="left"/>
              <w:cnfStyle w:val="000000000000" w:firstRow="0" w:lastRow="0" w:firstColumn="0" w:lastColumn="0" w:oddVBand="0" w:evenVBand="0" w:oddHBand="0" w:evenHBand="0" w:firstRowFirstColumn="0" w:firstRowLastColumn="0" w:lastRowFirstColumn="0" w:lastRowLastColumn="0"/>
              <w:rPr>
                <w:lang w:val="en-IN"/>
              </w:rPr>
            </w:pPr>
            <w:r w:rsidRPr="00566927">
              <w:rPr>
                <w:lang w:val="en-IN"/>
              </w:rPr>
              <w:t xml:space="preserve">Agile Working (Yao </w:t>
            </w:r>
            <w:r w:rsidRPr="00566927">
              <w:rPr>
                <w:i/>
                <w:iCs/>
                <w:lang w:val="en-IN"/>
              </w:rPr>
              <w:t>et al.</w:t>
            </w:r>
            <w:r w:rsidRPr="00566927">
              <w:rPr>
                <w:lang w:val="en-IN"/>
              </w:rPr>
              <w:t>, 2025)</w:t>
            </w:r>
          </w:p>
        </w:tc>
        <w:tc>
          <w:tcPr>
            <w:tcW w:w="1866" w:type="pct"/>
            <w:hideMark/>
          </w:tcPr>
          <w:p w14:paraId="71D52C60" w14:textId="77777777" w:rsidR="00566927" w:rsidRPr="00566927" w:rsidRDefault="00566927" w:rsidP="00566927">
            <w:pPr>
              <w:spacing w:after="0" w:line="360" w:lineRule="auto"/>
              <w:jc w:val="left"/>
              <w:cnfStyle w:val="000000000000" w:firstRow="0" w:lastRow="0" w:firstColumn="0" w:lastColumn="0" w:oddVBand="0" w:evenVBand="0" w:oddHBand="0" w:evenHBand="0" w:firstRowFirstColumn="0" w:firstRowLastColumn="0" w:lastRowFirstColumn="0" w:lastRowLastColumn="0"/>
              <w:rPr>
                <w:lang w:val="en-IN"/>
              </w:rPr>
            </w:pPr>
            <w:r w:rsidRPr="00566927">
              <w:rPr>
                <w:lang w:val="en-IN"/>
              </w:rPr>
              <w:t>Hierarchical bottlenecks; slow innovation</w:t>
            </w:r>
          </w:p>
        </w:tc>
      </w:tr>
      <w:tr w:rsidR="00566927" w:rsidRPr="00566927" w14:paraId="418F0183" w14:textId="77777777" w:rsidTr="0056692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44" w:type="pct"/>
            <w:hideMark/>
          </w:tcPr>
          <w:p w14:paraId="1B930860" w14:textId="77777777" w:rsidR="00566927" w:rsidRPr="00566927" w:rsidRDefault="00566927" w:rsidP="00566927">
            <w:pPr>
              <w:spacing w:after="0" w:line="360" w:lineRule="auto"/>
              <w:jc w:val="left"/>
              <w:rPr>
                <w:lang w:val="en-IN"/>
              </w:rPr>
            </w:pPr>
            <w:r w:rsidRPr="00566927">
              <w:rPr>
                <w:lang w:val="en-IN"/>
              </w:rPr>
              <w:t>Rotation-based flexible working across time zones</w:t>
            </w:r>
          </w:p>
        </w:tc>
        <w:tc>
          <w:tcPr>
            <w:tcW w:w="1123" w:type="pct"/>
            <w:hideMark/>
          </w:tcPr>
          <w:p w14:paraId="72B5119B" w14:textId="77777777" w:rsidR="00566927" w:rsidRPr="00566927" w:rsidRDefault="00566927" w:rsidP="00566927">
            <w:pPr>
              <w:spacing w:after="0" w:line="360" w:lineRule="auto"/>
              <w:jc w:val="left"/>
              <w:cnfStyle w:val="000000100000" w:firstRow="0" w:lastRow="0" w:firstColumn="0" w:lastColumn="0" w:oddVBand="0" w:evenVBand="0" w:oddHBand="1" w:evenHBand="0" w:firstRowFirstColumn="0" w:firstRowLastColumn="0" w:lastRowFirstColumn="0" w:lastRowLastColumn="0"/>
              <w:rPr>
                <w:lang w:val="en-IN"/>
              </w:rPr>
            </w:pPr>
            <w:r w:rsidRPr="00566927">
              <w:rPr>
                <w:lang w:val="en-IN"/>
              </w:rPr>
              <w:t>Flexible Working; SST</w:t>
            </w:r>
          </w:p>
        </w:tc>
        <w:tc>
          <w:tcPr>
            <w:tcW w:w="1866" w:type="pct"/>
            <w:hideMark/>
          </w:tcPr>
          <w:p w14:paraId="27715322" w14:textId="77777777" w:rsidR="00566927" w:rsidRPr="00566927" w:rsidRDefault="00566927" w:rsidP="00566927">
            <w:pPr>
              <w:spacing w:after="0" w:line="360" w:lineRule="auto"/>
              <w:jc w:val="left"/>
              <w:cnfStyle w:val="000000100000" w:firstRow="0" w:lastRow="0" w:firstColumn="0" w:lastColumn="0" w:oddVBand="0" w:evenVBand="0" w:oddHBand="1" w:evenHBand="0" w:firstRowFirstColumn="0" w:firstRowLastColumn="0" w:lastRowFirstColumn="0" w:lastRowLastColumn="0"/>
              <w:rPr>
                <w:lang w:val="en-IN"/>
              </w:rPr>
            </w:pPr>
            <w:r w:rsidRPr="00566927">
              <w:rPr>
                <w:lang w:val="en-IN"/>
              </w:rPr>
              <w:t>Weakened cross-site collaboration and knowledge sharing</w:t>
            </w:r>
          </w:p>
        </w:tc>
      </w:tr>
    </w:tbl>
    <w:p w14:paraId="44E4951C" w14:textId="0E7B6B45" w:rsidR="003F36A5" w:rsidRPr="00CA4225" w:rsidRDefault="00FB1DF3">
      <w:pPr>
        <w:jc w:val="center"/>
        <w:rPr>
          <w:b/>
          <w:bCs/>
          <w:lang w:val="en-GB"/>
        </w:rPr>
      </w:pPr>
      <w:r w:rsidRPr="00CA4225">
        <w:rPr>
          <w:b/>
          <w:bCs/>
          <w:lang w:val="en-GB"/>
        </w:rPr>
        <w:t xml:space="preserve">Table 1: </w:t>
      </w:r>
      <w:r w:rsidR="00566927" w:rsidRPr="00566927">
        <w:rPr>
          <w:b/>
          <w:bCs/>
          <w:lang w:val="en-GB"/>
        </w:rPr>
        <w:t>Recommended Innovation Work Design Framework for NHSX</w:t>
      </w:r>
      <w:r w:rsidRPr="00CA4225">
        <w:rPr>
          <w:b/>
          <w:bCs/>
          <w:lang w:val="en-GB"/>
        </w:rPr>
        <w:t xml:space="preserve"> </w:t>
      </w:r>
    </w:p>
    <w:p w14:paraId="1039249F" w14:textId="77777777" w:rsidR="003F36A5" w:rsidRPr="00CA4225" w:rsidRDefault="00FB1DF3">
      <w:pPr>
        <w:jc w:val="center"/>
        <w:rPr>
          <w:lang w:val="en-GB"/>
        </w:rPr>
      </w:pPr>
      <w:r w:rsidRPr="00CA4225">
        <w:rPr>
          <w:lang w:val="en-GB"/>
        </w:rPr>
        <w:t xml:space="preserve">(Source: Self-developed) </w:t>
      </w:r>
    </w:p>
    <w:p w14:paraId="66A14C70" w14:textId="61EB508B" w:rsidR="00856D42" w:rsidRPr="00856D42" w:rsidRDefault="00856D42">
      <w:pPr>
        <w:rPr>
          <w:b/>
          <w:lang w:val="en-GB"/>
        </w:rPr>
      </w:pPr>
      <w:r w:rsidRPr="00856D42">
        <w:rPr>
          <w:b/>
        </w:rPr>
        <w:t>High-Performance Work Systems with OKRs</w:t>
      </w:r>
    </w:p>
    <w:p w14:paraId="54FE63D7" w14:textId="7380E51B" w:rsidR="00856D42" w:rsidRDefault="00856D42">
      <w:pPr>
        <w:rPr>
          <w:lang w:val="en-GB"/>
        </w:rPr>
      </w:pPr>
      <w:r w:rsidRPr="00856D42">
        <w:rPr>
          <w:lang w:val="en-GB"/>
        </w:rPr>
        <w:t>To implement HPWS, NHSX should rethink recruitment processes to prioritize problem-solving skills, tie compensation and rewards to AI-generated innovation, and offer ongoing training on AI tools and hospital information. Objectives and Key Results (OKRs) are used to allow engineers, clinicians and data scientists to set and execute their own objectives without needing to get signed off by senior leaders. This directly responds to the Board's concern that traditional hierarchy has stifled innovation and taken out the creative space for employees.</w:t>
      </w:r>
    </w:p>
    <w:p w14:paraId="7B3EAC3E" w14:textId="00CA5A70" w:rsidR="00E0378A" w:rsidRPr="00856D42" w:rsidRDefault="00856D42">
      <w:pPr>
        <w:rPr>
          <w:b/>
          <w:lang w:val="en-GB"/>
        </w:rPr>
      </w:pPr>
      <w:r w:rsidRPr="00856D42">
        <w:rPr>
          <w:b/>
        </w:rPr>
        <w:t>Agile Project Teams</w:t>
      </w:r>
    </w:p>
    <w:p w14:paraId="2E62C77A" w14:textId="77777777" w:rsidR="00E0378A" w:rsidRDefault="00E0378A" w:rsidP="00E0378A">
      <w:pPr>
        <w:jc w:val="center"/>
        <w:rPr>
          <w:lang w:val="en-GB"/>
        </w:rPr>
      </w:pPr>
      <w:r>
        <w:rPr>
          <w:noProof/>
          <w:lang w:val="en-IN"/>
        </w:rPr>
        <w:lastRenderedPageBreak/>
        <w:drawing>
          <wp:inline distT="0" distB="0" distL="0" distR="0" wp14:anchorId="4808AEA9" wp14:editId="10215BF8">
            <wp:extent cx="4467225" cy="4038617"/>
            <wp:effectExtent l="0" t="0" r="0" b="0"/>
            <wp:docPr id="1" name="Picture 1" descr="This may contain: the agile - scrum framework is shown in this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is may contain: the agile - scrum framework is shown in this graphic"/>
                    <pic:cNvPicPr>
                      <a:picLocks noChangeAspect="1" noChangeArrowheads="1"/>
                    </pic:cNvPicPr>
                  </pic:nvPicPr>
                  <pic:blipFill rotWithShape="1">
                    <a:blip r:embed="rId8">
                      <a:extLst>
                        <a:ext uri="{28A0092B-C50C-407E-A947-70E740481C1C}">
                          <a14:useLocalDpi xmlns:a14="http://schemas.microsoft.com/office/drawing/2010/main" val="0"/>
                        </a:ext>
                      </a:extLst>
                    </a:blip>
                    <a:srcRect l="166" t="9473" r="-166" b="122"/>
                    <a:stretch/>
                  </pic:blipFill>
                  <pic:spPr bwMode="auto">
                    <a:xfrm>
                      <a:off x="0" y="0"/>
                      <a:ext cx="4468680" cy="4039932"/>
                    </a:xfrm>
                    <a:prstGeom prst="rect">
                      <a:avLst/>
                    </a:prstGeom>
                    <a:noFill/>
                    <a:ln>
                      <a:noFill/>
                    </a:ln>
                    <a:extLst>
                      <a:ext uri="{53640926-AAD7-44D8-BBD7-CCE9431645EC}">
                        <a14:shadowObscured xmlns:a14="http://schemas.microsoft.com/office/drawing/2010/main"/>
                      </a:ext>
                    </a:extLst>
                  </pic:spPr>
                </pic:pic>
              </a:graphicData>
            </a:graphic>
          </wp:inline>
        </w:drawing>
      </w:r>
    </w:p>
    <w:p w14:paraId="1E8B5E07" w14:textId="77777777" w:rsidR="00E0378A" w:rsidRPr="002E6A71" w:rsidRDefault="00E0378A" w:rsidP="00E0378A">
      <w:pPr>
        <w:jc w:val="center"/>
        <w:rPr>
          <w:b/>
          <w:lang w:val="en-GB"/>
        </w:rPr>
      </w:pPr>
      <w:r w:rsidRPr="002E6A71">
        <w:rPr>
          <w:b/>
          <w:lang w:val="en-GB"/>
        </w:rPr>
        <w:t>Figure 1: Agile-Scrum Framework</w:t>
      </w:r>
    </w:p>
    <w:p w14:paraId="63A2E9B0" w14:textId="77777777" w:rsidR="00E0378A" w:rsidRDefault="00E0378A" w:rsidP="00E0378A">
      <w:pPr>
        <w:jc w:val="center"/>
        <w:rPr>
          <w:lang w:val="en-GB"/>
        </w:rPr>
      </w:pPr>
      <w:r>
        <w:rPr>
          <w:lang w:val="en-GB"/>
        </w:rPr>
        <w:t xml:space="preserve">(Source: </w:t>
      </w:r>
      <w:r w:rsidR="002E6A71">
        <w:rPr>
          <w:lang w:val="en-GB"/>
        </w:rPr>
        <w:t>Pinterest, 2026)</w:t>
      </w:r>
    </w:p>
    <w:p w14:paraId="7BEBF926" w14:textId="299A4DC4" w:rsidR="003F36A5" w:rsidRDefault="00FB1DF3">
      <w:pPr>
        <w:rPr>
          <w:lang w:val="en-GB"/>
        </w:rPr>
      </w:pPr>
      <w:r w:rsidRPr="00CA4225">
        <w:rPr>
          <w:lang w:val="en-GB"/>
        </w:rPr>
        <w:t xml:space="preserve">Enabling staff to adapt effectively, as organisational agility directly enhances job performance in healthcare, where demands often change unpredictably (Yao </w:t>
      </w:r>
      <w:r w:rsidRPr="00CA4225">
        <w:rPr>
          <w:i/>
          <w:iCs/>
          <w:lang w:val="en-GB"/>
        </w:rPr>
        <w:t xml:space="preserve">et al. </w:t>
      </w:r>
      <w:r w:rsidRPr="00CA4225">
        <w:rPr>
          <w:lang w:val="en-GB"/>
        </w:rPr>
        <w:t xml:space="preserve">2025). </w:t>
      </w:r>
      <w:r w:rsidR="00856D42" w:rsidRPr="00856D42">
        <w:rPr>
          <w:lang w:val="en-GB"/>
        </w:rPr>
        <w:t xml:space="preserve">NHSX needs to structure project work in cross-functional sprint teams comprising of engineers, clinical experts and data scientists, working in sprints of two weeks. This structure minimizes the steps that a new idea needs to go through for approval and provides frequent chances for testing, reviewing and tweaking. Digital collaboration tools like Microsoft Teams and Miro enable this method, allowing teams in the UK, India and UAE to keep each other updated in real-time and collaborate. </w:t>
      </w:r>
    </w:p>
    <w:p w14:paraId="4A3FF0CA" w14:textId="75383FA6" w:rsidR="00A162B0" w:rsidRPr="00A162B0" w:rsidRDefault="00A162B0">
      <w:pPr>
        <w:rPr>
          <w:b/>
          <w:lang w:val="en-GB"/>
        </w:rPr>
      </w:pPr>
      <w:r w:rsidRPr="00A162B0">
        <w:rPr>
          <w:rFonts w:ascii="Geist Fallback" w:hAnsi="Geist Fallback"/>
          <w:b/>
          <w:sz w:val="23"/>
          <w:szCs w:val="23"/>
        </w:rPr>
        <w:t>Rotation-Based Flexible Working</w:t>
      </w:r>
    </w:p>
    <w:p w14:paraId="26C21C72" w14:textId="77777777" w:rsidR="00050B93" w:rsidRDefault="00050B93" w:rsidP="00050B93">
      <w:pPr>
        <w:jc w:val="center"/>
        <w:rPr>
          <w:lang w:val="en-GB"/>
        </w:rPr>
      </w:pPr>
      <w:r>
        <w:rPr>
          <w:noProof/>
          <w:lang w:val="en-IN"/>
        </w:rPr>
        <w:lastRenderedPageBreak/>
        <w:drawing>
          <wp:inline distT="0" distB="0" distL="0" distR="0" wp14:anchorId="18C5F9EE" wp14:editId="664562F3">
            <wp:extent cx="5731510" cy="28098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09875"/>
                    </a:xfrm>
                    <a:prstGeom prst="rect">
                      <a:avLst/>
                    </a:prstGeom>
                  </pic:spPr>
                </pic:pic>
              </a:graphicData>
            </a:graphic>
          </wp:inline>
        </w:drawing>
      </w:r>
    </w:p>
    <w:p w14:paraId="7FC9FBC8" w14:textId="77777777" w:rsidR="00050B93" w:rsidRPr="00F23854" w:rsidRDefault="00050B93" w:rsidP="00050B93">
      <w:pPr>
        <w:jc w:val="center"/>
        <w:rPr>
          <w:b/>
          <w:lang w:val="en-GB"/>
        </w:rPr>
      </w:pPr>
      <w:r w:rsidRPr="00F23854">
        <w:rPr>
          <w:b/>
          <w:lang w:val="en-GB"/>
        </w:rPr>
        <w:t xml:space="preserve">Figure 2: Variations of Hybrid Working </w:t>
      </w:r>
    </w:p>
    <w:p w14:paraId="02CD149B" w14:textId="77777777" w:rsidR="00050B93" w:rsidRDefault="00050B93" w:rsidP="00050B93">
      <w:pPr>
        <w:jc w:val="center"/>
        <w:rPr>
          <w:lang w:val="en-GB"/>
        </w:rPr>
      </w:pPr>
      <w:r>
        <w:rPr>
          <w:lang w:val="en-GB"/>
        </w:rPr>
        <w:t xml:space="preserve">(Source: </w:t>
      </w:r>
      <w:proofErr w:type="spellStart"/>
      <w:r w:rsidR="00F23854" w:rsidRPr="00021795">
        <w:rPr>
          <w:lang w:val="en-GB"/>
        </w:rPr>
        <w:t>Shiftbase</w:t>
      </w:r>
      <w:proofErr w:type="spellEnd"/>
      <w:r w:rsidR="00F23854">
        <w:rPr>
          <w:lang w:val="en-GB"/>
        </w:rPr>
        <w:t>, 2026</w:t>
      </w:r>
      <w:r>
        <w:rPr>
          <w:lang w:val="en-GB"/>
        </w:rPr>
        <w:t>)</w:t>
      </w:r>
    </w:p>
    <w:p w14:paraId="42E0696B" w14:textId="4D2DD6FB" w:rsidR="00A162B0" w:rsidRPr="00A162B0" w:rsidRDefault="00A162B0" w:rsidP="00A162B0">
      <w:pPr>
        <w:rPr>
          <w:lang w:val="en-GB"/>
        </w:rPr>
      </w:pPr>
      <w:r w:rsidRPr="00A162B0">
        <w:rPr>
          <w:lang w:val="en-GB"/>
        </w:rPr>
        <w:t>NHSX should take a more flexible approach to working, with a rotation system rather than fully remote or unstructured hybrid working. All team members should be available to work at the same time during a specific window of the day, such as during the Indian afternoon – say 10am to 1pm UK time. This not only fosters a sense of togetherness for teamwork and knowledge sharing, but also allows employees to have the flexibility the Board values for performance and retention. Flexible working is designed around team collaboration needs, not just individual convenience, social and technical aspects of work must be optimised together</w:t>
      </w:r>
      <w:r>
        <w:rPr>
          <w:lang w:val="en-GB"/>
        </w:rPr>
        <w:t xml:space="preserve"> (Parker </w:t>
      </w:r>
      <w:r w:rsidRPr="00A162B0">
        <w:rPr>
          <w:i/>
          <w:lang w:val="en-GB"/>
        </w:rPr>
        <w:t>et al.</w:t>
      </w:r>
      <w:r>
        <w:rPr>
          <w:lang w:val="en-GB"/>
        </w:rPr>
        <w:t xml:space="preserve"> </w:t>
      </w:r>
      <w:r w:rsidRPr="00A162B0">
        <w:rPr>
          <w:lang w:val="en-GB"/>
        </w:rPr>
        <w:t>2026).</w:t>
      </w:r>
    </w:p>
    <w:p w14:paraId="53CFB673" w14:textId="3638F3B5" w:rsidR="003F36A5" w:rsidRPr="00CA4225" w:rsidRDefault="00A162B0" w:rsidP="00A162B0">
      <w:pPr>
        <w:rPr>
          <w:lang w:val="en-GB"/>
        </w:rPr>
      </w:pPr>
      <w:r w:rsidRPr="00A162B0">
        <w:rPr>
          <w:lang w:val="en-GB"/>
        </w:rPr>
        <w:t>These three practices are interconnected to solve five Board level challenges: first, slow innovation and lack of creativity is corrected by HPWS, second, the decision bottlenecks is addressed by the agile teams, and thirdly, the current hybrid approach has reduced the cross-site collaboration, which is restored when the rotation approach is used.</w:t>
      </w:r>
    </w:p>
    <w:p w14:paraId="4EA687F7" w14:textId="77777777" w:rsidR="00A162B0" w:rsidRDefault="00A162B0">
      <w:pPr>
        <w:spacing w:after="0"/>
        <w:rPr>
          <w:b/>
          <w:bCs/>
          <w:sz w:val="28"/>
          <w:szCs w:val="28"/>
          <w:lang w:val="en-GB"/>
        </w:rPr>
      </w:pPr>
      <w:bookmarkStart w:id="7" w:name="_Toc241918372"/>
      <w:r>
        <w:rPr>
          <w:lang w:val="en-GB"/>
        </w:rPr>
        <w:br w:type="page"/>
      </w:r>
    </w:p>
    <w:p w14:paraId="62974992" w14:textId="41EA2552" w:rsidR="00476856" w:rsidRPr="00CA4225" w:rsidRDefault="00476856" w:rsidP="00476856">
      <w:pPr>
        <w:pStyle w:val="Heading1"/>
        <w:rPr>
          <w:lang w:val="en-GB"/>
        </w:rPr>
      </w:pPr>
      <w:bookmarkStart w:id="8" w:name="_Toc242605630"/>
      <w:r w:rsidRPr="00CA4225">
        <w:rPr>
          <w:lang w:val="en-GB"/>
        </w:rPr>
        <w:lastRenderedPageBreak/>
        <w:t>Task B: Breeding an Environment Where Talent May Grow</w:t>
      </w:r>
      <w:bookmarkEnd w:id="7"/>
      <w:bookmarkEnd w:id="8"/>
      <w:r w:rsidRPr="00CA4225">
        <w:rPr>
          <w:lang w:val="en-GB"/>
        </w:rPr>
        <w:t xml:space="preserve"> </w:t>
      </w:r>
    </w:p>
    <w:p w14:paraId="60EE402D" w14:textId="2EF53AC1" w:rsidR="00476856" w:rsidRPr="00CA4225" w:rsidRDefault="00476856" w:rsidP="00476856">
      <w:pPr>
        <w:pStyle w:val="Heading2"/>
        <w:rPr>
          <w:lang w:val="en-GB"/>
        </w:rPr>
      </w:pPr>
      <w:bookmarkStart w:id="9" w:name="_6sepgnvkk9bv" w:colFirst="0" w:colLast="0"/>
      <w:bookmarkStart w:id="10" w:name="_Toc241918373"/>
      <w:bookmarkStart w:id="11" w:name="_Toc242605631"/>
      <w:bookmarkEnd w:id="9"/>
      <w:r w:rsidRPr="00CA4225">
        <w:rPr>
          <w:lang w:val="en-GB"/>
        </w:rPr>
        <w:t xml:space="preserve">2.1 Critical Evaluation: Creating Environments </w:t>
      </w:r>
      <w:bookmarkEnd w:id="10"/>
      <w:r w:rsidR="000D654C">
        <w:t>Where Talent Flourishes</w:t>
      </w:r>
      <w:bookmarkEnd w:id="11"/>
    </w:p>
    <w:p w14:paraId="2F20EBE5" w14:textId="77E76E9F" w:rsidR="00476856" w:rsidRDefault="000D654C" w:rsidP="00476856">
      <w:pPr>
        <w:rPr>
          <w:lang w:val="en-GB"/>
        </w:rPr>
      </w:pPr>
      <w:r w:rsidRPr="000D654C">
        <w:rPr>
          <w:lang w:val="en-GB"/>
        </w:rPr>
        <w:t>The Board has identified four employee related issues with NHSX: Limited career development, Employee learning and development, Manager balancing wellbeing with high demands for performance and Talent attrition.</w:t>
      </w:r>
    </w:p>
    <w:p w14:paraId="048BD3DC" w14:textId="504BA571" w:rsidR="000D654C" w:rsidRPr="000D654C" w:rsidRDefault="000D654C" w:rsidP="00476856">
      <w:pPr>
        <w:rPr>
          <w:b/>
          <w:lang w:val="en-GB"/>
        </w:rPr>
      </w:pPr>
      <w:r w:rsidRPr="000D654C">
        <w:rPr>
          <w:b/>
        </w:rPr>
        <w:t xml:space="preserve">Learning </w:t>
      </w:r>
      <w:proofErr w:type="spellStart"/>
      <w:r w:rsidRPr="000D654C">
        <w:rPr>
          <w:b/>
        </w:rPr>
        <w:t>Organisation</w:t>
      </w:r>
      <w:proofErr w:type="spellEnd"/>
      <w:r w:rsidRPr="000D654C">
        <w:rPr>
          <w:b/>
        </w:rPr>
        <w:t xml:space="preserve"> (Senge) </w:t>
      </w:r>
      <w:r>
        <w:rPr>
          <w:b/>
        </w:rPr>
        <w:t>-</w:t>
      </w:r>
      <w:r w:rsidRPr="000D654C">
        <w:rPr>
          <w:b/>
        </w:rPr>
        <w:t xml:space="preserve"> for the problem of insufficient learning and development</w:t>
      </w:r>
    </w:p>
    <w:p w14:paraId="1D067919" w14:textId="77777777" w:rsidR="009F59C6" w:rsidRDefault="009F59C6" w:rsidP="009F59C6">
      <w:pPr>
        <w:jc w:val="center"/>
        <w:rPr>
          <w:lang w:val="en-GB"/>
        </w:rPr>
      </w:pPr>
      <w:r>
        <w:rPr>
          <w:noProof/>
          <w:lang w:val="en-IN"/>
        </w:rPr>
        <w:drawing>
          <wp:inline distT="0" distB="0" distL="0" distR="0" wp14:anchorId="6F760C00" wp14:editId="27DE5632">
            <wp:extent cx="4901734" cy="4867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02561" cy="4868096"/>
                    </a:xfrm>
                    <a:prstGeom prst="rect">
                      <a:avLst/>
                    </a:prstGeom>
                  </pic:spPr>
                </pic:pic>
              </a:graphicData>
            </a:graphic>
          </wp:inline>
        </w:drawing>
      </w:r>
    </w:p>
    <w:p w14:paraId="1C6083CF" w14:textId="77777777" w:rsidR="009F59C6" w:rsidRPr="009F59C6" w:rsidRDefault="009F59C6" w:rsidP="009F59C6">
      <w:pPr>
        <w:jc w:val="center"/>
        <w:rPr>
          <w:b/>
          <w:lang w:val="en-GB"/>
        </w:rPr>
      </w:pPr>
      <w:r w:rsidRPr="009F59C6">
        <w:rPr>
          <w:b/>
          <w:lang w:val="en-GB"/>
        </w:rPr>
        <w:t xml:space="preserve">Figure 3: Five Disciplines </w:t>
      </w:r>
    </w:p>
    <w:p w14:paraId="3DAD59DE" w14:textId="77777777" w:rsidR="009F59C6" w:rsidRPr="00CA4225" w:rsidRDefault="009F59C6" w:rsidP="009F59C6">
      <w:pPr>
        <w:jc w:val="center"/>
        <w:rPr>
          <w:lang w:val="en-GB"/>
        </w:rPr>
      </w:pPr>
      <w:r>
        <w:rPr>
          <w:lang w:val="en-GB"/>
        </w:rPr>
        <w:t xml:space="preserve">(Source: </w:t>
      </w:r>
      <w:r w:rsidR="009F3855" w:rsidRPr="009F3855">
        <w:rPr>
          <w:lang w:val="en-GB"/>
        </w:rPr>
        <w:t>Liu,</w:t>
      </w:r>
      <w:r w:rsidR="009F3855">
        <w:rPr>
          <w:lang w:val="en-GB"/>
        </w:rPr>
        <w:t xml:space="preserve"> 2018)</w:t>
      </w:r>
    </w:p>
    <w:p w14:paraId="2A14A149" w14:textId="2EC994BC" w:rsidR="000D654C" w:rsidRDefault="000D654C" w:rsidP="00476856">
      <w:pPr>
        <w:rPr>
          <w:bCs/>
          <w:lang w:val="en-GB"/>
        </w:rPr>
      </w:pPr>
      <w:r w:rsidRPr="000D654C">
        <w:rPr>
          <w:bCs/>
          <w:lang w:val="en-GB"/>
        </w:rPr>
        <w:t>The Learning Organisation is what Senge said an organisation was if its members are constantly learning and sharing knowled</w:t>
      </w:r>
      <w:r>
        <w:rPr>
          <w:bCs/>
          <w:lang w:val="en-GB"/>
        </w:rPr>
        <w:t>ge, otherwise it can never grow</w:t>
      </w:r>
      <w:r w:rsidRPr="000D654C">
        <w:rPr>
          <w:bCs/>
          <w:lang w:val="en-GB"/>
        </w:rPr>
        <w:t xml:space="preserve"> (</w:t>
      </w:r>
      <w:r w:rsidRPr="00CA4225">
        <w:rPr>
          <w:lang w:val="en-GB"/>
        </w:rPr>
        <w:t>Business of Government, 2024</w:t>
      </w:r>
      <w:r>
        <w:rPr>
          <w:bCs/>
          <w:lang w:val="en-GB"/>
        </w:rPr>
        <w:t xml:space="preserve">). </w:t>
      </w:r>
      <w:r w:rsidRPr="000D654C">
        <w:rPr>
          <w:bCs/>
          <w:lang w:val="en-GB"/>
        </w:rPr>
        <w:t xml:space="preserve">His five disciplines </w:t>
      </w:r>
      <w:r w:rsidR="009B386A">
        <w:rPr>
          <w:bCs/>
          <w:lang w:val="en-GB"/>
        </w:rPr>
        <w:t>as</w:t>
      </w:r>
      <w:r w:rsidRPr="000D654C">
        <w:rPr>
          <w:bCs/>
          <w:lang w:val="en-GB"/>
        </w:rPr>
        <w:t xml:space="preserve"> personal mastery, mental models, shared vision, team learning, and systems thinking </w:t>
      </w:r>
      <w:r w:rsidR="009B386A">
        <w:rPr>
          <w:bCs/>
          <w:lang w:val="en-GB"/>
        </w:rPr>
        <w:t>to</w:t>
      </w:r>
      <w:r w:rsidRPr="000D654C">
        <w:rPr>
          <w:bCs/>
          <w:lang w:val="en-GB"/>
        </w:rPr>
        <w:t xml:space="preserve"> offer a useful structure for transforming learning into a normal routine, not a special one. The most pertinent discipline is team learning, as the </w:t>
      </w:r>
      <w:r w:rsidRPr="000D654C">
        <w:rPr>
          <w:bCs/>
          <w:lang w:val="en-GB"/>
        </w:rPr>
        <w:lastRenderedPageBreak/>
        <w:t>organisation is composed of teams across three countries and collaborates on cutting-edge AI technologies that are changing rapidly, knowledge sharing needs to be embedded in team working processes, not on a whim. Staff who believe that learning is an integral part of the working process rather than a training day are more likely to remain in their organisation and continue to grow within the organisation.</w:t>
      </w:r>
    </w:p>
    <w:p w14:paraId="0BE36930" w14:textId="478C945D" w:rsidR="000D654C" w:rsidRPr="000D654C" w:rsidRDefault="000D654C" w:rsidP="00476856">
      <w:pPr>
        <w:rPr>
          <w:b/>
          <w:bCs/>
          <w:lang w:val="en-GB"/>
        </w:rPr>
      </w:pPr>
      <w:r w:rsidRPr="000D654C">
        <w:rPr>
          <w:b/>
          <w:bCs/>
          <w:lang w:val="en-GB"/>
        </w:rPr>
        <w:t xml:space="preserve">Job Crafting Theory and Self-Determination Theory </w:t>
      </w:r>
      <w:r>
        <w:rPr>
          <w:b/>
          <w:bCs/>
          <w:lang w:val="en-GB"/>
        </w:rPr>
        <w:t>-</w:t>
      </w:r>
      <w:r w:rsidRPr="000D654C">
        <w:rPr>
          <w:b/>
          <w:bCs/>
          <w:lang w:val="en-GB"/>
        </w:rPr>
        <w:t xml:space="preserve"> for the problem of limited career growth</w:t>
      </w:r>
    </w:p>
    <w:p w14:paraId="7BBFB86C" w14:textId="62DAB87F" w:rsidR="000D654C" w:rsidRDefault="001200ED" w:rsidP="00476856">
      <w:pPr>
        <w:rPr>
          <w:bCs/>
          <w:lang w:val="en-GB"/>
        </w:rPr>
      </w:pPr>
      <w:r w:rsidRPr="001200ED">
        <w:rPr>
          <w:bCs/>
          <w:lang w:val="en-GB"/>
        </w:rPr>
        <w:t>Self-Determination Theory (SDT) emphasises that there are three psychological needs that must be fulfilled</w:t>
      </w:r>
      <w:r w:rsidR="006B1FA9">
        <w:rPr>
          <w:bCs/>
          <w:lang w:val="en-GB"/>
        </w:rPr>
        <w:t xml:space="preserve"> for employees to be motivated, regarding </w:t>
      </w:r>
      <w:r w:rsidRPr="001200ED">
        <w:rPr>
          <w:bCs/>
          <w:lang w:val="en-GB"/>
        </w:rPr>
        <w:t xml:space="preserve">the need for competence, the need for autonomy and the need for relatedness with others (Gagné </w:t>
      </w:r>
      <w:r w:rsidRPr="001200ED">
        <w:rPr>
          <w:bCs/>
          <w:i/>
          <w:lang w:val="en-GB"/>
        </w:rPr>
        <w:t>et al.</w:t>
      </w:r>
      <w:r w:rsidR="00370152">
        <w:rPr>
          <w:bCs/>
          <w:lang w:val="en-GB"/>
        </w:rPr>
        <w:t xml:space="preserve"> 2026). </w:t>
      </w:r>
      <w:r w:rsidRPr="001200ED">
        <w:rPr>
          <w:bCs/>
          <w:lang w:val="en-GB"/>
        </w:rPr>
        <w:t>Job crafting involves employee self-manipulation of their roles to make them more satisfying and meaningful to them by adding or removing tasks, changing relationships with others, or develo</w:t>
      </w:r>
      <w:r>
        <w:rPr>
          <w:bCs/>
          <w:lang w:val="en-GB"/>
        </w:rPr>
        <w:t>ping new skills (Olafsen</w:t>
      </w:r>
      <w:r w:rsidRPr="001200ED">
        <w:rPr>
          <w:bCs/>
          <w:i/>
          <w:lang w:val="en-GB"/>
        </w:rPr>
        <w:t xml:space="preserve"> et al.</w:t>
      </w:r>
      <w:r w:rsidRPr="001200ED">
        <w:rPr>
          <w:bCs/>
          <w:lang w:val="en-GB"/>
        </w:rPr>
        <w:t xml:space="preserve"> 2025). The process of enabling them to design their own job with structure, support from line manager and aligned to their own development plans can reinvigorate the sense of progress and purpose needed to retain high performers at NHSX, where talent is shoring up fast and they see few opportunities to advance.</w:t>
      </w:r>
    </w:p>
    <w:p w14:paraId="05A4DFAC" w14:textId="6BBD307A" w:rsidR="001200ED" w:rsidRPr="00C00B73" w:rsidRDefault="00C00B73" w:rsidP="00476856">
      <w:pPr>
        <w:rPr>
          <w:b/>
          <w:bCs/>
          <w:lang w:val="en-GB"/>
        </w:rPr>
      </w:pPr>
      <w:r w:rsidRPr="00C00B73">
        <w:rPr>
          <w:b/>
          <w:bCs/>
          <w:lang w:val="en-GB"/>
        </w:rPr>
        <w:t>Psychological Safety (Edmondson) - for the problem of wellbeing and performance balance</w:t>
      </w:r>
    </w:p>
    <w:p w14:paraId="483B4F84" w14:textId="5342EA2F" w:rsidR="00476856" w:rsidRPr="00CA4225" w:rsidRDefault="00C00B73" w:rsidP="00C00B73">
      <w:pPr>
        <w:rPr>
          <w:lang w:val="en-GB"/>
        </w:rPr>
      </w:pPr>
      <w:r w:rsidRPr="00C00B73">
        <w:rPr>
          <w:bCs/>
          <w:lang w:val="en-GB"/>
        </w:rPr>
        <w:t>NHSX managers are facing a dilemma over how to get the balance right between employee wellbeing and high expectations for performance. The tension is directly related to the concept of psychological safety, which is defined as a shared sense that it is safe for everyone to speak up, ask questions, try new approaches, and admit mistakes without being penalised (</w:t>
      </w:r>
      <w:proofErr w:type="spellStart"/>
      <w:r w:rsidRPr="00C00B73">
        <w:rPr>
          <w:bCs/>
          <w:lang w:val="en-GB"/>
        </w:rPr>
        <w:t>Bahadurzada</w:t>
      </w:r>
      <w:proofErr w:type="spellEnd"/>
      <w:r>
        <w:rPr>
          <w:bCs/>
          <w:lang w:val="en-GB"/>
        </w:rPr>
        <w:t xml:space="preserve"> </w:t>
      </w:r>
      <w:r>
        <w:rPr>
          <w:bCs/>
          <w:i/>
          <w:lang w:val="en-GB"/>
        </w:rPr>
        <w:t>et al.</w:t>
      </w:r>
      <w:r w:rsidRPr="00C00B73">
        <w:rPr>
          <w:bCs/>
          <w:lang w:val="en-GB"/>
        </w:rPr>
        <w:t xml:space="preserve"> 2024). A high degree of psychological safety means that employees are not forced to make a choice between doing a good job and getting in trouble. In health care, teams that are more psychologically safe have been found to experience less burnout and are more likely to remain with their team and organisation, even under stress (</w:t>
      </w:r>
      <w:proofErr w:type="spellStart"/>
      <w:r w:rsidRPr="00C00B73">
        <w:rPr>
          <w:bCs/>
          <w:lang w:val="en-GB"/>
        </w:rPr>
        <w:t>Bahadurzada</w:t>
      </w:r>
      <w:proofErr w:type="spellEnd"/>
      <w:r w:rsidRPr="00C00B73">
        <w:rPr>
          <w:bCs/>
          <w:lang w:val="en-GB"/>
        </w:rPr>
        <w:t xml:space="preserve"> </w:t>
      </w:r>
      <w:r w:rsidRPr="00C00B73">
        <w:rPr>
          <w:bCs/>
          <w:i/>
          <w:lang w:val="en-GB"/>
        </w:rPr>
        <w:t>et al.</w:t>
      </w:r>
      <w:r w:rsidR="009B386A">
        <w:rPr>
          <w:bCs/>
          <w:lang w:val="en-GB"/>
        </w:rPr>
        <w:t xml:space="preserve"> 2024). </w:t>
      </w:r>
    </w:p>
    <w:p w14:paraId="46885428" w14:textId="77777777" w:rsidR="00EB28D9" w:rsidRDefault="00EB28D9" w:rsidP="00EB28D9">
      <w:pPr>
        <w:pStyle w:val="Heading2"/>
        <w:rPr>
          <w:lang w:val="en-GB"/>
        </w:rPr>
      </w:pPr>
      <w:bookmarkStart w:id="12" w:name="_Toc242605632"/>
      <w:r>
        <w:rPr>
          <w:lang w:val="en-GB"/>
        </w:rPr>
        <w:t>2.2 Talent Growth Strategy for NHSX</w:t>
      </w:r>
      <w:bookmarkEnd w:id="12"/>
      <w:r>
        <w:rPr>
          <w:lang w:val="en-GB"/>
        </w:rPr>
        <w:t xml:space="preserve"> </w:t>
      </w:r>
    </w:p>
    <w:tbl>
      <w:tblPr>
        <w:tblStyle w:val="GridTable5Dark-Accent2"/>
        <w:tblW w:w="0" w:type="auto"/>
        <w:tblLayout w:type="fixed"/>
        <w:tblLook w:val="04A0" w:firstRow="1" w:lastRow="0" w:firstColumn="1" w:lastColumn="0" w:noHBand="0" w:noVBand="1"/>
      </w:tblPr>
      <w:tblGrid>
        <w:gridCol w:w="1871"/>
        <w:gridCol w:w="3794"/>
        <w:gridCol w:w="1626"/>
        <w:gridCol w:w="1725"/>
      </w:tblGrid>
      <w:tr w:rsidR="00EB28D9" w:rsidRPr="00EB28D9" w14:paraId="5A127B43" w14:textId="77777777" w:rsidTr="00EB28D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1" w:type="dxa"/>
            <w:hideMark/>
          </w:tcPr>
          <w:p w14:paraId="1182CAFA" w14:textId="77777777" w:rsidR="00EB28D9" w:rsidRPr="00EB28D9" w:rsidRDefault="00EB28D9" w:rsidP="00EB28D9">
            <w:pPr>
              <w:spacing w:after="0" w:line="360" w:lineRule="auto"/>
              <w:jc w:val="center"/>
              <w:rPr>
                <w:lang w:val="en-IN"/>
              </w:rPr>
            </w:pPr>
            <w:r w:rsidRPr="00EB28D9">
              <w:rPr>
                <w:lang w:val="en-IN"/>
              </w:rPr>
              <w:t>Strategic Pillar</w:t>
            </w:r>
          </w:p>
        </w:tc>
        <w:tc>
          <w:tcPr>
            <w:tcW w:w="3794" w:type="dxa"/>
            <w:hideMark/>
          </w:tcPr>
          <w:p w14:paraId="61B1A4B9" w14:textId="77777777" w:rsidR="00EB28D9" w:rsidRPr="00EB28D9" w:rsidRDefault="00EB28D9" w:rsidP="00EB28D9">
            <w:pPr>
              <w:spacing w:after="0" w:line="360" w:lineRule="auto"/>
              <w:jc w:val="center"/>
              <w:cnfStyle w:val="100000000000" w:firstRow="1" w:lastRow="0" w:firstColumn="0" w:lastColumn="0" w:oddVBand="0" w:evenVBand="0" w:oddHBand="0" w:evenHBand="0" w:firstRowFirstColumn="0" w:firstRowLastColumn="0" w:lastRowFirstColumn="0" w:lastRowLastColumn="0"/>
              <w:rPr>
                <w:lang w:val="en-IN"/>
              </w:rPr>
            </w:pPr>
            <w:r w:rsidRPr="00EB28D9">
              <w:rPr>
                <w:lang w:val="en-IN"/>
              </w:rPr>
              <w:t>Key Actions</w:t>
            </w:r>
          </w:p>
        </w:tc>
        <w:tc>
          <w:tcPr>
            <w:tcW w:w="1626" w:type="dxa"/>
            <w:hideMark/>
          </w:tcPr>
          <w:p w14:paraId="7709271E" w14:textId="77777777" w:rsidR="00EB28D9" w:rsidRPr="00EB28D9" w:rsidRDefault="00EB28D9" w:rsidP="00EB28D9">
            <w:pPr>
              <w:spacing w:after="0" w:line="360" w:lineRule="auto"/>
              <w:jc w:val="center"/>
              <w:cnfStyle w:val="100000000000" w:firstRow="1" w:lastRow="0" w:firstColumn="0" w:lastColumn="0" w:oddVBand="0" w:evenVBand="0" w:oddHBand="0" w:evenHBand="0" w:firstRowFirstColumn="0" w:firstRowLastColumn="0" w:lastRowFirstColumn="0" w:lastRowLastColumn="0"/>
              <w:rPr>
                <w:lang w:val="en-IN"/>
              </w:rPr>
            </w:pPr>
            <w:r w:rsidRPr="00EB28D9">
              <w:rPr>
                <w:lang w:val="en-IN"/>
              </w:rPr>
              <w:t>Framework</w:t>
            </w:r>
          </w:p>
        </w:tc>
        <w:tc>
          <w:tcPr>
            <w:tcW w:w="1725" w:type="dxa"/>
            <w:hideMark/>
          </w:tcPr>
          <w:p w14:paraId="352EA8E7" w14:textId="77777777" w:rsidR="00EB28D9" w:rsidRPr="00EB28D9" w:rsidRDefault="00EB28D9" w:rsidP="00EB28D9">
            <w:pPr>
              <w:spacing w:after="0" w:line="360" w:lineRule="auto"/>
              <w:jc w:val="center"/>
              <w:cnfStyle w:val="100000000000" w:firstRow="1" w:lastRow="0" w:firstColumn="0" w:lastColumn="0" w:oddVBand="0" w:evenVBand="0" w:oddHBand="0" w:evenHBand="0" w:firstRowFirstColumn="0" w:firstRowLastColumn="0" w:lastRowFirstColumn="0" w:lastRowLastColumn="0"/>
              <w:rPr>
                <w:lang w:val="en-IN"/>
              </w:rPr>
            </w:pPr>
            <w:r w:rsidRPr="00EB28D9">
              <w:rPr>
                <w:lang w:val="en-IN"/>
              </w:rPr>
              <w:t>Problem Addressed</w:t>
            </w:r>
          </w:p>
        </w:tc>
      </w:tr>
      <w:tr w:rsidR="00EB28D9" w:rsidRPr="00EB28D9" w14:paraId="76330537" w14:textId="77777777" w:rsidTr="00EB28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1" w:type="dxa"/>
            <w:hideMark/>
          </w:tcPr>
          <w:p w14:paraId="120F8EE9" w14:textId="77777777" w:rsidR="00EB28D9" w:rsidRPr="00EB28D9" w:rsidRDefault="00EB28D9" w:rsidP="00EB28D9">
            <w:pPr>
              <w:spacing w:after="0" w:line="360" w:lineRule="auto"/>
              <w:jc w:val="left"/>
              <w:rPr>
                <w:lang w:val="en-IN"/>
              </w:rPr>
            </w:pPr>
            <w:r w:rsidRPr="00EB28D9">
              <w:rPr>
                <w:lang w:val="en-IN"/>
              </w:rPr>
              <w:lastRenderedPageBreak/>
              <w:t>Organisational Learning</w:t>
            </w:r>
          </w:p>
        </w:tc>
        <w:tc>
          <w:tcPr>
            <w:tcW w:w="3794" w:type="dxa"/>
            <w:hideMark/>
          </w:tcPr>
          <w:p w14:paraId="79EA44C0" w14:textId="77777777" w:rsidR="00EB28D9" w:rsidRPr="00EB28D9" w:rsidRDefault="00EB28D9" w:rsidP="00EB28D9">
            <w:pPr>
              <w:spacing w:after="0" w:line="360" w:lineRule="auto"/>
              <w:jc w:val="left"/>
              <w:cnfStyle w:val="000000100000" w:firstRow="0" w:lastRow="0" w:firstColumn="0" w:lastColumn="0" w:oddVBand="0" w:evenVBand="0" w:oddHBand="1" w:evenHBand="0" w:firstRowFirstColumn="0" w:firstRowLastColumn="0" w:lastRowFirstColumn="0" w:lastRowLastColumn="0"/>
              <w:rPr>
                <w:lang w:val="en-IN"/>
              </w:rPr>
            </w:pPr>
            <w:r w:rsidRPr="00EB28D9">
              <w:rPr>
                <w:lang w:val="en-IN"/>
              </w:rPr>
              <w:t>Protected weekly learning time (minimum 2 hours); tri-site virtual knowledge exchange programme; internal mentoring and reverse mentoring</w:t>
            </w:r>
          </w:p>
        </w:tc>
        <w:tc>
          <w:tcPr>
            <w:tcW w:w="1626" w:type="dxa"/>
            <w:hideMark/>
          </w:tcPr>
          <w:p w14:paraId="2B5C7E3A" w14:textId="77777777" w:rsidR="00EB28D9" w:rsidRPr="00EB28D9" w:rsidRDefault="00EB28D9" w:rsidP="00EB28D9">
            <w:pPr>
              <w:spacing w:after="0" w:line="360" w:lineRule="auto"/>
              <w:jc w:val="left"/>
              <w:cnfStyle w:val="000000100000" w:firstRow="0" w:lastRow="0" w:firstColumn="0" w:lastColumn="0" w:oddVBand="0" w:evenVBand="0" w:oddHBand="1" w:evenHBand="0" w:firstRowFirstColumn="0" w:firstRowLastColumn="0" w:lastRowFirstColumn="0" w:lastRowLastColumn="0"/>
              <w:rPr>
                <w:lang w:val="en-IN"/>
              </w:rPr>
            </w:pPr>
            <w:r w:rsidRPr="00EB28D9">
              <w:rPr>
                <w:lang w:val="en-IN"/>
              </w:rPr>
              <w:t>Senge (Businessofgovernment.org, 2024)</w:t>
            </w:r>
          </w:p>
        </w:tc>
        <w:tc>
          <w:tcPr>
            <w:tcW w:w="1725" w:type="dxa"/>
            <w:hideMark/>
          </w:tcPr>
          <w:p w14:paraId="16632FF2" w14:textId="77777777" w:rsidR="00EB28D9" w:rsidRPr="00EB28D9" w:rsidRDefault="00EB28D9" w:rsidP="00EB28D9">
            <w:pPr>
              <w:spacing w:after="0" w:line="360" w:lineRule="auto"/>
              <w:jc w:val="left"/>
              <w:cnfStyle w:val="000000100000" w:firstRow="0" w:lastRow="0" w:firstColumn="0" w:lastColumn="0" w:oddVBand="0" w:evenVBand="0" w:oddHBand="1" w:evenHBand="0" w:firstRowFirstColumn="0" w:firstRowLastColumn="0" w:lastRowFirstColumn="0" w:lastRowLastColumn="0"/>
              <w:rPr>
                <w:lang w:val="en-IN"/>
              </w:rPr>
            </w:pPr>
            <w:r w:rsidRPr="00EB28D9">
              <w:rPr>
                <w:lang w:val="en-IN"/>
              </w:rPr>
              <w:t>Insufficient learning and development; talent attrition</w:t>
            </w:r>
          </w:p>
        </w:tc>
      </w:tr>
      <w:tr w:rsidR="00EB28D9" w:rsidRPr="00EB28D9" w14:paraId="39F24B3E" w14:textId="77777777" w:rsidTr="00EB28D9">
        <w:tc>
          <w:tcPr>
            <w:cnfStyle w:val="001000000000" w:firstRow="0" w:lastRow="0" w:firstColumn="1" w:lastColumn="0" w:oddVBand="0" w:evenVBand="0" w:oddHBand="0" w:evenHBand="0" w:firstRowFirstColumn="0" w:firstRowLastColumn="0" w:lastRowFirstColumn="0" w:lastRowLastColumn="0"/>
            <w:tcW w:w="1871" w:type="dxa"/>
            <w:hideMark/>
          </w:tcPr>
          <w:p w14:paraId="1E5C18ED" w14:textId="77777777" w:rsidR="00EB28D9" w:rsidRPr="00EB28D9" w:rsidRDefault="00EB28D9" w:rsidP="00EB28D9">
            <w:pPr>
              <w:spacing w:after="0" w:line="360" w:lineRule="auto"/>
              <w:jc w:val="left"/>
              <w:rPr>
                <w:lang w:val="en-IN"/>
              </w:rPr>
            </w:pPr>
            <w:r w:rsidRPr="00EB28D9">
              <w:rPr>
                <w:lang w:val="en-IN"/>
              </w:rPr>
              <w:t>Career Growth through Job Crafting</w:t>
            </w:r>
          </w:p>
        </w:tc>
        <w:tc>
          <w:tcPr>
            <w:tcW w:w="3794" w:type="dxa"/>
            <w:hideMark/>
          </w:tcPr>
          <w:p w14:paraId="4E34FF02" w14:textId="77777777" w:rsidR="00EB28D9" w:rsidRPr="00EB28D9" w:rsidRDefault="00EB28D9" w:rsidP="00EB28D9">
            <w:pPr>
              <w:spacing w:after="0" w:line="360" w:lineRule="auto"/>
              <w:jc w:val="left"/>
              <w:cnfStyle w:val="000000000000" w:firstRow="0" w:lastRow="0" w:firstColumn="0" w:lastColumn="0" w:oddVBand="0" w:evenVBand="0" w:oddHBand="0" w:evenHBand="0" w:firstRowFirstColumn="0" w:firstRowLastColumn="0" w:lastRowFirstColumn="0" w:lastRowLastColumn="0"/>
              <w:rPr>
                <w:lang w:val="en-IN"/>
              </w:rPr>
            </w:pPr>
            <w:r w:rsidRPr="00EB28D9">
              <w:rPr>
                <w:lang w:val="en-IN"/>
              </w:rPr>
              <w:t>Role latitude frameworks; personal development OKRs; structured job crafting conversations with line managers</w:t>
            </w:r>
          </w:p>
        </w:tc>
        <w:tc>
          <w:tcPr>
            <w:tcW w:w="1626" w:type="dxa"/>
            <w:hideMark/>
          </w:tcPr>
          <w:p w14:paraId="6227D16E" w14:textId="77777777" w:rsidR="00EB28D9" w:rsidRPr="00EB28D9" w:rsidRDefault="00EB28D9" w:rsidP="00EB28D9">
            <w:pPr>
              <w:spacing w:after="0" w:line="360" w:lineRule="auto"/>
              <w:jc w:val="left"/>
              <w:cnfStyle w:val="000000000000" w:firstRow="0" w:lastRow="0" w:firstColumn="0" w:lastColumn="0" w:oddVBand="0" w:evenVBand="0" w:oddHBand="0" w:evenHBand="0" w:firstRowFirstColumn="0" w:firstRowLastColumn="0" w:lastRowFirstColumn="0" w:lastRowLastColumn="0"/>
              <w:rPr>
                <w:lang w:val="en-IN"/>
              </w:rPr>
            </w:pPr>
            <w:r w:rsidRPr="00EB28D9">
              <w:rPr>
                <w:lang w:val="en-IN"/>
              </w:rPr>
              <w:t xml:space="preserve">Olafsen </w:t>
            </w:r>
            <w:r w:rsidRPr="00EB28D9">
              <w:rPr>
                <w:i/>
                <w:iCs/>
                <w:lang w:val="en-IN"/>
              </w:rPr>
              <w:t>et al.</w:t>
            </w:r>
            <w:r w:rsidRPr="00EB28D9">
              <w:rPr>
                <w:lang w:val="en-IN"/>
              </w:rPr>
              <w:t xml:space="preserve"> (2025); Gagné </w:t>
            </w:r>
            <w:r w:rsidRPr="00EB28D9">
              <w:rPr>
                <w:i/>
                <w:iCs/>
                <w:lang w:val="en-IN"/>
              </w:rPr>
              <w:t>et al.</w:t>
            </w:r>
            <w:r w:rsidRPr="00EB28D9">
              <w:rPr>
                <w:lang w:val="en-IN"/>
              </w:rPr>
              <w:t xml:space="preserve"> (2026)</w:t>
            </w:r>
          </w:p>
        </w:tc>
        <w:tc>
          <w:tcPr>
            <w:tcW w:w="1725" w:type="dxa"/>
            <w:hideMark/>
          </w:tcPr>
          <w:p w14:paraId="2C9A63C5" w14:textId="77777777" w:rsidR="00EB28D9" w:rsidRPr="00EB28D9" w:rsidRDefault="00EB28D9" w:rsidP="00EB28D9">
            <w:pPr>
              <w:spacing w:after="0" w:line="360" w:lineRule="auto"/>
              <w:jc w:val="left"/>
              <w:cnfStyle w:val="000000000000" w:firstRow="0" w:lastRow="0" w:firstColumn="0" w:lastColumn="0" w:oddVBand="0" w:evenVBand="0" w:oddHBand="0" w:evenHBand="0" w:firstRowFirstColumn="0" w:firstRowLastColumn="0" w:lastRowFirstColumn="0" w:lastRowLastColumn="0"/>
              <w:rPr>
                <w:lang w:val="en-IN"/>
              </w:rPr>
            </w:pPr>
            <w:r w:rsidRPr="00EB28D9">
              <w:rPr>
                <w:lang w:val="en-IN"/>
              </w:rPr>
              <w:t>Limited career growth; high-performer exits</w:t>
            </w:r>
          </w:p>
        </w:tc>
      </w:tr>
      <w:tr w:rsidR="00EB28D9" w:rsidRPr="00EB28D9" w14:paraId="7955625F" w14:textId="77777777" w:rsidTr="00EB28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1" w:type="dxa"/>
            <w:hideMark/>
          </w:tcPr>
          <w:p w14:paraId="1F3D58BA" w14:textId="77777777" w:rsidR="00EB28D9" w:rsidRPr="00EB28D9" w:rsidRDefault="00EB28D9" w:rsidP="00EB28D9">
            <w:pPr>
              <w:spacing w:after="0" w:line="360" w:lineRule="auto"/>
              <w:jc w:val="left"/>
              <w:rPr>
                <w:lang w:val="en-IN"/>
              </w:rPr>
            </w:pPr>
            <w:r w:rsidRPr="00EB28D9">
              <w:rPr>
                <w:lang w:val="en-IN"/>
              </w:rPr>
              <w:t>Psychological Safety</w:t>
            </w:r>
          </w:p>
        </w:tc>
        <w:tc>
          <w:tcPr>
            <w:tcW w:w="3794" w:type="dxa"/>
            <w:hideMark/>
          </w:tcPr>
          <w:p w14:paraId="0F818AD3" w14:textId="77777777" w:rsidR="00EB28D9" w:rsidRPr="00EB28D9" w:rsidRDefault="00EB28D9" w:rsidP="00EB28D9">
            <w:pPr>
              <w:spacing w:after="0" w:line="360" w:lineRule="auto"/>
              <w:jc w:val="left"/>
              <w:cnfStyle w:val="000000100000" w:firstRow="0" w:lastRow="0" w:firstColumn="0" w:lastColumn="0" w:oddVBand="0" w:evenVBand="0" w:oddHBand="1" w:evenHBand="0" w:firstRowFirstColumn="0" w:firstRowLastColumn="0" w:lastRowFirstColumn="0" w:lastRowLastColumn="0"/>
              <w:rPr>
                <w:lang w:val="en-IN"/>
              </w:rPr>
            </w:pPr>
            <w:r w:rsidRPr="00EB28D9">
              <w:rPr>
                <w:lang w:val="en-IN"/>
              </w:rPr>
              <w:t>Manager training in inclusive communication; structured retrospectives; wellbeing check-ins; non-punitive error reporting</w:t>
            </w:r>
          </w:p>
        </w:tc>
        <w:tc>
          <w:tcPr>
            <w:tcW w:w="1626" w:type="dxa"/>
            <w:hideMark/>
          </w:tcPr>
          <w:p w14:paraId="77B77D6B" w14:textId="77777777" w:rsidR="00EB28D9" w:rsidRPr="00EB28D9" w:rsidRDefault="00EB28D9" w:rsidP="00EB28D9">
            <w:pPr>
              <w:spacing w:after="0" w:line="360" w:lineRule="auto"/>
              <w:jc w:val="left"/>
              <w:cnfStyle w:val="000000100000" w:firstRow="0" w:lastRow="0" w:firstColumn="0" w:lastColumn="0" w:oddVBand="0" w:evenVBand="0" w:oddHBand="1" w:evenHBand="0" w:firstRowFirstColumn="0" w:firstRowLastColumn="0" w:lastRowFirstColumn="0" w:lastRowLastColumn="0"/>
              <w:rPr>
                <w:lang w:val="en-IN"/>
              </w:rPr>
            </w:pPr>
            <w:proofErr w:type="spellStart"/>
            <w:r w:rsidRPr="00EB28D9">
              <w:rPr>
                <w:lang w:val="en-IN"/>
              </w:rPr>
              <w:t>Bahadurzada</w:t>
            </w:r>
            <w:proofErr w:type="spellEnd"/>
            <w:r w:rsidRPr="00EB28D9">
              <w:rPr>
                <w:lang w:val="en-IN"/>
              </w:rPr>
              <w:t xml:space="preserve"> </w:t>
            </w:r>
            <w:r w:rsidRPr="00EB28D9">
              <w:rPr>
                <w:i/>
                <w:iCs/>
                <w:lang w:val="en-IN"/>
              </w:rPr>
              <w:t>et al.</w:t>
            </w:r>
            <w:r w:rsidRPr="00EB28D9">
              <w:rPr>
                <w:lang w:val="en-IN"/>
              </w:rPr>
              <w:t xml:space="preserve"> (2024); CIPD (2024)</w:t>
            </w:r>
          </w:p>
        </w:tc>
        <w:tc>
          <w:tcPr>
            <w:tcW w:w="1725" w:type="dxa"/>
            <w:hideMark/>
          </w:tcPr>
          <w:p w14:paraId="5553579F" w14:textId="77777777" w:rsidR="00EB28D9" w:rsidRPr="00EB28D9" w:rsidRDefault="00EB28D9" w:rsidP="00EB28D9">
            <w:pPr>
              <w:spacing w:after="0" w:line="360" w:lineRule="auto"/>
              <w:jc w:val="left"/>
              <w:cnfStyle w:val="000000100000" w:firstRow="0" w:lastRow="0" w:firstColumn="0" w:lastColumn="0" w:oddVBand="0" w:evenVBand="0" w:oddHBand="1" w:evenHBand="0" w:firstRowFirstColumn="0" w:firstRowLastColumn="0" w:lastRowFirstColumn="0" w:lastRowLastColumn="0"/>
              <w:rPr>
                <w:lang w:val="en-IN"/>
              </w:rPr>
            </w:pPr>
            <w:r w:rsidRPr="00EB28D9">
              <w:rPr>
                <w:lang w:val="en-IN"/>
              </w:rPr>
              <w:t>Wellbeing and performance balance; burnout risk</w:t>
            </w:r>
          </w:p>
        </w:tc>
      </w:tr>
    </w:tbl>
    <w:p w14:paraId="54BF6C83" w14:textId="536F5173" w:rsidR="00EB28D9" w:rsidRPr="00EB28D9" w:rsidRDefault="00EB28D9" w:rsidP="00EB28D9">
      <w:pPr>
        <w:jc w:val="center"/>
        <w:rPr>
          <w:b/>
        </w:rPr>
      </w:pPr>
      <w:r w:rsidRPr="00EB28D9">
        <w:rPr>
          <w:b/>
        </w:rPr>
        <w:t>Table 2: NHSX Talent Growth Strategy</w:t>
      </w:r>
    </w:p>
    <w:p w14:paraId="709491D3" w14:textId="3DE2E68F" w:rsidR="00EB28D9" w:rsidRDefault="00EB28D9" w:rsidP="00EB28D9">
      <w:pPr>
        <w:jc w:val="center"/>
      </w:pPr>
      <w:r>
        <w:t>(Source: Self-developed)</w:t>
      </w:r>
    </w:p>
    <w:p w14:paraId="0C44B472" w14:textId="77777777" w:rsidR="00EB28D9" w:rsidRPr="00EB28D9" w:rsidRDefault="00EB28D9" w:rsidP="00EB28D9">
      <w:pPr>
        <w:rPr>
          <w:b/>
          <w:lang w:val="en-GB"/>
        </w:rPr>
      </w:pPr>
      <w:r w:rsidRPr="00EB28D9">
        <w:rPr>
          <w:b/>
          <w:lang w:val="en-GB"/>
        </w:rPr>
        <w:t xml:space="preserve">Pillar 1 – Organisational Learning: </w:t>
      </w:r>
    </w:p>
    <w:p w14:paraId="6A2482F7" w14:textId="76E7E5AE" w:rsidR="00EB28D9" w:rsidRPr="00EB28D9" w:rsidRDefault="00EB28D9" w:rsidP="00EB28D9">
      <w:pPr>
        <w:rPr>
          <w:lang w:val="en-GB"/>
        </w:rPr>
      </w:pPr>
      <w:r w:rsidRPr="00EB28D9">
        <w:rPr>
          <w:lang w:val="en-GB"/>
        </w:rPr>
        <w:t xml:space="preserve">NHSX should consider providing at least two hours of protected learning time each week per employee, without it being schedulable for operational need. There should be a tri-site virtual knowledge exchange programme </w:t>
      </w:r>
      <w:r>
        <w:rPr>
          <w:lang w:val="en-GB"/>
        </w:rPr>
        <w:t>to</w:t>
      </w:r>
      <w:r w:rsidRPr="00EB28D9">
        <w:rPr>
          <w:lang w:val="en-GB"/>
        </w:rPr>
        <w:t xml:space="preserve"> introduce pairs of workers from UK, India, UAE to facilitate structured monthly sessions to share project experiences, clinical knowledge and technical skills. Mentoring should be done between senior and junior staff, while for junior staff, the mentoring should be done in reverse, namely in digital to</w:t>
      </w:r>
      <w:r>
        <w:rPr>
          <w:lang w:val="en-GB"/>
        </w:rPr>
        <w:t xml:space="preserve">ols and emerging technologies. </w:t>
      </w:r>
    </w:p>
    <w:p w14:paraId="74C67898" w14:textId="77777777" w:rsidR="00EB28D9" w:rsidRPr="00EB28D9" w:rsidRDefault="00EB28D9" w:rsidP="00EB28D9">
      <w:pPr>
        <w:rPr>
          <w:b/>
          <w:lang w:val="en-GB"/>
        </w:rPr>
      </w:pPr>
      <w:r w:rsidRPr="00EB28D9">
        <w:rPr>
          <w:b/>
          <w:lang w:val="en-GB"/>
        </w:rPr>
        <w:t xml:space="preserve">Pillar 2 – Career growth through job crafting: </w:t>
      </w:r>
    </w:p>
    <w:p w14:paraId="3015FB25" w14:textId="5B3E5804" w:rsidR="00EB28D9" w:rsidRPr="00EB28D9" w:rsidRDefault="00EB28D9" w:rsidP="00EB28D9">
      <w:pPr>
        <w:rPr>
          <w:lang w:val="en-GB"/>
        </w:rPr>
      </w:pPr>
      <w:r w:rsidRPr="00EB28D9">
        <w:rPr>
          <w:lang w:val="en-GB"/>
        </w:rPr>
        <w:t>Every employee should have a personal development OKR in collaboration with their line manager, which should contain a minimum of one objective related to the job that they would like to improve, shape or grow over the coming quarter. This helps employees feel that there is a structure and a plan for them to grow without having to be promoted. The research has shown that job crafting, when facilitated by the organisation, is correlated with increased job satisfactio</w:t>
      </w:r>
      <w:r>
        <w:rPr>
          <w:lang w:val="en-GB"/>
        </w:rPr>
        <w:t>n and capability (</w:t>
      </w:r>
      <w:proofErr w:type="spellStart"/>
      <w:r>
        <w:t>Nwanzu</w:t>
      </w:r>
      <w:proofErr w:type="spellEnd"/>
      <w:r w:rsidRPr="00EB28D9">
        <w:t xml:space="preserve"> and Babalola</w:t>
      </w:r>
      <w:r>
        <w:rPr>
          <w:lang w:val="en-GB"/>
        </w:rPr>
        <w:t>, 2024).</w:t>
      </w:r>
    </w:p>
    <w:p w14:paraId="10F83900" w14:textId="77777777" w:rsidR="00D85ACC" w:rsidRPr="00D85ACC" w:rsidRDefault="00EB28D9" w:rsidP="00EB28D9">
      <w:pPr>
        <w:rPr>
          <w:b/>
          <w:lang w:val="en-GB"/>
        </w:rPr>
      </w:pPr>
      <w:r w:rsidRPr="00D85ACC">
        <w:rPr>
          <w:b/>
          <w:lang w:val="en-GB"/>
        </w:rPr>
        <w:t xml:space="preserve">Pillar 3 – Psychological Safety: </w:t>
      </w:r>
    </w:p>
    <w:p w14:paraId="565093C1" w14:textId="5D6ABBC0" w:rsidR="00EB28D9" w:rsidRPr="00EB28D9" w:rsidRDefault="00EB28D9" w:rsidP="00EB28D9">
      <w:pPr>
        <w:rPr>
          <w:lang w:val="en-GB"/>
        </w:rPr>
      </w:pPr>
      <w:r w:rsidRPr="00EB28D9">
        <w:rPr>
          <w:lang w:val="en-GB"/>
        </w:rPr>
        <w:lastRenderedPageBreak/>
        <w:t>NHSX should create a formal manager development programme which emphasises the importance of creating psychologically safe team environments. The evidence review aligns with the fact that psychologically safe teams exhibit better performance, reduc</w:t>
      </w:r>
      <w:r w:rsidR="00D85ACC">
        <w:rPr>
          <w:lang w:val="en-GB"/>
        </w:rPr>
        <w:t xml:space="preserve">ed burnout and better retention, </w:t>
      </w:r>
      <w:r w:rsidRPr="00EB28D9">
        <w:rPr>
          <w:lang w:val="en-GB"/>
        </w:rPr>
        <w:t>all of which supports the Board's strategic goals</w:t>
      </w:r>
      <w:r w:rsidR="00D85ACC">
        <w:rPr>
          <w:lang w:val="en-GB"/>
        </w:rPr>
        <w:t xml:space="preserve"> (CIPD, </w:t>
      </w:r>
      <w:r w:rsidR="00D85ACC" w:rsidRPr="00EB28D9">
        <w:rPr>
          <w:lang w:val="en-GB"/>
        </w:rPr>
        <w:t>2024)</w:t>
      </w:r>
      <w:r w:rsidRPr="00EB28D9">
        <w:rPr>
          <w:lang w:val="en-GB"/>
        </w:rPr>
        <w:t>.</w:t>
      </w:r>
    </w:p>
    <w:p w14:paraId="6C4140BB" w14:textId="77777777" w:rsidR="00EB28D9" w:rsidRPr="00EB28D9" w:rsidRDefault="00EB28D9" w:rsidP="00EB28D9">
      <w:pPr>
        <w:rPr>
          <w:lang w:val="en-GB"/>
        </w:rPr>
      </w:pPr>
    </w:p>
    <w:p w14:paraId="1E5D3C2C" w14:textId="77777777" w:rsidR="00EB28D9" w:rsidRPr="00EB28D9" w:rsidRDefault="00EB28D9" w:rsidP="00EB28D9">
      <w:pPr>
        <w:rPr>
          <w:lang w:val="en-GB"/>
        </w:rPr>
      </w:pPr>
    </w:p>
    <w:p w14:paraId="0D3703BC" w14:textId="77777777" w:rsidR="00D85ACC" w:rsidRDefault="00D85ACC">
      <w:pPr>
        <w:spacing w:after="0"/>
        <w:rPr>
          <w:lang w:val="en-GB"/>
        </w:rPr>
      </w:pPr>
      <w:r>
        <w:rPr>
          <w:lang w:val="en-GB"/>
        </w:rPr>
        <w:br w:type="page"/>
      </w:r>
    </w:p>
    <w:p w14:paraId="79DA2FBC" w14:textId="6E67550F" w:rsidR="00EB28D9" w:rsidRPr="00EB28D9" w:rsidRDefault="00EB28D9" w:rsidP="00D85ACC">
      <w:pPr>
        <w:pStyle w:val="Heading1"/>
        <w:rPr>
          <w:lang w:val="en-GB"/>
        </w:rPr>
      </w:pPr>
      <w:bookmarkStart w:id="13" w:name="_Toc242605633"/>
      <w:r w:rsidRPr="00EB28D9">
        <w:rPr>
          <w:lang w:val="en-GB"/>
        </w:rPr>
        <w:lastRenderedPageBreak/>
        <w:t>Task C – Reflective Report</w:t>
      </w:r>
      <w:bookmarkEnd w:id="13"/>
    </w:p>
    <w:p w14:paraId="426631A3" w14:textId="77777777" w:rsidR="00EB28D9" w:rsidRPr="00EB28D9" w:rsidRDefault="00EB28D9" w:rsidP="00D85ACC">
      <w:pPr>
        <w:pStyle w:val="Heading2"/>
        <w:rPr>
          <w:lang w:val="en-GB"/>
        </w:rPr>
      </w:pPr>
      <w:bookmarkStart w:id="14" w:name="_Toc242605634"/>
      <w:r w:rsidRPr="00EB28D9">
        <w:rPr>
          <w:lang w:val="en-GB"/>
        </w:rPr>
        <w:t>3.1 AI as Strategic Decision-Support Tool HRM</w:t>
      </w:r>
      <w:bookmarkEnd w:id="14"/>
    </w:p>
    <w:p w14:paraId="328ABC3C" w14:textId="77777777" w:rsidR="00483E20" w:rsidRPr="00483E20" w:rsidRDefault="00EB28D9" w:rsidP="00483E20">
      <w:pPr>
        <w:rPr>
          <w:lang w:val="en-GB"/>
        </w:rPr>
      </w:pPr>
      <w:r w:rsidRPr="00EB28D9">
        <w:rPr>
          <w:lang w:val="en-GB"/>
        </w:rPr>
        <w:t xml:space="preserve">AI is being adopted by HRM applications, such as skills gap analysis, recruitment screening, employee sentiment analysis, performance monitoring, and workforce planning. </w:t>
      </w:r>
      <w:r w:rsidR="00483E20" w:rsidRPr="00483E20">
        <w:rPr>
          <w:lang w:val="en-GB"/>
        </w:rPr>
        <w:t xml:space="preserve">Sachan et al. (2024) noted that AI's application in HRM is further strengthened by its capability to analyse large volumes of employee data quickly and effectively and detect patterns, improving the efficiency of talent acquisition and performance management. </w:t>
      </w:r>
    </w:p>
    <w:p w14:paraId="0F641866" w14:textId="021ED342" w:rsidR="00483E20" w:rsidRPr="00483E20" w:rsidRDefault="00483E20" w:rsidP="00483E20">
      <w:pPr>
        <w:rPr>
          <w:lang w:val="en-GB"/>
        </w:rPr>
      </w:pPr>
      <w:r w:rsidRPr="00483E20">
        <w:rPr>
          <w:lang w:val="en-GB"/>
        </w:rPr>
        <w:t xml:space="preserve">But this integration is accompanied by some significant ethical questions. However, if the training history of the algorithm is non-representative, the algorithm has the potential to reinforce and amplify bias (Saad Zakaria and Khattak, 2026). They can also cut down on the human oversight that is vital for decisions that would impact human resources greatly on their job and wellbeing. </w:t>
      </w:r>
    </w:p>
    <w:p w14:paraId="57B4E4FC" w14:textId="0E08C94A" w:rsidR="00EB28D9" w:rsidRPr="00EB28D9" w:rsidRDefault="00483E20" w:rsidP="00483E20">
      <w:pPr>
        <w:rPr>
          <w:lang w:val="en-GB"/>
        </w:rPr>
      </w:pPr>
      <w:r w:rsidRPr="00483E20">
        <w:rPr>
          <w:lang w:val="en-GB"/>
        </w:rPr>
        <w:t>Being an HRM future power player, I have seen that using AI is best used to augment rather than supplant human decision making. The right model is one that uses AI to surface data, minimize cognitive bias and enhance the quality of data that HR professionals have at their fingertips, but still holds the human professional accountable for the decision.</w:t>
      </w:r>
    </w:p>
    <w:p w14:paraId="71225DD1" w14:textId="28B43B66" w:rsidR="00EB28D9" w:rsidRPr="00EB28D9" w:rsidRDefault="00E40EB3" w:rsidP="00E40EB3">
      <w:pPr>
        <w:pStyle w:val="Heading2"/>
        <w:rPr>
          <w:lang w:val="en-GB"/>
        </w:rPr>
      </w:pPr>
      <w:bookmarkStart w:id="15" w:name="_Toc242605635"/>
      <w:r>
        <w:t>3.2 Reflective Analysis: Three Specific Instances of AI Use</w:t>
      </w:r>
      <w:bookmarkEnd w:id="15"/>
    </w:p>
    <w:p w14:paraId="24492F52" w14:textId="03CE3DE3" w:rsidR="00EB28D9" w:rsidRPr="00E40EB3" w:rsidRDefault="00EB28D9" w:rsidP="00EB28D9">
      <w:pPr>
        <w:rPr>
          <w:b/>
          <w:lang w:val="en-GB"/>
        </w:rPr>
      </w:pPr>
      <w:r w:rsidRPr="00E40EB3">
        <w:rPr>
          <w:b/>
          <w:lang w:val="en-GB"/>
        </w:rPr>
        <w:t xml:space="preserve">Instance 1 </w:t>
      </w:r>
      <w:r w:rsidR="00E40EB3" w:rsidRPr="00E40EB3">
        <w:rPr>
          <w:b/>
          <w:lang w:val="en-GB"/>
        </w:rPr>
        <w:t>-</w:t>
      </w:r>
      <w:r w:rsidR="00E40EB3">
        <w:rPr>
          <w:b/>
          <w:lang w:val="en-GB"/>
        </w:rPr>
        <w:t xml:space="preserve"> Literature Scoping</w:t>
      </w:r>
    </w:p>
    <w:p w14:paraId="4179D480" w14:textId="1CC1AFE3" w:rsidR="00EB28D9" w:rsidRPr="00EB28D9" w:rsidRDefault="00EB28D9" w:rsidP="00EB28D9">
      <w:pPr>
        <w:rPr>
          <w:lang w:val="en-GB"/>
        </w:rPr>
      </w:pPr>
      <w:r w:rsidRPr="00EB28D9">
        <w:rPr>
          <w:lang w:val="en-GB"/>
        </w:rPr>
        <w:t xml:space="preserve">To provide a foundation for this assignment, I initially employed an AI tool to determine the key theoretical frameworks associated with work design and talent management. The Ai was able to rapidly scan the general debates in HPWS and learning organisation literature, aiding greatly in the identification of initial points of further reading. When I requested specific references, however, the AI sometimes generated citations that seemed correct, but were not found in academic databases. Professionally significant experience because this showed me that AI helps me search quicker but it does not take the place of judgment when verifying source credibility. </w:t>
      </w:r>
    </w:p>
    <w:p w14:paraId="3E180BC5" w14:textId="0E4B9986" w:rsidR="00EB28D9" w:rsidRPr="00E40EB3" w:rsidRDefault="00E40EB3" w:rsidP="00EB28D9">
      <w:pPr>
        <w:rPr>
          <w:b/>
          <w:lang w:val="en-GB"/>
        </w:rPr>
      </w:pPr>
      <w:r w:rsidRPr="00E40EB3">
        <w:rPr>
          <w:b/>
        </w:rPr>
        <w:t xml:space="preserve">Instance 2 </w:t>
      </w:r>
      <w:r>
        <w:rPr>
          <w:b/>
        </w:rPr>
        <w:t>-</w:t>
      </w:r>
      <w:r w:rsidRPr="00E40EB3">
        <w:rPr>
          <w:b/>
        </w:rPr>
        <w:t xml:space="preserve"> Framework and Table Development</w:t>
      </w:r>
    </w:p>
    <w:p w14:paraId="76533337" w14:textId="03DBFAA1" w:rsidR="00EB28D9" w:rsidRPr="00EB28D9" w:rsidRDefault="00EB28D9" w:rsidP="00EB28D9">
      <w:pPr>
        <w:rPr>
          <w:lang w:val="en-GB"/>
        </w:rPr>
      </w:pPr>
      <w:r w:rsidRPr="00EB28D9">
        <w:rPr>
          <w:lang w:val="en-GB"/>
        </w:rPr>
        <w:t xml:space="preserve">I tested my logic for the integrated work practice framework in Task A and my talent strategy table in Task B to check for internal consistency and make sure that my argument did not contain any major weaknesses or contradictions by using an AI tool. I would have noticed this as a contradiction if I hadn't included it in the same section as the brief identified it as a problem; </w:t>
      </w:r>
      <w:r w:rsidRPr="00EB28D9">
        <w:rPr>
          <w:lang w:val="en-GB"/>
        </w:rPr>
        <w:lastRenderedPageBreak/>
        <w:t>the AI did notice it. This prompted me to review the recommendations and to move away from working as a hybrid to rotation based flexible working, a change the teacher later gave me feedback on was the</w:t>
      </w:r>
      <w:r w:rsidR="00E40EB3">
        <w:rPr>
          <w:lang w:val="en-GB"/>
        </w:rPr>
        <w:t xml:space="preserve"> right one to make!</w:t>
      </w:r>
    </w:p>
    <w:p w14:paraId="7644D87F" w14:textId="450F334C" w:rsidR="00EB28D9" w:rsidRPr="00E40EB3" w:rsidRDefault="00E40EB3" w:rsidP="00EB28D9">
      <w:pPr>
        <w:rPr>
          <w:b/>
          <w:lang w:val="en-GB"/>
        </w:rPr>
      </w:pPr>
      <w:r w:rsidRPr="00E40EB3">
        <w:rPr>
          <w:b/>
          <w:lang w:val="en-GB"/>
        </w:rPr>
        <w:t>Instance 3 - Reflective Writing</w:t>
      </w:r>
    </w:p>
    <w:p w14:paraId="44B3C78D" w14:textId="50829A75" w:rsidR="00EB28D9" w:rsidRDefault="00EB28D9" w:rsidP="00EB28D9">
      <w:pPr>
        <w:rPr>
          <w:lang w:val="en-GB"/>
        </w:rPr>
      </w:pPr>
      <w:r w:rsidRPr="00EB28D9">
        <w:rPr>
          <w:lang w:val="en-GB"/>
        </w:rPr>
        <w:t>For this reflective part I tried using an AI tool to produce a set of reflections on my professional development. The writing was grammatically accurate and generally coherent, although there was nothing original or distinctive in it; it could be about any student from any programme. This experience was clarifying, in that reflection is a personal and intellectual process, not a process of producing content.</w:t>
      </w:r>
    </w:p>
    <w:p w14:paraId="402B37E6" w14:textId="77777777" w:rsidR="00E40EB3" w:rsidRDefault="00E40EB3" w:rsidP="00E40EB3">
      <w:pPr>
        <w:pStyle w:val="Heading2"/>
      </w:pPr>
      <w:bookmarkStart w:id="16" w:name="_Toc242605636"/>
      <w:r>
        <w:t>3.3 Personal Capability Development Plan</w:t>
      </w:r>
      <w:bookmarkEnd w:id="16"/>
    </w:p>
    <w:tbl>
      <w:tblPr>
        <w:tblStyle w:val="GridTable5Dark-Accent6"/>
        <w:tblW w:w="0" w:type="auto"/>
        <w:jc w:val="center"/>
        <w:tblLook w:val="04A0" w:firstRow="1" w:lastRow="0" w:firstColumn="1" w:lastColumn="0" w:noHBand="0" w:noVBand="1"/>
      </w:tblPr>
      <w:tblGrid>
        <w:gridCol w:w="2414"/>
        <w:gridCol w:w="2642"/>
        <w:gridCol w:w="2778"/>
        <w:gridCol w:w="1182"/>
      </w:tblGrid>
      <w:tr w:rsidR="00E40EB3" w:rsidRPr="00E40EB3" w14:paraId="0C9AD05C" w14:textId="77777777" w:rsidTr="00E40EB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3987656" w14:textId="77777777" w:rsidR="00E40EB3" w:rsidRPr="00E40EB3" w:rsidRDefault="00E40EB3" w:rsidP="00E40EB3">
            <w:pPr>
              <w:spacing w:after="0" w:line="360" w:lineRule="auto"/>
              <w:jc w:val="center"/>
              <w:rPr>
                <w:lang w:val="en-IN"/>
              </w:rPr>
            </w:pPr>
            <w:r w:rsidRPr="00E40EB3">
              <w:rPr>
                <w:lang w:val="en-IN"/>
              </w:rPr>
              <w:t>Capability Area</w:t>
            </w:r>
          </w:p>
        </w:tc>
        <w:tc>
          <w:tcPr>
            <w:tcW w:w="0" w:type="auto"/>
            <w:hideMark/>
          </w:tcPr>
          <w:p w14:paraId="1B00B4B6" w14:textId="77777777" w:rsidR="00E40EB3" w:rsidRPr="00E40EB3" w:rsidRDefault="00E40EB3" w:rsidP="00E40EB3">
            <w:pPr>
              <w:spacing w:after="0" w:line="360" w:lineRule="auto"/>
              <w:jc w:val="center"/>
              <w:cnfStyle w:val="100000000000" w:firstRow="1" w:lastRow="0" w:firstColumn="0" w:lastColumn="0" w:oddVBand="0" w:evenVBand="0" w:oddHBand="0" w:evenHBand="0" w:firstRowFirstColumn="0" w:firstRowLastColumn="0" w:lastRowFirstColumn="0" w:lastRowLastColumn="0"/>
              <w:rPr>
                <w:lang w:val="en-IN"/>
              </w:rPr>
            </w:pPr>
            <w:r w:rsidRPr="00E40EB3">
              <w:rPr>
                <w:lang w:val="en-IN"/>
              </w:rPr>
              <w:t>Current Gap</w:t>
            </w:r>
          </w:p>
        </w:tc>
        <w:tc>
          <w:tcPr>
            <w:tcW w:w="0" w:type="auto"/>
            <w:hideMark/>
          </w:tcPr>
          <w:p w14:paraId="05215A13" w14:textId="77777777" w:rsidR="00E40EB3" w:rsidRPr="00E40EB3" w:rsidRDefault="00E40EB3" w:rsidP="00E40EB3">
            <w:pPr>
              <w:spacing w:after="0" w:line="360" w:lineRule="auto"/>
              <w:jc w:val="center"/>
              <w:cnfStyle w:val="100000000000" w:firstRow="1" w:lastRow="0" w:firstColumn="0" w:lastColumn="0" w:oddVBand="0" w:evenVBand="0" w:oddHBand="0" w:evenHBand="0" w:firstRowFirstColumn="0" w:firstRowLastColumn="0" w:lastRowFirstColumn="0" w:lastRowLastColumn="0"/>
              <w:rPr>
                <w:lang w:val="en-IN"/>
              </w:rPr>
            </w:pPr>
            <w:r w:rsidRPr="00E40EB3">
              <w:rPr>
                <w:lang w:val="en-IN"/>
              </w:rPr>
              <w:t>Action</w:t>
            </w:r>
          </w:p>
        </w:tc>
        <w:tc>
          <w:tcPr>
            <w:tcW w:w="0" w:type="auto"/>
            <w:hideMark/>
          </w:tcPr>
          <w:p w14:paraId="6B8947F7" w14:textId="77777777" w:rsidR="00E40EB3" w:rsidRPr="00E40EB3" w:rsidRDefault="00E40EB3" w:rsidP="00E40EB3">
            <w:pPr>
              <w:spacing w:after="0" w:line="360" w:lineRule="auto"/>
              <w:jc w:val="center"/>
              <w:cnfStyle w:val="100000000000" w:firstRow="1" w:lastRow="0" w:firstColumn="0" w:lastColumn="0" w:oddVBand="0" w:evenVBand="0" w:oddHBand="0" w:evenHBand="0" w:firstRowFirstColumn="0" w:firstRowLastColumn="0" w:lastRowFirstColumn="0" w:lastRowLastColumn="0"/>
              <w:rPr>
                <w:lang w:val="en-IN"/>
              </w:rPr>
            </w:pPr>
            <w:r w:rsidRPr="00E40EB3">
              <w:rPr>
                <w:lang w:val="en-IN"/>
              </w:rPr>
              <w:t>Timeline</w:t>
            </w:r>
          </w:p>
        </w:tc>
      </w:tr>
      <w:tr w:rsidR="00E40EB3" w:rsidRPr="00E40EB3" w14:paraId="7AEFB239" w14:textId="77777777" w:rsidTr="00E40EB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381631" w14:textId="77777777" w:rsidR="00E40EB3" w:rsidRPr="00E40EB3" w:rsidRDefault="00E40EB3" w:rsidP="00E40EB3">
            <w:pPr>
              <w:spacing w:after="0" w:line="360" w:lineRule="auto"/>
              <w:jc w:val="left"/>
              <w:rPr>
                <w:lang w:val="en-IN"/>
              </w:rPr>
            </w:pPr>
            <w:r w:rsidRPr="00E40EB3">
              <w:rPr>
                <w:lang w:val="en-IN"/>
              </w:rPr>
              <w:t>AI Literacy in HRM</w:t>
            </w:r>
          </w:p>
        </w:tc>
        <w:tc>
          <w:tcPr>
            <w:tcW w:w="0" w:type="auto"/>
            <w:hideMark/>
          </w:tcPr>
          <w:p w14:paraId="44B81531" w14:textId="77777777" w:rsidR="00E40EB3" w:rsidRPr="00E40EB3" w:rsidRDefault="00E40EB3" w:rsidP="00E40EB3">
            <w:pPr>
              <w:spacing w:after="0" w:line="360" w:lineRule="auto"/>
              <w:jc w:val="left"/>
              <w:cnfStyle w:val="000000100000" w:firstRow="0" w:lastRow="0" w:firstColumn="0" w:lastColumn="0" w:oddVBand="0" w:evenVBand="0" w:oddHBand="1" w:evenHBand="0" w:firstRowFirstColumn="0" w:firstRowLastColumn="0" w:lastRowFirstColumn="0" w:lastRowLastColumn="0"/>
              <w:rPr>
                <w:lang w:val="en-IN"/>
              </w:rPr>
            </w:pPr>
            <w:r w:rsidRPr="00E40EB3">
              <w:rPr>
                <w:lang w:val="en-IN"/>
              </w:rPr>
              <w:t>Limited practical experience with HR analytics platforms</w:t>
            </w:r>
          </w:p>
        </w:tc>
        <w:tc>
          <w:tcPr>
            <w:tcW w:w="0" w:type="auto"/>
            <w:hideMark/>
          </w:tcPr>
          <w:p w14:paraId="6511C5E6" w14:textId="77777777" w:rsidR="00E40EB3" w:rsidRPr="00E40EB3" w:rsidRDefault="00E40EB3" w:rsidP="00E40EB3">
            <w:pPr>
              <w:spacing w:after="0" w:line="360" w:lineRule="auto"/>
              <w:jc w:val="left"/>
              <w:cnfStyle w:val="000000100000" w:firstRow="0" w:lastRow="0" w:firstColumn="0" w:lastColumn="0" w:oddVBand="0" w:evenVBand="0" w:oddHBand="1" w:evenHBand="0" w:firstRowFirstColumn="0" w:firstRowLastColumn="0" w:lastRowFirstColumn="0" w:lastRowLastColumn="0"/>
              <w:rPr>
                <w:lang w:val="en-IN"/>
              </w:rPr>
            </w:pPr>
            <w:r w:rsidRPr="00E40EB3">
              <w:rPr>
                <w:lang w:val="en-IN"/>
              </w:rPr>
              <w:t>Complete a CIPD or Coursera AI in HRM professional certificate</w:t>
            </w:r>
          </w:p>
        </w:tc>
        <w:tc>
          <w:tcPr>
            <w:tcW w:w="0" w:type="auto"/>
            <w:hideMark/>
          </w:tcPr>
          <w:p w14:paraId="75E2053B" w14:textId="77777777" w:rsidR="00E40EB3" w:rsidRPr="00E40EB3" w:rsidRDefault="00E40EB3" w:rsidP="00E40EB3">
            <w:pPr>
              <w:spacing w:after="0" w:line="360" w:lineRule="auto"/>
              <w:jc w:val="left"/>
              <w:cnfStyle w:val="000000100000" w:firstRow="0" w:lastRow="0" w:firstColumn="0" w:lastColumn="0" w:oddVBand="0" w:evenVBand="0" w:oddHBand="1" w:evenHBand="0" w:firstRowFirstColumn="0" w:firstRowLastColumn="0" w:lastRowFirstColumn="0" w:lastRowLastColumn="0"/>
              <w:rPr>
                <w:lang w:val="en-IN"/>
              </w:rPr>
            </w:pPr>
            <w:r w:rsidRPr="00E40EB3">
              <w:rPr>
                <w:lang w:val="en-IN"/>
              </w:rPr>
              <w:t>6 months</w:t>
            </w:r>
          </w:p>
        </w:tc>
      </w:tr>
      <w:tr w:rsidR="00E40EB3" w:rsidRPr="00E40EB3" w14:paraId="6BF1233E" w14:textId="77777777" w:rsidTr="00E40EB3">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8953668" w14:textId="77777777" w:rsidR="00E40EB3" w:rsidRPr="00E40EB3" w:rsidRDefault="00E40EB3" w:rsidP="00E40EB3">
            <w:pPr>
              <w:spacing w:after="0" w:line="360" w:lineRule="auto"/>
              <w:jc w:val="left"/>
              <w:rPr>
                <w:lang w:val="en-IN"/>
              </w:rPr>
            </w:pPr>
            <w:r w:rsidRPr="00E40EB3">
              <w:rPr>
                <w:lang w:val="en-IN"/>
              </w:rPr>
              <w:t>Cross-Cultural People Management</w:t>
            </w:r>
          </w:p>
        </w:tc>
        <w:tc>
          <w:tcPr>
            <w:tcW w:w="0" w:type="auto"/>
            <w:hideMark/>
          </w:tcPr>
          <w:p w14:paraId="6F551DCD" w14:textId="77777777" w:rsidR="00E40EB3" w:rsidRPr="00E40EB3" w:rsidRDefault="00E40EB3" w:rsidP="00E40EB3">
            <w:pPr>
              <w:spacing w:after="0" w:line="360" w:lineRule="auto"/>
              <w:jc w:val="left"/>
              <w:cnfStyle w:val="000000000000" w:firstRow="0" w:lastRow="0" w:firstColumn="0" w:lastColumn="0" w:oddVBand="0" w:evenVBand="0" w:oddHBand="0" w:evenHBand="0" w:firstRowFirstColumn="0" w:firstRowLastColumn="0" w:lastRowFirstColumn="0" w:lastRowLastColumn="0"/>
              <w:rPr>
                <w:lang w:val="en-IN"/>
              </w:rPr>
            </w:pPr>
            <w:r w:rsidRPr="00E40EB3">
              <w:rPr>
                <w:lang w:val="en-IN"/>
              </w:rPr>
              <w:t>Limited experience managing geographically dispersed international teams</w:t>
            </w:r>
          </w:p>
        </w:tc>
        <w:tc>
          <w:tcPr>
            <w:tcW w:w="0" w:type="auto"/>
            <w:hideMark/>
          </w:tcPr>
          <w:p w14:paraId="2F654280" w14:textId="77777777" w:rsidR="00E40EB3" w:rsidRPr="00E40EB3" w:rsidRDefault="00E40EB3" w:rsidP="00E40EB3">
            <w:pPr>
              <w:spacing w:after="0" w:line="360" w:lineRule="auto"/>
              <w:jc w:val="left"/>
              <w:cnfStyle w:val="000000000000" w:firstRow="0" w:lastRow="0" w:firstColumn="0" w:lastColumn="0" w:oddVBand="0" w:evenVBand="0" w:oddHBand="0" w:evenHBand="0" w:firstRowFirstColumn="0" w:firstRowLastColumn="0" w:lastRowFirstColumn="0" w:lastRowLastColumn="0"/>
              <w:rPr>
                <w:lang w:val="en-IN"/>
              </w:rPr>
            </w:pPr>
            <w:r w:rsidRPr="00E40EB3">
              <w:rPr>
                <w:lang w:val="en-IN"/>
              </w:rPr>
              <w:t>Seek international project exposure at NHSX; study IHRM literature</w:t>
            </w:r>
          </w:p>
        </w:tc>
        <w:tc>
          <w:tcPr>
            <w:tcW w:w="0" w:type="auto"/>
            <w:hideMark/>
          </w:tcPr>
          <w:p w14:paraId="5AB4FA3F" w14:textId="77777777" w:rsidR="00E40EB3" w:rsidRPr="00E40EB3" w:rsidRDefault="00E40EB3" w:rsidP="00E40EB3">
            <w:pPr>
              <w:spacing w:after="0" w:line="360" w:lineRule="auto"/>
              <w:jc w:val="left"/>
              <w:cnfStyle w:val="000000000000" w:firstRow="0" w:lastRow="0" w:firstColumn="0" w:lastColumn="0" w:oddVBand="0" w:evenVBand="0" w:oddHBand="0" w:evenHBand="0" w:firstRowFirstColumn="0" w:firstRowLastColumn="0" w:lastRowFirstColumn="0" w:lastRowLastColumn="0"/>
              <w:rPr>
                <w:lang w:val="en-IN"/>
              </w:rPr>
            </w:pPr>
            <w:r w:rsidRPr="00E40EB3">
              <w:rPr>
                <w:lang w:val="en-IN"/>
              </w:rPr>
              <w:t>12 months</w:t>
            </w:r>
          </w:p>
        </w:tc>
      </w:tr>
      <w:tr w:rsidR="00E40EB3" w:rsidRPr="00E40EB3" w14:paraId="3B253244" w14:textId="77777777" w:rsidTr="00E40EB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CE1F1FE" w14:textId="77777777" w:rsidR="00E40EB3" w:rsidRPr="00E40EB3" w:rsidRDefault="00E40EB3" w:rsidP="00E40EB3">
            <w:pPr>
              <w:spacing w:after="0" w:line="360" w:lineRule="auto"/>
              <w:jc w:val="left"/>
              <w:rPr>
                <w:lang w:val="en-IN"/>
              </w:rPr>
            </w:pPr>
            <w:r w:rsidRPr="00E40EB3">
              <w:rPr>
                <w:lang w:val="en-IN"/>
              </w:rPr>
              <w:t>Evidence-Based Decision-Making</w:t>
            </w:r>
          </w:p>
        </w:tc>
        <w:tc>
          <w:tcPr>
            <w:tcW w:w="0" w:type="auto"/>
            <w:hideMark/>
          </w:tcPr>
          <w:p w14:paraId="230D697A" w14:textId="77777777" w:rsidR="00E40EB3" w:rsidRPr="00E40EB3" w:rsidRDefault="00E40EB3" w:rsidP="00E40EB3">
            <w:pPr>
              <w:spacing w:after="0" w:line="360" w:lineRule="auto"/>
              <w:jc w:val="left"/>
              <w:cnfStyle w:val="000000100000" w:firstRow="0" w:lastRow="0" w:firstColumn="0" w:lastColumn="0" w:oddVBand="0" w:evenVBand="0" w:oddHBand="1" w:evenHBand="0" w:firstRowFirstColumn="0" w:firstRowLastColumn="0" w:lastRowFirstColumn="0" w:lastRowLastColumn="0"/>
              <w:rPr>
                <w:lang w:val="en-IN"/>
              </w:rPr>
            </w:pPr>
            <w:r w:rsidRPr="00E40EB3">
              <w:rPr>
                <w:lang w:val="en-IN"/>
              </w:rPr>
              <w:t>Tendency to rely on theory without grounding in workplace data</w:t>
            </w:r>
          </w:p>
        </w:tc>
        <w:tc>
          <w:tcPr>
            <w:tcW w:w="0" w:type="auto"/>
            <w:hideMark/>
          </w:tcPr>
          <w:p w14:paraId="54943CBE" w14:textId="77777777" w:rsidR="00E40EB3" w:rsidRPr="00E40EB3" w:rsidRDefault="00E40EB3" w:rsidP="00E40EB3">
            <w:pPr>
              <w:spacing w:after="0" w:line="360" w:lineRule="auto"/>
              <w:jc w:val="left"/>
              <w:cnfStyle w:val="000000100000" w:firstRow="0" w:lastRow="0" w:firstColumn="0" w:lastColumn="0" w:oddVBand="0" w:evenVBand="0" w:oddHBand="1" w:evenHBand="0" w:firstRowFirstColumn="0" w:firstRowLastColumn="0" w:lastRowFirstColumn="0" w:lastRowLastColumn="0"/>
              <w:rPr>
                <w:lang w:val="en-IN"/>
              </w:rPr>
            </w:pPr>
            <w:r w:rsidRPr="00E40EB3">
              <w:rPr>
                <w:lang w:val="en-IN"/>
              </w:rPr>
              <w:t>Design and conduct a primary HR research project within a real organisational context</w:t>
            </w:r>
          </w:p>
        </w:tc>
        <w:tc>
          <w:tcPr>
            <w:tcW w:w="0" w:type="auto"/>
            <w:hideMark/>
          </w:tcPr>
          <w:p w14:paraId="55EB338B" w14:textId="77777777" w:rsidR="00E40EB3" w:rsidRPr="00E40EB3" w:rsidRDefault="00E40EB3" w:rsidP="00E40EB3">
            <w:pPr>
              <w:spacing w:after="0" w:line="360" w:lineRule="auto"/>
              <w:jc w:val="left"/>
              <w:cnfStyle w:val="000000100000" w:firstRow="0" w:lastRow="0" w:firstColumn="0" w:lastColumn="0" w:oddVBand="0" w:evenVBand="0" w:oddHBand="1" w:evenHBand="0" w:firstRowFirstColumn="0" w:firstRowLastColumn="0" w:lastRowFirstColumn="0" w:lastRowLastColumn="0"/>
              <w:rPr>
                <w:lang w:val="en-IN"/>
              </w:rPr>
            </w:pPr>
            <w:r w:rsidRPr="00E40EB3">
              <w:rPr>
                <w:lang w:val="en-IN"/>
              </w:rPr>
              <w:t>6–12 months</w:t>
            </w:r>
          </w:p>
        </w:tc>
      </w:tr>
      <w:tr w:rsidR="00E40EB3" w:rsidRPr="00E40EB3" w14:paraId="700CC675" w14:textId="77777777" w:rsidTr="00E40EB3">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D061B38" w14:textId="77777777" w:rsidR="00E40EB3" w:rsidRPr="00E40EB3" w:rsidRDefault="00E40EB3" w:rsidP="00E40EB3">
            <w:pPr>
              <w:spacing w:after="0" w:line="360" w:lineRule="auto"/>
              <w:jc w:val="left"/>
              <w:rPr>
                <w:lang w:val="en-IN"/>
              </w:rPr>
            </w:pPr>
            <w:r w:rsidRPr="00E40EB3">
              <w:rPr>
                <w:lang w:val="en-IN"/>
              </w:rPr>
              <w:t>Ethical Leadership in Technology-Driven Environments</w:t>
            </w:r>
          </w:p>
        </w:tc>
        <w:tc>
          <w:tcPr>
            <w:tcW w:w="0" w:type="auto"/>
            <w:hideMark/>
          </w:tcPr>
          <w:p w14:paraId="0E4EF5E2" w14:textId="77777777" w:rsidR="00E40EB3" w:rsidRPr="00E40EB3" w:rsidRDefault="00E40EB3" w:rsidP="00E40EB3">
            <w:pPr>
              <w:spacing w:after="0" w:line="360" w:lineRule="auto"/>
              <w:jc w:val="left"/>
              <w:cnfStyle w:val="000000000000" w:firstRow="0" w:lastRow="0" w:firstColumn="0" w:lastColumn="0" w:oddVBand="0" w:evenVBand="0" w:oddHBand="0" w:evenHBand="0" w:firstRowFirstColumn="0" w:firstRowLastColumn="0" w:lastRowFirstColumn="0" w:lastRowLastColumn="0"/>
              <w:rPr>
                <w:lang w:val="en-IN"/>
              </w:rPr>
            </w:pPr>
            <w:r w:rsidRPr="00E40EB3">
              <w:rPr>
                <w:lang w:val="en-IN"/>
              </w:rPr>
              <w:t>Still developing a personal ethical framework for AI-augmented HRM</w:t>
            </w:r>
          </w:p>
        </w:tc>
        <w:tc>
          <w:tcPr>
            <w:tcW w:w="0" w:type="auto"/>
            <w:hideMark/>
          </w:tcPr>
          <w:p w14:paraId="063B9DF8" w14:textId="77777777" w:rsidR="00E40EB3" w:rsidRPr="00E40EB3" w:rsidRDefault="00E40EB3" w:rsidP="00E40EB3">
            <w:pPr>
              <w:spacing w:after="0" w:line="360" w:lineRule="auto"/>
              <w:jc w:val="left"/>
              <w:cnfStyle w:val="000000000000" w:firstRow="0" w:lastRow="0" w:firstColumn="0" w:lastColumn="0" w:oddVBand="0" w:evenVBand="0" w:oddHBand="0" w:evenHBand="0" w:firstRowFirstColumn="0" w:firstRowLastColumn="0" w:lastRowFirstColumn="0" w:lastRowLastColumn="0"/>
              <w:rPr>
                <w:lang w:val="en-IN"/>
              </w:rPr>
            </w:pPr>
            <w:r w:rsidRPr="00E40EB3">
              <w:rPr>
                <w:lang w:val="en-IN"/>
              </w:rPr>
              <w:t>Engage with CIPD Professional Standards; attend HRM ethics seminars</w:t>
            </w:r>
          </w:p>
        </w:tc>
        <w:tc>
          <w:tcPr>
            <w:tcW w:w="0" w:type="auto"/>
            <w:hideMark/>
          </w:tcPr>
          <w:p w14:paraId="3827F5C8" w14:textId="77777777" w:rsidR="00E40EB3" w:rsidRPr="00E40EB3" w:rsidRDefault="00E40EB3" w:rsidP="00E40EB3">
            <w:pPr>
              <w:spacing w:after="0" w:line="360" w:lineRule="auto"/>
              <w:jc w:val="left"/>
              <w:cnfStyle w:val="000000000000" w:firstRow="0" w:lastRow="0" w:firstColumn="0" w:lastColumn="0" w:oddVBand="0" w:evenVBand="0" w:oddHBand="0" w:evenHBand="0" w:firstRowFirstColumn="0" w:firstRowLastColumn="0" w:lastRowFirstColumn="0" w:lastRowLastColumn="0"/>
              <w:rPr>
                <w:lang w:val="en-IN"/>
              </w:rPr>
            </w:pPr>
            <w:r w:rsidRPr="00E40EB3">
              <w:rPr>
                <w:lang w:val="en-IN"/>
              </w:rPr>
              <w:t>Ongoing</w:t>
            </w:r>
          </w:p>
        </w:tc>
      </w:tr>
    </w:tbl>
    <w:p w14:paraId="4A12F66F" w14:textId="2AE4DD96" w:rsidR="00E40EB3" w:rsidRPr="00E40EB3" w:rsidRDefault="00E40EB3" w:rsidP="00E40EB3">
      <w:pPr>
        <w:jc w:val="center"/>
        <w:rPr>
          <w:b/>
          <w:lang w:val="en-GB"/>
        </w:rPr>
      </w:pPr>
      <w:r w:rsidRPr="00E40EB3">
        <w:rPr>
          <w:b/>
          <w:lang w:val="en-GB"/>
        </w:rPr>
        <w:t>Table 3: Development Plan</w:t>
      </w:r>
    </w:p>
    <w:p w14:paraId="364406B3" w14:textId="2915A01B" w:rsidR="00E40EB3" w:rsidRDefault="00E40EB3" w:rsidP="00E40EB3">
      <w:pPr>
        <w:jc w:val="center"/>
        <w:rPr>
          <w:lang w:val="en-GB"/>
        </w:rPr>
      </w:pPr>
      <w:r>
        <w:rPr>
          <w:lang w:val="en-GB"/>
        </w:rPr>
        <w:t>(Source: Self-developed)</w:t>
      </w:r>
    </w:p>
    <w:p w14:paraId="017B2890" w14:textId="77777777" w:rsidR="00370152" w:rsidRDefault="00370152" w:rsidP="00370152">
      <w:pPr>
        <w:pStyle w:val="Heading1"/>
        <w:rPr>
          <w:lang w:val="en-GB"/>
        </w:rPr>
      </w:pPr>
      <w:bookmarkStart w:id="17" w:name="_Toc242605637"/>
      <w:r>
        <w:rPr>
          <w:lang w:val="en-GB"/>
        </w:rPr>
        <w:t>Conclusion</w:t>
      </w:r>
      <w:bookmarkEnd w:id="17"/>
      <w:r>
        <w:rPr>
          <w:lang w:val="en-GB"/>
        </w:rPr>
        <w:t xml:space="preserve"> </w:t>
      </w:r>
    </w:p>
    <w:p w14:paraId="2F412DE8" w14:textId="3B406473" w:rsidR="000102FB" w:rsidRDefault="000102FB">
      <w:r>
        <w:t>NexSpace Health Systems can attain sustainable competitive advantage by reshaping how personnel work and how talent progresses. Realizing HPWS, agile sprint teams, and rotation-</w:t>
      </w:r>
      <w:r>
        <w:lastRenderedPageBreak/>
        <w:t>based flexible employed will restore innovation and collaboration. A talent strategy stranded in organisational learning, job crafting, and psychological safety will recollect and grow the high-performing workers NHSX necessitates.</w:t>
      </w:r>
    </w:p>
    <w:p w14:paraId="26665505" w14:textId="728ADBB2" w:rsidR="003F36A5" w:rsidRPr="00CA4225" w:rsidRDefault="00FB1DF3">
      <w:pPr>
        <w:rPr>
          <w:lang w:val="en-GB"/>
        </w:rPr>
      </w:pPr>
      <w:r w:rsidRPr="00CA4225">
        <w:rPr>
          <w:lang w:val="en-GB"/>
        </w:rPr>
        <w:br w:type="page"/>
      </w:r>
    </w:p>
    <w:p w14:paraId="3ED86108" w14:textId="77777777" w:rsidR="003F36A5" w:rsidRPr="00CA4225" w:rsidRDefault="00FB1DF3">
      <w:pPr>
        <w:pStyle w:val="Heading1"/>
        <w:rPr>
          <w:lang w:val="en-GB"/>
        </w:rPr>
      </w:pPr>
      <w:bookmarkStart w:id="18" w:name="_50a9mx3xnhm8" w:colFirst="0" w:colLast="0"/>
      <w:bookmarkStart w:id="19" w:name="_7hc0goi7v5hv" w:colFirst="0" w:colLast="0"/>
      <w:bookmarkStart w:id="20" w:name="_Toc242605638"/>
      <w:bookmarkEnd w:id="18"/>
      <w:bookmarkEnd w:id="19"/>
      <w:r w:rsidRPr="00CA4225">
        <w:rPr>
          <w:lang w:val="en-GB"/>
        </w:rPr>
        <w:lastRenderedPageBreak/>
        <w:t>References</w:t>
      </w:r>
      <w:bookmarkEnd w:id="20"/>
      <w:r w:rsidRPr="00CA4225">
        <w:rPr>
          <w:lang w:val="en-GB"/>
        </w:rPr>
        <w:t xml:space="preserve"> </w:t>
      </w:r>
    </w:p>
    <w:p w14:paraId="24FD1318" w14:textId="77777777" w:rsidR="007D25EE" w:rsidRPr="000102FB" w:rsidRDefault="007D25EE" w:rsidP="000102FB">
      <w:pPr>
        <w:spacing w:before="120"/>
        <w:rPr>
          <w:rFonts w:eastAsia="Calibri"/>
          <w:szCs w:val="22"/>
          <w:lang w:val="en-GB" w:eastAsia="en-US"/>
        </w:rPr>
      </w:pPr>
      <w:proofErr w:type="spellStart"/>
      <w:r w:rsidRPr="000102FB">
        <w:rPr>
          <w:rFonts w:eastAsia="Calibri"/>
          <w:szCs w:val="22"/>
          <w:lang w:val="en-GB" w:eastAsia="en-US"/>
        </w:rPr>
        <w:t>Bahadurzada</w:t>
      </w:r>
      <w:proofErr w:type="spellEnd"/>
      <w:r w:rsidRPr="000102FB">
        <w:rPr>
          <w:rFonts w:eastAsia="Calibri"/>
          <w:szCs w:val="22"/>
          <w:lang w:val="en-GB" w:eastAsia="en-US"/>
        </w:rPr>
        <w:t xml:space="preserve"> H, Edmondson A and </w:t>
      </w:r>
      <w:proofErr w:type="spellStart"/>
      <w:r w:rsidRPr="000102FB">
        <w:rPr>
          <w:rFonts w:eastAsia="Calibri"/>
          <w:szCs w:val="22"/>
          <w:lang w:val="en-GB" w:eastAsia="en-US"/>
        </w:rPr>
        <w:t>Kerrissey</w:t>
      </w:r>
      <w:proofErr w:type="spellEnd"/>
      <w:r w:rsidRPr="000102FB">
        <w:rPr>
          <w:rFonts w:eastAsia="Calibri"/>
          <w:szCs w:val="22"/>
          <w:lang w:val="en-GB" w:eastAsia="en-US"/>
        </w:rPr>
        <w:t xml:space="preserve"> M (2024) Psychological Safety as an Enduring Resource Amid Constraints. Int J Public Health 69:1607332. doi: 10.3389/ijph.2024.1607332</w:t>
      </w:r>
    </w:p>
    <w:p w14:paraId="1BD233CC" w14:textId="77777777" w:rsidR="007D25EE" w:rsidRPr="000102FB" w:rsidRDefault="007D25EE" w:rsidP="000102FB">
      <w:pPr>
        <w:spacing w:before="120"/>
        <w:rPr>
          <w:rFonts w:eastAsia="Calibri"/>
          <w:szCs w:val="22"/>
          <w:u w:val="single"/>
          <w:lang w:val="en-GB" w:eastAsia="en-US"/>
        </w:rPr>
      </w:pPr>
      <w:r w:rsidRPr="000102FB">
        <w:rPr>
          <w:rFonts w:eastAsia="Calibri"/>
          <w:szCs w:val="22"/>
          <w:lang w:val="en-GB" w:eastAsia="en-US"/>
        </w:rPr>
        <w:t xml:space="preserve">Bhardwaj S, Choudhary P, Chopra R, and Chakraborty D (2025), "High-performance workplace system: a literature review". </w:t>
      </w:r>
      <w:r w:rsidRPr="000102FB">
        <w:rPr>
          <w:rFonts w:eastAsia="Calibri"/>
          <w:i/>
          <w:iCs/>
          <w:szCs w:val="22"/>
          <w:lang w:val="en-GB" w:eastAsia="en-US"/>
        </w:rPr>
        <w:t>International Journal of Organizational Analysis</w:t>
      </w:r>
      <w:r w:rsidRPr="000102FB">
        <w:rPr>
          <w:rFonts w:eastAsia="Calibri"/>
          <w:szCs w:val="22"/>
          <w:lang w:val="en-GB" w:eastAsia="en-US"/>
        </w:rPr>
        <w:t>, Vol. 33 No. 8 pp. 2853–2880, doi:</w:t>
      </w:r>
      <w:hyperlink r:id="rId11">
        <w:r w:rsidRPr="000102FB">
          <w:rPr>
            <w:rFonts w:eastAsia="Calibri"/>
            <w:color w:val="0563C1"/>
            <w:szCs w:val="22"/>
            <w:u w:val="single"/>
            <w:lang w:val="en-GB" w:eastAsia="en-US"/>
          </w:rPr>
          <w:t xml:space="preserve"> </w:t>
        </w:r>
      </w:hyperlink>
      <w:hyperlink r:id="rId12">
        <w:r w:rsidRPr="000102FB">
          <w:rPr>
            <w:rFonts w:eastAsia="Calibri"/>
            <w:color w:val="0563C1"/>
            <w:szCs w:val="22"/>
            <w:u w:val="single"/>
            <w:lang w:val="en-GB" w:eastAsia="en-US"/>
          </w:rPr>
          <w:t>https://doi.org/10.1108/IJOA-06-2024-4599</w:t>
        </w:r>
      </w:hyperlink>
    </w:p>
    <w:p w14:paraId="6A19D5CD" w14:textId="77777777" w:rsidR="007D25EE" w:rsidRPr="000102FB" w:rsidRDefault="007D25EE" w:rsidP="000102FB">
      <w:pPr>
        <w:spacing w:before="120"/>
        <w:rPr>
          <w:rFonts w:eastAsia="Calibri"/>
          <w:szCs w:val="22"/>
          <w:lang w:val="en-GB" w:eastAsia="en-US"/>
        </w:rPr>
      </w:pPr>
      <w:r w:rsidRPr="000102FB">
        <w:rPr>
          <w:rFonts w:eastAsia="Calibri"/>
          <w:szCs w:val="22"/>
          <w:lang w:eastAsia="en-US"/>
        </w:rPr>
        <w:t xml:space="preserve">CIPD (2024) </w:t>
      </w:r>
      <w:r w:rsidRPr="000102FB">
        <w:rPr>
          <w:rFonts w:eastAsia="Calibri"/>
          <w:i/>
          <w:iCs/>
          <w:szCs w:val="22"/>
          <w:lang w:eastAsia="en-US"/>
        </w:rPr>
        <w:t>Trust and psychological safety: an evidence review</w:t>
      </w:r>
      <w:r w:rsidRPr="000102FB">
        <w:rPr>
          <w:rFonts w:eastAsia="Calibri"/>
          <w:szCs w:val="22"/>
          <w:lang w:eastAsia="en-US"/>
        </w:rPr>
        <w:t xml:space="preserve">. London: Chartered Institute of Personnel and Development. Available at: </w:t>
      </w:r>
      <w:hyperlink r:id="rId13" w:history="1">
        <w:r w:rsidRPr="000102FB">
          <w:rPr>
            <w:rFonts w:eastAsia="Calibri"/>
            <w:color w:val="0563C1"/>
            <w:szCs w:val="22"/>
            <w:u w:val="single"/>
            <w:lang w:eastAsia="en-US"/>
          </w:rPr>
          <w:t>https://www.cipd.org/en/knowledge/evidence-reviews/trust-psychological-safety/</w:t>
        </w:r>
      </w:hyperlink>
      <w:r>
        <w:rPr>
          <w:rFonts w:eastAsia="Calibri"/>
          <w:szCs w:val="22"/>
          <w:lang w:val="en-IN" w:eastAsia="en-US"/>
        </w:rPr>
        <w:t xml:space="preserve"> (Accessed: 11 October 2026). </w:t>
      </w:r>
    </w:p>
    <w:p w14:paraId="7C2BF841" w14:textId="77777777" w:rsidR="007D25EE" w:rsidRPr="000102FB" w:rsidRDefault="007D25EE" w:rsidP="000102FB">
      <w:pPr>
        <w:spacing w:before="120"/>
        <w:rPr>
          <w:rFonts w:eastAsia="Calibri"/>
          <w:szCs w:val="22"/>
          <w:lang w:val="en-GB" w:eastAsia="en-US"/>
        </w:rPr>
      </w:pPr>
      <w:r w:rsidRPr="000102FB">
        <w:rPr>
          <w:rFonts w:eastAsia="Calibri"/>
          <w:szCs w:val="22"/>
          <w:lang w:val="en-GB" w:eastAsia="en-US"/>
        </w:rPr>
        <w:t xml:space="preserve">Gagné, M., Olafsen, A.H., </w:t>
      </w:r>
      <w:proofErr w:type="spellStart"/>
      <w:r w:rsidRPr="000102FB">
        <w:rPr>
          <w:rFonts w:eastAsia="Calibri"/>
          <w:szCs w:val="22"/>
          <w:lang w:val="en-GB" w:eastAsia="en-US"/>
        </w:rPr>
        <w:t>Carpini</w:t>
      </w:r>
      <w:proofErr w:type="spellEnd"/>
      <w:r w:rsidRPr="000102FB">
        <w:rPr>
          <w:rFonts w:eastAsia="Calibri"/>
          <w:szCs w:val="22"/>
          <w:lang w:val="en-GB" w:eastAsia="en-US"/>
        </w:rPr>
        <w:t xml:space="preserve">, J.A. and Frølund, C.W. (2026). Self-determination theory in the workplace: the evolution, present, and beyond. </w:t>
      </w:r>
      <w:r w:rsidRPr="000102FB">
        <w:rPr>
          <w:rFonts w:eastAsia="Calibri"/>
          <w:i/>
          <w:iCs/>
          <w:szCs w:val="22"/>
          <w:lang w:val="en-GB" w:eastAsia="en-US"/>
        </w:rPr>
        <w:t>Journal of Business Research</w:t>
      </w:r>
      <w:r w:rsidRPr="000102FB">
        <w:rPr>
          <w:rFonts w:eastAsia="Calibri"/>
          <w:szCs w:val="22"/>
          <w:lang w:val="en-GB" w:eastAsia="en-US"/>
        </w:rPr>
        <w:t xml:space="preserve">, </w:t>
      </w:r>
      <w:r w:rsidRPr="000102FB">
        <w:rPr>
          <w:rFonts w:eastAsia="Calibri"/>
          <w:i/>
          <w:iCs/>
          <w:szCs w:val="22"/>
          <w:lang w:val="en-GB" w:eastAsia="en-US"/>
        </w:rPr>
        <w:t>210</w:t>
      </w:r>
      <w:r w:rsidRPr="000102FB">
        <w:rPr>
          <w:rFonts w:eastAsia="Calibri"/>
          <w:szCs w:val="22"/>
          <w:lang w:val="en-GB" w:eastAsia="en-US"/>
        </w:rPr>
        <w:t xml:space="preserve">, p.116146. </w:t>
      </w:r>
      <w:hyperlink r:id="rId14">
        <w:r w:rsidRPr="000102FB">
          <w:rPr>
            <w:rFonts w:eastAsia="Calibri"/>
            <w:color w:val="0563C1"/>
            <w:szCs w:val="22"/>
            <w:u w:val="single"/>
            <w:lang w:val="en-GB" w:eastAsia="en-US"/>
          </w:rPr>
          <w:t>https://doi.org/10.1016/j.jbusres.2026.116146</w:t>
        </w:r>
      </w:hyperlink>
      <w:r w:rsidRPr="000102FB">
        <w:rPr>
          <w:rFonts w:eastAsia="Calibri"/>
          <w:szCs w:val="22"/>
          <w:lang w:val="en-GB" w:eastAsia="en-US"/>
        </w:rPr>
        <w:t xml:space="preserve"> </w:t>
      </w:r>
    </w:p>
    <w:p w14:paraId="3DDFCD33" w14:textId="77777777" w:rsidR="007D25EE" w:rsidRPr="000102FB" w:rsidRDefault="007D25EE" w:rsidP="000102FB">
      <w:pPr>
        <w:spacing w:before="120"/>
        <w:rPr>
          <w:rFonts w:eastAsia="Calibri"/>
          <w:szCs w:val="22"/>
          <w:lang w:val="en-GB" w:eastAsia="en-US"/>
        </w:rPr>
      </w:pPr>
      <w:r w:rsidRPr="000102FB">
        <w:rPr>
          <w:rFonts w:eastAsia="Calibri"/>
          <w:szCs w:val="22"/>
          <w:lang w:val="da-DK" w:eastAsia="en-US"/>
        </w:rPr>
        <w:t xml:space="preserve">Iden, J. and Bygstad, B. (2025). </w:t>
      </w:r>
      <w:r w:rsidRPr="000102FB">
        <w:rPr>
          <w:rFonts w:eastAsia="Calibri"/>
          <w:szCs w:val="22"/>
          <w:lang w:val="en-GB" w:eastAsia="en-US"/>
        </w:rPr>
        <w:t xml:space="preserve">Sociotechnical micro-foundations for digital transformation. </w:t>
      </w:r>
      <w:r w:rsidRPr="000102FB">
        <w:rPr>
          <w:rFonts w:eastAsia="Calibri"/>
          <w:i/>
          <w:iCs/>
          <w:szCs w:val="22"/>
          <w:lang w:val="en-GB" w:eastAsia="en-US"/>
        </w:rPr>
        <w:t>European Journal of Information Systems</w:t>
      </w:r>
      <w:r w:rsidRPr="000102FB">
        <w:rPr>
          <w:rFonts w:eastAsia="Calibri"/>
          <w:szCs w:val="22"/>
          <w:lang w:val="en-GB" w:eastAsia="en-US"/>
        </w:rPr>
        <w:t xml:space="preserve">, </w:t>
      </w:r>
      <w:r w:rsidRPr="000102FB">
        <w:rPr>
          <w:rFonts w:eastAsia="Calibri"/>
          <w:i/>
          <w:iCs/>
          <w:szCs w:val="22"/>
          <w:lang w:val="en-GB" w:eastAsia="en-US"/>
        </w:rPr>
        <w:t>34</w:t>
      </w:r>
      <w:r w:rsidRPr="000102FB">
        <w:rPr>
          <w:rFonts w:eastAsia="Calibri"/>
          <w:szCs w:val="22"/>
          <w:lang w:val="en-GB" w:eastAsia="en-US"/>
        </w:rPr>
        <w:t xml:space="preserve">(2), pp.367-382. </w:t>
      </w:r>
      <w:hyperlink r:id="rId15">
        <w:r w:rsidRPr="000102FB">
          <w:rPr>
            <w:rFonts w:eastAsia="Calibri"/>
            <w:color w:val="0563C1"/>
            <w:szCs w:val="22"/>
            <w:u w:val="single"/>
            <w:lang w:val="en-GB" w:eastAsia="en-US"/>
          </w:rPr>
          <w:t>https://doi.org/10.1080/0960085X.2024.2347950</w:t>
        </w:r>
      </w:hyperlink>
      <w:r w:rsidRPr="000102FB">
        <w:rPr>
          <w:rFonts w:eastAsia="Calibri"/>
          <w:szCs w:val="22"/>
          <w:lang w:val="en-GB" w:eastAsia="en-US"/>
        </w:rPr>
        <w:t xml:space="preserve"> </w:t>
      </w:r>
    </w:p>
    <w:p w14:paraId="4DCFF378" w14:textId="77777777" w:rsidR="007D25EE" w:rsidRPr="000102FB" w:rsidRDefault="007D25EE" w:rsidP="000102FB">
      <w:pPr>
        <w:spacing w:before="120"/>
        <w:rPr>
          <w:rFonts w:eastAsia="Calibri"/>
          <w:szCs w:val="22"/>
          <w:lang w:val="en-GB" w:eastAsia="en-US"/>
        </w:rPr>
      </w:pPr>
      <w:r w:rsidRPr="000102FB">
        <w:rPr>
          <w:rFonts w:eastAsia="Calibri"/>
          <w:szCs w:val="22"/>
          <w:lang w:val="en-GB" w:eastAsia="en-US"/>
        </w:rPr>
        <w:t xml:space="preserve">Jiang D, Zhang Y, Zhu H and Wang X (2024) Effect of empowerment: how and when do high-involvement work practices influence elder employees’ innovative </w:t>
      </w:r>
      <w:proofErr w:type="gramStart"/>
      <w:r w:rsidRPr="000102FB">
        <w:rPr>
          <w:rFonts w:eastAsia="Calibri"/>
          <w:szCs w:val="22"/>
          <w:lang w:val="en-GB" w:eastAsia="en-US"/>
        </w:rPr>
        <w:t>performance?.</w:t>
      </w:r>
      <w:proofErr w:type="gramEnd"/>
      <w:r w:rsidRPr="000102FB">
        <w:rPr>
          <w:rFonts w:eastAsia="Calibri"/>
          <w:szCs w:val="22"/>
          <w:lang w:val="en-GB" w:eastAsia="en-US"/>
        </w:rPr>
        <w:t xml:space="preserve"> Front. Psychol. 15:1336120. doi: 10.3389/fpsyg.2024.1336120 </w:t>
      </w:r>
    </w:p>
    <w:p w14:paraId="3DBC298C" w14:textId="77777777" w:rsidR="007D25EE" w:rsidRPr="000102FB" w:rsidRDefault="007D25EE" w:rsidP="000102FB">
      <w:pPr>
        <w:spacing w:before="120"/>
        <w:rPr>
          <w:rFonts w:eastAsia="Calibri"/>
          <w:szCs w:val="22"/>
          <w:lang w:val="en-GB" w:eastAsia="en-US"/>
        </w:rPr>
      </w:pPr>
      <w:r w:rsidRPr="000102FB">
        <w:rPr>
          <w:rFonts w:eastAsia="Calibri"/>
          <w:szCs w:val="22"/>
          <w:lang w:val="en-GB" w:eastAsia="en-US"/>
        </w:rPr>
        <w:t xml:space="preserve">Liu, Huifang. (2018). A Brief Analysis of Learning Organization Practice from the Perspective of the Fifth Discipline Model Theories—A Case Study of </w:t>
      </w:r>
      <w:proofErr w:type="spellStart"/>
      <w:r w:rsidRPr="000102FB">
        <w:rPr>
          <w:rFonts w:eastAsia="Calibri"/>
          <w:szCs w:val="22"/>
          <w:lang w:val="en-GB" w:eastAsia="en-US"/>
        </w:rPr>
        <w:t>Jatco</w:t>
      </w:r>
      <w:proofErr w:type="spellEnd"/>
      <w:r w:rsidRPr="000102FB">
        <w:rPr>
          <w:rFonts w:eastAsia="Calibri"/>
          <w:szCs w:val="22"/>
          <w:lang w:val="en-GB" w:eastAsia="en-US"/>
        </w:rPr>
        <w:t xml:space="preserve"> (Guangzhou). </w:t>
      </w:r>
      <w:r w:rsidRPr="000102FB">
        <w:rPr>
          <w:rFonts w:eastAsia="Calibri"/>
          <w:i/>
          <w:szCs w:val="22"/>
          <w:lang w:val="en-GB" w:eastAsia="en-US"/>
        </w:rPr>
        <w:t>American Journal of Industrial and Business Management. 08</w:t>
      </w:r>
      <w:r w:rsidRPr="000102FB">
        <w:rPr>
          <w:rFonts w:eastAsia="Calibri"/>
          <w:szCs w:val="22"/>
          <w:lang w:val="en-GB" w:eastAsia="en-US"/>
        </w:rPr>
        <w:t xml:space="preserve">. 2143-2157. </w:t>
      </w:r>
      <w:hyperlink r:id="rId16" w:history="1">
        <w:r w:rsidRPr="000102FB">
          <w:rPr>
            <w:rFonts w:eastAsia="Calibri"/>
            <w:color w:val="0563C1"/>
            <w:szCs w:val="22"/>
            <w:u w:val="single"/>
            <w:lang w:val="en-GB" w:eastAsia="en-US"/>
          </w:rPr>
          <w:t>https://www.researchgate.net/figure/The-five-disciplines_fig1_328688896</w:t>
        </w:r>
      </w:hyperlink>
      <w:r w:rsidRPr="000102FB">
        <w:rPr>
          <w:rFonts w:eastAsia="Calibri"/>
          <w:szCs w:val="22"/>
          <w:lang w:val="en-GB" w:eastAsia="en-US"/>
        </w:rPr>
        <w:t xml:space="preserve"> </w:t>
      </w:r>
    </w:p>
    <w:p w14:paraId="7692A95C" w14:textId="77777777" w:rsidR="007D25EE" w:rsidRPr="000102FB" w:rsidRDefault="007D25EE" w:rsidP="000102FB">
      <w:pPr>
        <w:spacing w:before="120"/>
        <w:rPr>
          <w:rFonts w:eastAsia="Calibri"/>
          <w:szCs w:val="22"/>
          <w:lang w:val="en-GB" w:eastAsia="en-US"/>
        </w:rPr>
      </w:pPr>
      <w:r w:rsidRPr="000102FB">
        <w:rPr>
          <w:rFonts w:eastAsia="Calibri"/>
          <w:szCs w:val="22"/>
          <w:lang w:val="en-GB" w:eastAsia="en-US"/>
        </w:rPr>
        <w:t xml:space="preserve">Naqshbandi, M.M. (2025). Beyond office walls: rethinking management practices in the hybrid workspace. </w:t>
      </w:r>
      <w:r w:rsidRPr="000102FB">
        <w:rPr>
          <w:rFonts w:eastAsia="Calibri"/>
          <w:i/>
          <w:iCs/>
          <w:szCs w:val="22"/>
          <w:lang w:val="en-GB" w:eastAsia="en-US"/>
        </w:rPr>
        <w:t>FIIB Business Review</w:t>
      </w:r>
      <w:r w:rsidRPr="000102FB">
        <w:rPr>
          <w:rFonts w:eastAsia="Calibri"/>
          <w:szCs w:val="22"/>
          <w:lang w:val="en-GB" w:eastAsia="en-US"/>
        </w:rPr>
        <w:t xml:space="preserve">, </w:t>
      </w:r>
      <w:r w:rsidRPr="000102FB">
        <w:rPr>
          <w:rFonts w:eastAsia="Calibri"/>
          <w:i/>
          <w:iCs/>
          <w:szCs w:val="22"/>
          <w:lang w:val="en-GB" w:eastAsia="en-US"/>
        </w:rPr>
        <w:t>14</w:t>
      </w:r>
      <w:r w:rsidRPr="000102FB">
        <w:rPr>
          <w:rFonts w:eastAsia="Calibri"/>
          <w:szCs w:val="22"/>
          <w:lang w:val="en-GB" w:eastAsia="en-US"/>
        </w:rPr>
        <w:t xml:space="preserve">(4), pp.391-397. </w:t>
      </w:r>
      <w:hyperlink r:id="rId17">
        <w:r w:rsidRPr="000102FB">
          <w:rPr>
            <w:rFonts w:eastAsia="Calibri"/>
            <w:color w:val="0563C1"/>
            <w:szCs w:val="22"/>
            <w:u w:val="single"/>
            <w:lang w:val="en-GB" w:eastAsia="en-US"/>
          </w:rPr>
          <w:t>https://doi.org/10.1177/30499240251356878</w:t>
        </w:r>
      </w:hyperlink>
      <w:r w:rsidRPr="000102FB">
        <w:rPr>
          <w:rFonts w:eastAsia="Calibri"/>
          <w:szCs w:val="22"/>
          <w:lang w:val="en-GB" w:eastAsia="en-US"/>
        </w:rPr>
        <w:t xml:space="preserve"> </w:t>
      </w:r>
    </w:p>
    <w:p w14:paraId="737835E4" w14:textId="77777777" w:rsidR="007D25EE" w:rsidRPr="000102FB" w:rsidRDefault="007D25EE" w:rsidP="000102FB">
      <w:pPr>
        <w:spacing w:before="120"/>
        <w:rPr>
          <w:rFonts w:eastAsia="Calibri"/>
          <w:szCs w:val="22"/>
          <w:lang w:val="en-GB" w:eastAsia="en-US"/>
        </w:rPr>
      </w:pPr>
      <w:r w:rsidRPr="000102FB">
        <w:rPr>
          <w:rFonts w:eastAsia="Calibri"/>
          <w:szCs w:val="22"/>
          <w:lang w:val="en-GB" w:eastAsia="en-US"/>
        </w:rPr>
        <w:t xml:space="preserve">Naskar, S.T., Hota, P.K. and Gupta, V. (2025). The efficiency paradox: How high-performance work systems interact with entrepreneurial orientation in hostile environments to impact firm performance in US firms. </w:t>
      </w:r>
      <w:r w:rsidRPr="000102FB">
        <w:rPr>
          <w:rFonts w:eastAsia="Calibri"/>
          <w:i/>
          <w:iCs/>
          <w:szCs w:val="22"/>
          <w:lang w:val="en-GB" w:eastAsia="en-US"/>
        </w:rPr>
        <w:t xml:space="preserve">Int </w:t>
      </w:r>
      <w:proofErr w:type="spellStart"/>
      <w:r w:rsidRPr="000102FB">
        <w:rPr>
          <w:rFonts w:eastAsia="Calibri"/>
          <w:i/>
          <w:iCs/>
          <w:szCs w:val="22"/>
          <w:lang w:val="en-GB" w:eastAsia="en-US"/>
        </w:rPr>
        <w:t>Entrep</w:t>
      </w:r>
      <w:proofErr w:type="spellEnd"/>
      <w:r w:rsidRPr="000102FB">
        <w:rPr>
          <w:rFonts w:eastAsia="Calibri"/>
          <w:i/>
          <w:iCs/>
          <w:szCs w:val="22"/>
          <w:lang w:val="en-GB" w:eastAsia="en-US"/>
        </w:rPr>
        <w:t xml:space="preserve"> Manag J</w:t>
      </w:r>
      <w:r w:rsidRPr="000102FB">
        <w:rPr>
          <w:rFonts w:eastAsia="Calibri"/>
          <w:szCs w:val="22"/>
          <w:lang w:val="en-GB" w:eastAsia="en-US"/>
        </w:rPr>
        <w:t xml:space="preserve"> </w:t>
      </w:r>
      <w:r w:rsidRPr="000102FB">
        <w:rPr>
          <w:rFonts w:eastAsia="Calibri"/>
          <w:b/>
          <w:bCs/>
          <w:szCs w:val="22"/>
          <w:lang w:val="en-GB" w:eastAsia="en-US"/>
        </w:rPr>
        <w:t>21</w:t>
      </w:r>
      <w:r w:rsidRPr="000102FB">
        <w:rPr>
          <w:rFonts w:eastAsia="Calibri"/>
          <w:szCs w:val="22"/>
          <w:lang w:val="en-GB" w:eastAsia="en-US"/>
        </w:rPr>
        <w:t xml:space="preserve">, 59. </w:t>
      </w:r>
      <w:hyperlink r:id="rId18">
        <w:r w:rsidRPr="000102FB">
          <w:rPr>
            <w:rFonts w:eastAsia="Calibri"/>
            <w:color w:val="0563C1"/>
            <w:szCs w:val="22"/>
            <w:u w:val="single"/>
            <w:lang w:val="en-GB" w:eastAsia="en-US"/>
          </w:rPr>
          <w:t>https://doi.org/10.1007/s11365-025-01069-6</w:t>
        </w:r>
      </w:hyperlink>
      <w:r w:rsidRPr="000102FB">
        <w:rPr>
          <w:rFonts w:eastAsia="Calibri"/>
          <w:szCs w:val="22"/>
          <w:lang w:val="en-GB" w:eastAsia="en-US"/>
        </w:rPr>
        <w:t xml:space="preserve"> </w:t>
      </w:r>
    </w:p>
    <w:p w14:paraId="65B85540" w14:textId="77777777" w:rsidR="007D25EE" w:rsidRPr="000102FB" w:rsidRDefault="007D25EE" w:rsidP="000102FB">
      <w:pPr>
        <w:spacing w:before="120"/>
        <w:rPr>
          <w:rFonts w:eastAsia="Calibri"/>
          <w:szCs w:val="22"/>
          <w:lang w:eastAsia="en-US"/>
        </w:rPr>
      </w:pPr>
      <w:proofErr w:type="spellStart"/>
      <w:r w:rsidRPr="000102FB">
        <w:rPr>
          <w:rFonts w:eastAsia="Calibri"/>
          <w:szCs w:val="22"/>
          <w:lang w:eastAsia="en-US"/>
        </w:rPr>
        <w:lastRenderedPageBreak/>
        <w:t>Nwanzu</w:t>
      </w:r>
      <w:proofErr w:type="spellEnd"/>
      <w:r w:rsidRPr="000102FB">
        <w:rPr>
          <w:rFonts w:eastAsia="Calibri"/>
          <w:szCs w:val="22"/>
          <w:lang w:eastAsia="en-US"/>
        </w:rPr>
        <w:t xml:space="preserve">, C.L. and Babalola, S.S. (2024). Employee job crafting behaviour and its antecedents: a study of psychological safety, psychological autonomy, and task competence. </w:t>
      </w:r>
      <w:r w:rsidRPr="000102FB">
        <w:rPr>
          <w:rFonts w:eastAsia="Calibri"/>
          <w:i/>
          <w:iCs/>
          <w:szCs w:val="22"/>
          <w:lang w:eastAsia="en-US"/>
        </w:rPr>
        <w:t>Employee Responsibilities and Rights Journal</w:t>
      </w:r>
      <w:r w:rsidRPr="000102FB">
        <w:rPr>
          <w:rFonts w:eastAsia="Calibri"/>
          <w:szCs w:val="22"/>
          <w:lang w:eastAsia="en-US"/>
        </w:rPr>
        <w:t xml:space="preserve">, pp.1-27. </w:t>
      </w:r>
      <w:hyperlink r:id="rId19" w:history="1">
        <w:r w:rsidRPr="000102FB">
          <w:rPr>
            <w:rFonts w:eastAsia="Calibri"/>
            <w:color w:val="0563C1"/>
            <w:szCs w:val="22"/>
            <w:u w:val="single"/>
            <w:lang w:eastAsia="en-US"/>
          </w:rPr>
          <w:t>https://doi.org/10.1007/s10672-024-09520-6</w:t>
        </w:r>
      </w:hyperlink>
      <w:r w:rsidRPr="000102FB">
        <w:rPr>
          <w:rFonts w:eastAsia="Calibri"/>
          <w:szCs w:val="22"/>
          <w:lang w:eastAsia="en-US"/>
        </w:rPr>
        <w:t xml:space="preserve"> </w:t>
      </w:r>
    </w:p>
    <w:p w14:paraId="6BAB67F7" w14:textId="77777777" w:rsidR="007D25EE" w:rsidRPr="000102FB" w:rsidRDefault="007D25EE" w:rsidP="000102FB">
      <w:pPr>
        <w:spacing w:before="120"/>
        <w:rPr>
          <w:rFonts w:eastAsia="Calibri"/>
          <w:szCs w:val="22"/>
          <w:lang w:val="en-GB" w:eastAsia="en-US"/>
        </w:rPr>
      </w:pPr>
      <w:r w:rsidRPr="000102FB">
        <w:rPr>
          <w:rFonts w:eastAsia="Calibri"/>
          <w:szCs w:val="22"/>
          <w:lang w:val="en-GB" w:eastAsia="en-US"/>
        </w:rPr>
        <w:t xml:space="preserve">Parker, S.K., Ballard, T., Billinghurst, M., Collins, C., Dollard, M., Griffin, M.A., Johal, W., Jorritsma, K., Kowalkiewicz, M., Kyndt, E. and Lusher, D. (2026). Quality work in the future: New directions via a co-evolving sociotechnical systems perspective. </w:t>
      </w:r>
      <w:r w:rsidRPr="000102FB">
        <w:rPr>
          <w:rFonts w:eastAsia="Calibri"/>
          <w:i/>
          <w:iCs/>
          <w:szCs w:val="22"/>
          <w:lang w:val="en-GB" w:eastAsia="en-US"/>
        </w:rPr>
        <w:t>Australian Journal of Management</w:t>
      </w:r>
      <w:r w:rsidRPr="000102FB">
        <w:rPr>
          <w:rFonts w:eastAsia="Calibri"/>
          <w:szCs w:val="22"/>
          <w:lang w:val="en-GB" w:eastAsia="en-US"/>
        </w:rPr>
        <w:t xml:space="preserve">, </w:t>
      </w:r>
      <w:r w:rsidRPr="000102FB">
        <w:rPr>
          <w:rFonts w:eastAsia="Calibri"/>
          <w:i/>
          <w:iCs/>
          <w:szCs w:val="22"/>
          <w:lang w:val="en-GB" w:eastAsia="en-US"/>
        </w:rPr>
        <w:t>51</w:t>
      </w:r>
      <w:r w:rsidRPr="000102FB">
        <w:rPr>
          <w:rFonts w:eastAsia="Calibri"/>
          <w:szCs w:val="22"/>
          <w:lang w:val="en-GB" w:eastAsia="en-US"/>
        </w:rPr>
        <w:t xml:space="preserve">(2), pp.534-560. </w:t>
      </w:r>
      <w:hyperlink r:id="rId20">
        <w:r w:rsidRPr="000102FB">
          <w:rPr>
            <w:rFonts w:eastAsia="Calibri"/>
            <w:color w:val="0563C1"/>
            <w:szCs w:val="22"/>
            <w:u w:val="single"/>
            <w:lang w:val="en-GB" w:eastAsia="en-US"/>
          </w:rPr>
          <w:t>https://doi.org/10.1177/03128962251331813</w:t>
        </w:r>
      </w:hyperlink>
      <w:r w:rsidRPr="000102FB">
        <w:rPr>
          <w:rFonts w:eastAsia="Calibri"/>
          <w:szCs w:val="22"/>
          <w:lang w:val="en-GB" w:eastAsia="en-US"/>
        </w:rPr>
        <w:t xml:space="preserve"> </w:t>
      </w:r>
    </w:p>
    <w:p w14:paraId="29C06844" w14:textId="77777777" w:rsidR="007D25EE" w:rsidRPr="000102FB" w:rsidRDefault="007D25EE" w:rsidP="000102FB">
      <w:pPr>
        <w:spacing w:before="120"/>
        <w:rPr>
          <w:rFonts w:eastAsia="Calibri"/>
          <w:szCs w:val="22"/>
          <w:lang w:val="en-GB" w:eastAsia="en-US"/>
        </w:rPr>
      </w:pPr>
      <w:r w:rsidRPr="000102FB">
        <w:rPr>
          <w:rFonts w:eastAsia="Calibri"/>
          <w:szCs w:val="22"/>
          <w:lang w:val="en-GB" w:eastAsia="en-US"/>
        </w:rPr>
        <w:t>Pinterest (2026).</w:t>
      </w:r>
      <w:r w:rsidRPr="000102FB">
        <w:rPr>
          <w:rFonts w:eastAsia="Calibri"/>
          <w:i/>
          <w:szCs w:val="22"/>
          <w:lang w:val="en-GB" w:eastAsia="en-US"/>
        </w:rPr>
        <w:t xml:space="preserve"> THE AGILE-SCRUM FRAMEWORK.</w:t>
      </w:r>
      <w:r w:rsidRPr="000102FB">
        <w:rPr>
          <w:rFonts w:eastAsia="Calibri"/>
          <w:szCs w:val="22"/>
          <w:lang w:val="en-GB" w:eastAsia="en-US"/>
        </w:rPr>
        <w:t xml:space="preserve"> Available at: </w:t>
      </w:r>
      <w:hyperlink r:id="rId21" w:history="1">
        <w:r w:rsidRPr="000102FB">
          <w:rPr>
            <w:rFonts w:eastAsia="Calibri"/>
            <w:color w:val="0563C1"/>
            <w:szCs w:val="22"/>
            <w:u w:val="single"/>
            <w:lang w:val="en-GB" w:eastAsia="en-US"/>
          </w:rPr>
          <w:t>https://ca.pinterest.com/pin/638174209722586505/</w:t>
        </w:r>
      </w:hyperlink>
      <w:r w:rsidRPr="000102FB">
        <w:rPr>
          <w:rFonts w:eastAsia="Calibri"/>
          <w:szCs w:val="22"/>
          <w:lang w:val="en-GB" w:eastAsia="en-US"/>
        </w:rPr>
        <w:t xml:space="preserve"> (Accessed: 3 October 2026). </w:t>
      </w:r>
    </w:p>
    <w:p w14:paraId="556CC428" w14:textId="77777777" w:rsidR="007D25EE" w:rsidRPr="000102FB" w:rsidRDefault="007D25EE" w:rsidP="000102FB">
      <w:pPr>
        <w:spacing w:before="120"/>
        <w:rPr>
          <w:rFonts w:eastAsia="Calibri"/>
          <w:szCs w:val="22"/>
          <w:lang w:val="en-GB" w:eastAsia="en-US"/>
        </w:rPr>
      </w:pPr>
      <w:r w:rsidRPr="000102FB">
        <w:rPr>
          <w:rFonts w:eastAsia="Calibri"/>
          <w:szCs w:val="22"/>
          <w:lang w:val="en-GB" w:eastAsia="en-US"/>
        </w:rPr>
        <w:t xml:space="preserve">Saad Zakaria, K. and Khattak, M.N. (2026). A systematic review of human vs machine intelligence and ethical tensions in human resource management. </w:t>
      </w:r>
      <w:r w:rsidRPr="000102FB">
        <w:rPr>
          <w:rFonts w:eastAsia="Calibri"/>
          <w:i/>
          <w:iCs/>
          <w:szCs w:val="22"/>
          <w:lang w:val="en-GB" w:eastAsia="en-US"/>
        </w:rPr>
        <w:t>Discover Artificial Intelligence</w:t>
      </w:r>
      <w:r w:rsidRPr="000102FB">
        <w:rPr>
          <w:rFonts w:eastAsia="Calibri"/>
          <w:szCs w:val="22"/>
          <w:lang w:val="en-GB" w:eastAsia="en-US"/>
        </w:rPr>
        <w:t xml:space="preserve">, </w:t>
      </w:r>
      <w:r w:rsidRPr="000102FB">
        <w:rPr>
          <w:rFonts w:eastAsia="Calibri"/>
          <w:i/>
          <w:iCs/>
          <w:szCs w:val="22"/>
          <w:lang w:val="en-GB" w:eastAsia="en-US"/>
        </w:rPr>
        <w:t>6</w:t>
      </w:r>
      <w:r w:rsidRPr="000102FB">
        <w:rPr>
          <w:rFonts w:eastAsia="Calibri"/>
          <w:szCs w:val="22"/>
          <w:lang w:val="en-GB" w:eastAsia="en-US"/>
        </w:rPr>
        <w:t xml:space="preserve">(1), p.861. </w:t>
      </w:r>
      <w:hyperlink r:id="rId22" w:history="1">
        <w:r w:rsidRPr="000102FB">
          <w:rPr>
            <w:rFonts w:eastAsia="Calibri"/>
            <w:color w:val="0563C1"/>
            <w:szCs w:val="22"/>
            <w:u w:val="single"/>
            <w:lang w:val="en-GB" w:eastAsia="en-US"/>
          </w:rPr>
          <w:t>https://doi.org/10.1007/s44163-026-01926-5</w:t>
        </w:r>
      </w:hyperlink>
      <w:r w:rsidRPr="000102FB">
        <w:rPr>
          <w:rFonts w:eastAsia="Calibri"/>
          <w:szCs w:val="22"/>
          <w:lang w:val="en-GB" w:eastAsia="en-US"/>
        </w:rPr>
        <w:t xml:space="preserve"> </w:t>
      </w:r>
    </w:p>
    <w:p w14:paraId="48AE0900" w14:textId="77777777" w:rsidR="007D25EE" w:rsidRPr="000102FB" w:rsidRDefault="007D25EE" w:rsidP="000102FB">
      <w:pPr>
        <w:spacing w:before="120"/>
        <w:rPr>
          <w:rFonts w:eastAsia="Calibri"/>
          <w:szCs w:val="22"/>
          <w:lang w:val="en-GB" w:eastAsia="en-US"/>
        </w:rPr>
      </w:pPr>
      <w:r w:rsidRPr="000102FB">
        <w:rPr>
          <w:rFonts w:eastAsia="Calibri"/>
          <w:szCs w:val="22"/>
          <w:lang w:val="en-GB" w:eastAsia="en-US"/>
        </w:rPr>
        <w:t xml:space="preserve">Sachan, V.S., Katiyar, A., </w:t>
      </w:r>
      <w:proofErr w:type="spellStart"/>
      <w:r w:rsidRPr="000102FB">
        <w:rPr>
          <w:rFonts w:eastAsia="Calibri"/>
          <w:szCs w:val="22"/>
          <w:lang w:val="en-GB" w:eastAsia="en-US"/>
        </w:rPr>
        <w:t>Somashekher</w:t>
      </w:r>
      <w:proofErr w:type="spellEnd"/>
      <w:r w:rsidRPr="000102FB">
        <w:rPr>
          <w:rFonts w:eastAsia="Calibri"/>
          <w:szCs w:val="22"/>
          <w:lang w:val="en-GB" w:eastAsia="en-US"/>
        </w:rPr>
        <w:t xml:space="preserve">, C., Chauhan, A.S. and Bhima, C.K. (2024). The role of artificial intelligence in HRM: opportunities, challenges, and ethical considerations. </w:t>
      </w:r>
      <w:r w:rsidRPr="000102FB">
        <w:rPr>
          <w:rFonts w:eastAsia="Calibri"/>
          <w:i/>
          <w:iCs/>
          <w:szCs w:val="22"/>
          <w:lang w:val="en-GB" w:eastAsia="en-US"/>
        </w:rPr>
        <w:t>Educational Administration: Theory and Practice</w:t>
      </w:r>
      <w:r w:rsidRPr="000102FB">
        <w:rPr>
          <w:rFonts w:eastAsia="Calibri"/>
          <w:szCs w:val="22"/>
          <w:lang w:val="en-GB" w:eastAsia="en-US"/>
        </w:rPr>
        <w:t xml:space="preserve">, </w:t>
      </w:r>
      <w:r w:rsidRPr="000102FB">
        <w:rPr>
          <w:rFonts w:eastAsia="Calibri"/>
          <w:i/>
          <w:iCs/>
          <w:szCs w:val="22"/>
          <w:lang w:val="en-GB" w:eastAsia="en-US"/>
        </w:rPr>
        <w:t>30</w:t>
      </w:r>
      <w:r w:rsidRPr="000102FB">
        <w:rPr>
          <w:rFonts w:eastAsia="Calibri"/>
          <w:szCs w:val="22"/>
          <w:lang w:val="en-GB" w:eastAsia="en-US"/>
        </w:rPr>
        <w:t xml:space="preserve">(4), pp.7427-7435. </w:t>
      </w:r>
      <w:hyperlink r:id="rId23" w:history="1">
        <w:r w:rsidRPr="000102FB">
          <w:rPr>
            <w:rFonts w:eastAsia="Calibri"/>
            <w:color w:val="0563C1"/>
            <w:szCs w:val="22"/>
            <w:u w:val="single"/>
            <w:lang w:val="en-GB" w:eastAsia="en-US"/>
          </w:rPr>
          <w:t>https://www.researchgate.net/publication/380784083_The_Role_Of_Artificial_Intelligence_In_HRM_Opportunities_Challenges_And_Ethical_Considerations</w:t>
        </w:r>
      </w:hyperlink>
      <w:r w:rsidRPr="000102FB">
        <w:rPr>
          <w:rFonts w:eastAsia="Calibri"/>
          <w:szCs w:val="22"/>
          <w:lang w:val="en-GB" w:eastAsia="en-US"/>
        </w:rPr>
        <w:t xml:space="preserve"> </w:t>
      </w:r>
    </w:p>
    <w:p w14:paraId="579C1001" w14:textId="77777777" w:rsidR="007D25EE" w:rsidRPr="000102FB" w:rsidRDefault="007D25EE" w:rsidP="000102FB">
      <w:pPr>
        <w:spacing w:before="120"/>
        <w:rPr>
          <w:rFonts w:eastAsia="Calibri"/>
          <w:szCs w:val="22"/>
          <w:lang w:val="en-GB" w:eastAsia="en-US"/>
        </w:rPr>
      </w:pPr>
      <w:proofErr w:type="spellStart"/>
      <w:r w:rsidRPr="000102FB">
        <w:rPr>
          <w:rFonts w:eastAsia="Calibri"/>
          <w:szCs w:val="22"/>
          <w:lang w:val="en-GB" w:eastAsia="en-US"/>
        </w:rPr>
        <w:t>Shiftbase</w:t>
      </w:r>
      <w:proofErr w:type="spellEnd"/>
      <w:r w:rsidRPr="000102FB">
        <w:rPr>
          <w:rFonts w:eastAsia="Calibri"/>
          <w:szCs w:val="22"/>
          <w:lang w:val="en-GB" w:eastAsia="en-US"/>
        </w:rPr>
        <w:t xml:space="preserve"> (2026)</w:t>
      </w:r>
      <w:r w:rsidRPr="000102FB">
        <w:rPr>
          <w:rFonts w:eastAsia="Calibri"/>
          <w:i/>
          <w:szCs w:val="22"/>
          <w:lang w:val="en-GB" w:eastAsia="en-US"/>
        </w:rPr>
        <w:t>. Hybrid Working Model.</w:t>
      </w:r>
      <w:r w:rsidRPr="000102FB">
        <w:rPr>
          <w:rFonts w:eastAsia="Calibri"/>
          <w:szCs w:val="22"/>
          <w:lang w:val="en-GB" w:eastAsia="en-US"/>
        </w:rPr>
        <w:t xml:space="preserve"> Available at: </w:t>
      </w:r>
      <w:hyperlink r:id="rId24" w:history="1">
        <w:r w:rsidRPr="000102FB">
          <w:rPr>
            <w:rFonts w:eastAsia="Calibri"/>
            <w:color w:val="0563C1"/>
            <w:szCs w:val="22"/>
            <w:u w:val="single"/>
            <w:lang w:val="en-GB" w:eastAsia="en-US"/>
          </w:rPr>
          <w:t>https://www.shiftbase.com/glossary/hybrid-working-model</w:t>
        </w:r>
      </w:hyperlink>
      <w:r w:rsidRPr="000102FB">
        <w:rPr>
          <w:rFonts w:eastAsia="Calibri"/>
          <w:szCs w:val="22"/>
          <w:lang w:val="en-GB" w:eastAsia="en-US"/>
        </w:rPr>
        <w:t xml:space="preserve"> (Accessed: 3 October 2026).</w:t>
      </w:r>
    </w:p>
    <w:p w14:paraId="191EC963" w14:textId="77777777" w:rsidR="007D25EE" w:rsidRPr="000102FB" w:rsidRDefault="007D25EE" w:rsidP="000102FB">
      <w:pPr>
        <w:spacing w:before="120"/>
        <w:rPr>
          <w:rFonts w:eastAsia="Calibri"/>
          <w:szCs w:val="22"/>
          <w:lang w:val="en-GB" w:eastAsia="en-US"/>
        </w:rPr>
      </w:pPr>
      <w:r w:rsidRPr="000102FB">
        <w:rPr>
          <w:rFonts w:eastAsia="Calibri"/>
          <w:szCs w:val="22"/>
          <w:lang w:val="en-GB" w:eastAsia="en-US"/>
        </w:rPr>
        <w:t xml:space="preserve">Singh, R., Yoo, S., Park, S., Chaudhuri, S. and Sihag, P. (2025). State of the art on high performance work systems research: a bibliometrics study. </w:t>
      </w:r>
      <w:r w:rsidRPr="000102FB">
        <w:rPr>
          <w:rFonts w:eastAsia="Calibri"/>
          <w:i/>
          <w:iCs/>
          <w:szCs w:val="22"/>
          <w:lang w:val="en-GB" w:eastAsia="en-US"/>
        </w:rPr>
        <w:t>Human Resource Development Review</w:t>
      </w:r>
      <w:r w:rsidRPr="000102FB">
        <w:rPr>
          <w:rFonts w:eastAsia="Calibri"/>
          <w:szCs w:val="22"/>
          <w:lang w:val="en-GB" w:eastAsia="en-US"/>
        </w:rPr>
        <w:t xml:space="preserve">, </w:t>
      </w:r>
      <w:r w:rsidRPr="000102FB">
        <w:rPr>
          <w:rFonts w:eastAsia="Calibri"/>
          <w:i/>
          <w:iCs/>
          <w:szCs w:val="22"/>
          <w:lang w:val="en-GB" w:eastAsia="en-US"/>
        </w:rPr>
        <w:t>24</w:t>
      </w:r>
      <w:r w:rsidRPr="000102FB">
        <w:rPr>
          <w:rFonts w:eastAsia="Calibri"/>
          <w:szCs w:val="22"/>
          <w:lang w:val="en-GB" w:eastAsia="en-US"/>
        </w:rPr>
        <w:t xml:space="preserve">(3), pp.304-330. </w:t>
      </w:r>
      <w:hyperlink r:id="rId25">
        <w:r w:rsidRPr="000102FB">
          <w:rPr>
            <w:rFonts w:eastAsia="Calibri"/>
            <w:color w:val="0563C1"/>
            <w:szCs w:val="22"/>
            <w:u w:val="single"/>
            <w:lang w:val="en-GB" w:eastAsia="en-US"/>
          </w:rPr>
          <w:t>https://doi.org/10.1177/15344843241301668</w:t>
        </w:r>
      </w:hyperlink>
      <w:r w:rsidRPr="000102FB">
        <w:rPr>
          <w:rFonts w:eastAsia="Calibri"/>
          <w:szCs w:val="22"/>
          <w:lang w:val="en-GB" w:eastAsia="en-US"/>
        </w:rPr>
        <w:t xml:space="preserve"> </w:t>
      </w:r>
    </w:p>
    <w:p w14:paraId="4D209855" w14:textId="77777777" w:rsidR="007D25EE" w:rsidRPr="000102FB" w:rsidRDefault="007D25EE" w:rsidP="000102FB">
      <w:pPr>
        <w:spacing w:before="120"/>
        <w:rPr>
          <w:rFonts w:eastAsia="Calibri"/>
          <w:szCs w:val="22"/>
          <w:lang w:val="en-GB" w:eastAsia="en-US"/>
        </w:rPr>
      </w:pPr>
      <w:r w:rsidRPr="000102FB">
        <w:rPr>
          <w:rFonts w:eastAsia="Calibri"/>
          <w:szCs w:val="22"/>
          <w:lang w:val="en-GB" w:eastAsia="en-US"/>
        </w:rPr>
        <w:t xml:space="preserve">Yao, Z., Zhang, S., Li, Y., Ko, J., and Choi, J. (2025). Organizational agility and job performance: exploring emotional and behavioral mediators in healthcare management. </w:t>
      </w:r>
      <w:r w:rsidRPr="000102FB">
        <w:rPr>
          <w:rFonts w:eastAsia="Calibri"/>
          <w:i/>
          <w:iCs/>
          <w:szCs w:val="22"/>
          <w:lang w:val="en-GB" w:eastAsia="en-US"/>
        </w:rPr>
        <w:t>Critical Public Health</w:t>
      </w:r>
      <w:r w:rsidRPr="000102FB">
        <w:rPr>
          <w:rFonts w:eastAsia="Calibri"/>
          <w:szCs w:val="22"/>
          <w:lang w:val="en-GB" w:eastAsia="en-US"/>
        </w:rPr>
        <w:t xml:space="preserve">, </w:t>
      </w:r>
      <w:r w:rsidRPr="000102FB">
        <w:rPr>
          <w:rFonts w:eastAsia="Calibri"/>
          <w:i/>
          <w:iCs/>
          <w:szCs w:val="22"/>
          <w:lang w:val="en-GB" w:eastAsia="en-US"/>
        </w:rPr>
        <w:t>35</w:t>
      </w:r>
      <w:r w:rsidRPr="000102FB">
        <w:rPr>
          <w:rFonts w:eastAsia="Calibri"/>
          <w:szCs w:val="22"/>
          <w:lang w:val="en-GB" w:eastAsia="en-US"/>
        </w:rPr>
        <w:t xml:space="preserve">(1). </w:t>
      </w:r>
      <w:hyperlink r:id="rId26">
        <w:r w:rsidRPr="000102FB">
          <w:rPr>
            <w:rFonts w:eastAsia="Calibri"/>
            <w:color w:val="0563C1"/>
            <w:szCs w:val="22"/>
            <w:u w:val="single"/>
            <w:lang w:val="en-GB" w:eastAsia="en-US"/>
          </w:rPr>
          <w:t>https://doi.org/10.1080/09581596.2025.2491736</w:t>
        </w:r>
      </w:hyperlink>
      <w:r w:rsidRPr="000102FB">
        <w:rPr>
          <w:rFonts w:eastAsia="Calibri"/>
          <w:szCs w:val="22"/>
          <w:lang w:val="en-GB" w:eastAsia="en-US"/>
        </w:rPr>
        <w:t xml:space="preserve"> </w:t>
      </w:r>
    </w:p>
    <w:p w14:paraId="32ABC729" w14:textId="77777777" w:rsidR="000102FB" w:rsidRPr="000102FB" w:rsidRDefault="000102FB" w:rsidP="000102FB">
      <w:pPr>
        <w:spacing w:before="120"/>
        <w:rPr>
          <w:rFonts w:eastAsia="Calibri"/>
          <w:szCs w:val="22"/>
          <w:lang w:val="en-GB" w:eastAsia="en-US"/>
        </w:rPr>
      </w:pPr>
    </w:p>
    <w:p w14:paraId="69AF47A3" w14:textId="77777777" w:rsidR="00EB28D9" w:rsidRPr="00CA4225" w:rsidRDefault="00EB28D9">
      <w:pPr>
        <w:spacing w:before="120"/>
        <w:rPr>
          <w:lang w:val="en-GB"/>
        </w:rPr>
      </w:pPr>
    </w:p>
    <w:p w14:paraId="0F474F7E" w14:textId="77777777" w:rsidR="003F36A5" w:rsidRPr="00CA4225" w:rsidRDefault="003F36A5">
      <w:pPr>
        <w:rPr>
          <w:lang w:val="en-GB"/>
        </w:rPr>
      </w:pPr>
    </w:p>
    <w:sectPr w:rsidR="003F36A5" w:rsidRPr="00CA4225" w:rsidSect="00CD127D">
      <w:footerReference w:type="default" r:id="rId27"/>
      <w:headerReference w:type="first" r:id="rId28"/>
      <w:footerReference w:type="first" r:id="rId29"/>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81DF21" w14:textId="77777777" w:rsidR="005F719B" w:rsidRDefault="005F719B">
      <w:pPr>
        <w:spacing w:after="0" w:line="240" w:lineRule="auto"/>
      </w:pPr>
      <w:r>
        <w:separator/>
      </w:r>
    </w:p>
  </w:endnote>
  <w:endnote w:type="continuationSeparator" w:id="0">
    <w:p w14:paraId="4515B00D" w14:textId="77777777" w:rsidR="005F719B" w:rsidRDefault="005F71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EE7DA2A-0538-4689-9DAC-1DF4E6A6B6E9}"/>
    <w:embedBold r:id="rId2" w:fontKey="{8374B206-A1D9-4094-926A-491F0C76E1A7}"/>
    <w:embedItalic r:id="rId3" w:fontKey="{35D12D60-A58B-459E-8DC4-F0210EDBC9D8}"/>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4" w:fontKey="{3766967D-123E-4417-87C3-BA0A54A46F54}"/>
  </w:font>
  <w:font w:name="Cambria">
    <w:panose1 w:val="02040503050406030204"/>
    <w:charset w:val="00"/>
    <w:family w:val="roman"/>
    <w:pitch w:val="variable"/>
    <w:sig w:usb0="E00006FF" w:usb1="420024FF" w:usb2="02000000" w:usb3="00000000" w:csb0="0000019F" w:csb1="00000000"/>
    <w:embedRegular r:id="rId5" w:fontKey="{B2DEABA1-78E9-49AA-82A8-E3736CBF4798}"/>
  </w:font>
  <w:font w:name="Geist Fallback">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8A8BBD" w14:textId="77777777" w:rsidR="003F36A5" w:rsidRDefault="00FB1DF3">
    <w:pPr>
      <w:jc w:val="right"/>
      <w:rPr>
        <w:sz w:val="20"/>
        <w:szCs w:val="20"/>
      </w:rPr>
    </w:pPr>
    <w:r>
      <w:rPr>
        <w:sz w:val="20"/>
        <w:szCs w:val="20"/>
      </w:rPr>
      <w:fldChar w:fldCharType="begin"/>
    </w:r>
    <w:r>
      <w:rPr>
        <w:sz w:val="20"/>
        <w:szCs w:val="20"/>
      </w:rPr>
      <w:instrText>PAGE</w:instrText>
    </w:r>
    <w:r>
      <w:rPr>
        <w:sz w:val="20"/>
        <w:szCs w:val="20"/>
      </w:rPr>
      <w:fldChar w:fldCharType="separate"/>
    </w:r>
    <w:r w:rsidR="007D25EE">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567BB3" w14:textId="77777777" w:rsidR="003F36A5" w:rsidRDefault="003F36A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85FAC5" w14:textId="77777777" w:rsidR="005F719B" w:rsidRDefault="005F719B">
      <w:pPr>
        <w:spacing w:after="0" w:line="240" w:lineRule="auto"/>
      </w:pPr>
      <w:r>
        <w:separator/>
      </w:r>
    </w:p>
  </w:footnote>
  <w:footnote w:type="continuationSeparator" w:id="0">
    <w:p w14:paraId="2784154E" w14:textId="77777777" w:rsidR="005F719B" w:rsidRDefault="005F71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9EAF36" w14:textId="77777777" w:rsidR="003F36A5" w:rsidRDefault="003F36A5"/>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36A5"/>
    <w:rsid w:val="000102FB"/>
    <w:rsid w:val="00010A3F"/>
    <w:rsid w:val="00016A0D"/>
    <w:rsid w:val="00021795"/>
    <w:rsid w:val="00050B93"/>
    <w:rsid w:val="000D654C"/>
    <w:rsid w:val="001141DF"/>
    <w:rsid w:val="00117A93"/>
    <w:rsid w:val="001200ED"/>
    <w:rsid w:val="00165399"/>
    <w:rsid w:val="002D5484"/>
    <w:rsid w:val="002E6A71"/>
    <w:rsid w:val="00370152"/>
    <w:rsid w:val="003916E9"/>
    <w:rsid w:val="003A67DD"/>
    <w:rsid w:val="003E12EF"/>
    <w:rsid w:val="003F36A5"/>
    <w:rsid w:val="00451326"/>
    <w:rsid w:val="00476856"/>
    <w:rsid w:val="00483E20"/>
    <w:rsid w:val="004A7FF1"/>
    <w:rsid w:val="00545EEC"/>
    <w:rsid w:val="00566927"/>
    <w:rsid w:val="00572DCF"/>
    <w:rsid w:val="005F719B"/>
    <w:rsid w:val="00624657"/>
    <w:rsid w:val="0062524E"/>
    <w:rsid w:val="006643B1"/>
    <w:rsid w:val="006B0E43"/>
    <w:rsid w:val="006B1FA9"/>
    <w:rsid w:val="00704313"/>
    <w:rsid w:val="007715DA"/>
    <w:rsid w:val="007D25EE"/>
    <w:rsid w:val="007E4C8A"/>
    <w:rsid w:val="008117D8"/>
    <w:rsid w:val="00827605"/>
    <w:rsid w:val="008466BA"/>
    <w:rsid w:val="00856D42"/>
    <w:rsid w:val="00860C5B"/>
    <w:rsid w:val="008E32F9"/>
    <w:rsid w:val="009072EE"/>
    <w:rsid w:val="00960CF4"/>
    <w:rsid w:val="009921A8"/>
    <w:rsid w:val="009B386A"/>
    <w:rsid w:val="009F3855"/>
    <w:rsid w:val="009F59C6"/>
    <w:rsid w:val="00A162B0"/>
    <w:rsid w:val="00AF5230"/>
    <w:rsid w:val="00B76582"/>
    <w:rsid w:val="00BD6B9D"/>
    <w:rsid w:val="00BD6DE6"/>
    <w:rsid w:val="00C00B73"/>
    <w:rsid w:val="00CA4225"/>
    <w:rsid w:val="00CD127D"/>
    <w:rsid w:val="00CE082A"/>
    <w:rsid w:val="00D74EB6"/>
    <w:rsid w:val="00D85ACC"/>
    <w:rsid w:val="00DB0ACC"/>
    <w:rsid w:val="00DB25B1"/>
    <w:rsid w:val="00E0378A"/>
    <w:rsid w:val="00E40EB3"/>
    <w:rsid w:val="00E44755"/>
    <w:rsid w:val="00E82E70"/>
    <w:rsid w:val="00EB28D9"/>
    <w:rsid w:val="00F23854"/>
    <w:rsid w:val="00F305AC"/>
    <w:rsid w:val="00F45F92"/>
    <w:rsid w:val="00FB1DF3"/>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DE6E2"/>
  <w15:docId w15:val="{D71F0B12-BBF3-4D73-B5B7-63C809CDE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A4225"/>
    <w:pPr>
      <w:spacing w:after="120"/>
    </w:p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Heading">
    <w:name w:val="TOC Heading"/>
    <w:basedOn w:val="Heading1"/>
    <w:next w:val="Normal"/>
    <w:uiPriority w:val="39"/>
    <w:unhideWhenUsed/>
    <w:qFormat/>
    <w:rsid w:val="00CD127D"/>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D127D"/>
    <w:pPr>
      <w:spacing w:after="100"/>
    </w:pPr>
  </w:style>
  <w:style w:type="paragraph" w:styleId="TOC2">
    <w:name w:val="toc 2"/>
    <w:basedOn w:val="Normal"/>
    <w:next w:val="Normal"/>
    <w:autoRedefine/>
    <w:uiPriority w:val="39"/>
    <w:unhideWhenUsed/>
    <w:rsid w:val="00CD127D"/>
    <w:pPr>
      <w:spacing w:after="100"/>
      <w:ind w:left="240"/>
    </w:pPr>
  </w:style>
  <w:style w:type="character" w:styleId="Hyperlink">
    <w:name w:val="Hyperlink"/>
    <w:basedOn w:val="DefaultParagraphFont"/>
    <w:uiPriority w:val="99"/>
    <w:unhideWhenUsed/>
    <w:rsid w:val="00CD127D"/>
    <w:rPr>
      <w:color w:val="0000FF" w:themeColor="hyperlink"/>
      <w:u w:val="single"/>
    </w:rPr>
  </w:style>
  <w:style w:type="character" w:styleId="Strong">
    <w:name w:val="Strong"/>
    <w:basedOn w:val="DefaultParagraphFont"/>
    <w:uiPriority w:val="22"/>
    <w:qFormat/>
    <w:rsid w:val="00566927"/>
    <w:rPr>
      <w:b/>
      <w:bCs/>
    </w:rPr>
  </w:style>
  <w:style w:type="character" w:styleId="Emphasis">
    <w:name w:val="Emphasis"/>
    <w:basedOn w:val="DefaultParagraphFont"/>
    <w:uiPriority w:val="20"/>
    <w:qFormat/>
    <w:rsid w:val="00566927"/>
    <w:rPr>
      <w:i/>
      <w:iCs/>
    </w:rPr>
  </w:style>
  <w:style w:type="table" w:styleId="GridTable5Dark-Accent4">
    <w:name w:val="Grid Table 5 Dark Accent 4"/>
    <w:basedOn w:val="TableNormal"/>
    <w:uiPriority w:val="50"/>
    <w:rsid w:val="00566927"/>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5">
    <w:name w:val="Grid Table 5 Dark Accent 5"/>
    <w:basedOn w:val="TableNormal"/>
    <w:uiPriority w:val="50"/>
    <w:rsid w:val="00EB28D9"/>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5Dark-Accent2">
    <w:name w:val="Grid Table 5 Dark Accent 2"/>
    <w:basedOn w:val="TableNormal"/>
    <w:uiPriority w:val="50"/>
    <w:rsid w:val="00EB28D9"/>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5Dark-Accent6">
    <w:name w:val="Grid Table 5 Dark Accent 6"/>
    <w:basedOn w:val="TableNormal"/>
    <w:uiPriority w:val="50"/>
    <w:rsid w:val="00E40EB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289561">
      <w:bodyDiv w:val="1"/>
      <w:marLeft w:val="0"/>
      <w:marRight w:val="0"/>
      <w:marTop w:val="0"/>
      <w:marBottom w:val="0"/>
      <w:divBdr>
        <w:top w:val="none" w:sz="0" w:space="0" w:color="auto"/>
        <w:left w:val="none" w:sz="0" w:space="0" w:color="auto"/>
        <w:bottom w:val="none" w:sz="0" w:space="0" w:color="auto"/>
        <w:right w:val="none" w:sz="0" w:space="0" w:color="auto"/>
      </w:divBdr>
    </w:div>
    <w:div w:id="350644055">
      <w:bodyDiv w:val="1"/>
      <w:marLeft w:val="0"/>
      <w:marRight w:val="0"/>
      <w:marTop w:val="0"/>
      <w:marBottom w:val="0"/>
      <w:divBdr>
        <w:top w:val="none" w:sz="0" w:space="0" w:color="auto"/>
        <w:left w:val="none" w:sz="0" w:space="0" w:color="auto"/>
        <w:bottom w:val="none" w:sz="0" w:space="0" w:color="auto"/>
        <w:right w:val="none" w:sz="0" w:space="0" w:color="auto"/>
      </w:divBdr>
    </w:div>
    <w:div w:id="1050423244">
      <w:bodyDiv w:val="1"/>
      <w:marLeft w:val="0"/>
      <w:marRight w:val="0"/>
      <w:marTop w:val="0"/>
      <w:marBottom w:val="0"/>
      <w:divBdr>
        <w:top w:val="none" w:sz="0" w:space="0" w:color="auto"/>
        <w:left w:val="none" w:sz="0" w:space="0" w:color="auto"/>
        <w:bottom w:val="none" w:sz="0" w:space="0" w:color="auto"/>
        <w:right w:val="none" w:sz="0" w:space="0" w:color="auto"/>
      </w:divBdr>
      <w:divsChild>
        <w:div w:id="1889873074">
          <w:marLeft w:val="0"/>
          <w:marRight w:val="0"/>
          <w:marTop w:val="0"/>
          <w:marBottom w:val="0"/>
          <w:divBdr>
            <w:top w:val="none" w:sz="0" w:space="0" w:color="auto"/>
            <w:left w:val="none" w:sz="0" w:space="0" w:color="auto"/>
            <w:bottom w:val="none" w:sz="0" w:space="0" w:color="auto"/>
            <w:right w:val="none" w:sz="0" w:space="0" w:color="auto"/>
          </w:divBdr>
        </w:div>
      </w:divsChild>
    </w:div>
    <w:div w:id="1458256282">
      <w:bodyDiv w:val="1"/>
      <w:marLeft w:val="0"/>
      <w:marRight w:val="0"/>
      <w:marTop w:val="0"/>
      <w:marBottom w:val="0"/>
      <w:divBdr>
        <w:top w:val="none" w:sz="0" w:space="0" w:color="auto"/>
        <w:left w:val="none" w:sz="0" w:space="0" w:color="auto"/>
        <w:bottom w:val="none" w:sz="0" w:space="0" w:color="auto"/>
        <w:right w:val="none" w:sz="0" w:space="0" w:color="auto"/>
      </w:divBdr>
      <w:divsChild>
        <w:div w:id="1506045522">
          <w:marLeft w:val="0"/>
          <w:marRight w:val="0"/>
          <w:marTop w:val="0"/>
          <w:marBottom w:val="0"/>
          <w:divBdr>
            <w:top w:val="none" w:sz="0" w:space="0" w:color="auto"/>
            <w:left w:val="none" w:sz="0" w:space="0" w:color="auto"/>
            <w:bottom w:val="none" w:sz="0" w:space="0" w:color="auto"/>
            <w:right w:val="none" w:sz="0" w:space="0" w:color="auto"/>
          </w:divBdr>
        </w:div>
      </w:divsChild>
    </w:div>
    <w:div w:id="1522233072">
      <w:bodyDiv w:val="1"/>
      <w:marLeft w:val="0"/>
      <w:marRight w:val="0"/>
      <w:marTop w:val="0"/>
      <w:marBottom w:val="0"/>
      <w:divBdr>
        <w:top w:val="none" w:sz="0" w:space="0" w:color="auto"/>
        <w:left w:val="none" w:sz="0" w:space="0" w:color="auto"/>
        <w:bottom w:val="none" w:sz="0" w:space="0" w:color="auto"/>
        <w:right w:val="none" w:sz="0" w:space="0" w:color="auto"/>
      </w:divBdr>
    </w:div>
    <w:div w:id="1567377348">
      <w:bodyDiv w:val="1"/>
      <w:marLeft w:val="0"/>
      <w:marRight w:val="0"/>
      <w:marTop w:val="0"/>
      <w:marBottom w:val="0"/>
      <w:divBdr>
        <w:top w:val="none" w:sz="0" w:space="0" w:color="auto"/>
        <w:left w:val="none" w:sz="0" w:space="0" w:color="auto"/>
        <w:bottom w:val="none" w:sz="0" w:space="0" w:color="auto"/>
        <w:right w:val="none" w:sz="0" w:space="0" w:color="auto"/>
      </w:divBdr>
      <w:divsChild>
        <w:div w:id="121654723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cipd.org/en/knowledge/evidence-reviews/trust-psychological-safety/" TargetMode="External"/><Relationship Id="rId18" Type="http://schemas.openxmlformats.org/officeDocument/2006/relationships/hyperlink" Target="https://doi.org/10.1007/s11365-025-01069-6" TargetMode="External"/><Relationship Id="rId26" Type="http://schemas.openxmlformats.org/officeDocument/2006/relationships/hyperlink" Target="https://doi.org/10.1080/09581596.2025.2491736" TargetMode="External"/><Relationship Id="rId3" Type="http://schemas.openxmlformats.org/officeDocument/2006/relationships/settings" Target="settings.xml"/><Relationship Id="rId21" Type="http://schemas.openxmlformats.org/officeDocument/2006/relationships/hyperlink" Target="https://ca.pinterest.com/pin/638174209722586505/" TargetMode="External"/><Relationship Id="rId7" Type="http://schemas.openxmlformats.org/officeDocument/2006/relationships/image" Target="media/image1.jpeg"/><Relationship Id="rId12" Type="http://schemas.openxmlformats.org/officeDocument/2006/relationships/hyperlink" Target="https://doi.org/10.1108/IJOA-06-2024-4599" TargetMode="External"/><Relationship Id="rId17" Type="http://schemas.openxmlformats.org/officeDocument/2006/relationships/hyperlink" Target="https://doi.org/10.1177/30499240251356878" TargetMode="External"/><Relationship Id="rId25" Type="http://schemas.openxmlformats.org/officeDocument/2006/relationships/hyperlink" Target="https://doi.org/10.1177/15344843241301668" TargetMode="External"/><Relationship Id="rId2" Type="http://schemas.openxmlformats.org/officeDocument/2006/relationships/styles" Target="styles.xml"/><Relationship Id="rId16" Type="http://schemas.openxmlformats.org/officeDocument/2006/relationships/hyperlink" Target="https://www.researchgate.net/figure/The-five-disciplines_fig1_328688896" TargetMode="External"/><Relationship Id="rId20" Type="http://schemas.openxmlformats.org/officeDocument/2006/relationships/hyperlink" Target="https://doi.org/10.1177/03128962251331813"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08/IJOA-06-2024-4599" TargetMode="External"/><Relationship Id="rId24" Type="http://schemas.openxmlformats.org/officeDocument/2006/relationships/hyperlink" Target="https://www.shiftbase.com/glossary/hybrid-working-model" TargetMode="External"/><Relationship Id="rId5" Type="http://schemas.openxmlformats.org/officeDocument/2006/relationships/footnotes" Target="footnotes.xml"/><Relationship Id="rId15" Type="http://schemas.openxmlformats.org/officeDocument/2006/relationships/hyperlink" Target="https://doi.org/10.1080/0960085X.2024.2347950" TargetMode="External"/><Relationship Id="rId23" Type="http://schemas.openxmlformats.org/officeDocument/2006/relationships/hyperlink" Target="https://www.researchgate.net/publication/380784083_The_Role_Of_Artificial_Intelligence_In_HRM_Opportunities_Challenges_And_Ethical_Considerations" TargetMode="External"/><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doi.org/10.1007/s10672-024-09520-6"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jbusres.2026.116146" TargetMode="External"/><Relationship Id="rId22" Type="http://schemas.openxmlformats.org/officeDocument/2006/relationships/hyperlink" Target="https://doi.org/10.1007/s44163-026-01926-5" TargetMode="External"/><Relationship Id="rId27" Type="http://schemas.openxmlformats.org/officeDocument/2006/relationships/footer" Target="footer1.xm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7AAF35-2A31-40F9-A3C5-D02036381F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3681</Words>
  <Characters>20983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MOUMITA</dc:creator>
  <cp:lastModifiedBy>Joshi Sujal</cp:lastModifiedBy>
  <cp:revision>2</cp:revision>
  <dcterms:created xsi:type="dcterms:W3CDTF">2026-10-13T13:37:00Z</dcterms:created>
  <dcterms:modified xsi:type="dcterms:W3CDTF">2026-10-13T13:37:00Z</dcterms:modified>
</cp:coreProperties>
</file>