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350802" wp14:paraId="1F745CD6" wp14:textId="3D850A3C">
      <w:pPr>
        <w:pStyle w:val="Normal"/>
        <w:spacing w:before="322" w:beforeAutospacing="off" w:after="322" w:afterAutospacing="off"/>
      </w:pPr>
      <w:r w:rsidRPr="01350802" w:rsidR="09797747">
        <w:rPr>
          <w:b w:val="1"/>
          <w:bCs w:val="1"/>
          <w:noProof w:val="0"/>
          <w:sz w:val="48"/>
          <w:szCs w:val="48"/>
          <w:lang w:val="en-GB"/>
        </w:rPr>
        <w:t>Student Name:</w:t>
      </w:r>
      <w:r w:rsidRPr="01350802" w:rsidR="410B176C">
        <w:rPr>
          <w:b w:val="1"/>
          <w:bCs w:val="1"/>
          <w:noProof w:val="0"/>
          <w:sz w:val="48"/>
          <w:szCs w:val="48"/>
          <w:lang w:val="en-GB"/>
        </w:rPr>
        <w:t xml:space="preserve"> Shona Lea Veitch</w:t>
      </w:r>
    </w:p>
    <w:p xmlns:wp14="http://schemas.microsoft.com/office/word/2010/wordml" w:rsidP="01350802" wp14:paraId="23AAA283" wp14:textId="6CE237BF">
      <w:pPr>
        <w:pStyle w:val="Normal"/>
        <w:spacing w:before="322" w:beforeAutospacing="off" w:after="322" w:afterAutospacing="off"/>
      </w:pPr>
      <w:r w:rsidRPr="01350802" w:rsidR="410B176C">
        <w:rPr>
          <w:b w:val="1"/>
          <w:bCs w:val="1"/>
          <w:noProof w:val="0"/>
          <w:sz w:val="48"/>
          <w:szCs w:val="48"/>
          <w:lang w:val="en-GB"/>
        </w:rPr>
        <w:t>Student Number: 2441498</w:t>
      </w:r>
    </w:p>
    <w:p xmlns:wp14="http://schemas.microsoft.com/office/word/2010/wordml" w:rsidP="01350802" wp14:paraId="5205DCD8" wp14:textId="3D60D1FB">
      <w:pPr>
        <w:pStyle w:val="Normal"/>
        <w:spacing w:before="322" w:beforeAutospacing="off" w:after="322" w:afterAutospacing="off"/>
      </w:pPr>
      <w:r w:rsidRPr="01350802" w:rsidR="410B176C">
        <w:rPr>
          <w:b w:val="1"/>
          <w:bCs w:val="1"/>
          <w:noProof w:val="0"/>
          <w:sz w:val="48"/>
          <w:szCs w:val="48"/>
          <w:lang w:val="en-GB"/>
        </w:rPr>
        <w:t xml:space="preserve">Module Code and </w:t>
      </w:r>
      <w:r w:rsidRPr="01350802" w:rsidR="410B176C">
        <w:rPr>
          <w:b w:val="1"/>
          <w:bCs w:val="1"/>
          <w:noProof w:val="0"/>
          <w:sz w:val="48"/>
          <w:szCs w:val="48"/>
          <w:lang w:val="en-GB"/>
        </w:rPr>
        <w:t>Title :</w:t>
      </w:r>
      <w:r w:rsidRPr="01350802" w:rsidR="410B176C">
        <w:rPr>
          <w:b w:val="1"/>
          <w:bCs w:val="1"/>
          <w:noProof w:val="0"/>
          <w:sz w:val="48"/>
          <w:szCs w:val="48"/>
          <w:lang w:val="en-GB"/>
        </w:rPr>
        <w:t xml:space="preserve"> LCL</w:t>
      </w:r>
      <w:r w:rsidRPr="01350802" w:rsidR="5836B261">
        <w:rPr>
          <w:b w:val="1"/>
          <w:bCs w:val="1"/>
          <w:noProof w:val="0"/>
          <w:sz w:val="48"/>
          <w:szCs w:val="48"/>
          <w:lang w:val="en-GB"/>
        </w:rPr>
        <w:t>M5002 Developing and Managing Individuals and Teams</w:t>
      </w:r>
    </w:p>
    <w:p xmlns:wp14="http://schemas.microsoft.com/office/word/2010/wordml" w:rsidP="01350802" wp14:paraId="134F3C56" wp14:textId="5DA8AD6E">
      <w:pPr>
        <w:pStyle w:val="Normal"/>
        <w:spacing w:before="322" w:beforeAutospacing="off" w:after="322" w:afterAutospacing="off"/>
      </w:pPr>
      <w:r w:rsidRPr="01350802" w:rsidR="3D174938">
        <w:rPr>
          <w:b w:val="1"/>
          <w:bCs w:val="1"/>
          <w:noProof w:val="0"/>
          <w:sz w:val="48"/>
          <w:szCs w:val="48"/>
          <w:lang w:val="en-GB"/>
        </w:rPr>
        <w:t>Component</w:t>
      </w:r>
      <w:r w:rsidRPr="01350802" w:rsidR="3D174938">
        <w:rPr>
          <w:b w:val="1"/>
          <w:bCs w:val="1"/>
          <w:noProof w:val="0"/>
          <w:sz w:val="48"/>
          <w:szCs w:val="48"/>
          <w:lang w:val="en-GB"/>
        </w:rPr>
        <w:t xml:space="preserve"> 2 – Individual Report</w:t>
      </w:r>
    </w:p>
    <w:p xmlns:wp14="http://schemas.microsoft.com/office/word/2010/wordml" w:rsidP="01350802" wp14:paraId="0C68A04D" wp14:textId="67D1A8CE">
      <w:pPr>
        <w:pStyle w:val="Normal"/>
        <w:spacing w:before="322" w:beforeAutospacing="off" w:after="322" w:afterAutospacing="off"/>
      </w:pPr>
      <w:r w:rsidRPr="01350802" w:rsidR="3D174938">
        <w:rPr>
          <w:b w:val="1"/>
          <w:bCs w:val="1"/>
          <w:noProof w:val="0"/>
          <w:sz w:val="48"/>
          <w:szCs w:val="48"/>
          <w:lang w:val="en-GB"/>
        </w:rPr>
        <w:t>Lecturer: Samson Oladejo</w:t>
      </w:r>
    </w:p>
    <w:p xmlns:wp14="http://schemas.microsoft.com/office/word/2010/wordml" w:rsidP="01350802" wp14:paraId="17B5BED6" wp14:textId="54D2ED5F">
      <w:pPr>
        <w:pStyle w:val="Normal"/>
        <w:rPr>
          <w:noProof w:val="0"/>
          <w:lang w:val="en-GB"/>
        </w:rPr>
      </w:pPr>
    </w:p>
    <w:p xmlns:wp14="http://schemas.microsoft.com/office/word/2010/wordml" w:rsidP="01350802" wp14:paraId="7623D4DE" wp14:textId="5DA30A15">
      <w:pPr>
        <w:pStyle w:val="Heading1"/>
        <w:spacing w:before="322" w:beforeAutospacing="off" w:after="322" w:afterAutospacing="off"/>
        <w:rPr>
          <w:b w:val="1"/>
          <w:bCs w:val="1"/>
          <w:noProof w:val="0"/>
          <w:sz w:val="48"/>
          <w:szCs w:val="48"/>
          <w:lang w:val="en-GB"/>
        </w:rPr>
      </w:pPr>
    </w:p>
    <w:p xmlns:wp14="http://schemas.microsoft.com/office/word/2010/wordml" w:rsidP="01350802" wp14:paraId="091A401D" wp14:textId="4EF81F53">
      <w:pPr>
        <w:pStyle w:val="Heading1"/>
        <w:spacing w:before="322" w:beforeAutospacing="off" w:after="322" w:afterAutospacing="off"/>
        <w:rPr>
          <w:b w:val="1"/>
          <w:bCs w:val="1"/>
          <w:noProof w:val="0"/>
          <w:sz w:val="48"/>
          <w:szCs w:val="48"/>
          <w:lang w:val="en-GB"/>
        </w:rPr>
      </w:pPr>
    </w:p>
    <w:p xmlns:wp14="http://schemas.microsoft.com/office/word/2010/wordml" w:rsidP="01350802" wp14:paraId="46C5656C" wp14:textId="46A6853C">
      <w:pPr>
        <w:pStyle w:val="Heading1"/>
        <w:spacing w:before="322" w:beforeAutospacing="off" w:after="322" w:afterAutospacing="off"/>
        <w:rPr>
          <w:b w:val="1"/>
          <w:bCs w:val="1"/>
          <w:noProof w:val="0"/>
          <w:sz w:val="48"/>
          <w:szCs w:val="48"/>
          <w:lang w:val="en-GB"/>
        </w:rPr>
      </w:pPr>
    </w:p>
    <w:p xmlns:wp14="http://schemas.microsoft.com/office/word/2010/wordml" w:rsidP="01350802" wp14:paraId="3A89A2C7" wp14:textId="188E181D">
      <w:pPr>
        <w:pStyle w:val="Heading1"/>
        <w:spacing w:before="322" w:beforeAutospacing="off" w:after="322" w:afterAutospacing="off"/>
        <w:rPr>
          <w:b w:val="1"/>
          <w:bCs w:val="1"/>
          <w:noProof w:val="0"/>
          <w:sz w:val="48"/>
          <w:szCs w:val="48"/>
          <w:lang w:val="en-GB"/>
        </w:rPr>
      </w:pPr>
    </w:p>
    <w:p xmlns:wp14="http://schemas.microsoft.com/office/word/2010/wordml" w:rsidP="01350802" wp14:paraId="35B2E212" wp14:textId="7A0FBB00">
      <w:pPr>
        <w:pStyle w:val="Heading1"/>
        <w:spacing w:before="322" w:beforeAutospacing="off" w:after="322" w:afterAutospacing="off"/>
        <w:rPr>
          <w:b w:val="1"/>
          <w:bCs w:val="1"/>
          <w:noProof w:val="0"/>
          <w:sz w:val="48"/>
          <w:szCs w:val="48"/>
          <w:lang w:val="en-GB"/>
        </w:rPr>
      </w:pPr>
    </w:p>
    <w:p xmlns:wp14="http://schemas.microsoft.com/office/word/2010/wordml" w:rsidP="01350802" wp14:paraId="769C9EB5" wp14:textId="20F5A348">
      <w:pPr>
        <w:pStyle w:val="Heading1"/>
        <w:spacing w:before="322" w:beforeAutospacing="off" w:after="322" w:afterAutospacing="off"/>
        <w:rPr>
          <w:b w:val="1"/>
          <w:bCs w:val="1"/>
          <w:noProof w:val="0"/>
          <w:sz w:val="48"/>
          <w:szCs w:val="48"/>
          <w:lang w:val="en-GB"/>
        </w:rPr>
      </w:pPr>
    </w:p>
    <w:p xmlns:wp14="http://schemas.microsoft.com/office/word/2010/wordml" w:rsidP="01350802" wp14:paraId="5C75109C" wp14:textId="649FE6B0">
      <w:pPr>
        <w:pStyle w:val="Heading1"/>
        <w:spacing w:before="322" w:beforeAutospacing="off" w:after="322" w:afterAutospacing="off"/>
        <w:rPr>
          <w:b w:val="1"/>
          <w:bCs w:val="1"/>
          <w:noProof w:val="0"/>
          <w:sz w:val="48"/>
          <w:szCs w:val="48"/>
          <w:lang w:val="en-GB"/>
        </w:rPr>
      </w:pPr>
    </w:p>
    <w:p xmlns:wp14="http://schemas.microsoft.com/office/word/2010/wordml" w:rsidP="01350802" wp14:paraId="2FBF6E05" wp14:textId="57B007E5">
      <w:pPr>
        <w:pStyle w:val="Heading1"/>
        <w:spacing w:before="322" w:beforeAutospacing="off" w:after="322" w:afterAutospacing="off"/>
        <w:rPr>
          <w:b w:val="1"/>
          <w:bCs w:val="1"/>
          <w:noProof w:val="0"/>
          <w:sz w:val="48"/>
          <w:szCs w:val="48"/>
          <w:lang w:val="en-GB"/>
        </w:rPr>
      </w:pPr>
    </w:p>
    <w:p xmlns:wp14="http://schemas.microsoft.com/office/word/2010/wordml" w:rsidP="01350802" wp14:paraId="5232DD82" wp14:textId="090F3890">
      <w:pPr>
        <w:pStyle w:val="Heading1"/>
        <w:spacing w:before="322" w:beforeAutospacing="off" w:after="322" w:afterAutospacing="off"/>
        <w:rPr>
          <w:b w:val="1"/>
          <w:bCs w:val="1"/>
          <w:noProof w:val="0"/>
          <w:sz w:val="48"/>
          <w:szCs w:val="48"/>
          <w:lang w:val="en-GB"/>
        </w:rPr>
      </w:pPr>
    </w:p>
    <w:p xmlns:wp14="http://schemas.microsoft.com/office/word/2010/wordml" w:rsidP="01350802" wp14:paraId="20A62C1A" wp14:textId="698D3800">
      <w:pPr>
        <w:pStyle w:val="Heading1"/>
        <w:spacing w:before="322" w:beforeAutospacing="off" w:after="322" w:afterAutospacing="off"/>
        <w:rPr>
          <w:b w:val="1"/>
          <w:bCs w:val="1"/>
          <w:noProof w:val="0"/>
          <w:sz w:val="48"/>
          <w:szCs w:val="48"/>
          <w:lang w:val="en-GB"/>
        </w:rPr>
      </w:pPr>
    </w:p>
    <w:p xmlns:wp14="http://schemas.microsoft.com/office/word/2010/wordml" w:rsidP="01350802" wp14:paraId="7754FF25" wp14:textId="7D8EF22A">
      <w:pPr>
        <w:pStyle w:val="Heading1"/>
        <w:spacing w:before="322" w:beforeAutospacing="off" w:after="322" w:afterAutospacing="off"/>
        <w:rPr>
          <w:b w:val="1"/>
          <w:bCs w:val="1"/>
          <w:noProof w:val="0"/>
          <w:sz w:val="48"/>
          <w:szCs w:val="48"/>
          <w:lang w:val="en-GB"/>
        </w:rPr>
      </w:pPr>
    </w:p>
    <w:p xmlns:wp14="http://schemas.microsoft.com/office/word/2010/wordml" w:rsidP="01350802" wp14:paraId="777C355A" wp14:textId="757673A7">
      <w:pPr>
        <w:pStyle w:val="Heading1"/>
        <w:spacing w:before="322" w:beforeAutospacing="off" w:after="322" w:afterAutospacing="off"/>
        <w:rPr>
          <w:b w:val="1"/>
          <w:bCs w:val="1"/>
          <w:noProof w:val="0"/>
          <w:sz w:val="48"/>
          <w:szCs w:val="48"/>
          <w:lang w:val="en-GB"/>
        </w:rPr>
      </w:pPr>
    </w:p>
    <w:p xmlns:wp14="http://schemas.microsoft.com/office/word/2010/wordml" w:rsidP="01350802" wp14:paraId="77E4846E" wp14:textId="4E418916">
      <w:pPr>
        <w:pStyle w:val="Heading1"/>
        <w:spacing w:before="322" w:beforeAutospacing="off" w:after="322" w:afterAutospacing="off"/>
      </w:pPr>
      <w:r w:rsidRPr="01350802" w:rsidR="073DF64C">
        <w:rPr>
          <w:b w:val="1"/>
          <w:bCs w:val="1"/>
          <w:noProof w:val="0"/>
          <w:sz w:val="48"/>
          <w:szCs w:val="48"/>
          <w:lang w:val="en-GB"/>
        </w:rPr>
        <w:t>Contents Page</w:t>
      </w:r>
    </w:p>
    <w:p xmlns:wp14="http://schemas.microsoft.com/office/word/2010/wordml" w:rsidP="01350802" wp14:paraId="03AAFAFB" wp14:textId="13C182BB">
      <w:pPr>
        <w:pStyle w:val="ListParagraph"/>
        <w:numPr>
          <w:ilvl w:val="0"/>
          <w:numId w:val="10"/>
        </w:numPr>
        <w:spacing w:before="240" w:beforeAutospacing="off" w:after="240" w:afterAutospacing="off"/>
        <w:rPr>
          <w:b w:val="1"/>
          <w:bCs w:val="1"/>
          <w:noProof w:val="0"/>
          <w:lang w:val="en-GB"/>
        </w:rPr>
      </w:pPr>
      <w:r w:rsidRPr="01350802" w:rsidR="073DF64C">
        <w:rPr>
          <w:b w:val="1"/>
          <w:bCs w:val="1"/>
          <w:noProof w:val="0"/>
          <w:lang w:val="en-GB"/>
        </w:rPr>
        <w:t>Executive Summary</w:t>
      </w:r>
    </w:p>
    <w:p xmlns:wp14="http://schemas.microsoft.com/office/word/2010/wordml" w:rsidP="01350802" wp14:paraId="627DFD03" wp14:textId="31FA1B87">
      <w:pPr>
        <w:pStyle w:val="ListParagraph"/>
        <w:numPr>
          <w:ilvl w:val="0"/>
          <w:numId w:val="10"/>
        </w:numPr>
        <w:spacing w:before="240" w:beforeAutospacing="off" w:after="240" w:afterAutospacing="off"/>
        <w:rPr>
          <w:b w:val="1"/>
          <w:bCs w:val="1"/>
          <w:noProof w:val="0"/>
          <w:lang w:val="en-GB"/>
        </w:rPr>
      </w:pPr>
      <w:r w:rsidRPr="01350802" w:rsidR="073DF64C">
        <w:rPr>
          <w:b w:val="1"/>
          <w:bCs w:val="1"/>
          <w:noProof w:val="0"/>
          <w:lang w:val="en-GB"/>
        </w:rPr>
        <w:t>Introduction</w:t>
      </w:r>
    </w:p>
    <w:p xmlns:wp14="http://schemas.microsoft.com/office/word/2010/wordml" w:rsidP="01350802" wp14:paraId="3E23290C" wp14:textId="49635D73">
      <w:pPr>
        <w:pStyle w:val="ListParagraph"/>
        <w:numPr>
          <w:ilvl w:val="0"/>
          <w:numId w:val="10"/>
        </w:numPr>
        <w:spacing w:before="240" w:beforeAutospacing="off" w:after="240" w:afterAutospacing="off"/>
        <w:rPr>
          <w:noProof w:val="0"/>
          <w:lang w:val="en-GB"/>
        </w:rPr>
      </w:pPr>
      <w:r w:rsidRPr="01350802" w:rsidR="073DF64C">
        <w:rPr>
          <w:b w:val="1"/>
          <w:bCs w:val="1"/>
          <w:noProof w:val="0"/>
          <w:lang w:val="en-GB"/>
        </w:rPr>
        <w:t>1. Explanation of Key Factors</w:t>
      </w:r>
      <w:r w:rsidRPr="01350802" w:rsidR="073DF64C">
        <w:rPr>
          <w:noProof w:val="0"/>
          <w:lang w:val="en-GB"/>
        </w:rPr>
        <w:t xml:space="preserve">   </w:t>
      </w:r>
    </w:p>
    <w:p xmlns:wp14="http://schemas.microsoft.com/office/word/2010/wordml" w:rsidP="01350802" wp14:paraId="08E53023" wp14:textId="6DA44228">
      <w:pPr>
        <w:pStyle w:val="ListParagraph"/>
        <w:spacing w:before="240" w:beforeAutospacing="off" w:after="240" w:afterAutospacing="off"/>
        <w:ind w:left="720"/>
      </w:pPr>
      <w:r w:rsidRPr="01350802" w:rsidR="54FCA1E5">
        <w:rPr>
          <w:noProof w:val="0"/>
          <w:lang w:val="en-GB"/>
        </w:rPr>
        <w:t xml:space="preserve">   </w:t>
      </w:r>
      <w:r w:rsidRPr="01350802" w:rsidR="073DF64C">
        <w:rPr>
          <w:noProof w:val="0"/>
          <w:lang w:val="en-GB"/>
        </w:rPr>
        <w:t>1.1 Technological Advancements   </w:t>
      </w:r>
    </w:p>
    <w:p xmlns:wp14="http://schemas.microsoft.com/office/word/2010/wordml" w:rsidP="01350802" wp14:paraId="7028962B" wp14:textId="1B319F4F">
      <w:pPr>
        <w:pStyle w:val="ListParagraph"/>
        <w:spacing w:before="240" w:beforeAutospacing="off" w:after="240" w:afterAutospacing="off"/>
        <w:ind w:left="720"/>
      </w:pPr>
      <w:r w:rsidRPr="01350802" w:rsidR="1F4600CC">
        <w:rPr>
          <w:noProof w:val="0"/>
          <w:lang w:val="en-GB"/>
        </w:rPr>
        <w:t xml:space="preserve">   </w:t>
      </w:r>
      <w:r w:rsidRPr="01350802" w:rsidR="073DF64C">
        <w:rPr>
          <w:noProof w:val="0"/>
          <w:lang w:val="en-GB"/>
        </w:rPr>
        <w:t>1.2 Talent Acquisition and Retention   </w:t>
      </w:r>
    </w:p>
    <w:p xmlns:wp14="http://schemas.microsoft.com/office/word/2010/wordml" w:rsidP="01350802" wp14:paraId="007C2F13" wp14:textId="6C4FA68A">
      <w:pPr>
        <w:pStyle w:val="ListParagraph"/>
        <w:spacing w:before="240" w:beforeAutospacing="off" w:after="240" w:afterAutospacing="off"/>
        <w:ind w:left="720"/>
        <w:rPr>
          <w:noProof w:val="0"/>
          <w:lang w:val="en-GB"/>
        </w:rPr>
      </w:pPr>
      <w:r w:rsidRPr="01350802" w:rsidR="7D164369">
        <w:rPr>
          <w:noProof w:val="0"/>
          <w:lang w:val="en-GB"/>
        </w:rPr>
        <w:t xml:space="preserve">   </w:t>
      </w:r>
      <w:r w:rsidRPr="01350802" w:rsidR="073DF64C">
        <w:rPr>
          <w:noProof w:val="0"/>
          <w:lang w:val="en-GB"/>
        </w:rPr>
        <w:t>1.3 Diversity, Equity, and Inclusion (DEI)</w:t>
      </w:r>
    </w:p>
    <w:p xmlns:wp14="http://schemas.microsoft.com/office/word/2010/wordml" w:rsidP="01350802" wp14:paraId="42F35199" wp14:textId="25D3D11B">
      <w:pPr>
        <w:pStyle w:val="ListParagraph"/>
        <w:numPr>
          <w:ilvl w:val="0"/>
          <w:numId w:val="10"/>
        </w:numPr>
        <w:spacing w:before="240" w:beforeAutospacing="off" w:after="240" w:afterAutospacing="off"/>
        <w:rPr>
          <w:noProof w:val="0"/>
          <w:lang w:val="en-GB"/>
        </w:rPr>
      </w:pPr>
      <w:r w:rsidRPr="01350802" w:rsidR="073DF64C">
        <w:rPr>
          <w:b w:val="1"/>
          <w:bCs w:val="1"/>
          <w:noProof w:val="0"/>
          <w:lang w:val="en-GB"/>
        </w:rPr>
        <w:t>2. Evaluation of Contemporary HR Practices</w:t>
      </w:r>
      <w:r w:rsidRPr="01350802" w:rsidR="073DF64C">
        <w:rPr>
          <w:noProof w:val="0"/>
          <w:lang w:val="en-GB"/>
        </w:rPr>
        <w:t xml:space="preserve">   </w:t>
      </w:r>
    </w:p>
    <w:p xmlns:wp14="http://schemas.microsoft.com/office/word/2010/wordml" w:rsidP="01350802" wp14:paraId="149F8879" wp14:textId="18CA301B">
      <w:pPr>
        <w:pStyle w:val="ListParagraph"/>
        <w:spacing w:before="240" w:beforeAutospacing="off" w:after="240" w:afterAutospacing="off"/>
        <w:ind w:left="720"/>
        <w:rPr>
          <w:noProof w:val="0"/>
          <w:lang w:val="en-GB"/>
        </w:rPr>
      </w:pPr>
      <w:r w:rsidRPr="01350802" w:rsidR="5603CFD2">
        <w:rPr>
          <w:noProof w:val="0"/>
          <w:lang w:val="en-GB"/>
        </w:rPr>
        <w:t xml:space="preserve">    </w:t>
      </w:r>
      <w:r w:rsidRPr="01350802" w:rsidR="073DF64C">
        <w:rPr>
          <w:noProof w:val="0"/>
          <w:lang w:val="en-GB"/>
        </w:rPr>
        <w:t>2.1 Digital HR Systems and Workforce Analytics   </w:t>
      </w:r>
    </w:p>
    <w:p xmlns:wp14="http://schemas.microsoft.com/office/word/2010/wordml" w:rsidP="01350802" wp14:paraId="0FEBBD67" wp14:textId="0E22FBF3">
      <w:pPr>
        <w:pStyle w:val="ListParagraph"/>
        <w:spacing w:before="240" w:beforeAutospacing="off" w:after="240" w:afterAutospacing="off"/>
        <w:ind w:left="720"/>
        <w:rPr>
          <w:noProof w:val="0"/>
          <w:lang w:val="en-GB"/>
        </w:rPr>
      </w:pPr>
      <w:r w:rsidRPr="01350802" w:rsidR="65BBA949">
        <w:rPr>
          <w:noProof w:val="0"/>
          <w:lang w:val="en-GB"/>
        </w:rPr>
        <w:t xml:space="preserve">    </w:t>
      </w:r>
      <w:r w:rsidRPr="01350802" w:rsidR="073DF64C">
        <w:rPr>
          <w:noProof w:val="0"/>
          <w:lang w:val="en-GB"/>
        </w:rPr>
        <w:t>2.2 Employer Branding and Strategic Workforce Planning   </w:t>
      </w:r>
    </w:p>
    <w:p xmlns:wp14="http://schemas.microsoft.com/office/word/2010/wordml" w:rsidP="01350802" wp14:paraId="2C15BB00" wp14:textId="44A439AF">
      <w:pPr>
        <w:pStyle w:val="ListParagraph"/>
        <w:spacing w:before="240" w:beforeAutospacing="off" w:after="240" w:afterAutospacing="off"/>
        <w:ind w:left="720"/>
        <w:rPr>
          <w:noProof w:val="0"/>
          <w:lang w:val="en-GB"/>
        </w:rPr>
      </w:pPr>
      <w:r w:rsidRPr="01350802" w:rsidR="05E3FEB5">
        <w:rPr>
          <w:noProof w:val="0"/>
          <w:lang w:val="en-GB"/>
        </w:rPr>
        <w:t xml:space="preserve">    </w:t>
      </w:r>
      <w:r w:rsidRPr="01350802" w:rsidR="073DF64C">
        <w:rPr>
          <w:noProof w:val="0"/>
          <w:lang w:val="en-GB"/>
        </w:rPr>
        <w:t>2.3 Employee Engagement and Retention Strategies   </w:t>
      </w:r>
    </w:p>
    <w:p xmlns:wp14="http://schemas.microsoft.com/office/word/2010/wordml" w:rsidP="01350802" wp14:paraId="7B6A8DC0" wp14:textId="348C4CA8">
      <w:pPr>
        <w:pStyle w:val="ListParagraph"/>
        <w:spacing w:before="240" w:beforeAutospacing="off" w:after="240" w:afterAutospacing="off"/>
        <w:ind w:left="720"/>
        <w:rPr>
          <w:noProof w:val="0"/>
          <w:lang w:val="en-GB"/>
        </w:rPr>
      </w:pPr>
      <w:r w:rsidRPr="01350802" w:rsidR="66F25C41">
        <w:rPr>
          <w:noProof w:val="0"/>
          <w:lang w:val="en-GB"/>
        </w:rPr>
        <w:t xml:space="preserve">    </w:t>
      </w:r>
      <w:r w:rsidRPr="01350802" w:rsidR="073DF64C">
        <w:rPr>
          <w:noProof w:val="0"/>
          <w:lang w:val="en-GB"/>
        </w:rPr>
        <w:t>2.4 Inclusive Recruitment and DEI Initiatives</w:t>
      </w:r>
    </w:p>
    <w:p xmlns:wp14="http://schemas.microsoft.com/office/word/2010/wordml" w:rsidP="01350802" wp14:paraId="407990B3" wp14:textId="389C7DE7">
      <w:pPr>
        <w:pStyle w:val="Normal"/>
        <w:spacing w:before="240" w:beforeAutospacing="off" w:after="240" w:afterAutospacing="off"/>
        <w:ind w:left="0"/>
      </w:pPr>
      <w:r w:rsidRPr="01350802" w:rsidR="450CA3C6">
        <w:rPr>
          <w:b w:val="1"/>
          <w:bCs w:val="1"/>
          <w:noProof w:val="0"/>
          <w:lang w:val="en-GB"/>
        </w:rPr>
        <w:t>5</w:t>
      </w:r>
      <w:r w:rsidRPr="01350802" w:rsidR="073DF64C">
        <w:rPr>
          <w:b w:val="1"/>
          <w:bCs w:val="1"/>
          <w:noProof w:val="0"/>
          <w:lang w:val="en-GB"/>
        </w:rPr>
        <w:t xml:space="preserve"> Critical Evaluation of Managerial Implementation</w:t>
      </w:r>
      <w:r w:rsidRPr="01350802" w:rsidR="073DF64C">
        <w:rPr>
          <w:noProof w:val="0"/>
          <w:lang w:val="en-GB"/>
        </w:rPr>
        <w:t xml:space="preserve">  </w:t>
      </w:r>
    </w:p>
    <w:p xmlns:wp14="http://schemas.microsoft.com/office/word/2010/wordml" w:rsidP="01350802" wp14:paraId="35422B6B" wp14:textId="5E38D48E">
      <w:pPr>
        <w:pStyle w:val="ListParagraph"/>
        <w:spacing w:before="240" w:beforeAutospacing="off" w:after="240" w:afterAutospacing="off"/>
        <w:ind w:left="720"/>
      </w:pPr>
      <w:r w:rsidRPr="01350802" w:rsidR="073DF64C">
        <w:rPr>
          <w:noProof w:val="0"/>
          <w:lang w:val="en-GB"/>
        </w:rPr>
        <w:t>3.1 Leadership Accountability   </w:t>
      </w:r>
    </w:p>
    <w:p xmlns:wp14="http://schemas.microsoft.com/office/word/2010/wordml" w:rsidP="01350802" wp14:paraId="25220B2F" wp14:textId="49C1CD87">
      <w:pPr>
        <w:pStyle w:val="ListParagraph"/>
        <w:spacing w:before="240" w:beforeAutospacing="off" w:after="240" w:afterAutospacing="off"/>
        <w:ind w:left="720"/>
      </w:pPr>
      <w:r w:rsidRPr="01350802" w:rsidR="073DF64C">
        <w:rPr>
          <w:noProof w:val="0"/>
          <w:lang w:val="en-GB"/>
        </w:rPr>
        <w:t>3.2 Communication Strategies   </w:t>
      </w:r>
    </w:p>
    <w:p xmlns:wp14="http://schemas.microsoft.com/office/word/2010/wordml" w:rsidP="01350802" wp14:paraId="5C8EFCA7" wp14:textId="250D5C42">
      <w:pPr>
        <w:pStyle w:val="ListParagraph"/>
        <w:spacing w:before="240" w:beforeAutospacing="off" w:after="240" w:afterAutospacing="off"/>
        <w:ind w:left="720"/>
      </w:pPr>
      <w:r w:rsidRPr="01350802" w:rsidR="073DF64C">
        <w:rPr>
          <w:noProof w:val="0"/>
          <w:lang w:val="en-GB"/>
        </w:rPr>
        <w:t>3.3 Monitoring and Performance Measurement   </w:t>
      </w:r>
    </w:p>
    <w:p xmlns:wp14="http://schemas.microsoft.com/office/word/2010/wordml" w:rsidP="01350802" wp14:paraId="30A79399" wp14:textId="2ACA2691">
      <w:pPr>
        <w:pStyle w:val="ListParagraph"/>
        <w:spacing w:before="240" w:beforeAutospacing="off" w:after="240" w:afterAutospacing="off"/>
        <w:ind w:left="720"/>
      </w:pPr>
      <w:r w:rsidRPr="01350802" w:rsidR="073DF64C">
        <w:rPr>
          <w:noProof w:val="0"/>
          <w:lang w:val="en-GB"/>
        </w:rPr>
        <w:t>3.4 Organisational Culture   </w:t>
      </w:r>
    </w:p>
    <w:p xmlns:wp14="http://schemas.microsoft.com/office/word/2010/wordml" w:rsidP="01350802" wp14:paraId="65D4D924" wp14:textId="199E8B19">
      <w:pPr>
        <w:pStyle w:val="ListParagraph"/>
        <w:spacing w:before="240" w:beforeAutospacing="off" w:after="240" w:afterAutospacing="off"/>
        <w:ind w:left="720"/>
        <w:rPr>
          <w:noProof w:val="0"/>
          <w:lang w:val="en-GB"/>
        </w:rPr>
      </w:pPr>
      <w:r w:rsidRPr="01350802" w:rsidR="073DF64C">
        <w:rPr>
          <w:noProof w:val="0"/>
          <w:lang w:val="en-GB"/>
        </w:rPr>
        <w:t>3.5 Barriers and Solutions</w:t>
      </w:r>
    </w:p>
    <w:p xmlns:wp14="http://schemas.microsoft.com/office/word/2010/wordml" w:rsidP="01350802" wp14:paraId="0E2F1701" wp14:textId="42594E84">
      <w:pPr>
        <w:pStyle w:val="Normal"/>
        <w:spacing w:before="240" w:beforeAutospacing="off" w:after="240" w:afterAutospacing="off"/>
        <w:ind w:left="0"/>
        <w:rPr>
          <w:b w:val="1"/>
          <w:bCs w:val="1"/>
          <w:noProof w:val="0"/>
          <w:lang w:val="en-GB"/>
        </w:rPr>
      </w:pPr>
      <w:r w:rsidRPr="01350802" w:rsidR="5034848E">
        <w:rPr>
          <w:b w:val="1"/>
          <w:bCs w:val="1"/>
          <w:noProof w:val="0"/>
          <w:lang w:val="en-GB"/>
        </w:rPr>
        <w:t xml:space="preserve">6 </w:t>
      </w:r>
      <w:r w:rsidRPr="01350802" w:rsidR="073DF64C">
        <w:rPr>
          <w:b w:val="1"/>
          <w:bCs w:val="1"/>
          <w:noProof w:val="0"/>
          <w:lang w:val="en-GB"/>
        </w:rPr>
        <w:t>Conclusion</w:t>
      </w:r>
    </w:p>
    <w:p xmlns:wp14="http://schemas.microsoft.com/office/word/2010/wordml" w:rsidP="01350802" wp14:paraId="58A8FF06" wp14:textId="42B939DB">
      <w:pPr>
        <w:pStyle w:val="Normal"/>
        <w:spacing w:before="240" w:beforeAutospacing="off" w:after="240" w:afterAutospacing="off"/>
        <w:ind w:left="0"/>
        <w:rPr>
          <w:b w:val="1"/>
          <w:bCs w:val="1"/>
          <w:noProof w:val="0"/>
          <w:lang w:val="en-GB"/>
        </w:rPr>
      </w:pPr>
      <w:r w:rsidRPr="01350802" w:rsidR="19EEE386">
        <w:rPr>
          <w:b w:val="1"/>
          <w:bCs w:val="1"/>
          <w:noProof w:val="0"/>
          <w:lang w:val="en-GB"/>
        </w:rPr>
        <w:t xml:space="preserve">7 </w:t>
      </w:r>
      <w:r w:rsidRPr="01350802" w:rsidR="073DF64C">
        <w:rPr>
          <w:b w:val="1"/>
          <w:bCs w:val="1"/>
          <w:noProof w:val="0"/>
          <w:lang w:val="en-GB"/>
        </w:rPr>
        <w:t>Recommendations</w:t>
      </w:r>
    </w:p>
    <w:p xmlns:wp14="http://schemas.microsoft.com/office/word/2010/wordml" w:rsidP="01350802" wp14:paraId="4147B53C" wp14:textId="4D3CB1CD">
      <w:pPr>
        <w:pStyle w:val="Normal"/>
        <w:spacing w:before="240" w:beforeAutospacing="off" w:after="240" w:afterAutospacing="off"/>
        <w:ind w:left="0"/>
        <w:rPr>
          <w:b w:val="1"/>
          <w:bCs w:val="1"/>
          <w:noProof w:val="0"/>
          <w:lang w:val="en-GB"/>
        </w:rPr>
      </w:pPr>
      <w:r w:rsidRPr="01350802" w:rsidR="5C6F695F">
        <w:rPr>
          <w:b w:val="1"/>
          <w:bCs w:val="1"/>
          <w:noProof w:val="0"/>
          <w:lang w:val="en-GB"/>
        </w:rPr>
        <w:t xml:space="preserve">8 </w:t>
      </w:r>
      <w:r w:rsidRPr="01350802" w:rsidR="073DF64C">
        <w:rPr>
          <w:b w:val="1"/>
          <w:bCs w:val="1"/>
          <w:noProof w:val="0"/>
          <w:lang w:val="en-GB"/>
        </w:rPr>
        <w:t>Harvard Reference L</w:t>
      </w:r>
      <w:r w:rsidRPr="01350802" w:rsidR="7A0C1E02">
        <w:rPr>
          <w:b w:val="1"/>
          <w:bCs w:val="1"/>
          <w:noProof w:val="0"/>
          <w:lang w:val="en-GB"/>
        </w:rPr>
        <w:t>ist</w:t>
      </w:r>
    </w:p>
    <w:p xmlns:wp14="http://schemas.microsoft.com/office/word/2010/wordml" w:rsidP="01350802" wp14:paraId="15A44AE3" wp14:textId="04DA87BE">
      <w:pPr>
        <w:pStyle w:val="Normal"/>
        <w:rPr>
          <w:noProof w:val="0"/>
          <w:lang w:val="en-GB"/>
        </w:rPr>
      </w:pPr>
    </w:p>
    <w:p xmlns:wp14="http://schemas.microsoft.com/office/word/2010/wordml" w:rsidP="01350802" wp14:paraId="2E39DA18" wp14:textId="2D4E6E27">
      <w:pPr>
        <w:pStyle w:val="Heading1"/>
        <w:spacing w:before="322" w:beforeAutospacing="off" w:after="322" w:afterAutospacing="off"/>
        <w:rPr>
          <w:rFonts w:ascii="Arial" w:hAnsi="Arial" w:eastAsia="Arial" w:cs="Arial"/>
          <w:b w:val="1"/>
          <w:bCs w:val="1"/>
          <w:noProof w:val="0"/>
          <w:sz w:val="48"/>
          <w:szCs w:val="48"/>
          <w:lang w:val="en-GB"/>
        </w:rPr>
      </w:pPr>
    </w:p>
    <w:p xmlns:wp14="http://schemas.microsoft.com/office/word/2010/wordml" w:rsidP="01350802" wp14:paraId="3E56A98D" wp14:textId="7819F942">
      <w:pPr>
        <w:pStyle w:val="Heading1"/>
        <w:spacing w:before="322" w:beforeAutospacing="off" w:after="322" w:afterAutospacing="off"/>
        <w:rPr>
          <w:rFonts w:ascii="Arial" w:hAnsi="Arial" w:eastAsia="Arial" w:cs="Arial"/>
          <w:b w:val="1"/>
          <w:bCs w:val="1"/>
          <w:noProof w:val="0"/>
          <w:sz w:val="48"/>
          <w:szCs w:val="48"/>
          <w:lang w:val="en-GB"/>
        </w:rPr>
      </w:pPr>
    </w:p>
    <w:p xmlns:wp14="http://schemas.microsoft.com/office/word/2010/wordml" w:rsidP="01350802" wp14:paraId="121DB440" wp14:textId="0EAB26A0">
      <w:pPr>
        <w:pStyle w:val="Heading1"/>
        <w:spacing w:before="322" w:beforeAutospacing="off" w:after="322" w:afterAutospacing="off"/>
        <w:rPr>
          <w:rFonts w:ascii="Arial" w:hAnsi="Arial" w:eastAsia="Arial" w:cs="Arial"/>
          <w:b w:val="1"/>
          <w:bCs w:val="1"/>
          <w:noProof w:val="0"/>
          <w:sz w:val="48"/>
          <w:szCs w:val="48"/>
          <w:lang w:val="en-GB"/>
        </w:rPr>
      </w:pPr>
    </w:p>
    <w:p xmlns:wp14="http://schemas.microsoft.com/office/word/2010/wordml" w:rsidP="01350802" wp14:paraId="2C24DFB5" wp14:textId="107444EE">
      <w:pPr>
        <w:pStyle w:val="Heading1"/>
        <w:spacing w:before="322" w:beforeAutospacing="off" w:after="322" w:afterAutospacing="off"/>
        <w:rPr>
          <w:rFonts w:ascii="Arial" w:hAnsi="Arial" w:eastAsia="Arial" w:cs="Arial"/>
          <w:b w:val="1"/>
          <w:bCs w:val="1"/>
          <w:noProof w:val="0"/>
          <w:sz w:val="22"/>
          <w:szCs w:val="22"/>
          <w:lang w:val="en-GB"/>
        </w:rPr>
      </w:pPr>
      <w:r w:rsidRPr="01350802" w:rsidR="22D58E18">
        <w:rPr>
          <w:rFonts w:ascii="Arial" w:hAnsi="Arial" w:eastAsia="Arial" w:cs="Arial"/>
          <w:b w:val="1"/>
          <w:bCs w:val="1"/>
          <w:noProof w:val="0"/>
          <w:sz w:val="22"/>
          <w:szCs w:val="22"/>
          <w:lang w:val="en-GB"/>
        </w:rPr>
        <w:t>EXECUTIVE SUMMARY</w:t>
      </w:r>
    </w:p>
    <w:p xmlns:wp14="http://schemas.microsoft.com/office/word/2010/wordml" w:rsidP="01350802" wp14:paraId="3C3BB550" wp14:textId="274D9379">
      <w:pPr>
        <w:pStyle w:val="Normal"/>
        <w:spacing w:line="360" w:lineRule="auto"/>
        <w:rPr>
          <w:rFonts w:ascii="Arial" w:hAnsi="Arial" w:eastAsia="Arial" w:cs="Arial"/>
          <w:noProof w:val="0"/>
          <w:sz w:val="22"/>
          <w:szCs w:val="22"/>
          <w:lang w:val="en-GB"/>
        </w:rPr>
      </w:pPr>
      <w:r w:rsidRPr="01350802" w:rsidR="2D9FB368">
        <w:rPr>
          <w:rFonts w:ascii="Arial" w:hAnsi="Arial" w:eastAsia="Arial" w:cs="Arial"/>
          <w:noProof w:val="0"/>
          <w:sz w:val="22"/>
          <w:szCs w:val="22"/>
          <w:lang w:val="en-GB"/>
        </w:rPr>
        <w:t>This report critically examines three key HR challenges facing Tesco: technological transformation, talent acquisition and retention, and diversity, equity, and inclusion (DEI). Drawing on strategic HRM theory, the Resource</w:t>
      </w:r>
      <w:r>
        <w:noBreakHyphen/>
      </w:r>
      <w:r w:rsidRPr="01350802" w:rsidR="2D9FB368">
        <w:rPr>
          <w:rFonts w:ascii="Arial" w:hAnsi="Arial" w:eastAsia="Arial" w:cs="Arial"/>
          <w:noProof w:val="0"/>
          <w:sz w:val="22"/>
          <w:szCs w:val="22"/>
          <w:lang w:val="en-GB"/>
        </w:rPr>
        <w:t>Based View (RBV), human capital theory, and institutional theory, it evaluates how these challenges affect organisational capability and employee engagement. The report assesses the effectiveness of contemporary HR practices, including digital HR systems, employer branding, engagement strategies, and inclusive recruitment, highlighting both strengths and limitations. It also analyses managerial implementation requirements and concludes with evidence</w:t>
      </w:r>
      <w:r>
        <w:noBreakHyphen/>
      </w:r>
      <w:r w:rsidRPr="01350802" w:rsidR="2D9FB368">
        <w:rPr>
          <w:rFonts w:ascii="Arial" w:hAnsi="Arial" w:eastAsia="Arial" w:cs="Arial"/>
          <w:noProof w:val="0"/>
          <w:sz w:val="22"/>
          <w:szCs w:val="22"/>
          <w:lang w:val="en-GB"/>
        </w:rPr>
        <w:t>based recommendations to strengthen Tesco’s digital capability, talent strategy, and DEI integration.</w:t>
      </w:r>
    </w:p>
    <w:p xmlns:wp14="http://schemas.microsoft.com/office/word/2010/wordml" w:rsidP="01350802" wp14:paraId="4451A5D5" wp14:textId="59746D55">
      <w:pPr>
        <w:pStyle w:val="Heading1"/>
        <w:spacing w:before="322" w:beforeAutospacing="off" w:after="322" w:afterAutospacing="off" w:line="360" w:lineRule="auto"/>
        <w:rPr>
          <w:rFonts w:ascii="Arial" w:hAnsi="Arial" w:eastAsia="Arial" w:cs="Arial"/>
          <w:b w:val="1"/>
          <w:bCs w:val="1"/>
          <w:noProof w:val="0"/>
          <w:sz w:val="22"/>
          <w:szCs w:val="22"/>
          <w:lang w:val="en-GB"/>
        </w:rPr>
      </w:pPr>
      <w:r w:rsidRPr="01350802" w:rsidR="531DD272">
        <w:rPr>
          <w:rFonts w:ascii="Arial" w:hAnsi="Arial" w:eastAsia="Arial" w:cs="Arial"/>
          <w:b w:val="1"/>
          <w:bCs w:val="1"/>
          <w:noProof w:val="0"/>
          <w:sz w:val="22"/>
          <w:szCs w:val="22"/>
          <w:lang w:val="en-GB"/>
        </w:rPr>
        <w:t xml:space="preserve">INTRODUCTION </w:t>
      </w:r>
    </w:p>
    <w:p xmlns:wp14="http://schemas.microsoft.com/office/word/2010/wordml" w:rsidP="01350802" wp14:paraId="71BFCF2E" wp14:textId="761F7FF3">
      <w:pPr>
        <w:spacing w:before="240" w:beforeAutospacing="off" w:after="240" w:afterAutospacing="off" w:line="360" w:lineRule="auto"/>
        <w:rPr>
          <w:rFonts w:ascii="Arial" w:hAnsi="Arial" w:eastAsia="Arial" w:cs="Arial"/>
          <w:noProof w:val="0"/>
          <w:sz w:val="22"/>
          <w:szCs w:val="22"/>
          <w:lang w:val="en-GB"/>
        </w:rPr>
      </w:pPr>
      <w:r w:rsidRPr="01350802" w:rsidR="531DD272">
        <w:rPr>
          <w:rFonts w:ascii="Arial" w:hAnsi="Arial" w:eastAsia="Arial" w:cs="Arial"/>
          <w:noProof w:val="0"/>
          <w:sz w:val="22"/>
          <w:szCs w:val="22"/>
          <w:lang w:val="en-GB"/>
        </w:rPr>
        <w:t>Tesco is the UK’s largest retailer, operating more than 2,800 stores and employing over 300,000 people across retail, logistics, and digital operations (Tesco, 2023). As a major employer and market leader, Tesco’s HR strategy plays a critical role in sustaining organisational performance, customer satisfaction, and long</w:t>
      </w:r>
      <w:r>
        <w:noBreakHyphen/>
      </w:r>
      <w:r w:rsidRPr="01350802" w:rsidR="531DD272">
        <w:rPr>
          <w:rFonts w:ascii="Arial" w:hAnsi="Arial" w:eastAsia="Arial" w:cs="Arial"/>
          <w:noProof w:val="0"/>
          <w:sz w:val="22"/>
          <w:szCs w:val="22"/>
          <w:lang w:val="en-GB"/>
        </w:rPr>
        <w:t>term competitiveness. The company operates in a sector characterised by rapid technological change, labour shortages, evolving employee expectations, and increasing societal pressure to demonstrate fairness and inclusion.</w:t>
      </w:r>
    </w:p>
    <w:p xmlns:wp14="http://schemas.microsoft.com/office/word/2010/wordml" w:rsidP="01350802" wp14:paraId="7263DFE2" wp14:textId="63B416F0">
      <w:pPr>
        <w:spacing w:before="240" w:beforeAutospacing="off" w:after="240" w:afterAutospacing="off" w:line="360" w:lineRule="auto"/>
        <w:rPr>
          <w:rFonts w:ascii="Arial" w:hAnsi="Arial" w:eastAsia="Arial" w:cs="Arial"/>
          <w:noProof w:val="0"/>
          <w:sz w:val="22"/>
          <w:szCs w:val="22"/>
          <w:lang w:val="en-GB"/>
        </w:rPr>
      </w:pPr>
      <w:r w:rsidRPr="01350802" w:rsidR="531DD272">
        <w:rPr>
          <w:rFonts w:ascii="Arial" w:hAnsi="Arial" w:eastAsia="Arial" w:cs="Arial"/>
          <w:noProof w:val="0"/>
          <w:sz w:val="22"/>
          <w:szCs w:val="22"/>
          <w:lang w:val="en-GB"/>
        </w:rPr>
        <w:t>This report critically examines three contemporary HR challenges facing Tesco: technological transformation, talent acquisition and retention, and diversity, equity, and inclusion (DEI). Drawing on strategic HRM (Boxall &amp; Purcell, 2016), the Resource</w:t>
      </w:r>
      <w:r>
        <w:noBreakHyphen/>
      </w:r>
      <w:r w:rsidRPr="01350802" w:rsidR="531DD272">
        <w:rPr>
          <w:rFonts w:ascii="Arial" w:hAnsi="Arial" w:eastAsia="Arial" w:cs="Arial"/>
          <w:noProof w:val="0"/>
          <w:sz w:val="22"/>
          <w:szCs w:val="22"/>
          <w:lang w:val="en-GB"/>
        </w:rPr>
        <w:t>Based View (Barney, 1991), human capital theory (Becker, 1993), psychological contract theory (Rousseau, 1995), and institutional theory (DiMaggio &amp;</w:t>
      </w:r>
      <w:r w:rsidRPr="01350802" w:rsidR="531DD272">
        <w:rPr>
          <w:rFonts w:ascii="Arial" w:hAnsi="Arial" w:eastAsia="Arial" w:cs="Arial"/>
          <w:noProof w:val="0"/>
          <w:sz w:val="24"/>
          <w:szCs w:val="24"/>
          <w:lang w:val="en-GB"/>
        </w:rPr>
        <w:t xml:space="preserve"> </w:t>
      </w:r>
      <w:r w:rsidRPr="01350802" w:rsidR="531DD272">
        <w:rPr>
          <w:rFonts w:ascii="Arial" w:hAnsi="Arial" w:eastAsia="Arial" w:cs="Arial"/>
          <w:noProof w:val="0"/>
          <w:sz w:val="22"/>
          <w:szCs w:val="22"/>
          <w:lang w:val="en-GB"/>
        </w:rPr>
        <w:t>Powell, 1983), the report evaluates how these challenges affect organisational capability, employee engagement, and sustainability.</w:t>
      </w:r>
    </w:p>
    <w:p xmlns:wp14="http://schemas.microsoft.com/office/word/2010/wordml" w:rsidP="01350802" wp14:paraId="7AA1F766" wp14:textId="26A0A21F">
      <w:pPr>
        <w:spacing w:before="240" w:beforeAutospacing="off" w:after="240" w:afterAutospacing="off" w:line="360" w:lineRule="auto"/>
        <w:rPr>
          <w:rFonts w:ascii="Arial" w:hAnsi="Arial" w:eastAsia="Arial" w:cs="Arial"/>
          <w:noProof w:val="0"/>
          <w:sz w:val="22"/>
          <w:szCs w:val="22"/>
          <w:lang w:val="en-GB"/>
        </w:rPr>
      </w:pPr>
      <w:r w:rsidRPr="01350802" w:rsidR="531DD272">
        <w:rPr>
          <w:rFonts w:ascii="Arial" w:hAnsi="Arial" w:eastAsia="Arial" w:cs="Arial"/>
          <w:noProof w:val="0"/>
          <w:sz w:val="22"/>
          <w:szCs w:val="22"/>
          <w:lang w:val="en-GB"/>
        </w:rPr>
        <w:t xml:space="preserve">The report is structured into four sections: (1) an explanation of key HR challenges; (2) a critical evaluation of contemporary HR practices; (3) </w:t>
      </w:r>
      <w:r w:rsidRPr="01350802" w:rsidR="531DD272">
        <w:rPr>
          <w:rFonts w:ascii="Arial" w:hAnsi="Arial" w:eastAsia="Arial" w:cs="Arial"/>
          <w:noProof w:val="0"/>
          <w:sz w:val="22"/>
          <w:szCs w:val="22"/>
          <w:lang w:val="en-GB"/>
        </w:rPr>
        <w:t>an assessment of managerial implementation; and (4) a conclusion with evidence</w:t>
      </w:r>
      <w:r>
        <w:noBreakHyphen/>
      </w:r>
      <w:r w:rsidRPr="01350802" w:rsidR="531DD272">
        <w:rPr>
          <w:rFonts w:ascii="Arial" w:hAnsi="Arial" w:eastAsia="Arial" w:cs="Arial"/>
          <w:noProof w:val="0"/>
          <w:sz w:val="22"/>
          <w:szCs w:val="22"/>
          <w:lang w:val="en-GB"/>
        </w:rPr>
        <w:t>based recommendations directly linked to the findings.</w:t>
      </w:r>
    </w:p>
    <w:p xmlns:wp14="http://schemas.microsoft.com/office/word/2010/wordml" w:rsidP="01350802" wp14:paraId="06D25C87" wp14:textId="775B89A2">
      <w:pPr>
        <w:pStyle w:val="Heading1"/>
        <w:spacing w:before="322" w:beforeAutospacing="off" w:after="322" w:afterAutospacing="off" w:line="360" w:lineRule="auto"/>
        <w:rPr>
          <w:rFonts w:ascii="Arial" w:hAnsi="Arial" w:eastAsia="Arial" w:cs="Arial"/>
          <w:b w:val="1"/>
          <w:bCs w:val="1"/>
          <w:noProof w:val="0"/>
          <w:sz w:val="22"/>
          <w:szCs w:val="22"/>
          <w:lang w:val="en-GB"/>
        </w:rPr>
      </w:pPr>
      <w:r w:rsidRPr="01350802" w:rsidR="40A84A93">
        <w:rPr>
          <w:rFonts w:ascii="Arial" w:hAnsi="Arial" w:eastAsia="Arial" w:cs="Arial"/>
          <w:b w:val="1"/>
          <w:bCs w:val="1"/>
          <w:noProof w:val="0"/>
          <w:sz w:val="22"/>
          <w:szCs w:val="22"/>
          <w:lang w:val="en-GB"/>
        </w:rPr>
        <w:t xml:space="preserve">1. EXPLANATION OF KEY FACTORS </w:t>
      </w:r>
    </w:p>
    <w:p xmlns:wp14="http://schemas.microsoft.com/office/word/2010/wordml" w:rsidP="01350802" wp14:paraId="7263FFBA" wp14:textId="128FEC6E">
      <w:pPr>
        <w:pStyle w:val="Heading3"/>
        <w:spacing w:before="281" w:beforeAutospacing="off" w:after="281" w:afterAutospacing="off" w:line="360" w:lineRule="auto"/>
        <w:rPr>
          <w:rFonts w:ascii="Arial" w:hAnsi="Arial" w:eastAsia="Arial" w:cs="Arial"/>
          <w:b w:val="1"/>
          <w:bCs w:val="1"/>
          <w:noProof w:val="0"/>
          <w:sz w:val="22"/>
          <w:szCs w:val="22"/>
          <w:lang w:val="en-GB"/>
        </w:rPr>
      </w:pPr>
      <w:r w:rsidRPr="01350802" w:rsidR="40A84A93">
        <w:rPr>
          <w:rFonts w:ascii="Arial" w:hAnsi="Arial" w:eastAsia="Arial" w:cs="Arial"/>
          <w:b w:val="1"/>
          <w:bCs w:val="1"/>
          <w:noProof w:val="0"/>
          <w:sz w:val="22"/>
          <w:szCs w:val="22"/>
          <w:lang w:val="en-GB"/>
        </w:rPr>
        <w:t>1.1 Technological Advancements</w:t>
      </w:r>
    </w:p>
    <w:p xmlns:wp14="http://schemas.microsoft.com/office/word/2010/wordml" w:rsidP="01350802" wp14:paraId="2501BD08" wp14:textId="0BDAA38A">
      <w:pPr>
        <w:spacing w:before="240" w:beforeAutospacing="off" w:after="240" w:afterAutospacing="off" w:line="360" w:lineRule="auto"/>
        <w:rPr>
          <w:rFonts w:ascii="Arial" w:hAnsi="Arial" w:eastAsia="Arial" w:cs="Arial"/>
          <w:noProof w:val="0"/>
          <w:sz w:val="22"/>
          <w:szCs w:val="22"/>
          <w:lang w:val="en-GB"/>
        </w:rPr>
      </w:pPr>
      <w:r w:rsidRPr="01350802" w:rsidR="40A84A93">
        <w:rPr>
          <w:rFonts w:ascii="Arial" w:hAnsi="Arial" w:eastAsia="Arial" w:cs="Arial"/>
          <w:noProof w:val="0"/>
          <w:sz w:val="22"/>
          <w:szCs w:val="22"/>
          <w:lang w:val="en-GB"/>
        </w:rPr>
        <w:t>Technological transformation is reshaping retail operations through automation, AI</w:t>
      </w:r>
      <w:r>
        <w:noBreakHyphen/>
      </w:r>
      <w:r w:rsidRPr="01350802" w:rsidR="40A84A93">
        <w:rPr>
          <w:rFonts w:ascii="Arial" w:hAnsi="Arial" w:eastAsia="Arial" w:cs="Arial"/>
          <w:noProof w:val="0"/>
          <w:sz w:val="22"/>
          <w:szCs w:val="22"/>
          <w:lang w:val="en-GB"/>
        </w:rPr>
        <w:t>driven analytics, digital HR platforms, and self</w:t>
      </w:r>
      <w:r>
        <w:noBreakHyphen/>
      </w:r>
      <w:r w:rsidRPr="01350802" w:rsidR="40A84A93">
        <w:rPr>
          <w:rFonts w:ascii="Arial" w:hAnsi="Arial" w:eastAsia="Arial" w:cs="Arial"/>
          <w:noProof w:val="0"/>
          <w:sz w:val="22"/>
          <w:szCs w:val="22"/>
          <w:lang w:val="en-GB"/>
        </w:rPr>
        <w:t>service technologies. Human capital theory emphasises that organisational performance depends on employee skills and capabilities (Becker, 1993). As Tesco adopts digital systems such as automated stock replenishment and predictive analytics, continuous upskilling becomes essential.</w:t>
      </w:r>
    </w:p>
    <w:p xmlns:wp14="http://schemas.microsoft.com/office/word/2010/wordml" w:rsidP="01350802" wp14:paraId="17D7B29F" wp14:textId="390112DD">
      <w:pPr>
        <w:spacing w:before="240" w:beforeAutospacing="off" w:after="240" w:afterAutospacing="off" w:line="360" w:lineRule="auto"/>
        <w:rPr>
          <w:rFonts w:ascii="Arial" w:hAnsi="Arial" w:eastAsia="Arial" w:cs="Arial"/>
          <w:noProof w:val="0"/>
          <w:sz w:val="22"/>
          <w:szCs w:val="22"/>
          <w:lang w:val="en-GB"/>
        </w:rPr>
      </w:pPr>
      <w:r w:rsidRPr="01350802" w:rsidR="40A84A93">
        <w:rPr>
          <w:rFonts w:ascii="Arial" w:hAnsi="Arial" w:eastAsia="Arial" w:cs="Arial"/>
          <w:noProof w:val="0"/>
          <w:sz w:val="22"/>
          <w:szCs w:val="22"/>
          <w:lang w:val="en-GB"/>
        </w:rPr>
        <w:t>The Resource</w:t>
      </w:r>
      <w:r>
        <w:noBreakHyphen/>
      </w:r>
      <w:r w:rsidRPr="01350802" w:rsidR="40A84A93">
        <w:rPr>
          <w:rFonts w:ascii="Arial" w:hAnsi="Arial" w:eastAsia="Arial" w:cs="Arial"/>
          <w:noProof w:val="0"/>
          <w:sz w:val="22"/>
          <w:szCs w:val="22"/>
          <w:lang w:val="en-GB"/>
        </w:rPr>
        <w:t>Based View (RBV) provides a valuable lens for understanding Tesco’s technological challenge. RBV argues that organisations gain sustained competitive advantage when they possess resources that are valuable, rare, inimitable, and non</w:t>
      </w:r>
      <w:r>
        <w:noBreakHyphen/>
      </w:r>
      <w:r w:rsidRPr="01350802" w:rsidR="40A84A93">
        <w:rPr>
          <w:rFonts w:ascii="Arial" w:hAnsi="Arial" w:eastAsia="Arial" w:cs="Arial"/>
          <w:noProof w:val="0"/>
          <w:sz w:val="22"/>
          <w:szCs w:val="22"/>
          <w:lang w:val="en-GB"/>
        </w:rPr>
        <w:t>substitutable (Barney, 1991). Digital capability — including employee digital literacy, data interpretation skills, and technological adaptability — represents a strategic resource. However, technological disruption threatens this advantage if employees lack digital literacy or resist change.</w:t>
      </w:r>
    </w:p>
    <w:p xmlns:wp14="http://schemas.microsoft.com/office/word/2010/wordml" w:rsidP="01350802" wp14:paraId="252699AB" wp14:textId="7755D9D6">
      <w:pPr>
        <w:spacing w:before="240" w:beforeAutospacing="off" w:after="240" w:afterAutospacing="off" w:line="360" w:lineRule="auto"/>
        <w:rPr>
          <w:rFonts w:ascii="Arial" w:hAnsi="Arial" w:eastAsia="Arial" w:cs="Arial"/>
          <w:noProof w:val="0"/>
          <w:sz w:val="22"/>
          <w:szCs w:val="22"/>
          <w:lang w:val="en-GB"/>
        </w:rPr>
      </w:pPr>
      <w:r w:rsidRPr="01350802" w:rsidR="40A84A93">
        <w:rPr>
          <w:rFonts w:ascii="Arial" w:hAnsi="Arial" w:eastAsia="Arial" w:cs="Arial"/>
          <w:noProof w:val="0"/>
          <w:sz w:val="22"/>
          <w:szCs w:val="22"/>
          <w:lang w:val="en-GB"/>
        </w:rPr>
        <w:t>Lewin’s (1947) change model highlights that employees often experience anxiety during the “unfreezing” stage, which can reduce engagement and productivity. Without strong change management, technological adoption may create skill gaps, reduce morale, and weaken service quality. The Job Demands–Resources (JD</w:t>
      </w:r>
      <w:r>
        <w:noBreakHyphen/>
      </w:r>
      <w:r w:rsidRPr="01350802" w:rsidR="40A84A93">
        <w:rPr>
          <w:rFonts w:ascii="Arial" w:hAnsi="Arial" w:eastAsia="Arial" w:cs="Arial"/>
          <w:noProof w:val="0"/>
          <w:sz w:val="22"/>
          <w:szCs w:val="22"/>
          <w:lang w:val="en-GB"/>
        </w:rPr>
        <w:t>R) model (Bakker &amp; Demerouti, 2007) further suggests that technological change increases job demands, requiring additional resources such as training, managerial support, and clear communication.</w:t>
      </w:r>
    </w:p>
    <w:p xmlns:wp14="http://schemas.microsoft.com/office/word/2010/wordml" w:rsidP="01350802" wp14:paraId="02DDE9C3" wp14:textId="771236F3">
      <w:pPr>
        <w:spacing w:before="240" w:beforeAutospacing="off" w:after="240" w:afterAutospacing="off" w:line="360" w:lineRule="auto"/>
        <w:rPr>
          <w:rFonts w:ascii="Arial" w:hAnsi="Arial" w:eastAsia="Arial" w:cs="Arial"/>
          <w:noProof w:val="0"/>
          <w:sz w:val="22"/>
          <w:szCs w:val="22"/>
          <w:lang w:val="en-GB"/>
        </w:rPr>
      </w:pPr>
      <w:r w:rsidRPr="01350802" w:rsidR="40A84A93">
        <w:rPr>
          <w:rFonts w:ascii="Arial" w:hAnsi="Arial" w:eastAsia="Arial" w:cs="Arial"/>
          <w:noProof w:val="0"/>
          <w:sz w:val="22"/>
          <w:szCs w:val="22"/>
          <w:lang w:val="en-GB"/>
        </w:rPr>
        <w:t>Technological change also alters job design. Routine tasks become automated, shifting employee roles toward customer interaction, problem</w:t>
      </w:r>
      <w:r>
        <w:noBreakHyphen/>
      </w:r>
      <w:r w:rsidRPr="01350802" w:rsidR="40A84A93">
        <w:rPr>
          <w:rFonts w:ascii="Arial" w:hAnsi="Arial" w:eastAsia="Arial" w:cs="Arial"/>
          <w:noProof w:val="0"/>
          <w:sz w:val="22"/>
          <w:szCs w:val="22"/>
          <w:lang w:val="en-GB"/>
        </w:rPr>
        <w:t>solving, and data interpretation. This aligns with Ulrich’s (1997) HR model, which emphasises HR’s role in building organisational capability. Tesco must therefore balance automation with human</w:t>
      </w:r>
      <w:r>
        <w:noBreakHyphen/>
      </w:r>
      <w:r w:rsidRPr="01350802" w:rsidR="40A84A93">
        <w:rPr>
          <w:rFonts w:ascii="Arial" w:hAnsi="Arial" w:eastAsia="Arial" w:cs="Arial"/>
          <w:noProof w:val="0"/>
          <w:sz w:val="22"/>
          <w:szCs w:val="22"/>
          <w:lang w:val="en-GB"/>
        </w:rPr>
        <w:t>centred roles to maintain service quality and employee satisfaction.</w:t>
      </w:r>
    </w:p>
    <w:p xmlns:wp14="http://schemas.microsoft.com/office/word/2010/wordml" w:rsidP="01350802" wp14:paraId="5358B200" wp14:textId="078403E2">
      <w:pPr>
        <w:pStyle w:val="Heading3"/>
        <w:spacing w:before="281" w:beforeAutospacing="off" w:after="281" w:afterAutospacing="off" w:line="360" w:lineRule="auto"/>
        <w:rPr>
          <w:rFonts w:ascii="Arial" w:hAnsi="Arial" w:eastAsia="Arial" w:cs="Arial"/>
          <w:b w:val="1"/>
          <w:bCs w:val="1"/>
          <w:noProof w:val="0"/>
          <w:sz w:val="22"/>
          <w:szCs w:val="22"/>
          <w:lang w:val="en-GB"/>
        </w:rPr>
      </w:pPr>
      <w:r w:rsidRPr="01350802" w:rsidR="40A84A93">
        <w:rPr>
          <w:rFonts w:ascii="Arial" w:hAnsi="Arial" w:eastAsia="Arial" w:cs="Arial"/>
          <w:b w:val="1"/>
          <w:bCs w:val="1"/>
          <w:noProof w:val="0"/>
          <w:sz w:val="22"/>
          <w:szCs w:val="22"/>
          <w:lang w:val="en-GB"/>
        </w:rPr>
        <w:t>1.2 Talent Acquisition and Retention</w:t>
      </w:r>
    </w:p>
    <w:p xmlns:wp14="http://schemas.microsoft.com/office/word/2010/wordml" w:rsidP="01350802" wp14:paraId="2C53E8F6" wp14:textId="39D26E3E">
      <w:pPr>
        <w:spacing w:before="240" w:beforeAutospacing="off" w:after="240" w:afterAutospacing="off" w:line="360" w:lineRule="auto"/>
        <w:rPr>
          <w:rFonts w:ascii="Arial" w:hAnsi="Arial" w:eastAsia="Arial" w:cs="Arial"/>
          <w:noProof w:val="0"/>
          <w:sz w:val="22"/>
          <w:szCs w:val="22"/>
          <w:lang w:val="en-GB"/>
        </w:rPr>
      </w:pPr>
      <w:r w:rsidRPr="01350802" w:rsidR="40A84A93">
        <w:rPr>
          <w:rFonts w:ascii="Arial" w:hAnsi="Arial" w:eastAsia="Arial" w:cs="Arial"/>
          <w:noProof w:val="0"/>
          <w:sz w:val="22"/>
          <w:szCs w:val="22"/>
          <w:lang w:val="en-GB"/>
        </w:rPr>
        <w:t>Tesco faces challenges in attracting and retaining talent due to competitive labour markets, evolving employee expectations, and sector</w:t>
      </w:r>
      <w:r>
        <w:noBreakHyphen/>
      </w:r>
      <w:r w:rsidRPr="01350802" w:rsidR="40A84A93">
        <w:rPr>
          <w:rFonts w:ascii="Arial" w:hAnsi="Arial" w:eastAsia="Arial" w:cs="Arial"/>
          <w:noProof w:val="0"/>
          <w:sz w:val="22"/>
          <w:szCs w:val="22"/>
          <w:lang w:val="en-GB"/>
        </w:rPr>
        <w:t>specific turnover. Psychological contract theory (Rousseau, 1995) explains that employees expect development, fairness, and meaningful work. When these expectations are unmet — for example, due to limited progression or high workload — turnover increases.</w:t>
      </w:r>
    </w:p>
    <w:p xmlns:wp14="http://schemas.microsoft.com/office/word/2010/wordml" w:rsidP="01350802" wp14:paraId="7B6735F7" wp14:textId="408E87AC">
      <w:pPr>
        <w:spacing w:before="240" w:beforeAutospacing="off" w:after="240" w:afterAutospacing="off" w:line="360" w:lineRule="auto"/>
        <w:rPr>
          <w:rFonts w:ascii="Arial" w:hAnsi="Arial" w:eastAsia="Arial" w:cs="Arial"/>
          <w:noProof w:val="0"/>
          <w:sz w:val="22"/>
          <w:szCs w:val="22"/>
          <w:lang w:val="en-GB"/>
        </w:rPr>
      </w:pPr>
      <w:r w:rsidRPr="01350802" w:rsidR="40A84A93">
        <w:rPr>
          <w:rFonts w:ascii="Arial" w:hAnsi="Arial" w:eastAsia="Arial" w:cs="Arial"/>
          <w:noProof w:val="0"/>
          <w:sz w:val="22"/>
          <w:szCs w:val="22"/>
          <w:lang w:val="en-GB"/>
        </w:rPr>
        <w:t>Strategic workforce planning is essential in addressing talent shortages, particularly in digital and analytical roles. McKinsey (2021) notes that organisations increasingly compete for digital talent across industries, making employer branding and development pathways critical. High turnover in retail also weakens organisational knowledge, disrupts team cohesion, and increases recruitment costs (Armstrong &amp; Taylor, 2020).</w:t>
      </w:r>
    </w:p>
    <w:p xmlns:wp14="http://schemas.microsoft.com/office/word/2010/wordml" w:rsidP="01350802" wp14:paraId="1D07A1A6" wp14:textId="174832FA">
      <w:pPr>
        <w:spacing w:before="240" w:beforeAutospacing="off" w:after="240" w:afterAutospacing="off" w:line="360" w:lineRule="auto"/>
        <w:rPr>
          <w:rFonts w:ascii="Arial" w:hAnsi="Arial" w:eastAsia="Arial" w:cs="Arial"/>
          <w:noProof w:val="0"/>
          <w:sz w:val="22"/>
          <w:szCs w:val="22"/>
          <w:lang w:val="en-GB"/>
        </w:rPr>
      </w:pPr>
      <w:r w:rsidRPr="01350802" w:rsidR="40A84A93">
        <w:rPr>
          <w:rFonts w:ascii="Arial" w:hAnsi="Arial" w:eastAsia="Arial" w:cs="Arial"/>
          <w:noProof w:val="0"/>
          <w:sz w:val="22"/>
          <w:szCs w:val="22"/>
          <w:lang w:val="en-GB"/>
        </w:rPr>
        <w:t>The JD</w:t>
      </w:r>
      <w:r>
        <w:noBreakHyphen/>
      </w:r>
      <w:r w:rsidRPr="01350802" w:rsidR="40A84A93">
        <w:rPr>
          <w:rFonts w:ascii="Arial" w:hAnsi="Arial" w:eastAsia="Arial" w:cs="Arial"/>
          <w:noProof w:val="0"/>
          <w:sz w:val="22"/>
          <w:szCs w:val="22"/>
          <w:lang w:val="en-GB"/>
        </w:rPr>
        <w:t>R model suggests that retail work is often physically demanding and emotionally taxing, contributing to burnout. Tesco must strengthen wellbeing, recognition, and development initiatives to maintain engagement and reduce turnover. From an RBV perspective, talent represents a strategic resource; therefore, retention is not simply an operational issue but a strategic priority.</w:t>
      </w:r>
    </w:p>
    <w:p xmlns:wp14="http://schemas.microsoft.com/office/word/2010/wordml" w:rsidP="01350802" wp14:paraId="04792225" wp14:textId="59EEE373">
      <w:pPr>
        <w:pStyle w:val="Heading3"/>
        <w:spacing w:before="281" w:beforeAutospacing="off" w:after="281" w:afterAutospacing="off" w:line="360" w:lineRule="auto"/>
        <w:rPr>
          <w:rFonts w:ascii="Arial" w:hAnsi="Arial" w:eastAsia="Arial" w:cs="Arial"/>
          <w:b w:val="1"/>
          <w:bCs w:val="1"/>
          <w:noProof w:val="0"/>
          <w:sz w:val="22"/>
          <w:szCs w:val="22"/>
          <w:lang w:val="en-GB"/>
        </w:rPr>
      </w:pPr>
      <w:r w:rsidRPr="01350802" w:rsidR="40A84A93">
        <w:rPr>
          <w:rFonts w:ascii="Arial" w:hAnsi="Arial" w:eastAsia="Arial" w:cs="Arial"/>
          <w:b w:val="1"/>
          <w:bCs w:val="1"/>
          <w:noProof w:val="0"/>
          <w:sz w:val="22"/>
          <w:szCs w:val="22"/>
          <w:lang w:val="en-GB"/>
        </w:rPr>
        <w:t>1.3 Diversity, Equity, and Inclusion (DEI)</w:t>
      </w:r>
    </w:p>
    <w:p xmlns:wp14="http://schemas.microsoft.com/office/word/2010/wordml" w:rsidP="01350802" wp14:paraId="2E159BCE" wp14:textId="47F8C2A5">
      <w:pPr>
        <w:spacing w:before="240" w:beforeAutospacing="off" w:after="240" w:afterAutospacing="off" w:line="360" w:lineRule="auto"/>
        <w:rPr>
          <w:rFonts w:ascii="Arial" w:hAnsi="Arial" w:eastAsia="Arial" w:cs="Arial"/>
          <w:noProof w:val="0"/>
          <w:sz w:val="22"/>
          <w:szCs w:val="22"/>
          <w:lang w:val="en-GB"/>
        </w:rPr>
      </w:pPr>
      <w:r w:rsidRPr="01350802" w:rsidR="40A84A93">
        <w:rPr>
          <w:rFonts w:ascii="Arial" w:hAnsi="Arial" w:eastAsia="Arial" w:cs="Arial"/>
          <w:noProof w:val="0"/>
          <w:sz w:val="22"/>
          <w:szCs w:val="22"/>
          <w:lang w:val="en-GB"/>
        </w:rPr>
        <w:t>DEI is shaped by institutional pressures, legal requirements, and societal expectations. Institutional theory (DiMaggio &amp; Powell, 1983) argues that organisations adopt DEI practices to maintain legitimacy. For Tesco, DEI is essential for brand reputation, customer trust, and wor</w:t>
      </w:r>
      <w:r w:rsidRPr="01350802" w:rsidR="40A84A93">
        <w:rPr>
          <w:rFonts w:ascii="Arial" w:hAnsi="Arial" w:eastAsia="Arial" w:cs="Arial"/>
          <w:noProof w:val="0"/>
          <w:sz w:val="22"/>
          <w:szCs w:val="22"/>
          <w:lang w:val="en-GB"/>
        </w:rPr>
        <w:t>kforce representation.</w:t>
      </w:r>
    </w:p>
    <w:p xmlns:wp14="http://schemas.microsoft.com/office/word/2010/wordml" w:rsidP="01350802" wp14:paraId="1821332F" wp14:textId="006DE3D1">
      <w:pPr>
        <w:spacing w:before="240" w:beforeAutospacing="off" w:after="240" w:afterAutospacing="off" w:line="360" w:lineRule="auto"/>
        <w:rPr>
          <w:rFonts w:ascii="Arial" w:hAnsi="Arial" w:eastAsia="Arial" w:cs="Arial"/>
          <w:noProof w:val="0"/>
          <w:sz w:val="22"/>
          <w:szCs w:val="22"/>
          <w:lang w:val="en-GB"/>
        </w:rPr>
      </w:pPr>
      <w:r w:rsidRPr="01350802" w:rsidR="40A84A93">
        <w:rPr>
          <w:rFonts w:ascii="Arial" w:hAnsi="Arial" w:eastAsia="Arial" w:cs="Arial"/>
          <w:noProof w:val="0"/>
          <w:sz w:val="22"/>
          <w:szCs w:val="22"/>
          <w:lang w:val="en-GB"/>
        </w:rPr>
        <w:t>Research shows that diverse organisations outperform less diverse competitors due to improved innovation, decision</w:t>
      </w:r>
      <w:r>
        <w:noBreakHyphen/>
      </w:r>
      <w:r w:rsidRPr="01350802" w:rsidR="40A84A93">
        <w:rPr>
          <w:rFonts w:ascii="Arial" w:hAnsi="Arial" w:eastAsia="Arial" w:cs="Arial"/>
          <w:noProof w:val="0"/>
          <w:sz w:val="22"/>
          <w:szCs w:val="22"/>
          <w:lang w:val="en-GB"/>
        </w:rPr>
        <w:t>making, and problem</w:t>
      </w:r>
      <w:r>
        <w:noBreakHyphen/>
      </w:r>
      <w:r w:rsidRPr="01350802" w:rsidR="40A84A93">
        <w:rPr>
          <w:rFonts w:ascii="Arial" w:hAnsi="Arial" w:eastAsia="Arial" w:cs="Arial"/>
          <w:noProof w:val="0"/>
          <w:sz w:val="22"/>
          <w:szCs w:val="22"/>
          <w:lang w:val="en-GB"/>
        </w:rPr>
        <w:t>solving (McKinsey, 2020). However, DEI challenges persist, particularly in senior representation, equitable progression, and psychological safety. Unconscious bias, structural barriers, and cultural norms can hinder inclusion (CIPD, 2023).</w:t>
      </w:r>
    </w:p>
    <w:p xmlns:wp14="http://schemas.microsoft.com/office/word/2010/wordml" w:rsidP="01350802" wp14:paraId="56F986BD" wp14:textId="5FF4F35B">
      <w:pPr>
        <w:spacing w:before="240" w:beforeAutospacing="off" w:after="240" w:afterAutospacing="off" w:line="360" w:lineRule="auto"/>
        <w:rPr>
          <w:rFonts w:ascii="Arial" w:hAnsi="Arial" w:eastAsia="Arial" w:cs="Arial"/>
          <w:noProof w:val="0"/>
          <w:sz w:val="22"/>
          <w:szCs w:val="22"/>
          <w:lang w:val="en-GB"/>
        </w:rPr>
      </w:pPr>
      <w:r w:rsidRPr="01350802" w:rsidR="40A84A93">
        <w:rPr>
          <w:rFonts w:ascii="Arial" w:hAnsi="Arial" w:eastAsia="Arial" w:cs="Arial"/>
          <w:noProof w:val="0"/>
          <w:sz w:val="22"/>
          <w:szCs w:val="22"/>
          <w:lang w:val="en-GB"/>
        </w:rPr>
        <w:t>DEI directly influences engagement. When employees feel valued and included, they demonstrate higher motivation and stronger organisational commitment (Shore et al., 2011). Conversely, exclusion or bias can lead to grievances, disengagement, and reputational damage. For long</w:t>
      </w:r>
      <w:r>
        <w:noBreakHyphen/>
      </w:r>
      <w:r w:rsidRPr="01350802" w:rsidR="40A84A93">
        <w:rPr>
          <w:rFonts w:ascii="Arial" w:hAnsi="Arial" w:eastAsia="Arial" w:cs="Arial"/>
          <w:noProof w:val="0"/>
          <w:sz w:val="22"/>
          <w:szCs w:val="22"/>
          <w:lang w:val="en-GB"/>
        </w:rPr>
        <w:t>term sustainability, Tesco must embed DEI into everyday practices rather than treating it as compliance.</w:t>
      </w:r>
    </w:p>
    <w:p xmlns:wp14="http://schemas.microsoft.com/office/word/2010/wordml" w:rsidP="01350802" wp14:paraId="59325660" wp14:textId="0EC37F7B">
      <w:pPr>
        <w:pStyle w:val="Heading1"/>
        <w:spacing w:before="322" w:beforeAutospacing="off" w:after="322" w:afterAutospacing="off" w:line="360" w:lineRule="auto"/>
        <w:rPr>
          <w:rFonts w:ascii="Arial" w:hAnsi="Arial" w:eastAsia="Arial" w:cs="Arial"/>
          <w:b w:val="1"/>
          <w:bCs w:val="1"/>
          <w:noProof w:val="0"/>
          <w:sz w:val="22"/>
          <w:szCs w:val="22"/>
          <w:lang w:val="en-GB"/>
        </w:rPr>
      </w:pPr>
      <w:r w:rsidRPr="01350802" w:rsidR="7F405F8F">
        <w:rPr>
          <w:rFonts w:ascii="Arial" w:hAnsi="Arial" w:eastAsia="Arial" w:cs="Arial"/>
          <w:b w:val="1"/>
          <w:bCs w:val="1"/>
          <w:noProof w:val="0"/>
          <w:sz w:val="22"/>
          <w:szCs w:val="22"/>
          <w:lang w:val="en-GB"/>
        </w:rPr>
        <w:t>2. Evaluation of Contemporary HR Practices</w:t>
      </w:r>
    </w:p>
    <w:p xmlns:wp14="http://schemas.microsoft.com/office/word/2010/wordml" w:rsidP="01350802" wp14:paraId="18AA1B41" wp14:textId="67A14955">
      <w:pPr>
        <w:pStyle w:val="Heading2"/>
        <w:spacing w:before="299" w:beforeAutospacing="off" w:after="299" w:afterAutospacing="off" w:line="360" w:lineRule="auto"/>
        <w:rPr>
          <w:rFonts w:ascii="Arial" w:hAnsi="Arial" w:eastAsia="Arial" w:cs="Arial"/>
          <w:b w:val="1"/>
          <w:bCs w:val="1"/>
          <w:noProof w:val="0"/>
          <w:sz w:val="22"/>
          <w:szCs w:val="22"/>
          <w:lang w:val="en-GB"/>
        </w:rPr>
      </w:pPr>
      <w:r w:rsidRPr="01350802" w:rsidR="7F405F8F">
        <w:rPr>
          <w:rFonts w:ascii="Arial" w:hAnsi="Arial" w:eastAsia="Arial" w:cs="Arial"/>
          <w:b w:val="1"/>
          <w:bCs w:val="1"/>
          <w:noProof w:val="0"/>
          <w:sz w:val="22"/>
          <w:szCs w:val="22"/>
          <w:lang w:val="en-GB"/>
        </w:rPr>
        <w:t>2.1 Digital HR Systems and Workforce Analytics</w:t>
      </w:r>
    </w:p>
    <w:p xmlns:wp14="http://schemas.microsoft.com/office/word/2010/wordml" w:rsidP="01350802" wp14:paraId="46A76969" wp14:textId="4AC5F720">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noProof w:val="0"/>
          <w:sz w:val="22"/>
          <w:szCs w:val="22"/>
          <w:lang w:val="en-GB"/>
        </w:rPr>
        <w:t>Digital HR systems have become central to strategic HRM, enabling Tesco to streamline processes, improve accuracy, and support evidence</w:t>
      </w:r>
      <w:r>
        <w:noBreakHyphen/>
      </w:r>
      <w:r w:rsidRPr="01350802" w:rsidR="7F405F8F">
        <w:rPr>
          <w:rFonts w:ascii="Arial" w:hAnsi="Arial" w:eastAsia="Arial" w:cs="Arial"/>
          <w:noProof w:val="0"/>
          <w:sz w:val="22"/>
          <w:szCs w:val="22"/>
          <w:lang w:val="en-GB"/>
        </w:rPr>
        <w:t>based decision</w:t>
      </w:r>
      <w:r>
        <w:noBreakHyphen/>
      </w:r>
      <w:r w:rsidRPr="01350802" w:rsidR="7F405F8F">
        <w:rPr>
          <w:rFonts w:ascii="Arial" w:hAnsi="Arial" w:eastAsia="Arial" w:cs="Arial"/>
          <w:noProof w:val="0"/>
          <w:sz w:val="22"/>
          <w:szCs w:val="22"/>
          <w:lang w:val="en-GB"/>
        </w:rPr>
        <w:t>making. Workforce analytics allow Tesco to identify turnover trends, predict staffing needs, and highlight skill gaps, aligning with Ulrich’s (1997) strategic partner role, where HR contributes directly to organisational strategy.</w:t>
      </w:r>
    </w:p>
    <w:p xmlns:wp14="http://schemas.microsoft.com/office/word/2010/wordml" w:rsidP="01350802" wp14:paraId="0224AC4C" wp14:textId="6CC559C0">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b w:val="1"/>
          <w:bCs w:val="1"/>
          <w:noProof w:val="0"/>
          <w:sz w:val="22"/>
          <w:szCs w:val="22"/>
          <w:lang w:val="en-GB"/>
        </w:rPr>
        <w:t>Effectiveness and Strengths:</w:t>
      </w:r>
      <w:r w:rsidRPr="01350802" w:rsidR="7F405F8F">
        <w:rPr>
          <w:rFonts w:ascii="Arial" w:hAnsi="Arial" w:eastAsia="Arial" w:cs="Arial"/>
          <w:noProof w:val="0"/>
          <w:sz w:val="22"/>
          <w:szCs w:val="22"/>
          <w:lang w:val="en-GB"/>
        </w:rPr>
        <w:t xml:space="preserve"> Digital HR systems enhance accuracy and transparency in HR processes (CIPD, 2023), reducing administrative burden and enabling managers to make informed decisions. Workforce analytics support evidence</w:t>
      </w:r>
      <w:r>
        <w:noBreakHyphen/>
      </w:r>
      <w:r w:rsidRPr="01350802" w:rsidR="7F405F8F">
        <w:rPr>
          <w:rFonts w:ascii="Arial" w:hAnsi="Arial" w:eastAsia="Arial" w:cs="Arial"/>
          <w:noProof w:val="0"/>
          <w:sz w:val="22"/>
          <w:szCs w:val="22"/>
          <w:lang w:val="en-GB"/>
        </w:rPr>
        <w:t>based HRM (Barends &amp; Rousseau, 2018), allowing Tesco to proactively address issues such as absenteeism, turnover, and labour shortages. Self</w:t>
      </w:r>
      <w:r>
        <w:noBreakHyphen/>
      </w:r>
      <w:r w:rsidRPr="01350802" w:rsidR="7F405F8F">
        <w:rPr>
          <w:rFonts w:ascii="Arial" w:hAnsi="Arial" w:eastAsia="Arial" w:cs="Arial"/>
          <w:noProof w:val="0"/>
          <w:sz w:val="22"/>
          <w:szCs w:val="22"/>
          <w:lang w:val="en-GB"/>
        </w:rPr>
        <w:t>service HR tools also improve employee autonomy, enabling staff to manage schedules, request leave, and access training resources.</w:t>
      </w:r>
    </w:p>
    <w:p xmlns:wp14="http://schemas.microsoft.com/office/word/2010/wordml" w:rsidP="01350802" wp14:paraId="1F34231C" wp14:textId="6167D837">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b w:val="1"/>
          <w:bCs w:val="1"/>
          <w:noProof w:val="0"/>
          <w:sz w:val="22"/>
          <w:szCs w:val="22"/>
          <w:lang w:val="en-GB"/>
        </w:rPr>
        <w:t>Critical Limitations:</w:t>
      </w:r>
      <w:r w:rsidRPr="01350802" w:rsidR="7F405F8F">
        <w:rPr>
          <w:rFonts w:ascii="Arial" w:hAnsi="Arial" w:eastAsia="Arial" w:cs="Arial"/>
          <w:noProof w:val="0"/>
          <w:sz w:val="22"/>
          <w:szCs w:val="22"/>
          <w:lang w:val="en-GB"/>
        </w:rPr>
        <w:t xml:space="preserve"> However, digital HR systems are not universally beneficial. Digital exclusion may affect older or less tech</w:t>
      </w:r>
      <w:r>
        <w:noBreakHyphen/>
      </w:r>
      <w:r w:rsidRPr="01350802" w:rsidR="7F405F8F">
        <w:rPr>
          <w:rFonts w:ascii="Arial" w:hAnsi="Arial" w:eastAsia="Arial" w:cs="Arial"/>
          <w:noProof w:val="0"/>
          <w:sz w:val="22"/>
          <w:szCs w:val="22"/>
          <w:lang w:val="en-GB"/>
        </w:rPr>
        <w:t>confident employees, potentially widening capability gaps. Data</w:t>
      </w:r>
      <w:r>
        <w:noBreakHyphen/>
      </w:r>
      <w:r w:rsidRPr="01350802" w:rsidR="7F405F8F">
        <w:rPr>
          <w:rFonts w:ascii="Arial" w:hAnsi="Arial" w:eastAsia="Arial" w:cs="Arial"/>
          <w:noProof w:val="0"/>
          <w:sz w:val="22"/>
          <w:szCs w:val="22"/>
          <w:lang w:val="en-GB"/>
        </w:rPr>
        <w:t>driven systems can oversimplify complex human behaviours, reducing employees to metrics that may not capture contextual factors such as wellbeing or team dynamics. Kotter’s (1996) change model highlights that technological adoption requires strong change management; without this, employees may resist new systems, reducing effectiveness. From an RBV perspective, digital capability only becomes a strategic advantage if employees possess the skills to use these systems effectively — otherwise, technology becomes a liability rather than a resource.</w:t>
      </w:r>
    </w:p>
    <w:p xmlns:wp14="http://schemas.microsoft.com/office/word/2010/wordml" w:rsidP="01350802" wp14:paraId="6AE97BD4" wp14:textId="29995057">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noProof w:val="0"/>
          <w:sz w:val="22"/>
          <w:szCs w:val="22"/>
          <w:lang w:val="en-GB"/>
        </w:rPr>
        <w:t>Overall, digital HR systems are effective for Tesco, but their success depends on managerial capability, employee digital literacy, and cultural readiness.</w:t>
      </w:r>
    </w:p>
    <w:p xmlns:wp14="http://schemas.microsoft.com/office/word/2010/wordml" w:rsidP="01350802" wp14:paraId="34FDE5EA" wp14:textId="68187C5B">
      <w:pPr>
        <w:pStyle w:val="Heading2"/>
        <w:spacing w:before="299" w:beforeAutospacing="off" w:after="299" w:afterAutospacing="off" w:line="360" w:lineRule="auto"/>
        <w:rPr>
          <w:rFonts w:ascii="Arial" w:hAnsi="Arial" w:eastAsia="Arial" w:cs="Arial"/>
          <w:b w:val="1"/>
          <w:bCs w:val="1"/>
          <w:noProof w:val="0"/>
          <w:sz w:val="22"/>
          <w:szCs w:val="22"/>
          <w:lang w:val="en-GB"/>
        </w:rPr>
      </w:pPr>
      <w:r w:rsidRPr="01350802" w:rsidR="7F405F8F">
        <w:rPr>
          <w:rFonts w:ascii="Arial" w:hAnsi="Arial" w:eastAsia="Arial" w:cs="Arial"/>
          <w:b w:val="1"/>
          <w:bCs w:val="1"/>
          <w:noProof w:val="0"/>
          <w:sz w:val="22"/>
          <w:szCs w:val="22"/>
          <w:lang w:val="en-GB"/>
        </w:rPr>
        <w:t>2.2 Employer Branding and Strategic Workforce Planning</w:t>
      </w:r>
    </w:p>
    <w:p xmlns:wp14="http://schemas.microsoft.com/office/word/2010/wordml" w:rsidP="01350802" wp14:paraId="25E85DFB" wp14:textId="03F3125B">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noProof w:val="0"/>
          <w:sz w:val="22"/>
          <w:szCs w:val="22"/>
          <w:lang w:val="en-GB"/>
        </w:rPr>
        <w:t>Employer branding is increasingly important in competitive labour markets. Signalling theory suggests that branding communicates organisational values and opportunities to potential applicants (Spence, 1973). For Tesco, strong employer branding is essential to attract talent in areas such as digital transformation, supply chain optimisation, and store leadership.</w:t>
      </w:r>
    </w:p>
    <w:p xmlns:wp14="http://schemas.microsoft.com/office/word/2010/wordml" w:rsidP="01350802" wp14:paraId="2EEBE780" wp14:textId="56A66F7F">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b w:val="1"/>
          <w:bCs w:val="1"/>
          <w:noProof w:val="0"/>
          <w:sz w:val="22"/>
          <w:szCs w:val="22"/>
          <w:lang w:val="en-GB"/>
        </w:rPr>
        <w:t>Effectiveness and Strengths:</w:t>
      </w:r>
      <w:r w:rsidRPr="01350802" w:rsidR="7F405F8F">
        <w:rPr>
          <w:rFonts w:ascii="Arial" w:hAnsi="Arial" w:eastAsia="Arial" w:cs="Arial"/>
          <w:noProof w:val="0"/>
          <w:sz w:val="22"/>
          <w:szCs w:val="22"/>
          <w:lang w:val="en-GB"/>
        </w:rPr>
        <w:t xml:space="preserve"> Employer branding can attract diverse talent pools (CIPD, 2022), reduce recruitment costs, and strengthen Tesco’s reputation as a stable employer. Strategic workforce planning helps align staffing needs with organisational goals, supporting succession planning and long</w:t>
      </w:r>
      <w:r>
        <w:noBreakHyphen/>
      </w:r>
      <w:r w:rsidRPr="01350802" w:rsidR="7F405F8F">
        <w:rPr>
          <w:rFonts w:ascii="Arial" w:hAnsi="Arial" w:eastAsia="Arial" w:cs="Arial"/>
          <w:noProof w:val="0"/>
          <w:sz w:val="22"/>
          <w:szCs w:val="22"/>
          <w:lang w:val="en-GB"/>
        </w:rPr>
        <w:t>term capability building. From an RBV perspective, attracting and retaining high</w:t>
      </w:r>
      <w:r>
        <w:noBreakHyphen/>
      </w:r>
      <w:r w:rsidRPr="01350802" w:rsidR="7F405F8F">
        <w:rPr>
          <w:rFonts w:ascii="Arial" w:hAnsi="Arial" w:eastAsia="Arial" w:cs="Arial"/>
          <w:noProof w:val="0"/>
          <w:sz w:val="22"/>
          <w:szCs w:val="22"/>
          <w:lang w:val="en-GB"/>
        </w:rPr>
        <w:t>skill talent is essential for developing VRIN capabilities that competitors cannot easily replicate.</w:t>
      </w:r>
    </w:p>
    <w:p xmlns:wp14="http://schemas.microsoft.com/office/word/2010/wordml" w:rsidP="01350802" wp14:paraId="37B1BCD0" wp14:textId="3C34A973">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b w:val="1"/>
          <w:bCs w:val="1"/>
          <w:noProof w:val="0"/>
          <w:sz w:val="22"/>
          <w:szCs w:val="22"/>
          <w:lang w:val="en-GB"/>
        </w:rPr>
        <w:t>Critical Limitations:</w:t>
      </w:r>
      <w:r w:rsidRPr="01350802" w:rsidR="7F405F8F">
        <w:rPr>
          <w:rFonts w:ascii="Arial" w:hAnsi="Arial" w:eastAsia="Arial" w:cs="Arial"/>
          <w:noProof w:val="0"/>
          <w:sz w:val="22"/>
          <w:szCs w:val="22"/>
          <w:lang w:val="en-GB"/>
        </w:rPr>
        <w:t xml:space="preserve"> However, employer branding alone cannot overcome negative perceptions of retail work, such as low pay, high workload, and limited progression. Workforce planning is also vulnerable to economic volatility, supply chain disruptions, and labour shortages. Effective workforce planning requires cross</w:t>
      </w:r>
      <w:r>
        <w:noBreakHyphen/>
      </w:r>
      <w:r w:rsidRPr="01350802" w:rsidR="7F405F8F">
        <w:rPr>
          <w:rFonts w:ascii="Arial" w:hAnsi="Arial" w:eastAsia="Arial" w:cs="Arial"/>
          <w:noProof w:val="0"/>
          <w:sz w:val="22"/>
          <w:szCs w:val="22"/>
          <w:lang w:val="en-GB"/>
        </w:rPr>
        <w:t>functional collaboration, which can be inconsistent across Tesco’s large and geographically dispersed operations. Furthermore, branding may create expectations that Tesco cannot always fulfil, risking psychological contract breaches (Rousseau, 1995) that undermine retention.</w:t>
      </w:r>
    </w:p>
    <w:p xmlns:wp14="http://schemas.microsoft.com/office/word/2010/wordml" w:rsidP="01350802" wp14:paraId="61E49047" wp14:textId="2AE754D9">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noProof w:val="0"/>
          <w:sz w:val="22"/>
          <w:szCs w:val="22"/>
          <w:lang w:val="en-GB"/>
        </w:rPr>
        <w:t>Thus, employer branding and workforce planning are valuable but must be supported by genuine development opportunities and realistic job previews.</w:t>
      </w:r>
    </w:p>
    <w:p xmlns:wp14="http://schemas.microsoft.com/office/word/2010/wordml" w:rsidP="01350802" wp14:paraId="06DE3CE5" wp14:textId="7169D485">
      <w:pPr>
        <w:pStyle w:val="Heading2"/>
        <w:spacing w:before="299" w:beforeAutospacing="off" w:after="299" w:afterAutospacing="off" w:line="360" w:lineRule="auto"/>
        <w:rPr>
          <w:rFonts w:ascii="Arial" w:hAnsi="Arial" w:eastAsia="Arial" w:cs="Arial"/>
          <w:b w:val="1"/>
          <w:bCs w:val="1"/>
          <w:noProof w:val="0"/>
          <w:sz w:val="22"/>
          <w:szCs w:val="22"/>
          <w:lang w:val="en-GB"/>
        </w:rPr>
      </w:pPr>
      <w:r w:rsidRPr="01350802" w:rsidR="7F405F8F">
        <w:rPr>
          <w:rFonts w:ascii="Arial" w:hAnsi="Arial" w:eastAsia="Arial" w:cs="Arial"/>
          <w:b w:val="1"/>
          <w:bCs w:val="1"/>
          <w:noProof w:val="0"/>
          <w:sz w:val="22"/>
          <w:szCs w:val="22"/>
          <w:lang w:val="en-GB"/>
        </w:rPr>
        <w:t>2.3 Employee Engagement and Retention Strategies</w:t>
      </w:r>
    </w:p>
    <w:p xmlns:wp14="http://schemas.microsoft.com/office/word/2010/wordml" w:rsidP="01350802" wp14:paraId="72F999CA" wp14:textId="4369FFA9">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noProof w:val="0"/>
          <w:sz w:val="22"/>
          <w:szCs w:val="22"/>
          <w:lang w:val="en-GB"/>
        </w:rPr>
        <w:t>Tesco uses engagement surveys, wellbeing initiatives, flexible working options, and leadership development programmes to strengthen engagement and reduce turnover.</w:t>
      </w:r>
    </w:p>
    <w:p xmlns:wp14="http://schemas.microsoft.com/office/word/2010/wordml" w:rsidP="01350802" wp14:paraId="2C7E7439" wp14:textId="57518254">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b w:val="1"/>
          <w:bCs w:val="1"/>
          <w:noProof w:val="0"/>
          <w:sz w:val="22"/>
          <w:szCs w:val="22"/>
          <w:lang w:val="en-GB"/>
        </w:rPr>
        <w:t>Effectiveness and Strengths:</w:t>
      </w:r>
      <w:r w:rsidRPr="01350802" w:rsidR="7F405F8F">
        <w:rPr>
          <w:rFonts w:ascii="Arial" w:hAnsi="Arial" w:eastAsia="Arial" w:cs="Arial"/>
          <w:noProof w:val="0"/>
          <w:sz w:val="22"/>
          <w:szCs w:val="22"/>
          <w:lang w:val="en-GB"/>
        </w:rPr>
        <w:t xml:space="preserve"> Wellbeing initiatives can reduce burnout and improve morale (CIPD, 2023). Leadership development supports internal progression, strengthening Tesco’s talent pipeline. Engagement surveys provide insights into employee sentiment, enabling targeted interventions. The JD</w:t>
      </w:r>
      <w:r>
        <w:noBreakHyphen/>
      </w:r>
      <w:r w:rsidRPr="01350802" w:rsidR="7F405F8F">
        <w:rPr>
          <w:rFonts w:ascii="Arial" w:hAnsi="Arial" w:eastAsia="Arial" w:cs="Arial"/>
          <w:noProof w:val="0"/>
          <w:sz w:val="22"/>
          <w:szCs w:val="22"/>
          <w:lang w:val="en-GB"/>
        </w:rPr>
        <w:t>R model (Bakker &amp; Demerouti, 2007) suggests that increasing job resources — such as support, recognition, and development — can buffer the effects of high job demands, making these initiatives particularly relevant in retail environments.</w:t>
      </w:r>
    </w:p>
    <w:p xmlns:wp14="http://schemas.microsoft.com/office/word/2010/wordml" w:rsidP="01350802" wp14:paraId="59FCDC55" wp14:textId="10577831">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b w:val="1"/>
          <w:bCs w:val="1"/>
          <w:noProof w:val="0"/>
          <w:sz w:val="22"/>
          <w:szCs w:val="22"/>
          <w:lang w:val="en-GB"/>
        </w:rPr>
        <w:t>Critical Limitations:</w:t>
      </w:r>
      <w:r w:rsidRPr="01350802" w:rsidR="7F405F8F">
        <w:rPr>
          <w:rFonts w:ascii="Arial" w:hAnsi="Arial" w:eastAsia="Arial" w:cs="Arial"/>
          <w:noProof w:val="0"/>
          <w:sz w:val="22"/>
          <w:szCs w:val="22"/>
          <w:lang w:val="en-GB"/>
        </w:rPr>
        <w:t xml:space="preserve"> However, engagement surveys may not capture deeper cultural issues, especially if employees fear retaliation or believe feedback will not lead to change. Engagement initiatives can be perceived as symbolic if not followed by meaningful action, weakening trust and psychological contracts. Flexible working is difficult to implement in frontline retail roles, limiting its impact on the majority of Tesco’s workforce. Additionally, leadership development may disproportionately benefit managerial staff, leaving frontline employees feeling overlooked.</w:t>
      </w:r>
    </w:p>
    <w:p xmlns:wp14="http://schemas.microsoft.com/office/word/2010/wordml" w:rsidP="01350802" wp14:paraId="79D0C864" wp14:textId="3C135954">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noProof w:val="0"/>
          <w:sz w:val="22"/>
          <w:szCs w:val="22"/>
          <w:lang w:val="en-GB"/>
        </w:rPr>
        <w:t>Overall, engagement strategies are beneficial but must be consistently implemented and supported by visible managerial action.</w:t>
      </w:r>
    </w:p>
    <w:p xmlns:wp14="http://schemas.microsoft.com/office/word/2010/wordml" w:rsidP="01350802" wp14:paraId="0F17CB27" wp14:textId="3704A11C">
      <w:pPr>
        <w:pStyle w:val="Heading2"/>
        <w:spacing w:before="299" w:beforeAutospacing="off" w:after="299" w:afterAutospacing="off" w:line="360" w:lineRule="auto"/>
        <w:rPr>
          <w:rFonts w:ascii="Arial" w:hAnsi="Arial" w:eastAsia="Arial" w:cs="Arial"/>
          <w:b w:val="1"/>
          <w:bCs w:val="1"/>
          <w:noProof w:val="0"/>
          <w:sz w:val="22"/>
          <w:szCs w:val="22"/>
          <w:lang w:val="en-GB"/>
        </w:rPr>
      </w:pPr>
      <w:r w:rsidRPr="01350802" w:rsidR="7F405F8F">
        <w:rPr>
          <w:rFonts w:ascii="Arial" w:hAnsi="Arial" w:eastAsia="Arial" w:cs="Arial"/>
          <w:b w:val="1"/>
          <w:bCs w:val="1"/>
          <w:noProof w:val="0"/>
          <w:sz w:val="22"/>
          <w:szCs w:val="22"/>
          <w:lang w:val="en-GB"/>
        </w:rPr>
        <w:t>2.4 Inclusive Recruitment and DEI Initiatives</w:t>
      </w:r>
    </w:p>
    <w:p xmlns:wp14="http://schemas.microsoft.com/office/word/2010/wordml" w:rsidP="01350802" wp14:paraId="5108B12F" wp14:textId="7677C8A1">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noProof w:val="0"/>
          <w:sz w:val="22"/>
          <w:szCs w:val="22"/>
          <w:lang w:val="en-GB"/>
        </w:rPr>
        <w:t>Inclusive recruitment practices — such as anonymised applications and diverse interview panels — aim to reduce bias and improve fairness. DEI initiatives, including bias training, employee resource groups, and transparent reporting, support representation and inclusion.</w:t>
      </w:r>
    </w:p>
    <w:p xmlns:wp14="http://schemas.microsoft.com/office/word/2010/wordml" w:rsidP="01350802" wp14:paraId="0806B796" wp14:textId="45428B3C">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b w:val="1"/>
          <w:bCs w:val="1"/>
          <w:noProof w:val="0"/>
          <w:sz w:val="22"/>
          <w:szCs w:val="22"/>
          <w:lang w:val="en-GB"/>
        </w:rPr>
        <w:t>Effectiveness and Strengths:</w:t>
      </w:r>
      <w:r w:rsidRPr="01350802" w:rsidR="7F405F8F">
        <w:rPr>
          <w:rFonts w:ascii="Arial" w:hAnsi="Arial" w:eastAsia="Arial" w:cs="Arial"/>
          <w:noProof w:val="0"/>
          <w:sz w:val="22"/>
          <w:szCs w:val="22"/>
          <w:lang w:val="en-GB"/>
        </w:rPr>
        <w:t xml:space="preserve"> DEI initiatives enhance organisational legitimacy (DiMaggio &amp; Powell, 1983), strengthen psychological safety, and improve innovation and decision</w:t>
      </w:r>
      <w:r>
        <w:noBreakHyphen/>
      </w:r>
      <w:r w:rsidRPr="01350802" w:rsidR="7F405F8F">
        <w:rPr>
          <w:rFonts w:ascii="Arial" w:hAnsi="Arial" w:eastAsia="Arial" w:cs="Arial"/>
          <w:noProof w:val="0"/>
          <w:sz w:val="22"/>
          <w:szCs w:val="22"/>
          <w:lang w:val="en-GB"/>
        </w:rPr>
        <w:t>making (McKinsey, 2020). Inclusive recruitment can widen talent pools and reduce structural barriers, supporting Tesco’s commitment to representing the communities it serves.</w:t>
      </w:r>
    </w:p>
    <w:p xmlns:wp14="http://schemas.microsoft.com/office/word/2010/wordml" w:rsidP="01350802" wp14:paraId="16A35CE2" wp14:textId="4B3D8AA9">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b w:val="1"/>
          <w:bCs w:val="1"/>
          <w:noProof w:val="0"/>
          <w:sz w:val="22"/>
          <w:szCs w:val="22"/>
          <w:lang w:val="en-GB"/>
        </w:rPr>
        <w:t>Critical Limitations:</w:t>
      </w:r>
      <w:r w:rsidRPr="01350802" w:rsidR="7F405F8F">
        <w:rPr>
          <w:rFonts w:ascii="Arial" w:hAnsi="Arial" w:eastAsia="Arial" w:cs="Arial"/>
          <w:noProof w:val="0"/>
          <w:sz w:val="22"/>
          <w:szCs w:val="22"/>
          <w:lang w:val="en-GB"/>
        </w:rPr>
        <w:t xml:space="preserve"> However, bias training alone does not change behaviour without accountability mechanisms. DEI initiatives may be perceived as “tick</w:t>
      </w:r>
      <w:r>
        <w:noBreakHyphen/>
      </w:r>
      <w:r w:rsidRPr="01350802" w:rsidR="7F405F8F">
        <w:rPr>
          <w:rFonts w:ascii="Arial" w:hAnsi="Arial" w:eastAsia="Arial" w:cs="Arial"/>
          <w:noProof w:val="0"/>
          <w:sz w:val="22"/>
          <w:szCs w:val="22"/>
          <w:lang w:val="en-GB"/>
        </w:rPr>
        <w:t>box” exercises if not embedded into everyday practice. Progress can be slow at senior levels, where representation gaps remain. From an RBV perspective, DEI only becomes a strategic advantage when inclusion is deeply embedded in culture, leadership behaviour, and decision</w:t>
      </w:r>
      <w:r>
        <w:noBreakHyphen/>
      </w:r>
      <w:r w:rsidRPr="01350802" w:rsidR="7F405F8F">
        <w:rPr>
          <w:rFonts w:ascii="Arial" w:hAnsi="Arial" w:eastAsia="Arial" w:cs="Arial"/>
          <w:noProof w:val="0"/>
          <w:sz w:val="22"/>
          <w:szCs w:val="22"/>
          <w:lang w:val="en-GB"/>
        </w:rPr>
        <w:t>making — not when it is treated as compliance.</w:t>
      </w:r>
    </w:p>
    <w:p xmlns:wp14="http://schemas.microsoft.com/office/word/2010/wordml" w:rsidP="01350802" wp14:paraId="0D44E523" wp14:textId="69F10E40">
      <w:pPr>
        <w:spacing w:before="240" w:beforeAutospacing="off" w:after="240" w:afterAutospacing="off" w:line="360" w:lineRule="auto"/>
        <w:rPr>
          <w:rFonts w:ascii="Arial" w:hAnsi="Arial" w:eastAsia="Arial" w:cs="Arial"/>
          <w:noProof w:val="0"/>
          <w:sz w:val="22"/>
          <w:szCs w:val="22"/>
          <w:lang w:val="en-GB"/>
        </w:rPr>
      </w:pPr>
      <w:r w:rsidRPr="01350802" w:rsidR="7F405F8F">
        <w:rPr>
          <w:rFonts w:ascii="Arial" w:hAnsi="Arial" w:eastAsia="Arial" w:cs="Arial"/>
          <w:noProof w:val="0"/>
          <w:sz w:val="22"/>
          <w:szCs w:val="22"/>
          <w:lang w:val="en-GB"/>
        </w:rPr>
        <w:t>Thus, DEI practices are valuable but require sustained leadership commitment, cultural change, and measurable accountability.</w:t>
      </w:r>
    </w:p>
    <w:p xmlns:wp14="http://schemas.microsoft.com/office/word/2010/wordml" w:rsidP="01350802" wp14:paraId="76D76FBC" wp14:textId="34888A2E">
      <w:pPr>
        <w:pStyle w:val="Heading1"/>
        <w:spacing w:before="322" w:beforeAutospacing="off" w:after="322" w:afterAutospacing="off" w:line="360" w:lineRule="auto"/>
        <w:rPr>
          <w:rFonts w:ascii="Arial" w:hAnsi="Arial" w:eastAsia="Arial" w:cs="Arial"/>
          <w:b w:val="1"/>
          <w:bCs w:val="1"/>
          <w:noProof w:val="0"/>
          <w:sz w:val="22"/>
          <w:szCs w:val="22"/>
          <w:lang w:val="en-GB"/>
        </w:rPr>
      </w:pPr>
      <w:r w:rsidRPr="01350802" w:rsidR="73B9B9DB">
        <w:rPr>
          <w:rFonts w:ascii="Arial" w:hAnsi="Arial" w:eastAsia="Arial" w:cs="Arial"/>
          <w:b w:val="1"/>
          <w:bCs w:val="1"/>
          <w:noProof w:val="0"/>
          <w:sz w:val="22"/>
          <w:szCs w:val="22"/>
          <w:lang w:val="en-GB"/>
        </w:rPr>
        <w:t xml:space="preserve">3. CRITICAL EVALUATION OF MANAGERIAL IMPLEMENTATION </w:t>
      </w:r>
    </w:p>
    <w:p xmlns:wp14="http://schemas.microsoft.com/office/word/2010/wordml" w:rsidP="01350802" wp14:paraId="7D8C32EB" wp14:textId="009071E7">
      <w:p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Effective implementation requires strong managerial leadership, communication, and monitoring. Managers act as “change agents” (Kotter, 1996), translating HR strategy into operational reality.</w:t>
      </w:r>
    </w:p>
    <w:p xmlns:wp14="http://schemas.microsoft.com/office/word/2010/wordml" w:rsidP="01350802" wp14:paraId="5FCB7194" wp14:textId="494EBBA1">
      <w:pPr>
        <w:pStyle w:val="Heading3"/>
        <w:spacing w:before="281" w:beforeAutospacing="off" w:after="281" w:afterAutospacing="off" w:line="360" w:lineRule="auto"/>
        <w:rPr>
          <w:rFonts w:ascii="Arial" w:hAnsi="Arial" w:eastAsia="Arial" w:cs="Arial"/>
          <w:b w:val="1"/>
          <w:bCs w:val="1"/>
          <w:noProof w:val="0"/>
          <w:sz w:val="22"/>
          <w:szCs w:val="22"/>
          <w:lang w:val="en-GB"/>
        </w:rPr>
      </w:pPr>
      <w:r w:rsidRPr="01350802" w:rsidR="73B9B9DB">
        <w:rPr>
          <w:rFonts w:ascii="Arial" w:hAnsi="Arial" w:eastAsia="Arial" w:cs="Arial"/>
          <w:b w:val="1"/>
          <w:bCs w:val="1"/>
          <w:noProof w:val="0"/>
          <w:sz w:val="22"/>
          <w:szCs w:val="22"/>
          <w:lang w:val="en-GB"/>
        </w:rPr>
        <w:t>3.1 Leadership Accountability</w:t>
      </w:r>
    </w:p>
    <w:p xmlns:wp14="http://schemas.microsoft.com/office/word/2010/wordml" w:rsidP="01350802" wp14:paraId="7CDCEBBD" wp14:textId="49C0E9FB">
      <w:p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Leadership behaviour directly influences employee engagement and adoption of new practices. Transformational leadership theory suggests that leaders who inspire, motivate, and support employees improve change outcomes (Bass, 1985). Managers must model inclusive behaviours, support digital learning, and actively engage in workforce planning.</w:t>
      </w:r>
    </w:p>
    <w:p xmlns:wp14="http://schemas.microsoft.com/office/word/2010/wordml" w:rsidP="01350802" wp14:paraId="4ABC145C" wp14:textId="72699824">
      <w:pPr>
        <w:pStyle w:val="Heading3"/>
        <w:spacing w:before="281" w:beforeAutospacing="off" w:after="281" w:afterAutospacing="off" w:line="360" w:lineRule="auto"/>
        <w:rPr>
          <w:rFonts w:ascii="Arial" w:hAnsi="Arial" w:eastAsia="Arial" w:cs="Arial"/>
          <w:b w:val="1"/>
          <w:bCs w:val="1"/>
          <w:noProof w:val="0"/>
          <w:sz w:val="22"/>
          <w:szCs w:val="22"/>
          <w:lang w:val="en-GB"/>
        </w:rPr>
      </w:pPr>
      <w:r w:rsidRPr="01350802" w:rsidR="73B9B9DB">
        <w:rPr>
          <w:rFonts w:ascii="Arial" w:hAnsi="Arial" w:eastAsia="Arial" w:cs="Arial"/>
          <w:b w:val="1"/>
          <w:bCs w:val="1"/>
          <w:noProof w:val="0"/>
          <w:sz w:val="22"/>
          <w:szCs w:val="22"/>
          <w:lang w:val="en-GB"/>
        </w:rPr>
        <w:t>3.2 Communication Strategies</w:t>
      </w:r>
    </w:p>
    <w:p xmlns:wp14="http://schemas.microsoft.com/office/word/2010/wordml" w:rsidP="01350802" wp14:paraId="42350B84" wp14:textId="6BAE8C50">
      <w:p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Clear communication reduces uncertainty and builds trust. According to Lewin (1947), communication is essential during the “unfreezing” stage of change. Two</w:t>
      </w:r>
      <w:r>
        <w:noBreakHyphen/>
      </w:r>
      <w:r w:rsidRPr="01350802" w:rsidR="73B9B9DB">
        <w:rPr>
          <w:rFonts w:ascii="Arial" w:hAnsi="Arial" w:eastAsia="Arial" w:cs="Arial"/>
          <w:noProof w:val="0"/>
          <w:sz w:val="22"/>
          <w:szCs w:val="22"/>
          <w:lang w:val="en-GB"/>
        </w:rPr>
        <w:t>way communication helps identify barriers early and ensures employees feel heard.</w:t>
      </w:r>
    </w:p>
    <w:p xmlns:wp14="http://schemas.microsoft.com/office/word/2010/wordml" w:rsidP="01350802" wp14:paraId="03BA52F7" wp14:textId="4AF8BAF8">
      <w:pPr>
        <w:pStyle w:val="Heading3"/>
        <w:spacing w:before="281" w:beforeAutospacing="off" w:after="281" w:afterAutospacing="off" w:line="360" w:lineRule="auto"/>
        <w:rPr>
          <w:rFonts w:ascii="Arial" w:hAnsi="Arial" w:eastAsia="Arial" w:cs="Arial"/>
          <w:b w:val="1"/>
          <w:bCs w:val="1"/>
          <w:noProof w:val="0"/>
          <w:sz w:val="22"/>
          <w:szCs w:val="22"/>
          <w:lang w:val="en-GB"/>
        </w:rPr>
      </w:pPr>
      <w:r w:rsidRPr="01350802" w:rsidR="73B9B9DB">
        <w:rPr>
          <w:rFonts w:ascii="Arial" w:hAnsi="Arial" w:eastAsia="Arial" w:cs="Arial"/>
          <w:b w:val="1"/>
          <w:bCs w:val="1"/>
          <w:noProof w:val="0"/>
          <w:sz w:val="22"/>
          <w:szCs w:val="22"/>
          <w:lang w:val="en-GB"/>
        </w:rPr>
        <w:t>3.3 Monitoring and Performance Measurement</w:t>
      </w:r>
    </w:p>
    <w:p xmlns:wp14="http://schemas.microsoft.com/office/word/2010/wordml" w:rsidP="01350802" wp14:paraId="79C0EA89" wp14:textId="6929FCB4">
      <w:p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Managers must use KPIs, analytics, and engagement data to monitor progress. Evidence</w:t>
      </w:r>
      <w:r>
        <w:noBreakHyphen/>
      </w:r>
      <w:r w:rsidRPr="01350802" w:rsidR="73B9B9DB">
        <w:rPr>
          <w:rFonts w:ascii="Arial" w:hAnsi="Arial" w:eastAsia="Arial" w:cs="Arial"/>
          <w:noProof w:val="0"/>
          <w:sz w:val="22"/>
          <w:szCs w:val="22"/>
          <w:lang w:val="en-GB"/>
        </w:rPr>
        <w:t>based HR emphasises the importance of using data to evaluate HR practices (Barends &amp; Rousseau, 2018). Regular review enables continuous improvement.</w:t>
      </w:r>
    </w:p>
    <w:p xmlns:wp14="http://schemas.microsoft.com/office/word/2010/wordml" w:rsidP="01350802" wp14:paraId="5E88FB2C" wp14:textId="64E822AA">
      <w:pPr>
        <w:pStyle w:val="Heading3"/>
        <w:spacing w:before="281" w:beforeAutospacing="off" w:after="281" w:afterAutospacing="off" w:line="360" w:lineRule="auto"/>
        <w:rPr>
          <w:rFonts w:ascii="Arial" w:hAnsi="Arial" w:eastAsia="Arial" w:cs="Arial"/>
          <w:b w:val="1"/>
          <w:bCs w:val="1"/>
          <w:noProof w:val="0"/>
          <w:sz w:val="22"/>
          <w:szCs w:val="22"/>
          <w:lang w:val="en-GB"/>
        </w:rPr>
      </w:pPr>
      <w:r w:rsidRPr="01350802" w:rsidR="73B9B9DB">
        <w:rPr>
          <w:rFonts w:ascii="Arial" w:hAnsi="Arial" w:eastAsia="Arial" w:cs="Arial"/>
          <w:b w:val="1"/>
          <w:bCs w:val="1"/>
          <w:noProof w:val="0"/>
          <w:sz w:val="22"/>
          <w:szCs w:val="22"/>
          <w:lang w:val="en-GB"/>
        </w:rPr>
        <w:t>3.4 Organisational Culture</w:t>
      </w:r>
    </w:p>
    <w:p xmlns:wp14="http://schemas.microsoft.com/office/word/2010/wordml" w:rsidP="01350802" wp14:paraId="121EB8F2" wp14:textId="261D517C">
      <w:p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Culture determines implementation success. Schein (2010) argues that culture shapes employee behaviour and expectations. Managers must foster a culture of learning, inclusion, and adaptability.</w:t>
      </w:r>
    </w:p>
    <w:p xmlns:wp14="http://schemas.microsoft.com/office/word/2010/wordml" w:rsidP="01350802" wp14:paraId="496EDB00" wp14:textId="26280ACC">
      <w:pPr>
        <w:pStyle w:val="Heading3"/>
        <w:spacing w:before="281" w:beforeAutospacing="off" w:after="281" w:afterAutospacing="off" w:line="360" w:lineRule="auto"/>
        <w:rPr>
          <w:rFonts w:ascii="Arial" w:hAnsi="Arial" w:eastAsia="Arial" w:cs="Arial"/>
          <w:b w:val="1"/>
          <w:bCs w:val="1"/>
          <w:noProof w:val="0"/>
          <w:sz w:val="22"/>
          <w:szCs w:val="22"/>
          <w:lang w:val="en-GB"/>
        </w:rPr>
      </w:pPr>
      <w:r w:rsidRPr="01350802" w:rsidR="73B9B9DB">
        <w:rPr>
          <w:rFonts w:ascii="Arial" w:hAnsi="Arial" w:eastAsia="Arial" w:cs="Arial"/>
          <w:b w:val="1"/>
          <w:bCs w:val="1"/>
          <w:noProof w:val="0"/>
          <w:sz w:val="22"/>
          <w:szCs w:val="22"/>
          <w:lang w:val="en-GB"/>
        </w:rPr>
        <w:t>3.5 Barriers and Solutions</w:t>
      </w:r>
    </w:p>
    <w:p xmlns:wp14="http://schemas.microsoft.com/office/word/2010/wordml" w:rsidP="01350802" wp14:paraId="24988F21" wp14:textId="48699D7E">
      <w:p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Common barriers include resistance to change, limited resources, skill gaps, and inconsistent managerial capability. These can be overcome through:</w:t>
      </w:r>
    </w:p>
    <w:p xmlns:wp14="http://schemas.microsoft.com/office/word/2010/wordml" w:rsidP="01350802" wp14:paraId="35B42832" wp14:textId="4EFE48E9">
      <w:pPr>
        <w:pStyle w:val="ListParagraph"/>
        <w:numPr>
          <w:ilvl w:val="0"/>
          <w:numId w:val="9"/>
        </w:num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targeted training</w:t>
      </w:r>
    </w:p>
    <w:p xmlns:wp14="http://schemas.microsoft.com/office/word/2010/wordml" w:rsidP="01350802" wp14:paraId="1F60E06C" wp14:textId="3BD9A8A5">
      <w:pPr>
        <w:pStyle w:val="ListParagraph"/>
        <w:numPr>
          <w:ilvl w:val="0"/>
          <w:numId w:val="9"/>
        </w:num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phased implementation</w:t>
      </w:r>
    </w:p>
    <w:p xmlns:wp14="http://schemas.microsoft.com/office/word/2010/wordml" w:rsidP="01350802" wp14:paraId="5BD6FD95" wp14:textId="1B444E97">
      <w:pPr>
        <w:pStyle w:val="ListParagraph"/>
        <w:numPr>
          <w:ilvl w:val="0"/>
          <w:numId w:val="9"/>
        </w:num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incentives for adoption</w:t>
      </w:r>
    </w:p>
    <w:p xmlns:wp14="http://schemas.microsoft.com/office/word/2010/wordml" w:rsidP="01350802" wp14:paraId="4B28C7DC" wp14:textId="5A318938">
      <w:pPr>
        <w:pStyle w:val="ListParagraph"/>
        <w:numPr>
          <w:ilvl w:val="0"/>
          <w:numId w:val="9"/>
        </w:num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cross</w:t>
      </w:r>
      <w:r>
        <w:noBreakHyphen/>
      </w:r>
      <w:r w:rsidRPr="01350802" w:rsidR="73B9B9DB">
        <w:rPr>
          <w:rFonts w:ascii="Arial" w:hAnsi="Arial" w:eastAsia="Arial" w:cs="Arial"/>
          <w:noProof w:val="0"/>
          <w:sz w:val="22"/>
          <w:szCs w:val="22"/>
          <w:lang w:val="en-GB"/>
        </w:rPr>
        <w:t>functional collaboration</w:t>
      </w:r>
    </w:p>
    <w:p xmlns:wp14="http://schemas.microsoft.com/office/word/2010/wordml" w:rsidP="01350802" wp14:paraId="6BBF9EF5" wp14:textId="548A9331">
      <w:pPr>
        <w:pStyle w:val="ListParagraph"/>
        <w:numPr>
          <w:ilvl w:val="0"/>
          <w:numId w:val="9"/>
        </w:num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transparent communication</w:t>
      </w:r>
    </w:p>
    <w:p xmlns:wp14="http://schemas.microsoft.com/office/word/2010/wordml" w:rsidP="01350802" wp14:paraId="1C176B7D" wp14:textId="6C7D78A7">
      <w:pPr>
        <w:spacing w:before="240" w:beforeAutospacing="off" w:after="240" w:afterAutospacing="off" w:line="360" w:lineRule="auto"/>
        <w:rPr>
          <w:rFonts w:ascii="Arial" w:hAnsi="Arial" w:eastAsia="Arial" w:cs="Arial"/>
          <w:noProof w:val="0"/>
          <w:sz w:val="22"/>
          <w:szCs w:val="22"/>
          <w:lang w:val="en-GB"/>
        </w:rPr>
      </w:pPr>
      <w:r w:rsidRPr="01350802" w:rsidR="73B9B9DB">
        <w:rPr>
          <w:rFonts w:ascii="Arial" w:hAnsi="Arial" w:eastAsia="Arial" w:cs="Arial"/>
          <w:noProof w:val="0"/>
          <w:sz w:val="22"/>
          <w:szCs w:val="22"/>
          <w:lang w:val="en-GB"/>
        </w:rPr>
        <w:t>Urgency is essential, particularly in digital transformation and DEI, where delays harm competitiveness.</w:t>
      </w:r>
    </w:p>
    <w:p xmlns:wp14="http://schemas.microsoft.com/office/word/2010/wordml" w:rsidP="01350802" wp14:paraId="005141E0" wp14:textId="63C9D69A">
      <w:pPr>
        <w:pStyle w:val="Heading1"/>
        <w:spacing w:before="322" w:beforeAutospacing="off" w:after="322" w:afterAutospacing="off" w:line="360" w:lineRule="auto"/>
        <w:rPr>
          <w:rFonts w:ascii="Arial" w:hAnsi="Arial" w:eastAsia="Arial" w:cs="Arial"/>
          <w:b w:val="1"/>
          <w:bCs w:val="1"/>
          <w:noProof w:val="0"/>
          <w:sz w:val="22"/>
          <w:szCs w:val="22"/>
          <w:lang w:val="en-GB"/>
        </w:rPr>
      </w:pPr>
      <w:r w:rsidRPr="01350802" w:rsidR="48A03546">
        <w:rPr>
          <w:rFonts w:ascii="Arial" w:hAnsi="Arial" w:eastAsia="Arial" w:cs="Arial"/>
          <w:b w:val="1"/>
          <w:bCs w:val="1"/>
          <w:noProof w:val="0"/>
          <w:sz w:val="22"/>
          <w:szCs w:val="22"/>
          <w:lang w:val="en-GB"/>
        </w:rPr>
        <w:t xml:space="preserve">CONCLUSION </w:t>
      </w:r>
    </w:p>
    <w:p xmlns:wp14="http://schemas.microsoft.com/office/word/2010/wordml" w:rsidP="01350802" wp14:paraId="42D6DA82" wp14:textId="3FA37B25">
      <w:pPr>
        <w:spacing w:before="240" w:beforeAutospacing="off" w:after="240" w:afterAutospacing="off" w:line="360" w:lineRule="auto"/>
        <w:rPr>
          <w:rFonts w:ascii="Arial" w:hAnsi="Arial" w:eastAsia="Arial" w:cs="Arial"/>
          <w:noProof w:val="0"/>
          <w:sz w:val="22"/>
          <w:szCs w:val="22"/>
          <w:lang w:val="en-GB"/>
        </w:rPr>
      </w:pPr>
      <w:r w:rsidRPr="01350802" w:rsidR="48A03546">
        <w:rPr>
          <w:rFonts w:ascii="Arial" w:hAnsi="Arial" w:eastAsia="Arial" w:cs="Arial"/>
          <w:noProof w:val="0"/>
          <w:sz w:val="22"/>
          <w:szCs w:val="22"/>
          <w:lang w:val="en-GB"/>
        </w:rPr>
        <w:t>Tesco operates in a highly dynamic environment where technological disruption, labour market competition, and DEI expectations significantly shape HR strategy. The organisation must strengthen digital capability, enhance talent attraction and retention, and embed DEI into everyday practice to maintain competitiveness and sustainability. Contemporary HR practices — including digital HR systems, employer branding, engagement strategies, and inclusive recruitment — offer valuable solutions but require careful, strategic implementation. Effective managerial leadership, clear communication, robust monitoring, and a supportive organisational culture are essential for ensuring these practices deliver meaningful impact. Addressing these challenges proactively will enable Tesco to build a resilient, future</w:t>
      </w:r>
      <w:r>
        <w:noBreakHyphen/>
      </w:r>
      <w:r w:rsidRPr="01350802" w:rsidR="48A03546">
        <w:rPr>
          <w:rFonts w:ascii="Arial" w:hAnsi="Arial" w:eastAsia="Arial" w:cs="Arial"/>
          <w:noProof w:val="0"/>
          <w:sz w:val="22"/>
          <w:szCs w:val="22"/>
          <w:lang w:val="en-GB"/>
        </w:rPr>
        <w:t>ready workforce.</w:t>
      </w:r>
    </w:p>
    <w:p xmlns:wp14="http://schemas.microsoft.com/office/word/2010/wordml" w:rsidP="01350802" wp14:paraId="57B247EA" wp14:textId="2FAB47A3">
      <w:pPr>
        <w:pStyle w:val="Heading1"/>
        <w:spacing w:before="322" w:beforeAutospacing="off" w:after="322" w:afterAutospacing="off" w:line="360" w:lineRule="auto"/>
        <w:rPr>
          <w:rFonts w:ascii="Arial" w:hAnsi="Arial" w:eastAsia="Arial" w:cs="Arial"/>
          <w:b w:val="1"/>
          <w:bCs w:val="1"/>
          <w:noProof w:val="0"/>
          <w:sz w:val="22"/>
          <w:szCs w:val="22"/>
          <w:lang w:val="en-GB"/>
        </w:rPr>
      </w:pPr>
      <w:r w:rsidRPr="01350802" w:rsidR="6051FC43">
        <w:rPr>
          <w:rFonts w:ascii="Arial" w:hAnsi="Arial" w:eastAsia="Arial" w:cs="Arial"/>
          <w:b w:val="1"/>
          <w:bCs w:val="1"/>
          <w:noProof w:val="0"/>
          <w:sz w:val="22"/>
          <w:szCs w:val="22"/>
          <w:lang w:val="en-GB"/>
        </w:rPr>
        <w:t xml:space="preserve">RECOMMENDATIONS </w:t>
      </w:r>
    </w:p>
    <w:p xmlns:wp14="http://schemas.microsoft.com/office/word/2010/wordml" w:rsidP="01350802" wp14:paraId="28824F0F" wp14:textId="2905CA58">
      <w:pPr>
        <w:spacing w:before="240" w:beforeAutospacing="off" w:after="240" w:afterAutospacing="off" w:line="360" w:lineRule="auto"/>
        <w:rPr>
          <w:rFonts w:ascii="Arial" w:hAnsi="Arial" w:eastAsia="Arial" w:cs="Arial"/>
          <w:noProof w:val="0"/>
          <w:sz w:val="22"/>
          <w:szCs w:val="22"/>
          <w:lang w:val="en-GB"/>
        </w:rPr>
      </w:pPr>
      <w:r w:rsidRPr="01350802" w:rsidR="6051FC43">
        <w:rPr>
          <w:rFonts w:ascii="Arial" w:hAnsi="Arial" w:eastAsia="Arial" w:cs="Arial"/>
          <w:noProof w:val="0"/>
          <w:sz w:val="22"/>
          <w:szCs w:val="22"/>
          <w:lang w:val="en-GB"/>
        </w:rPr>
        <w:t>The analysis demonstrates that Tesco’s HR challenges are interconnected and require a strategic, evidence</w:t>
      </w:r>
      <w:r>
        <w:noBreakHyphen/>
      </w:r>
      <w:r w:rsidRPr="01350802" w:rsidR="6051FC43">
        <w:rPr>
          <w:rFonts w:ascii="Arial" w:hAnsi="Arial" w:eastAsia="Arial" w:cs="Arial"/>
          <w:noProof w:val="0"/>
          <w:sz w:val="22"/>
          <w:szCs w:val="22"/>
          <w:lang w:val="en-GB"/>
        </w:rPr>
        <w:t>based response. To address technological disruption, Tesco should invest in long</w:t>
      </w:r>
      <w:r>
        <w:noBreakHyphen/>
      </w:r>
      <w:r w:rsidRPr="01350802" w:rsidR="6051FC43">
        <w:rPr>
          <w:rFonts w:ascii="Arial" w:hAnsi="Arial" w:eastAsia="Arial" w:cs="Arial"/>
          <w:noProof w:val="0"/>
          <w:sz w:val="22"/>
          <w:szCs w:val="22"/>
          <w:lang w:val="en-GB"/>
        </w:rPr>
        <w:t>term digital capability building. This aligns with the RBV, which emphasises developing human capital that is valuable and difficult for competitors to imitate. Digital literacy programmes, combined with structured change management (</w:t>
      </w:r>
      <w:r w:rsidRPr="01350802" w:rsidR="6051FC43">
        <w:rPr>
          <w:rFonts w:ascii="italic" w:hAnsi="italic" w:eastAsia="italic" w:cs="italic"/>
          <w:noProof w:val="0"/>
          <w:sz w:val="22"/>
          <w:szCs w:val="22"/>
          <w:lang w:val="en-GB"/>
        </w:rPr>
        <w:t>Lewin, 1947; Kotter, 1996</w:t>
      </w:r>
      <w:r w:rsidRPr="01350802" w:rsidR="6051FC43">
        <w:rPr>
          <w:rFonts w:ascii="Arial" w:hAnsi="Arial" w:eastAsia="Arial" w:cs="Arial"/>
          <w:noProof w:val="0"/>
          <w:sz w:val="22"/>
          <w:szCs w:val="22"/>
          <w:lang w:val="en-GB"/>
        </w:rPr>
        <w:t>), would reduce resistance and strengthen employee confidence.</w:t>
      </w:r>
    </w:p>
    <w:p xmlns:wp14="http://schemas.microsoft.com/office/word/2010/wordml" w:rsidP="01350802" wp14:paraId="27070A00" wp14:textId="30A96BF6">
      <w:pPr>
        <w:spacing w:before="240" w:beforeAutospacing="off" w:after="240" w:afterAutospacing="off" w:line="360" w:lineRule="auto"/>
        <w:rPr>
          <w:rFonts w:ascii="Arial" w:hAnsi="Arial" w:eastAsia="Arial" w:cs="Arial"/>
          <w:noProof w:val="0"/>
          <w:sz w:val="22"/>
          <w:szCs w:val="22"/>
          <w:lang w:val="en-GB"/>
        </w:rPr>
      </w:pPr>
      <w:r w:rsidRPr="01350802" w:rsidR="6051FC43">
        <w:rPr>
          <w:rFonts w:ascii="Arial" w:hAnsi="Arial" w:eastAsia="Arial" w:cs="Arial"/>
          <w:noProof w:val="0"/>
          <w:sz w:val="22"/>
          <w:szCs w:val="22"/>
          <w:lang w:val="en-GB"/>
        </w:rPr>
        <w:t>The findings also highlight persistent challenges in talent acquisition and retention, particularly in digital and leadership roles. Tesco should therefore enhance its employer branding by emphasising career progression, wellbeing, and community impact — factors shown to influence psychological contracts and employee commitment (Rousseau, 1995). Strengthening strategic workforce planning would help anticipate future skill needs and reduce reliance on reactive recruitment.</w:t>
      </w:r>
    </w:p>
    <w:p xmlns:wp14="http://schemas.microsoft.com/office/word/2010/wordml" w:rsidP="01350802" wp14:paraId="0AF2B382" wp14:textId="5107560D">
      <w:pPr>
        <w:spacing w:before="240" w:beforeAutospacing="off" w:after="240" w:afterAutospacing="off" w:line="360" w:lineRule="auto"/>
        <w:rPr>
          <w:rFonts w:ascii="Arial" w:hAnsi="Arial" w:eastAsia="Arial" w:cs="Arial"/>
          <w:noProof w:val="0"/>
          <w:sz w:val="22"/>
          <w:szCs w:val="22"/>
          <w:lang w:val="en-GB"/>
        </w:rPr>
      </w:pPr>
      <w:r w:rsidRPr="01350802" w:rsidR="6051FC43">
        <w:rPr>
          <w:rFonts w:ascii="Arial" w:hAnsi="Arial" w:eastAsia="Arial" w:cs="Arial"/>
          <w:noProof w:val="0"/>
          <w:sz w:val="22"/>
          <w:szCs w:val="22"/>
          <w:lang w:val="en-GB"/>
        </w:rPr>
        <w:t>DEI challenges require deeper cultural change rather than isolated initiatives. Linking inclusive behaviours to managerial KPIs would reinforce accountability and align leadership behaviour with institutional expectations (DiMaggio &amp; Powell, 1983). Expanding employee resource groups and improving representation at senior levels would strengthen psychological safety and support innovation (Shore et al., 2011).</w:t>
      </w:r>
    </w:p>
    <w:p xmlns:wp14="http://schemas.microsoft.com/office/word/2010/wordml" w:rsidP="01350802" wp14:paraId="23A144AC" wp14:textId="1301AC10">
      <w:pPr>
        <w:spacing w:before="240" w:beforeAutospacing="off" w:after="240" w:afterAutospacing="off" w:line="360" w:lineRule="auto"/>
        <w:rPr>
          <w:rFonts w:ascii="Arial" w:hAnsi="Arial" w:eastAsia="Arial" w:cs="Arial"/>
          <w:noProof w:val="0"/>
          <w:sz w:val="22"/>
          <w:szCs w:val="22"/>
          <w:lang w:val="en-GB"/>
        </w:rPr>
      </w:pPr>
      <w:r w:rsidRPr="01350802" w:rsidR="6051FC43">
        <w:rPr>
          <w:rFonts w:ascii="Arial" w:hAnsi="Arial" w:eastAsia="Arial" w:cs="Arial"/>
          <w:noProof w:val="0"/>
          <w:sz w:val="22"/>
          <w:szCs w:val="22"/>
          <w:lang w:val="en-GB"/>
        </w:rPr>
        <w:t>Finally, Tesco should adopt evidence</w:t>
      </w:r>
      <w:r>
        <w:noBreakHyphen/>
      </w:r>
      <w:r w:rsidRPr="01350802" w:rsidR="6051FC43">
        <w:rPr>
          <w:rFonts w:ascii="Arial" w:hAnsi="Arial" w:eastAsia="Arial" w:cs="Arial"/>
          <w:noProof w:val="0"/>
          <w:sz w:val="22"/>
          <w:szCs w:val="22"/>
          <w:lang w:val="en-GB"/>
        </w:rPr>
        <w:t>based HR practices (Barends &amp; Rousseau, 2018), using workforce analytics to monitor turnover, engagement, DEI progress, and training effectiveness. This would ensure that HR interventions are continuously evaluated and refined, supporting long</w:t>
      </w:r>
      <w:r>
        <w:noBreakHyphen/>
      </w:r>
      <w:r w:rsidRPr="01350802" w:rsidR="6051FC43">
        <w:rPr>
          <w:rFonts w:ascii="Arial" w:hAnsi="Arial" w:eastAsia="Arial" w:cs="Arial"/>
          <w:noProof w:val="0"/>
          <w:sz w:val="22"/>
          <w:szCs w:val="22"/>
          <w:lang w:val="en-GB"/>
        </w:rPr>
        <w:t>term organisational resilience.</w:t>
      </w:r>
    </w:p>
    <w:p xmlns:wp14="http://schemas.microsoft.com/office/word/2010/wordml" w:rsidP="01350802" wp14:paraId="6CB86A6C" wp14:textId="506AEEC9">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10E4A858" wp14:textId="67E00886">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5EA83401" wp14:textId="727542DB">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132AC569" wp14:textId="36D50B92">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22DD270D" wp14:textId="6FF4D19B">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57898654" wp14:textId="48537A1A">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6C06549B" wp14:textId="33447BA3">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63A6B5A4" wp14:textId="6E555813">
      <w:pPr>
        <w:pStyle w:val="Normal"/>
        <w:spacing w:before="240" w:beforeAutospacing="off" w:after="240" w:afterAutospacing="off"/>
      </w:pPr>
      <w:r w:rsidRPr="01350802" w:rsidR="06FE69D4">
        <w:rPr>
          <w:rFonts w:ascii="Arial" w:hAnsi="Arial" w:eastAsia="Arial" w:cs="Arial"/>
          <w:b w:val="1"/>
          <w:bCs w:val="1"/>
          <w:noProof w:val="0"/>
          <w:sz w:val="22"/>
          <w:szCs w:val="22"/>
          <w:lang w:val="en-GB"/>
        </w:rPr>
        <w:t>Harvard Reference List</w:t>
      </w:r>
    </w:p>
    <w:p xmlns:wp14="http://schemas.microsoft.com/office/word/2010/wordml" w:rsidP="01350802" wp14:paraId="2E9A040A" wp14:textId="776BFA39">
      <w:pPr>
        <w:spacing w:before="240" w:beforeAutospacing="off" w:after="240" w:afterAutospacing="off"/>
      </w:pPr>
      <w:r w:rsidRPr="01350802" w:rsidR="0869DA03">
        <w:rPr>
          <w:rFonts w:ascii="Arial" w:hAnsi="Arial" w:eastAsia="Arial" w:cs="Arial"/>
          <w:noProof w:val="0"/>
          <w:sz w:val="24"/>
          <w:szCs w:val="24"/>
          <w:lang w:val="en-GB"/>
        </w:rPr>
        <w:t xml:space="preserve">Armstrong, M. &amp; Taylor, S. (2020) </w:t>
      </w:r>
      <w:r w:rsidRPr="01350802" w:rsidR="0869DA03">
        <w:rPr>
          <w:rFonts w:ascii="Arial" w:hAnsi="Arial" w:eastAsia="Arial" w:cs="Arial"/>
          <w:i w:val="1"/>
          <w:iCs w:val="1"/>
          <w:noProof w:val="0"/>
          <w:sz w:val="24"/>
          <w:szCs w:val="24"/>
          <w:lang w:val="en-GB"/>
        </w:rPr>
        <w:t>Armstrong’s Handbook of Human Resource Management Practice</w:t>
      </w:r>
      <w:r w:rsidRPr="01350802" w:rsidR="0869DA03">
        <w:rPr>
          <w:rFonts w:ascii="Arial" w:hAnsi="Arial" w:eastAsia="Arial" w:cs="Arial"/>
          <w:noProof w:val="0"/>
          <w:sz w:val="24"/>
          <w:szCs w:val="24"/>
          <w:lang w:val="en-GB"/>
        </w:rPr>
        <w:t>. 15th ed. London: Kogan Page.</w:t>
      </w:r>
    </w:p>
    <w:p xmlns:wp14="http://schemas.microsoft.com/office/word/2010/wordml" w:rsidP="01350802" wp14:paraId="6BF4942A" wp14:textId="5E1976B0">
      <w:pPr>
        <w:spacing w:before="240" w:beforeAutospacing="off" w:after="240" w:afterAutospacing="off"/>
      </w:pPr>
      <w:r w:rsidRPr="01350802" w:rsidR="0869DA03">
        <w:rPr>
          <w:rFonts w:ascii="Arial" w:hAnsi="Arial" w:eastAsia="Arial" w:cs="Arial"/>
          <w:noProof w:val="0"/>
          <w:sz w:val="24"/>
          <w:szCs w:val="24"/>
          <w:lang w:val="en-GB"/>
        </w:rPr>
        <w:t xml:space="preserve">Bakker, A. &amp; Demerouti, E. (2007) ‘The Job Demands–Resources Model’, </w:t>
      </w:r>
      <w:r w:rsidRPr="01350802" w:rsidR="0869DA03">
        <w:rPr>
          <w:rFonts w:ascii="Arial" w:hAnsi="Arial" w:eastAsia="Arial" w:cs="Arial"/>
          <w:i w:val="1"/>
          <w:iCs w:val="1"/>
          <w:noProof w:val="0"/>
          <w:sz w:val="24"/>
          <w:szCs w:val="24"/>
          <w:lang w:val="en-GB"/>
        </w:rPr>
        <w:t>Journal of Managerial Psychology</w:t>
      </w:r>
      <w:r w:rsidRPr="01350802" w:rsidR="0869DA03">
        <w:rPr>
          <w:rFonts w:ascii="Arial" w:hAnsi="Arial" w:eastAsia="Arial" w:cs="Arial"/>
          <w:noProof w:val="0"/>
          <w:sz w:val="24"/>
          <w:szCs w:val="24"/>
          <w:lang w:val="en-GB"/>
        </w:rPr>
        <w:t>, 22(3), pp. 309–328.</w:t>
      </w:r>
    </w:p>
    <w:p xmlns:wp14="http://schemas.microsoft.com/office/word/2010/wordml" w:rsidP="01350802" wp14:paraId="37436830" wp14:textId="3C03D9B2">
      <w:pPr>
        <w:spacing w:before="240" w:beforeAutospacing="off" w:after="240" w:afterAutospacing="off"/>
      </w:pPr>
      <w:r w:rsidRPr="01350802" w:rsidR="0869DA03">
        <w:rPr>
          <w:rFonts w:ascii="Arial" w:hAnsi="Arial" w:eastAsia="Arial" w:cs="Arial"/>
          <w:noProof w:val="0"/>
          <w:sz w:val="24"/>
          <w:szCs w:val="24"/>
          <w:lang w:val="en-GB"/>
        </w:rPr>
        <w:t xml:space="preserve">Barends, E. &amp; Rousseau, D. (2018) </w:t>
      </w:r>
      <w:r w:rsidRPr="01350802" w:rsidR="0869DA03">
        <w:rPr>
          <w:rFonts w:ascii="Arial" w:hAnsi="Arial" w:eastAsia="Arial" w:cs="Arial"/>
          <w:i w:val="1"/>
          <w:iCs w:val="1"/>
          <w:noProof w:val="0"/>
          <w:sz w:val="24"/>
          <w:szCs w:val="24"/>
          <w:lang w:val="en-GB"/>
        </w:rPr>
        <w:t>Evidence</w:t>
      </w:r>
      <w:r>
        <w:noBreakHyphen/>
      </w:r>
      <w:r w:rsidRPr="01350802" w:rsidR="0869DA03">
        <w:rPr>
          <w:rFonts w:ascii="Arial" w:hAnsi="Arial" w:eastAsia="Arial" w:cs="Arial"/>
          <w:i w:val="1"/>
          <w:iCs w:val="1"/>
          <w:noProof w:val="0"/>
          <w:sz w:val="24"/>
          <w:szCs w:val="24"/>
          <w:lang w:val="en-GB"/>
        </w:rPr>
        <w:t>Based Management</w:t>
      </w:r>
      <w:r w:rsidRPr="01350802" w:rsidR="0869DA03">
        <w:rPr>
          <w:rFonts w:ascii="Arial" w:hAnsi="Arial" w:eastAsia="Arial" w:cs="Arial"/>
          <w:noProof w:val="0"/>
          <w:sz w:val="24"/>
          <w:szCs w:val="24"/>
          <w:lang w:val="en-GB"/>
        </w:rPr>
        <w:t>. London: Kogan Page.</w:t>
      </w:r>
    </w:p>
    <w:p xmlns:wp14="http://schemas.microsoft.com/office/word/2010/wordml" w:rsidP="01350802" wp14:paraId="16CE2FB6" wp14:textId="5C9C356A">
      <w:pPr>
        <w:spacing w:before="240" w:beforeAutospacing="off" w:after="240" w:afterAutospacing="off"/>
      </w:pPr>
      <w:r w:rsidRPr="01350802" w:rsidR="0869DA03">
        <w:rPr>
          <w:rFonts w:ascii="Arial" w:hAnsi="Arial" w:eastAsia="Arial" w:cs="Arial"/>
          <w:noProof w:val="0"/>
          <w:sz w:val="24"/>
          <w:szCs w:val="24"/>
          <w:lang w:val="en-GB"/>
        </w:rPr>
        <w:t xml:space="preserve">Barney, J. (1991) ‘Firm Resources and Sustained Competitive Advantage’, </w:t>
      </w:r>
      <w:r w:rsidRPr="01350802" w:rsidR="0869DA03">
        <w:rPr>
          <w:rFonts w:ascii="Arial" w:hAnsi="Arial" w:eastAsia="Arial" w:cs="Arial"/>
          <w:i w:val="1"/>
          <w:iCs w:val="1"/>
          <w:noProof w:val="0"/>
          <w:sz w:val="24"/>
          <w:szCs w:val="24"/>
          <w:lang w:val="en-GB"/>
        </w:rPr>
        <w:t>Journal of Management</w:t>
      </w:r>
      <w:r w:rsidRPr="01350802" w:rsidR="0869DA03">
        <w:rPr>
          <w:rFonts w:ascii="Arial" w:hAnsi="Arial" w:eastAsia="Arial" w:cs="Arial"/>
          <w:noProof w:val="0"/>
          <w:sz w:val="24"/>
          <w:szCs w:val="24"/>
          <w:lang w:val="en-GB"/>
        </w:rPr>
        <w:t>, 17(1), pp. 99–120.</w:t>
      </w:r>
    </w:p>
    <w:p xmlns:wp14="http://schemas.microsoft.com/office/word/2010/wordml" w:rsidP="01350802" wp14:paraId="5CC09DD1" wp14:textId="13556034">
      <w:pPr>
        <w:spacing w:before="240" w:beforeAutospacing="off" w:after="240" w:afterAutospacing="off"/>
      </w:pPr>
      <w:r w:rsidRPr="01350802" w:rsidR="0869DA03">
        <w:rPr>
          <w:rFonts w:ascii="Arial" w:hAnsi="Arial" w:eastAsia="Arial" w:cs="Arial"/>
          <w:noProof w:val="0"/>
          <w:sz w:val="24"/>
          <w:szCs w:val="24"/>
          <w:lang w:val="en-GB"/>
        </w:rPr>
        <w:t xml:space="preserve">Bass, B. (1985) </w:t>
      </w:r>
      <w:r w:rsidRPr="01350802" w:rsidR="0869DA03">
        <w:rPr>
          <w:rFonts w:ascii="Arial" w:hAnsi="Arial" w:eastAsia="Arial" w:cs="Arial"/>
          <w:i w:val="1"/>
          <w:iCs w:val="1"/>
          <w:noProof w:val="0"/>
          <w:sz w:val="24"/>
          <w:szCs w:val="24"/>
          <w:lang w:val="en-GB"/>
        </w:rPr>
        <w:t>Leadership and Performance Beyond Expectations</w:t>
      </w:r>
      <w:r w:rsidRPr="01350802" w:rsidR="0869DA03">
        <w:rPr>
          <w:rFonts w:ascii="Arial" w:hAnsi="Arial" w:eastAsia="Arial" w:cs="Arial"/>
          <w:noProof w:val="0"/>
          <w:sz w:val="24"/>
          <w:szCs w:val="24"/>
          <w:lang w:val="en-GB"/>
        </w:rPr>
        <w:t>. New York: Free Press.</w:t>
      </w:r>
    </w:p>
    <w:p xmlns:wp14="http://schemas.microsoft.com/office/word/2010/wordml" w:rsidP="01350802" wp14:paraId="56EBE3D1" wp14:textId="3A022657">
      <w:pPr>
        <w:spacing w:before="240" w:beforeAutospacing="off" w:after="240" w:afterAutospacing="off"/>
      </w:pPr>
      <w:r w:rsidRPr="01350802" w:rsidR="0869DA03">
        <w:rPr>
          <w:rFonts w:ascii="Arial" w:hAnsi="Arial" w:eastAsia="Arial" w:cs="Arial"/>
          <w:noProof w:val="0"/>
          <w:sz w:val="24"/>
          <w:szCs w:val="24"/>
          <w:lang w:val="en-GB"/>
        </w:rPr>
        <w:t xml:space="preserve">Becker, G. (1993) </w:t>
      </w:r>
      <w:r w:rsidRPr="01350802" w:rsidR="0869DA03">
        <w:rPr>
          <w:rFonts w:ascii="Arial" w:hAnsi="Arial" w:eastAsia="Arial" w:cs="Arial"/>
          <w:i w:val="1"/>
          <w:iCs w:val="1"/>
          <w:noProof w:val="0"/>
          <w:sz w:val="24"/>
          <w:szCs w:val="24"/>
          <w:lang w:val="en-GB"/>
        </w:rPr>
        <w:t>Human Capital</w:t>
      </w:r>
      <w:r w:rsidRPr="01350802" w:rsidR="0869DA03">
        <w:rPr>
          <w:rFonts w:ascii="Arial" w:hAnsi="Arial" w:eastAsia="Arial" w:cs="Arial"/>
          <w:noProof w:val="0"/>
          <w:sz w:val="24"/>
          <w:szCs w:val="24"/>
          <w:lang w:val="en-GB"/>
        </w:rPr>
        <w:t>. Chicago: University of Chicago Press.</w:t>
      </w:r>
    </w:p>
    <w:p xmlns:wp14="http://schemas.microsoft.com/office/word/2010/wordml" w:rsidP="01350802" wp14:paraId="71730FDC" wp14:textId="7EDA0E1C">
      <w:pPr>
        <w:spacing w:before="240" w:beforeAutospacing="off" w:after="240" w:afterAutospacing="off"/>
      </w:pPr>
      <w:r w:rsidRPr="01350802" w:rsidR="0869DA03">
        <w:rPr>
          <w:rFonts w:ascii="Arial" w:hAnsi="Arial" w:eastAsia="Arial" w:cs="Arial"/>
          <w:noProof w:val="0"/>
          <w:sz w:val="24"/>
          <w:szCs w:val="24"/>
          <w:lang w:val="en-GB"/>
        </w:rPr>
        <w:t xml:space="preserve">Boxall, P. &amp; Purcell, J. (2016) </w:t>
      </w:r>
      <w:r w:rsidRPr="01350802" w:rsidR="0869DA03">
        <w:rPr>
          <w:rFonts w:ascii="Arial" w:hAnsi="Arial" w:eastAsia="Arial" w:cs="Arial"/>
          <w:i w:val="1"/>
          <w:iCs w:val="1"/>
          <w:noProof w:val="0"/>
          <w:sz w:val="24"/>
          <w:szCs w:val="24"/>
          <w:lang w:val="en-GB"/>
        </w:rPr>
        <w:t>Strategy and Human Resource Management</w:t>
      </w:r>
      <w:r w:rsidRPr="01350802" w:rsidR="0869DA03">
        <w:rPr>
          <w:rFonts w:ascii="Arial" w:hAnsi="Arial" w:eastAsia="Arial" w:cs="Arial"/>
          <w:noProof w:val="0"/>
          <w:sz w:val="24"/>
          <w:szCs w:val="24"/>
          <w:lang w:val="en-GB"/>
        </w:rPr>
        <w:t>. London: Palgrave.</w:t>
      </w:r>
    </w:p>
    <w:p xmlns:wp14="http://schemas.microsoft.com/office/word/2010/wordml" w:rsidP="01350802" wp14:paraId="693E3299" wp14:textId="4B7AF8D3">
      <w:pPr>
        <w:spacing w:before="240" w:beforeAutospacing="off" w:after="240" w:afterAutospacing="off"/>
      </w:pPr>
      <w:r w:rsidRPr="01350802" w:rsidR="0869DA03">
        <w:rPr>
          <w:rFonts w:ascii="Arial" w:hAnsi="Arial" w:eastAsia="Arial" w:cs="Arial"/>
          <w:noProof w:val="0"/>
          <w:sz w:val="24"/>
          <w:szCs w:val="24"/>
          <w:lang w:val="en-GB"/>
        </w:rPr>
        <w:t xml:space="preserve">CIPD (2022) </w:t>
      </w:r>
      <w:r w:rsidRPr="01350802" w:rsidR="0869DA03">
        <w:rPr>
          <w:rFonts w:ascii="Arial" w:hAnsi="Arial" w:eastAsia="Arial" w:cs="Arial"/>
          <w:i w:val="1"/>
          <w:iCs w:val="1"/>
          <w:noProof w:val="0"/>
          <w:sz w:val="24"/>
          <w:szCs w:val="24"/>
          <w:lang w:val="en-GB"/>
        </w:rPr>
        <w:t>Resourcing and Talent Planning Survey</w:t>
      </w:r>
      <w:r w:rsidRPr="01350802" w:rsidR="0869DA03">
        <w:rPr>
          <w:rFonts w:ascii="Arial" w:hAnsi="Arial" w:eastAsia="Arial" w:cs="Arial"/>
          <w:noProof w:val="0"/>
          <w:sz w:val="24"/>
          <w:szCs w:val="24"/>
          <w:lang w:val="en-GB"/>
        </w:rPr>
        <w:t xml:space="preserve">. Available at: </w:t>
      </w:r>
      <w:hyperlink r:id="R0e56e1d2759842d6">
        <w:r w:rsidRPr="01350802" w:rsidR="0869DA03">
          <w:rPr>
            <w:rStyle w:val="Hyperlink"/>
            <w:noProof w:val="0"/>
            <w:lang w:val="en-GB"/>
          </w:rPr>
          <w:t>https://www.cipd.org/uk/knowledge/reports/resourcing-talent-planning/</w:t>
        </w:r>
      </w:hyperlink>
      <w:r w:rsidRPr="01350802" w:rsidR="0869DA03">
        <w:rPr>
          <w:rFonts w:ascii="Arial" w:hAnsi="Arial" w:eastAsia="Arial" w:cs="Arial"/>
          <w:noProof w:val="0"/>
          <w:sz w:val="24"/>
          <w:szCs w:val="24"/>
          <w:lang w:val="en-GB"/>
        </w:rPr>
        <w:t xml:space="preserve"> </w:t>
      </w:r>
      <w:hyperlink r:id="Rd755312a33c943f0">
        <w:r w:rsidRPr="01350802" w:rsidR="0869DA03">
          <w:rPr>
            <w:rStyle w:val="Hyperlink"/>
            <w:noProof w:val="0"/>
            <w:lang w:val="en-GB"/>
          </w:rPr>
          <w:t>(cipd.org in Bing)</w:t>
        </w:r>
      </w:hyperlink>
      <w:r w:rsidRPr="01350802" w:rsidR="0869DA03">
        <w:rPr>
          <w:rFonts w:ascii="Arial" w:hAnsi="Arial" w:eastAsia="Arial" w:cs="Arial"/>
          <w:noProof w:val="0"/>
          <w:sz w:val="24"/>
          <w:szCs w:val="24"/>
          <w:lang w:val="en-GB"/>
        </w:rPr>
        <w:t xml:space="preserve"> (Accessed: 19 July 2026).</w:t>
      </w:r>
    </w:p>
    <w:p xmlns:wp14="http://schemas.microsoft.com/office/word/2010/wordml" w:rsidP="01350802" wp14:paraId="7B45D111" wp14:textId="4205EFBB">
      <w:pPr>
        <w:spacing w:before="240" w:beforeAutospacing="off" w:after="240" w:afterAutospacing="off"/>
      </w:pPr>
      <w:r w:rsidRPr="01350802" w:rsidR="0869DA03">
        <w:rPr>
          <w:rFonts w:ascii="Arial" w:hAnsi="Arial" w:eastAsia="Arial" w:cs="Arial"/>
          <w:noProof w:val="0"/>
          <w:sz w:val="24"/>
          <w:szCs w:val="24"/>
          <w:lang w:val="en-GB"/>
        </w:rPr>
        <w:t xml:space="preserve">CIPD (2023) </w:t>
      </w:r>
      <w:r w:rsidRPr="01350802" w:rsidR="0869DA03">
        <w:rPr>
          <w:rFonts w:ascii="Arial" w:hAnsi="Arial" w:eastAsia="Arial" w:cs="Arial"/>
          <w:i w:val="1"/>
          <w:iCs w:val="1"/>
          <w:noProof w:val="0"/>
          <w:sz w:val="24"/>
          <w:szCs w:val="24"/>
          <w:lang w:val="en-GB"/>
        </w:rPr>
        <w:t>People Profession 2023: UK Insights</w:t>
      </w:r>
      <w:r w:rsidRPr="01350802" w:rsidR="0869DA03">
        <w:rPr>
          <w:rFonts w:ascii="Arial" w:hAnsi="Arial" w:eastAsia="Arial" w:cs="Arial"/>
          <w:noProof w:val="0"/>
          <w:sz w:val="24"/>
          <w:szCs w:val="24"/>
          <w:lang w:val="en-GB"/>
        </w:rPr>
        <w:t xml:space="preserve">. Available at: </w:t>
      </w:r>
      <w:hyperlink r:id="R6fc389c4d38b409f">
        <w:r w:rsidRPr="01350802" w:rsidR="0869DA03">
          <w:rPr>
            <w:rStyle w:val="Hyperlink"/>
            <w:noProof w:val="0"/>
            <w:lang w:val="en-GB"/>
          </w:rPr>
          <w:t>https://www.cipd.org/uk/knowledge/reports/people-profession-2023/</w:t>
        </w:r>
      </w:hyperlink>
      <w:r w:rsidRPr="01350802" w:rsidR="0869DA03">
        <w:rPr>
          <w:rFonts w:ascii="Arial" w:hAnsi="Arial" w:eastAsia="Arial" w:cs="Arial"/>
          <w:noProof w:val="0"/>
          <w:sz w:val="24"/>
          <w:szCs w:val="24"/>
          <w:lang w:val="en-GB"/>
        </w:rPr>
        <w:t xml:space="preserve"> </w:t>
      </w:r>
      <w:hyperlink r:id="R1d5bbdfb9f8640d2">
        <w:r w:rsidRPr="01350802" w:rsidR="0869DA03">
          <w:rPr>
            <w:rStyle w:val="Hyperlink"/>
            <w:noProof w:val="0"/>
            <w:lang w:val="en-GB"/>
          </w:rPr>
          <w:t>(cipd.org in Bing)</w:t>
        </w:r>
      </w:hyperlink>
      <w:r w:rsidRPr="01350802" w:rsidR="0869DA03">
        <w:rPr>
          <w:rFonts w:ascii="Arial" w:hAnsi="Arial" w:eastAsia="Arial" w:cs="Arial"/>
          <w:noProof w:val="0"/>
          <w:sz w:val="24"/>
          <w:szCs w:val="24"/>
          <w:lang w:val="en-GB"/>
        </w:rPr>
        <w:t xml:space="preserve"> (Accessed: 19 July 2026).</w:t>
      </w:r>
    </w:p>
    <w:p xmlns:wp14="http://schemas.microsoft.com/office/word/2010/wordml" w:rsidP="01350802" wp14:paraId="4A295DE2" wp14:textId="12192A94">
      <w:pPr>
        <w:spacing w:before="240" w:beforeAutospacing="off" w:after="240" w:afterAutospacing="off"/>
      </w:pPr>
      <w:r w:rsidRPr="01350802" w:rsidR="0869DA03">
        <w:rPr>
          <w:rFonts w:ascii="Arial" w:hAnsi="Arial" w:eastAsia="Arial" w:cs="Arial"/>
          <w:noProof w:val="0"/>
          <w:sz w:val="24"/>
          <w:szCs w:val="24"/>
          <w:lang w:val="en-GB"/>
        </w:rPr>
        <w:t xml:space="preserve">CIPD (2024) </w:t>
      </w:r>
      <w:r w:rsidRPr="01350802" w:rsidR="0869DA03">
        <w:rPr>
          <w:rFonts w:ascii="Arial" w:hAnsi="Arial" w:eastAsia="Arial" w:cs="Arial"/>
          <w:i w:val="1"/>
          <w:iCs w:val="1"/>
          <w:noProof w:val="0"/>
          <w:sz w:val="24"/>
          <w:szCs w:val="24"/>
          <w:lang w:val="en-GB"/>
        </w:rPr>
        <w:t>Diversity and Inclusion in the Workplace</w:t>
      </w:r>
      <w:r w:rsidRPr="01350802" w:rsidR="0869DA03">
        <w:rPr>
          <w:rFonts w:ascii="Arial" w:hAnsi="Arial" w:eastAsia="Arial" w:cs="Arial"/>
          <w:noProof w:val="0"/>
          <w:sz w:val="24"/>
          <w:szCs w:val="24"/>
          <w:lang w:val="en-GB"/>
        </w:rPr>
        <w:t xml:space="preserve">. Available at: </w:t>
      </w:r>
      <w:hyperlink r:id="R6cf4453b01b9495f">
        <w:r w:rsidRPr="01350802" w:rsidR="0869DA03">
          <w:rPr>
            <w:rStyle w:val="Hyperlink"/>
            <w:noProof w:val="0"/>
            <w:lang w:val="en-GB"/>
          </w:rPr>
          <w:t>https://www.cipd.org/uk/knowledge/guides/diversity-inclusion/</w:t>
        </w:r>
      </w:hyperlink>
      <w:r w:rsidRPr="01350802" w:rsidR="0869DA03">
        <w:rPr>
          <w:rFonts w:ascii="Arial" w:hAnsi="Arial" w:eastAsia="Arial" w:cs="Arial"/>
          <w:noProof w:val="0"/>
          <w:sz w:val="24"/>
          <w:szCs w:val="24"/>
          <w:lang w:val="en-GB"/>
        </w:rPr>
        <w:t xml:space="preserve"> </w:t>
      </w:r>
      <w:hyperlink r:id="Rac231bb57d5e4355">
        <w:r w:rsidRPr="01350802" w:rsidR="0869DA03">
          <w:rPr>
            <w:rStyle w:val="Hyperlink"/>
            <w:noProof w:val="0"/>
            <w:lang w:val="en-GB"/>
          </w:rPr>
          <w:t>(cipd.org in Bing)</w:t>
        </w:r>
      </w:hyperlink>
      <w:r w:rsidRPr="01350802" w:rsidR="0869DA03">
        <w:rPr>
          <w:rFonts w:ascii="Arial" w:hAnsi="Arial" w:eastAsia="Arial" w:cs="Arial"/>
          <w:noProof w:val="0"/>
          <w:sz w:val="24"/>
          <w:szCs w:val="24"/>
          <w:lang w:val="en-GB"/>
        </w:rPr>
        <w:t xml:space="preserve"> (Accessed: 19 July 2026).</w:t>
      </w:r>
    </w:p>
    <w:p xmlns:wp14="http://schemas.microsoft.com/office/word/2010/wordml" w:rsidP="01350802" wp14:paraId="459B9D7A" wp14:textId="66CF8306">
      <w:pPr>
        <w:spacing w:before="240" w:beforeAutospacing="off" w:after="240" w:afterAutospacing="off"/>
      </w:pPr>
      <w:r w:rsidRPr="01350802" w:rsidR="0869DA03">
        <w:rPr>
          <w:rFonts w:ascii="Arial" w:hAnsi="Arial" w:eastAsia="Arial" w:cs="Arial"/>
          <w:noProof w:val="0"/>
          <w:sz w:val="24"/>
          <w:szCs w:val="24"/>
          <w:lang w:val="en-GB"/>
        </w:rPr>
        <w:t xml:space="preserve">Deloitte (2022) </w:t>
      </w:r>
      <w:r w:rsidRPr="01350802" w:rsidR="0869DA03">
        <w:rPr>
          <w:rFonts w:ascii="Arial" w:hAnsi="Arial" w:eastAsia="Arial" w:cs="Arial"/>
          <w:i w:val="1"/>
          <w:iCs w:val="1"/>
          <w:noProof w:val="0"/>
          <w:sz w:val="24"/>
          <w:szCs w:val="24"/>
          <w:lang w:val="en-GB"/>
        </w:rPr>
        <w:t>Digital Transformation in Retail: UK Insights</w:t>
      </w:r>
      <w:r w:rsidRPr="01350802" w:rsidR="0869DA03">
        <w:rPr>
          <w:rFonts w:ascii="Arial" w:hAnsi="Arial" w:eastAsia="Arial" w:cs="Arial"/>
          <w:noProof w:val="0"/>
          <w:sz w:val="24"/>
          <w:szCs w:val="24"/>
          <w:lang w:val="en-GB"/>
        </w:rPr>
        <w:t xml:space="preserve">. Available at: </w:t>
      </w:r>
      <w:hyperlink r:id="R3da506e10a90415f">
        <w:r w:rsidRPr="01350802" w:rsidR="0869DA03">
          <w:rPr>
            <w:rStyle w:val="Hyperlink"/>
            <w:noProof w:val="0"/>
            <w:lang w:val="en-GB"/>
          </w:rPr>
          <w:t>https://www2.deloitte.com/uk/en/pages/consumer-business/articles/digital-transformation-retail.html</w:t>
        </w:r>
      </w:hyperlink>
      <w:r w:rsidRPr="01350802" w:rsidR="0869DA03">
        <w:rPr>
          <w:rFonts w:ascii="Arial" w:hAnsi="Arial" w:eastAsia="Arial" w:cs="Arial"/>
          <w:noProof w:val="0"/>
          <w:sz w:val="24"/>
          <w:szCs w:val="24"/>
          <w:lang w:val="en-GB"/>
        </w:rPr>
        <w:t xml:space="preserve"> </w:t>
      </w:r>
      <w:hyperlink r:id="Ra0f5f55b4df84aa7">
        <w:r w:rsidRPr="01350802" w:rsidR="0869DA03">
          <w:rPr>
            <w:rStyle w:val="Hyperlink"/>
            <w:noProof w:val="0"/>
            <w:lang w:val="en-GB"/>
          </w:rPr>
          <w:t>(www2.deloitte.com in Bing)</w:t>
        </w:r>
      </w:hyperlink>
      <w:r w:rsidRPr="01350802" w:rsidR="0869DA03">
        <w:rPr>
          <w:rFonts w:ascii="Arial" w:hAnsi="Arial" w:eastAsia="Arial" w:cs="Arial"/>
          <w:noProof w:val="0"/>
          <w:sz w:val="24"/>
          <w:szCs w:val="24"/>
          <w:lang w:val="en-GB"/>
        </w:rPr>
        <w:t xml:space="preserve"> (Accessed: 19 July 2026).</w:t>
      </w:r>
    </w:p>
    <w:p xmlns:wp14="http://schemas.microsoft.com/office/word/2010/wordml" w:rsidP="01350802" wp14:paraId="66A06824" wp14:textId="2ABAB1EE">
      <w:pPr>
        <w:spacing w:before="240" w:beforeAutospacing="off" w:after="240" w:afterAutospacing="off"/>
      </w:pPr>
      <w:r w:rsidRPr="01350802" w:rsidR="0869DA03">
        <w:rPr>
          <w:rFonts w:ascii="Arial" w:hAnsi="Arial" w:eastAsia="Arial" w:cs="Arial"/>
          <w:noProof w:val="0"/>
          <w:sz w:val="24"/>
          <w:szCs w:val="24"/>
          <w:lang w:val="en-GB"/>
        </w:rPr>
        <w:t xml:space="preserve">DiMaggio, P. &amp; Powell, W. (1983) ‘The Iron Cage Revisited’, </w:t>
      </w:r>
      <w:r w:rsidRPr="01350802" w:rsidR="0869DA03">
        <w:rPr>
          <w:rFonts w:ascii="Arial" w:hAnsi="Arial" w:eastAsia="Arial" w:cs="Arial"/>
          <w:i w:val="1"/>
          <w:iCs w:val="1"/>
          <w:noProof w:val="0"/>
          <w:sz w:val="24"/>
          <w:szCs w:val="24"/>
          <w:lang w:val="en-GB"/>
        </w:rPr>
        <w:t>American Sociological Review</w:t>
      </w:r>
      <w:r w:rsidRPr="01350802" w:rsidR="0869DA03">
        <w:rPr>
          <w:rFonts w:ascii="Arial" w:hAnsi="Arial" w:eastAsia="Arial" w:cs="Arial"/>
          <w:noProof w:val="0"/>
          <w:sz w:val="24"/>
          <w:szCs w:val="24"/>
          <w:lang w:val="en-GB"/>
        </w:rPr>
        <w:t>, 48(2), pp. 147–160.</w:t>
      </w:r>
    </w:p>
    <w:p xmlns:wp14="http://schemas.microsoft.com/office/word/2010/wordml" w:rsidP="01350802" wp14:paraId="1CA64371" wp14:textId="33D5F6CF">
      <w:pPr>
        <w:spacing w:before="240" w:beforeAutospacing="off" w:after="240" w:afterAutospacing="off"/>
      </w:pPr>
      <w:r w:rsidRPr="01350802" w:rsidR="0869DA03">
        <w:rPr>
          <w:rFonts w:ascii="Arial" w:hAnsi="Arial" w:eastAsia="Arial" w:cs="Arial"/>
          <w:noProof w:val="0"/>
          <w:sz w:val="24"/>
          <w:szCs w:val="24"/>
          <w:lang w:val="en-GB"/>
        </w:rPr>
        <w:t xml:space="preserve">Gallup (2023) </w:t>
      </w:r>
      <w:r w:rsidRPr="01350802" w:rsidR="0869DA03">
        <w:rPr>
          <w:rFonts w:ascii="Arial" w:hAnsi="Arial" w:eastAsia="Arial" w:cs="Arial"/>
          <w:i w:val="1"/>
          <w:iCs w:val="1"/>
          <w:noProof w:val="0"/>
          <w:sz w:val="24"/>
          <w:szCs w:val="24"/>
          <w:lang w:val="en-GB"/>
        </w:rPr>
        <w:t>State of the Global Workplace Report</w:t>
      </w:r>
      <w:r w:rsidRPr="01350802" w:rsidR="0869DA03">
        <w:rPr>
          <w:rFonts w:ascii="Arial" w:hAnsi="Arial" w:eastAsia="Arial" w:cs="Arial"/>
          <w:noProof w:val="0"/>
          <w:sz w:val="24"/>
          <w:szCs w:val="24"/>
          <w:lang w:val="en-GB"/>
        </w:rPr>
        <w:t xml:space="preserve">. Available at: </w:t>
      </w:r>
      <w:hyperlink r:id="R1ed24a5429544519">
        <w:r w:rsidRPr="01350802" w:rsidR="0869DA03">
          <w:rPr>
            <w:rStyle w:val="Hyperlink"/>
            <w:noProof w:val="0"/>
            <w:lang w:val="en-GB"/>
          </w:rPr>
          <w:t>https://www.gallup.com/workplace/349484/state-of-the-global-workplace.aspx</w:t>
        </w:r>
      </w:hyperlink>
      <w:r w:rsidRPr="01350802" w:rsidR="0869DA03">
        <w:rPr>
          <w:rFonts w:ascii="Arial" w:hAnsi="Arial" w:eastAsia="Arial" w:cs="Arial"/>
          <w:noProof w:val="0"/>
          <w:sz w:val="24"/>
          <w:szCs w:val="24"/>
          <w:lang w:val="en-GB"/>
        </w:rPr>
        <w:t xml:space="preserve"> </w:t>
      </w:r>
      <w:hyperlink r:id="R4a71c6e9606d4314">
        <w:r w:rsidRPr="01350802" w:rsidR="0869DA03">
          <w:rPr>
            <w:rStyle w:val="Hyperlink"/>
            <w:noProof w:val="0"/>
            <w:lang w:val="en-GB"/>
          </w:rPr>
          <w:t>(gallup.com in Bing)</w:t>
        </w:r>
      </w:hyperlink>
      <w:r w:rsidRPr="01350802" w:rsidR="0869DA03">
        <w:rPr>
          <w:rFonts w:ascii="Arial" w:hAnsi="Arial" w:eastAsia="Arial" w:cs="Arial"/>
          <w:noProof w:val="0"/>
          <w:sz w:val="24"/>
          <w:szCs w:val="24"/>
          <w:lang w:val="en-GB"/>
        </w:rPr>
        <w:t xml:space="preserve"> (Accessed: 19 July 2026).</w:t>
      </w:r>
    </w:p>
    <w:p xmlns:wp14="http://schemas.microsoft.com/office/word/2010/wordml" w:rsidP="01350802" wp14:paraId="21F7944E" wp14:textId="15BB24E6">
      <w:pPr>
        <w:spacing w:before="240" w:beforeAutospacing="off" w:after="240" w:afterAutospacing="off"/>
      </w:pPr>
      <w:r w:rsidRPr="01350802" w:rsidR="0869DA03">
        <w:rPr>
          <w:rFonts w:ascii="Arial" w:hAnsi="Arial" w:eastAsia="Arial" w:cs="Arial"/>
          <w:noProof w:val="0"/>
          <w:sz w:val="24"/>
          <w:szCs w:val="24"/>
          <w:lang w:val="en-GB"/>
        </w:rPr>
        <w:t xml:space="preserve">Gov.uk (2023) </w:t>
      </w:r>
      <w:r w:rsidRPr="01350802" w:rsidR="0869DA03">
        <w:rPr>
          <w:rFonts w:ascii="Arial" w:hAnsi="Arial" w:eastAsia="Arial" w:cs="Arial"/>
          <w:i w:val="1"/>
          <w:iCs w:val="1"/>
          <w:noProof w:val="0"/>
          <w:sz w:val="24"/>
          <w:szCs w:val="24"/>
          <w:lang w:val="en-GB"/>
        </w:rPr>
        <w:t>Equality Act 2010 Guidance</w:t>
      </w:r>
      <w:r w:rsidRPr="01350802" w:rsidR="0869DA03">
        <w:rPr>
          <w:rFonts w:ascii="Arial" w:hAnsi="Arial" w:eastAsia="Arial" w:cs="Arial"/>
          <w:noProof w:val="0"/>
          <w:sz w:val="24"/>
          <w:szCs w:val="24"/>
          <w:lang w:val="en-GB"/>
        </w:rPr>
        <w:t xml:space="preserve">. Available at: </w:t>
      </w:r>
      <w:hyperlink r:id="R03def38295d44068">
        <w:r w:rsidRPr="01350802" w:rsidR="0869DA03">
          <w:rPr>
            <w:rStyle w:val="Hyperlink"/>
            <w:noProof w:val="0"/>
            <w:lang w:val="en-GB"/>
          </w:rPr>
          <w:t>https://www.gov.uk/guidance/equality-act-2010-guidance</w:t>
        </w:r>
      </w:hyperlink>
      <w:r w:rsidRPr="01350802" w:rsidR="0869DA03">
        <w:rPr>
          <w:rFonts w:ascii="Arial" w:hAnsi="Arial" w:eastAsia="Arial" w:cs="Arial"/>
          <w:noProof w:val="0"/>
          <w:sz w:val="24"/>
          <w:szCs w:val="24"/>
          <w:lang w:val="en-GB"/>
        </w:rPr>
        <w:t xml:space="preserve"> </w:t>
      </w:r>
      <w:hyperlink r:id="R1d0953905b9a4bba">
        <w:r w:rsidRPr="01350802" w:rsidR="0869DA03">
          <w:rPr>
            <w:rStyle w:val="Hyperlink"/>
            <w:noProof w:val="0"/>
            <w:lang w:val="en-GB"/>
          </w:rPr>
          <w:t>(gov.uk in Bing)</w:t>
        </w:r>
      </w:hyperlink>
      <w:r w:rsidRPr="01350802" w:rsidR="0869DA03">
        <w:rPr>
          <w:rFonts w:ascii="Arial" w:hAnsi="Arial" w:eastAsia="Arial" w:cs="Arial"/>
          <w:noProof w:val="0"/>
          <w:sz w:val="24"/>
          <w:szCs w:val="24"/>
          <w:lang w:val="en-GB"/>
        </w:rPr>
        <w:t xml:space="preserve"> (Accessed: 19 July 2026).</w:t>
      </w:r>
    </w:p>
    <w:p xmlns:wp14="http://schemas.microsoft.com/office/word/2010/wordml" w:rsidP="01350802" wp14:paraId="0F9F9C58" wp14:textId="289B7E7B">
      <w:pPr>
        <w:spacing w:before="240" w:beforeAutospacing="off" w:after="240" w:afterAutospacing="off"/>
      </w:pPr>
      <w:r w:rsidRPr="01350802" w:rsidR="0869DA03">
        <w:rPr>
          <w:rFonts w:ascii="Arial" w:hAnsi="Arial" w:eastAsia="Arial" w:cs="Arial"/>
          <w:noProof w:val="0"/>
          <w:sz w:val="24"/>
          <w:szCs w:val="24"/>
          <w:lang w:val="en-GB"/>
        </w:rPr>
        <w:t xml:space="preserve">Kotter, J. (1996) </w:t>
      </w:r>
      <w:r w:rsidRPr="01350802" w:rsidR="0869DA03">
        <w:rPr>
          <w:rFonts w:ascii="Arial" w:hAnsi="Arial" w:eastAsia="Arial" w:cs="Arial"/>
          <w:i w:val="1"/>
          <w:iCs w:val="1"/>
          <w:noProof w:val="0"/>
          <w:sz w:val="24"/>
          <w:szCs w:val="24"/>
          <w:lang w:val="en-GB"/>
        </w:rPr>
        <w:t>Leading Change</w:t>
      </w:r>
      <w:r w:rsidRPr="01350802" w:rsidR="0869DA03">
        <w:rPr>
          <w:rFonts w:ascii="Arial" w:hAnsi="Arial" w:eastAsia="Arial" w:cs="Arial"/>
          <w:noProof w:val="0"/>
          <w:sz w:val="24"/>
          <w:szCs w:val="24"/>
          <w:lang w:val="en-GB"/>
        </w:rPr>
        <w:t>. Boston: Harvard Business School Press.</w:t>
      </w:r>
    </w:p>
    <w:p xmlns:wp14="http://schemas.microsoft.com/office/word/2010/wordml" w:rsidP="01350802" wp14:paraId="66A9FE0B" wp14:textId="6850D269">
      <w:pPr>
        <w:spacing w:before="240" w:beforeAutospacing="off" w:after="240" w:afterAutospacing="off"/>
      </w:pPr>
      <w:r w:rsidRPr="01350802" w:rsidR="0869DA03">
        <w:rPr>
          <w:rFonts w:ascii="Arial" w:hAnsi="Arial" w:eastAsia="Arial" w:cs="Arial"/>
          <w:noProof w:val="0"/>
          <w:sz w:val="24"/>
          <w:szCs w:val="24"/>
          <w:lang w:val="en-GB"/>
        </w:rPr>
        <w:t xml:space="preserve">Lewin, K. (1947) ‘Frontiers in Group Dynamics’, </w:t>
      </w:r>
      <w:r w:rsidRPr="01350802" w:rsidR="0869DA03">
        <w:rPr>
          <w:rFonts w:ascii="Arial" w:hAnsi="Arial" w:eastAsia="Arial" w:cs="Arial"/>
          <w:i w:val="1"/>
          <w:iCs w:val="1"/>
          <w:noProof w:val="0"/>
          <w:sz w:val="24"/>
          <w:szCs w:val="24"/>
          <w:lang w:val="en-GB"/>
        </w:rPr>
        <w:t>Human Relations</w:t>
      </w:r>
      <w:r w:rsidRPr="01350802" w:rsidR="0869DA03">
        <w:rPr>
          <w:rFonts w:ascii="Arial" w:hAnsi="Arial" w:eastAsia="Arial" w:cs="Arial"/>
          <w:noProof w:val="0"/>
          <w:sz w:val="24"/>
          <w:szCs w:val="24"/>
          <w:lang w:val="en-GB"/>
        </w:rPr>
        <w:t>, 1(1), pp. 5–41.</w:t>
      </w:r>
    </w:p>
    <w:p xmlns:wp14="http://schemas.microsoft.com/office/word/2010/wordml" w:rsidP="01350802" wp14:paraId="2BB9868C" wp14:textId="721ED543">
      <w:pPr>
        <w:spacing w:before="240" w:beforeAutospacing="off" w:after="240" w:afterAutospacing="off"/>
      </w:pPr>
      <w:r w:rsidRPr="01350802" w:rsidR="0869DA03">
        <w:rPr>
          <w:rFonts w:ascii="Arial" w:hAnsi="Arial" w:eastAsia="Arial" w:cs="Arial"/>
          <w:noProof w:val="0"/>
          <w:sz w:val="24"/>
          <w:szCs w:val="24"/>
          <w:lang w:val="en-GB"/>
        </w:rPr>
        <w:t xml:space="preserve">McKinsey &amp; Company (2020) </w:t>
      </w:r>
      <w:r w:rsidRPr="01350802" w:rsidR="0869DA03">
        <w:rPr>
          <w:rFonts w:ascii="Arial" w:hAnsi="Arial" w:eastAsia="Arial" w:cs="Arial"/>
          <w:i w:val="1"/>
          <w:iCs w:val="1"/>
          <w:noProof w:val="0"/>
          <w:sz w:val="24"/>
          <w:szCs w:val="24"/>
          <w:lang w:val="en-GB"/>
        </w:rPr>
        <w:t>Diversity Wins: How Inclusion Matters</w:t>
      </w:r>
      <w:r w:rsidRPr="01350802" w:rsidR="0869DA03">
        <w:rPr>
          <w:rFonts w:ascii="Arial" w:hAnsi="Arial" w:eastAsia="Arial" w:cs="Arial"/>
          <w:noProof w:val="0"/>
          <w:sz w:val="24"/>
          <w:szCs w:val="24"/>
          <w:lang w:val="en-GB"/>
        </w:rPr>
        <w:t xml:space="preserve">. Available at: </w:t>
      </w:r>
      <w:hyperlink r:id="Rda2df7b9baaa460c">
        <w:r w:rsidRPr="01350802" w:rsidR="0869DA03">
          <w:rPr>
            <w:rStyle w:val="Hyperlink"/>
            <w:noProof w:val="0"/>
            <w:lang w:val="en-GB"/>
          </w:rPr>
          <w:t>https://www.mckinsey.com/featured-insights/diversity-and-inclusion/diversity-wins-how-inclusion-matters</w:t>
        </w:r>
      </w:hyperlink>
      <w:r w:rsidRPr="01350802" w:rsidR="0869DA03">
        <w:rPr>
          <w:rFonts w:ascii="Arial" w:hAnsi="Arial" w:eastAsia="Arial" w:cs="Arial"/>
          <w:noProof w:val="0"/>
          <w:sz w:val="24"/>
          <w:szCs w:val="24"/>
          <w:lang w:val="en-GB"/>
        </w:rPr>
        <w:t xml:space="preserve"> </w:t>
      </w:r>
      <w:hyperlink r:id="Ra69575b7325e477d">
        <w:r w:rsidRPr="01350802" w:rsidR="0869DA03">
          <w:rPr>
            <w:rStyle w:val="Hyperlink"/>
            <w:noProof w:val="0"/>
            <w:lang w:val="en-GB"/>
          </w:rPr>
          <w:t>(mckinsey.com in Bing)</w:t>
        </w:r>
      </w:hyperlink>
      <w:r w:rsidRPr="01350802" w:rsidR="0869DA03">
        <w:rPr>
          <w:rFonts w:ascii="Arial" w:hAnsi="Arial" w:eastAsia="Arial" w:cs="Arial"/>
          <w:noProof w:val="0"/>
          <w:sz w:val="24"/>
          <w:szCs w:val="24"/>
          <w:lang w:val="en-GB"/>
        </w:rPr>
        <w:t xml:space="preserve"> (Accessed: 19 July 2026).</w:t>
      </w:r>
    </w:p>
    <w:p xmlns:wp14="http://schemas.microsoft.com/office/word/2010/wordml" w:rsidP="01350802" wp14:paraId="4E40694D" wp14:textId="70E7609B">
      <w:pPr>
        <w:spacing w:before="240" w:beforeAutospacing="off" w:after="240" w:afterAutospacing="off"/>
      </w:pPr>
      <w:r w:rsidRPr="01350802" w:rsidR="0869DA03">
        <w:rPr>
          <w:rFonts w:ascii="Arial" w:hAnsi="Arial" w:eastAsia="Arial" w:cs="Arial"/>
          <w:noProof w:val="0"/>
          <w:sz w:val="24"/>
          <w:szCs w:val="24"/>
          <w:lang w:val="en-GB"/>
        </w:rPr>
        <w:t xml:space="preserve">McKinsey &amp; Company (2021) </w:t>
      </w:r>
      <w:r w:rsidRPr="01350802" w:rsidR="0869DA03">
        <w:rPr>
          <w:rFonts w:ascii="Arial" w:hAnsi="Arial" w:eastAsia="Arial" w:cs="Arial"/>
          <w:i w:val="1"/>
          <w:iCs w:val="1"/>
          <w:noProof w:val="0"/>
          <w:sz w:val="24"/>
          <w:szCs w:val="24"/>
          <w:lang w:val="en-GB"/>
        </w:rPr>
        <w:t>The Future of Work After COVID</w:t>
      </w:r>
      <w:r>
        <w:noBreakHyphen/>
      </w:r>
      <w:r w:rsidRPr="01350802" w:rsidR="0869DA03">
        <w:rPr>
          <w:rFonts w:ascii="Arial" w:hAnsi="Arial" w:eastAsia="Arial" w:cs="Arial"/>
          <w:i w:val="1"/>
          <w:iCs w:val="1"/>
          <w:noProof w:val="0"/>
          <w:sz w:val="24"/>
          <w:szCs w:val="24"/>
          <w:lang w:val="en-GB"/>
        </w:rPr>
        <w:t>19</w:t>
      </w:r>
      <w:r w:rsidRPr="01350802" w:rsidR="0869DA03">
        <w:rPr>
          <w:rFonts w:ascii="Arial" w:hAnsi="Arial" w:eastAsia="Arial" w:cs="Arial"/>
          <w:noProof w:val="0"/>
          <w:sz w:val="24"/>
          <w:szCs w:val="24"/>
          <w:lang w:val="en-GB"/>
        </w:rPr>
        <w:t xml:space="preserve">. Available at: </w:t>
      </w:r>
      <w:hyperlink r:id="R2068707fd6ac4804">
        <w:r w:rsidRPr="01350802" w:rsidR="0869DA03">
          <w:rPr>
            <w:rStyle w:val="Hyperlink"/>
            <w:noProof w:val="0"/>
            <w:lang w:val="en-GB"/>
          </w:rPr>
          <w:t>https://www.mckinsey.com/featured-insights/future-of-work/the-future-of-work-after-covid-19</w:t>
        </w:r>
      </w:hyperlink>
      <w:r w:rsidRPr="01350802" w:rsidR="0869DA03">
        <w:rPr>
          <w:rFonts w:ascii="Arial" w:hAnsi="Arial" w:eastAsia="Arial" w:cs="Arial"/>
          <w:noProof w:val="0"/>
          <w:sz w:val="24"/>
          <w:szCs w:val="24"/>
          <w:lang w:val="en-GB"/>
        </w:rPr>
        <w:t xml:space="preserve"> </w:t>
      </w:r>
      <w:hyperlink r:id="R8081cff9072c4cc2">
        <w:r w:rsidRPr="01350802" w:rsidR="0869DA03">
          <w:rPr>
            <w:rStyle w:val="Hyperlink"/>
            <w:noProof w:val="0"/>
            <w:lang w:val="en-GB"/>
          </w:rPr>
          <w:t>(mckinsey.com in Bing)</w:t>
        </w:r>
      </w:hyperlink>
      <w:r w:rsidRPr="01350802" w:rsidR="0869DA03">
        <w:rPr>
          <w:rFonts w:ascii="Arial" w:hAnsi="Arial" w:eastAsia="Arial" w:cs="Arial"/>
          <w:noProof w:val="0"/>
          <w:sz w:val="24"/>
          <w:szCs w:val="24"/>
          <w:lang w:val="en-GB"/>
        </w:rPr>
        <w:t xml:space="preserve"> (Accessed: 19 July 2026).</w:t>
      </w:r>
    </w:p>
    <w:p xmlns:wp14="http://schemas.microsoft.com/office/word/2010/wordml" w:rsidP="01350802" wp14:paraId="6FCEDA6D" wp14:textId="73867ED8">
      <w:pPr>
        <w:spacing w:before="240" w:beforeAutospacing="off" w:after="240" w:afterAutospacing="off"/>
      </w:pPr>
      <w:r w:rsidRPr="01350802" w:rsidR="0869DA03">
        <w:rPr>
          <w:rFonts w:ascii="Arial" w:hAnsi="Arial" w:eastAsia="Arial" w:cs="Arial"/>
          <w:noProof w:val="0"/>
          <w:sz w:val="24"/>
          <w:szCs w:val="24"/>
          <w:lang w:val="en-GB"/>
        </w:rPr>
        <w:t xml:space="preserve">Office for National Statistics (2024) </w:t>
      </w:r>
      <w:r w:rsidRPr="01350802" w:rsidR="0869DA03">
        <w:rPr>
          <w:rFonts w:ascii="Arial" w:hAnsi="Arial" w:eastAsia="Arial" w:cs="Arial"/>
          <w:i w:val="1"/>
          <w:iCs w:val="1"/>
          <w:noProof w:val="0"/>
          <w:sz w:val="24"/>
          <w:szCs w:val="24"/>
          <w:lang w:val="en-GB"/>
        </w:rPr>
        <w:t>Labour Market Overview: UK</w:t>
      </w:r>
      <w:r w:rsidRPr="01350802" w:rsidR="0869DA03">
        <w:rPr>
          <w:rFonts w:ascii="Arial" w:hAnsi="Arial" w:eastAsia="Arial" w:cs="Arial"/>
          <w:noProof w:val="0"/>
          <w:sz w:val="24"/>
          <w:szCs w:val="24"/>
          <w:lang w:val="en-GB"/>
        </w:rPr>
        <w:t xml:space="preserve">. Available at: </w:t>
      </w:r>
      <w:hyperlink r:id="R2491d5190f55431d">
        <w:r w:rsidRPr="01350802" w:rsidR="0869DA03">
          <w:rPr>
            <w:rStyle w:val="Hyperlink"/>
            <w:noProof w:val="0"/>
            <w:lang w:val="en-GB"/>
          </w:rPr>
          <w:t>https://www.ons.gov.uk/employmentandlabourmarket/peopleinwork</w:t>
        </w:r>
      </w:hyperlink>
      <w:r w:rsidRPr="01350802" w:rsidR="0869DA03">
        <w:rPr>
          <w:rFonts w:ascii="Arial" w:hAnsi="Arial" w:eastAsia="Arial" w:cs="Arial"/>
          <w:noProof w:val="0"/>
          <w:sz w:val="24"/>
          <w:szCs w:val="24"/>
          <w:lang w:val="en-GB"/>
        </w:rPr>
        <w:t xml:space="preserve"> </w:t>
      </w:r>
      <w:hyperlink r:id="Rcecd8bfc83e74514">
        <w:r w:rsidRPr="01350802" w:rsidR="0869DA03">
          <w:rPr>
            <w:rStyle w:val="Hyperlink"/>
            <w:noProof w:val="0"/>
            <w:lang w:val="en-GB"/>
          </w:rPr>
          <w:t>(ons.gov.uk in Bing)</w:t>
        </w:r>
      </w:hyperlink>
      <w:r w:rsidRPr="01350802" w:rsidR="0869DA03">
        <w:rPr>
          <w:rFonts w:ascii="Arial" w:hAnsi="Arial" w:eastAsia="Arial" w:cs="Arial"/>
          <w:noProof w:val="0"/>
          <w:sz w:val="24"/>
          <w:szCs w:val="24"/>
          <w:lang w:val="en-GB"/>
        </w:rPr>
        <w:t xml:space="preserve"> (Accessed: 1</w:t>
      </w:r>
      <w:r w:rsidRPr="01350802" w:rsidR="7AAEF09B">
        <w:rPr>
          <w:rFonts w:ascii="Arial" w:hAnsi="Arial" w:eastAsia="Arial" w:cs="Arial"/>
          <w:noProof w:val="0"/>
          <w:sz w:val="24"/>
          <w:szCs w:val="24"/>
          <w:lang w:val="en-GB"/>
        </w:rPr>
        <w:t>6</w:t>
      </w:r>
      <w:r w:rsidRPr="01350802" w:rsidR="0869DA03">
        <w:rPr>
          <w:rFonts w:ascii="Arial" w:hAnsi="Arial" w:eastAsia="Arial" w:cs="Arial"/>
          <w:noProof w:val="0"/>
          <w:sz w:val="24"/>
          <w:szCs w:val="24"/>
          <w:lang w:val="en-GB"/>
        </w:rPr>
        <w:t xml:space="preserve"> July 2026).</w:t>
      </w:r>
    </w:p>
    <w:p xmlns:wp14="http://schemas.microsoft.com/office/word/2010/wordml" w:rsidP="01350802" wp14:paraId="29E0DF20" wp14:textId="4C1C9704">
      <w:pPr>
        <w:spacing w:before="240" w:beforeAutospacing="off" w:after="240" w:afterAutospacing="off"/>
      </w:pPr>
      <w:r w:rsidRPr="01350802" w:rsidR="0869DA03">
        <w:rPr>
          <w:rFonts w:ascii="Arial" w:hAnsi="Arial" w:eastAsia="Arial" w:cs="Arial"/>
          <w:noProof w:val="0"/>
          <w:sz w:val="24"/>
          <w:szCs w:val="24"/>
          <w:lang w:val="en-GB"/>
        </w:rPr>
        <w:t xml:space="preserve">PwC (2023) </w:t>
      </w:r>
      <w:r w:rsidRPr="01350802" w:rsidR="0869DA03">
        <w:rPr>
          <w:rFonts w:ascii="Arial" w:hAnsi="Arial" w:eastAsia="Arial" w:cs="Arial"/>
          <w:i w:val="1"/>
          <w:iCs w:val="1"/>
          <w:noProof w:val="0"/>
          <w:sz w:val="24"/>
          <w:szCs w:val="24"/>
          <w:lang w:val="en-GB"/>
        </w:rPr>
        <w:t>The Future of HR: Tech</w:t>
      </w:r>
      <w:r>
        <w:noBreakHyphen/>
      </w:r>
      <w:r w:rsidRPr="01350802" w:rsidR="0869DA03">
        <w:rPr>
          <w:rFonts w:ascii="Arial" w:hAnsi="Arial" w:eastAsia="Arial" w:cs="Arial"/>
          <w:i w:val="1"/>
          <w:iCs w:val="1"/>
          <w:noProof w:val="0"/>
          <w:sz w:val="24"/>
          <w:szCs w:val="24"/>
          <w:lang w:val="en-GB"/>
        </w:rPr>
        <w:t>Enabled People Functions</w:t>
      </w:r>
      <w:r w:rsidRPr="01350802" w:rsidR="0869DA03">
        <w:rPr>
          <w:rFonts w:ascii="Arial" w:hAnsi="Arial" w:eastAsia="Arial" w:cs="Arial"/>
          <w:noProof w:val="0"/>
          <w:sz w:val="24"/>
          <w:szCs w:val="24"/>
          <w:lang w:val="en-GB"/>
        </w:rPr>
        <w:t xml:space="preserve">. Available at: </w:t>
      </w:r>
      <w:hyperlink r:id="Rdfc2744557174940">
        <w:r w:rsidRPr="01350802" w:rsidR="0869DA03">
          <w:rPr>
            <w:rStyle w:val="Hyperlink"/>
            <w:noProof w:val="0"/>
            <w:lang w:val="en-GB"/>
          </w:rPr>
          <w:t>https://www.pwc.com/gx/en/services/people-organisation/future-of-hr.html</w:t>
        </w:r>
      </w:hyperlink>
      <w:r w:rsidRPr="01350802" w:rsidR="0869DA03">
        <w:rPr>
          <w:rFonts w:ascii="Arial" w:hAnsi="Arial" w:eastAsia="Arial" w:cs="Arial"/>
          <w:noProof w:val="0"/>
          <w:sz w:val="24"/>
          <w:szCs w:val="24"/>
          <w:lang w:val="en-GB"/>
        </w:rPr>
        <w:t xml:space="preserve"> </w:t>
      </w:r>
      <w:hyperlink r:id="R016769456f2a4745">
        <w:r w:rsidRPr="01350802" w:rsidR="0869DA03">
          <w:rPr>
            <w:rStyle w:val="Hyperlink"/>
            <w:noProof w:val="0"/>
            <w:lang w:val="en-GB"/>
          </w:rPr>
          <w:t>(pwc.com in Bing)</w:t>
        </w:r>
      </w:hyperlink>
      <w:r w:rsidRPr="01350802" w:rsidR="0869DA03">
        <w:rPr>
          <w:rFonts w:ascii="Arial" w:hAnsi="Arial" w:eastAsia="Arial" w:cs="Arial"/>
          <w:noProof w:val="0"/>
          <w:sz w:val="24"/>
          <w:szCs w:val="24"/>
          <w:lang w:val="en-GB"/>
        </w:rPr>
        <w:t xml:space="preserve"> (Accessed: 1</w:t>
      </w:r>
      <w:r w:rsidRPr="01350802" w:rsidR="4A263154">
        <w:rPr>
          <w:rFonts w:ascii="Arial" w:hAnsi="Arial" w:eastAsia="Arial" w:cs="Arial"/>
          <w:noProof w:val="0"/>
          <w:sz w:val="24"/>
          <w:szCs w:val="24"/>
          <w:lang w:val="en-GB"/>
        </w:rPr>
        <w:t>6</w:t>
      </w:r>
      <w:r w:rsidRPr="01350802" w:rsidR="0869DA03">
        <w:rPr>
          <w:rFonts w:ascii="Arial" w:hAnsi="Arial" w:eastAsia="Arial" w:cs="Arial"/>
          <w:noProof w:val="0"/>
          <w:sz w:val="24"/>
          <w:szCs w:val="24"/>
          <w:lang w:val="en-GB"/>
        </w:rPr>
        <w:t xml:space="preserve"> July 2026).</w:t>
      </w:r>
    </w:p>
    <w:p xmlns:wp14="http://schemas.microsoft.com/office/word/2010/wordml" w:rsidP="01350802" wp14:paraId="3B5387EC" wp14:textId="3A324811">
      <w:pPr>
        <w:spacing w:before="240" w:beforeAutospacing="off" w:after="240" w:afterAutospacing="off"/>
      </w:pPr>
      <w:r w:rsidRPr="01350802" w:rsidR="0869DA03">
        <w:rPr>
          <w:rFonts w:ascii="Arial" w:hAnsi="Arial" w:eastAsia="Arial" w:cs="Arial"/>
          <w:noProof w:val="0"/>
          <w:sz w:val="24"/>
          <w:szCs w:val="24"/>
          <w:lang w:val="en-GB"/>
        </w:rPr>
        <w:t xml:space="preserve">Rousseau, D. (1995) </w:t>
      </w:r>
      <w:r w:rsidRPr="01350802" w:rsidR="0869DA03">
        <w:rPr>
          <w:rFonts w:ascii="Arial" w:hAnsi="Arial" w:eastAsia="Arial" w:cs="Arial"/>
          <w:i w:val="1"/>
          <w:iCs w:val="1"/>
          <w:noProof w:val="0"/>
          <w:sz w:val="24"/>
          <w:szCs w:val="24"/>
          <w:lang w:val="en-GB"/>
        </w:rPr>
        <w:t>Psychological Contracts in Organizations</w:t>
      </w:r>
      <w:r w:rsidRPr="01350802" w:rsidR="0869DA03">
        <w:rPr>
          <w:rFonts w:ascii="Arial" w:hAnsi="Arial" w:eastAsia="Arial" w:cs="Arial"/>
          <w:noProof w:val="0"/>
          <w:sz w:val="24"/>
          <w:szCs w:val="24"/>
          <w:lang w:val="en-GB"/>
        </w:rPr>
        <w:t>. Thousand Oaks: Sage.</w:t>
      </w:r>
    </w:p>
    <w:p xmlns:wp14="http://schemas.microsoft.com/office/word/2010/wordml" w:rsidP="01350802" wp14:paraId="39FDD4A3" wp14:textId="22008738">
      <w:pPr>
        <w:spacing w:before="240" w:beforeAutospacing="off" w:after="240" w:afterAutospacing="off"/>
      </w:pPr>
      <w:r w:rsidRPr="01350802" w:rsidR="0869DA03">
        <w:rPr>
          <w:rFonts w:ascii="Arial" w:hAnsi="Arial" w:eastAsia="Arial" w:cs="Arial"/>
          <w:noProof w:val="0"/>
          <w:sz w:val="24"/>
          <w:szCs w:val="24"/>
          <w:lang w:val="en-GB"/>
        </w:rPr>
        <w:t xml:space="preserve">Schein, E. (2010) </w:t>
      </w:r>
      <w:r w:rsidRPr="01350802" w:rsidR="0869DA03">
        <w:rPr>
          <w:rFonts w:ascii="Arial" w:hAnsi="Arial" w:eastAsia="Arial" w:cs="Arial"/>
          <w:i w:val="1"/>
          <w:iCs w:val="1"/>
          <w:noProof w:val="0"/>
          <w:sz w:val="24"/>
          <w:szCs w:val="24"/>
          <w:lang w:val="en-GB"/>
        </w:rPr>
        <w:t>Organizational Culture and Leadership</w:t>
      </w:r>
      <w:r w:rsidRPr="01350802" w:rsidR="0869DA03">
        <w:rPr>
          <w:rFonts w:ascii="Arial" w:hAnsi="Arial" w:eastAsia="Arial" w:cs="Arial"/>
          <w:noProof w:val="0"/>
          <w:sz w:val="24"/>
          <w:szCs w:val="24"/>
          <w:lang w:val="en-GB"/>
        </w:rPr>
        <w:t>. San Francisco: Jossey</w:t>
      </w:r>
      <w:r>
        <w:noBreakHyphen/>
      </w:r>
      <w:r w:rsidRPr="01350802" w:rsidR="0869DA03">
        <w:rPr>
          <w:rFonts w:ascii="Arial" w:hAnsi="Arial" w:eastAsia="Arial" w:cs="Arial"/>
          <w:noProof w:val="0"/>
          <w:sz w:val="24"/>
          <w:szCs w:val="24"/>
          <w:lang w:val="en-GB"/>
        </w:rPr>
        <w:t>Bass.</w:t>
      </w:r>
    </w:p>
    <w:p xmlns:wp14="http://schemas.microsoft.com/office/word/2010/wordml" w:rsidP="01350802" wp14:paraId="55D5B161" wp14:textId="4875CB2E">
      <w:pPr>
        <w:spacing w:before="240" w:beforeAutospacing="off" w:after="240" w:afterAutospacing="off"/>
      </w:pPr>
      <w:r w:rsidRPr="01350802" w:rsidR="0869DA03">
        <w:rPr>
          <w:rFonts w:ascii="Arial" w:hAnsi="Arial" w:eastAsia="Arial" w:cs="Arial"/>
          <w:noProof w:val="0"/>
          <w:sz w:val="24"/>
          <w:szCs w:val="24"/>
          <w:lang w:val="en-GB"/>
        </w:rPr>
        <w:t xml:space="preserve">Shore, L. et al. (2011) ‘Inclusion and Diversity in Work Groups’, </w:t>
      </w:r>
      <w:r w:rsidRPr="01350802" w:rsidR="0869DA03">
        <w:rPr>
          <w:rFonts w:ascii="Arial" w:hAnsi="Arial" w:eastAsia="Arial" w:cs="Arial"/>
          <w:i w:val="1"/>
          <w:iCs w:val="1"/>
          <w:noProof w:val="0"/>
          <w:sz w:val="24"/>
          <w:szCs w:val="24"/>
          <w:lang w:val="en-GB"/>
        </w:rPr>
        <w:t>Journal of Management</w:t>
      </w:r>
      <w:r w:rsidRPr="01350802" w:rsidR="0869DA03">
        <w:rPr>
          <w:rFonts w:ascii="Arial" w:hAnsi="Arial" w:eastAsia="Arial" w:cs="Arial"/>
          <w:noProof w:val="0"/>
          <w:sz w:val="24"/>
          <w:szCs w:val="24"/>
          <w:lang w:val="en-GB"/>
        </w:rPr>
        <w:t>, 37(4), pp. 1262–1289.</w:t>
      </w:r>
    </w:p>
    <w:p xmlns:wp14="http://schemas.microsoft.com/office/word/2010/wordml" w:rsidP="01350802" wp14:paraId="2A7C5418" wp14:textId="4F25D24D">
      <w:pPr>
        <w:spacing w:before="240" w:beforeAutospacing="off" w:after="240" w:afterAutospacing="off"/>
      </w:pPr>
      <w:r w:rsidRPr="01350802" w:rsidR="0869DA03">
        <w:rPr>
          <w:rFonts w:ascii="Arial" w:hAnsi="Arial" w:eastAsia="Arial" w:cs="Arial"/>
          <w:noProof w:val="0"/>
          <w:sz w:val="24"/>
          <w:szCs w:val="24"/>
          <w:lang w:val="en-GB"/>
        </w:rPr>
        <w:t xml:space="preserve">Spence, M. (1973) ‘Job Market Signalling’, </w:t>
      </w:r>
      <w:r w:rsidRPr="01350802" w:rsidR="0869DA03">
        <w:rPr>
          <w:rFonts w:ascii="Arial" w:hAnsi="Arial" w:eastAsia="Arial" w:cs="Arial"/>
          <w:i w:val="1"/>
          <w:iCs w:val="1"/>
          <w:noProof w:val="0"/>
          <w:sz w:val="24"/>
          <w:szCs w:val="24"/>
          <w:lang w:val="en-GB"/>
        </w:rPr>
        <w:t>Quarterly Journal of Economics</w:t>
      </w:r>
      <w:r w:rsidRPr="01350802" w:rsidR="0869DA03">
        <w:rPr>
          <w:rFonts w:ascii="Arial" w:hAnsi="Arial" w:eastAsia="Arial" w:cs="Arial"/>
          <w:noProof w:val="0"/>
          <w:sz w:val="24"/>
          <w:szCs w:val="24"/>
          <w:lang w:val="en-GB"/>
        </w:rPr>
        <w:t>, 87(3), pp. 355–374.</w:t>
      </w:r>
    </w:p>
    <w:p xmlns:wp14="http://schemas.microsoft.com/office/word/2010/wordml" w:rsidP="01350802" wp14:paraId="10852FBF" wp14:textId="7C201BF6">
      <w:pPr>
        <w:spacing w:before="240" w:beforeAutospacing="off" w:after="240" w:afterAutospacing="off"/>
      </w:pPr>
      <w:r w:rsidRPr="01350802" w:rsidR="0869DA03">
        <w:rPr>
          <w:rFonts w:ascii="Arial" w:hAnsi="Arial" w:eastAsia="Arial" w:cs="Arial"/>
          <w:noProof w:val="0"/>
          <w:sz w:val="24"/>
          <w:szCs w:val="24"/>
          <w:lang w:val="en-GB"/>
        </w:rPr>
        <w:t xml:space="preserve">Tesco PLC (2023) </w:t>
      </w:r>
      <w:r w:rsidRPr="01350802" w:rsidR="0869DA03">
        <w:rPr>
          <w:rFonts w:ascii="Arial" w:hAnsi="Arial" w:eastAsia="Arial" w:cs="Arial"/>
          <w:i w:val="1"/>
          <w:iCs w:val="1"/>
          <w:noProof w:val="0"/>
          <w:sz w:val="24"/>
          <w:szCs w:val="24"/>
          <w:lang w:val="en-GB"/>
        </w:rPr>
        <w:t>Annual Report and Financial Statements 2023</w:t>
      </w:r>
      <w:r w:rsidRPr="01350802" w:rsidR="0869DA03">
        <w:rPr>
          <w:rFonts w:ascii="Arial" w:hAnsi="Arial" w:eastAsia="Arial" w:cs="Arial"/>
          <w:noProof w:val="0"/>
          <w:sz w:val="24"/>
          <w:szCs w:val="24"/>
          <w:lang w:val="en-GB"/>
        </w:rPr>
        <w:t xml:space="preserve">. Available at: </w:t>
      </w:r>
      <w:hyperlink r:id="Re89a05afe9384a65">
        <w:r w:rsidRPr="01350802" w:rsidR="0869DA03">
          <w:rPr>
            <w:rStyle w:val="Hyperlink"/>
            <w:noProof w:val="0"/>
            <w:lang w:val="en-GB"/>
          </w:rPr>
          <w:t>https://www.tescoplc.com/investors/reports-results-and-presentations/</w:t>
        </w:r>
      </w:hyperlink>
      <w:r w:rsidRPr="01350802" w:rsidR="0869DA03">
        <w:rPr>
          <w:rFonts w:ascii="Arial" w:hAnsi="Arial" w:eastAsia="Arial" w:cs="Arial"/>
          <w:noProof w:val="0"/>
          <w:sz w:val="24"/>
          <w:szCs w:val="24"/>
          <w:lang w:val="en-GB"/>
        </w:rPr>
        <w:t xml:space="preserve"> </w:t>
      </w:r>
      <w:hyperlink r:id="R32877891e93844df">
        <w:r w:rsidRPr="01350802" w:rsidR="0869DA03">
          <w:rPr>
            <w:rStyle w:val="Hyperlink"/>
            <w:noProof w:val="0"/>
            <w:lang w:val="en-GB"/>
          </w:rPr>
          <w:t>(tescoplc.com in Bing)</w:t>
        </w:r>
      </w:hyperlink>
      <w:r w:rsidRPr="01350802" w:rsidR="0869DA03">
        <w:rPr>
          <w:rFonts w:ascii="Arial" w:hAnsi="Arial" w:eastAsia="Arial" w:cs="Arial"/>
          <w:noProof w:val="0"/>
          <w:sz w:val="24"/>
          <w:szCs w:val="24"/>
          <w:lang w:val="en-GB"/>
        </w:rPr>
        <w:t xml:space="preserve"> (Accessed: 1</w:t>
      </w:r>
      <w:r w:rsidRPr="01350802" w:rsidR="569A5B3A">
        <w:rPr>
          <w:rFonts w:ascii="Arial" w:hAnsi="Arial" w:eastAsia="Arial" w:cs="Arial"/>
          <w:noProof w:val="0"/>
          <w:sz w:val="24"/>
          <w:szCs w:val="24"/>
          <w:lang w:val="en-GB"/>
        </w:rPr>
        <w:t>6</w:t>
      </w:r>
      <w:r w:rsidRPr="01350802" w:rsidR="0869DA03">
        <w:rPr>
          <w:rFonts w:ascii="Arial" w:hAnsi="Arial" w:eastAsia="Arial" w:cs="Arial"/>
          <w:noProof w:val="0"/>
          <w:sz w:val="24"/>
          <w:szCs w:val="24"/>
          <w:lang w:val="en-GB"/>
        </w:rPr>
        <w:t xml:space="preserve"> July 2026).</w:t>
      </w:r>
    </w:p>
    <w:p xmlns:wp14="http://schemas.microsoft.com/office/word/2010/wordml" w:rsidP="01350802" wp14:paraId="1B977496" wp14:textId="72D6BF98">
      <w:pPr>
        <w:spacing w:before="240" w:beforeAutospacing="off" w:after="240" w:afterAutospacing="off"/>
      </w:pPr>
      <w:r w:rsidRPr="01350802" w:rsidR="0869DA03">
        <w:rPr>
          <w:rFonts w:ascii="Arial" w:hAnsi="Arial" w:eastAsia="Arial" w:cs="Arial"/>
          <w:noProof w:val="0"/>
          <w:sz w:val="24"/>
          <w:szCs w:val="24"/>
          <w:lang w:val="en-GB"/>
        </w:rPr>
        <w:t xml:space="preserve">Tesco PLC (2024) </w:t>
      </w:r>
      <w:r w:rsidRPr="01350802" w:rsidR="0869DA03">
        <w:rPr>
          <w:rFonts w:ascii="Arial" w:hAnsi="Arial" w:eastAsia="Arial" w:cs="Arial"/>
          <w:i w:val="1"/>
          <w:iCs w:val="1"/>
          <w:noProof w:val="0"/>
          <w:sz w:val="24"/>
          <w:szCs w:val="24"/>
          <w:lang w:val="en-GB"/>
        </w:rPr>
        <w:t>Our Business</w:t>
      </w:r>
      <w:r w:rsidRPr="01350802" w:rsidR="0869DA03">
        <w:rPr>
          <w:rFonts w:ascii="Arial" w:hAnsi="Arial" w:eastAsia="Arial" w:cs="Arial"/>
          <w:noProof w:val="0"/>
          <w:sz w:val="24"/>
          <w:szCs w:val="24"/>
          <w:lang w:val="en-GB"/>
        </w:rPr>
        <w:t xml:space="preserve">. Available at: </w:t>
      </w:r>
      <w:hyperlink r:id="Re36cadeada24401f">
        <w:r w:rsidRPr="01350802" w:rsidR="0869DA03">
          <w:rPr>
            <w:rStyle w:val="Hyperlink"/>
            <w:noProof w:val="0"/>
            <w:lang w:val="en-GB"/>
          </w:rPr>
          <w:t>https://www.tescoplc.com/about/our-business/</w:t>
        </w:r>
      </w:hyperlink>
      <w:r w:rsidRPr="01350802" w:rsidR="0869DA03">
        <w:rPr>
          <w:rFonts w:ascii="Arial" w:hAnsi="Arial" w:eastAsia="Arial" w:cs="Arial"/>
          <w:noProof w:val="0"/>
          <w:sz w:val="24"/>
          <w:szCs w:val="24"/>
          <w:lang w:val="en-GB"/>
        </w:rPr>
        <w:t xml:space="preserve"> </w:t>
      </w:r>
      <w:hyperlink r:id="R1114f83e3e4b432f">
        <w:r w:rsidRPr="01350802" w:rsidR="0869DA03">
          <w:rPr>
            <w:rStyle w:val="Hyperlink"/>
            <w:noProof w:val="0"/>
            <w:lang w:val="en-GB"/>
          </w:rPr>
          <w:t>(tescoplc.com in Bing)</w:t>
        </w:r>
      </w:hyperlink>
      <w:r w:rsidRPr="01350802" w:rsidR="0869DA03">
        <w:rPr>
          <w:rFonts w:ascii="Arial" w:hAnsi="Arial" w:eastAsia="Arial" w:cs="Arial"/>
          <w:noProof w:val="0"/>
          <w:sz w:val="24"/>
          <w:szCs w:val="24"/>
          <w:lang w:val="en-GB"/>
        </w:rPr>
        <w:t xml:space="preserve"> (Accessed: 1</w:t>
      </w:r>
      <w:r w:rsidRPr="01350802" w:rsidR="74731ECD">
        <w:rPr>
          <w:rFonts w:ascii="Arial" w:hAnsi="Arial" w:eastAsia="Arial" w:cs="Arial"/>
          <w:noProof w:val="0"/>
          <w:sz w:val="24"/>
          <w:szCs w:val="24"/>
          <w:lang w:val="en-GB"/>
        </w:rPr>
        <w:t>6</w:t>
      </w:r>
      <w:r w:rsidRPr="01350802" w:rsidR="0869DA03">
        <w:rPr>
          <w:rFonts w:ascii="Arial" w:hAnsi="Arial" w:eastAsia="Arial" w:cs="Arial"/>
          <w:noProof w:val="0"/>
          <w:sz w:val="24"/>
          <w:szCs w:val="24"/>
          <w:lang w:val="en-GB"/>
        </w:rPr>
        <w:t xml:space="preserve"> July 2026).</w:t>
      </w:r>
    </w:p>
    <w:p xmlns:wp14="http://schemas.microsoft.com/office/word/2010/wordml" w:rsidP="01350802" wp14:paraId="33F784C8" wp14:textId="15C98769">
      <w:pPr>
        <w:spacing w:before="240" w:beforeAutospacing="off" w:after="240" w:afterAutospacing="off"/>
      </w:pPr>
      <w:r w:rsidRPr="01350802" w:rsidR="0869DA03">
        <w:rPr>
          <w:rFonts w:ascii="Arial" w:hAnsi="Arial" w:eastAsia="Arial" w:cs="Arial"/>
          <w:noProof w:val="0"/>
          <w:sz w:val="24"/>
          <w:szCs w:val="24"/>
          <w:lang w:val="en-GB"/>
        </w:rPr>
        <w:t xml:space="preserve">Tesco PLC (2024) </w:t>
      </w:r>
      <w:r w:rsidRPr="01350802" w:rsidR="0869DA03">
        <w:rPr>
          <w:rFonts w:ascii="Arial" w:hAnsi="Arial" w:eastAsia="Arial" w:cs="Arial"/>
          <w:i w:val="1"/>
          <w:iCs w:val="1"/>
          <w:noProof w:val="0"/>
          <w:sz w:val="24"/>
          <w:szCs w:val="24"/>
          <w:lang w:val="en-GB"/>
        </w:rPr>
        <w:t>Diversity and Inclusion</w:t>
      </w:r>
      <w:r w:rsidRPr="01350802" w:rsidR="0869DA03">
        <w:rPr>
          <w:rFonts w:ascii="Arial" w:hAnsi="Arial" w:eastAsia="Arial" w:cs="Arial"/>
          <w:noProof w:val="0"/>
          <w:sz w:val="24"/>
          <w:szCs w:val="24"/>
          <w:lang w:val="en-GB"/>
        </w:rPr>
        <w:t xml:space="preserve">. Available at: </w:t>
      </w:r>
      <w:hyperlink r:id="Rd580af73b07440d2">
        <w:r w:rsidRPr="01350802" w:rsidR="0869DA03">
          <w:rPr>
            <w:rStyle w:val="Hyperlink"/>
            <w:noProof w:val="0"/>
            <w:lang w:val="en-GB"/>
          </w:rPr>
          <w:t>https://www.tescoplc.com/sustainability/people/diversity-and-inclusion/</w:t>
        </w:r>
      </w:hyperlink>
      <w:r w:rsidRPr="01350802" w:rsidR="0869DA03">
        <w:rPr>
          <w:rFonts w:ascii="Arial" w:hAnsi="Arial" w:eastAsia="Arial" w:cs="Arial"/>
          <w:noProof w:val="0"/>
          <w:sz w:val="24"/>
          <w:szCs w:val="24"/>
          <w:lang w:val="en-GB"/>
        </w:rPr>
        <w:t xml:space="preserve"> </w:t>
      </w:r>
      <w:hyperlink r:id="R809e1bc2a3194d30">
        <w:r w:rsidRPr="01350802" w:rsidR="0869DA03">
          <w:rPr>
            <w:rStyle w:val="Hyperlink"/>
            <w:noProof w:val="0"/>
            <w:lang w:val="en-GB"/>
          </w:rPr>
          <w:t>(tescoplc.com in Bing)</w:t>
        </w:r>
      </w:hyperlink>
      <w:r w:rsidRPr="01350802" w:rsidR="0869DA03">
        <w:rPr>
          <w:rFonts w:ascii="Arial" w:hAnsi="Arial" w:eastAsia="Arial" w:cs="Arial"/>
          <w:noProof w:val="0"/>
          <w:sz w:val="24"/>
          <w:szCs w:val="24"/>
          <w:lang w:val="en-GB"/>
        </w:rPr>
        <w:t xml:space="preserve"> (Accessed: 1</w:t>
      </w:r>
      <w:r w:rsidRPr="01350802" w:rsidR="3D25C40D">
        <w:rPr>
          <w:rFonts w:ascii="Arial" w:hAnsi="Arial" w:eastAsia="Arial" w:cs="Arial"/>
          <w:noProof w:val="0"/>
          <w:sz w:val="24"/>
          <w:szCs w:val="24"/>
          <w:lang w:val="en-GB"/>
        </w:rPr>
        <w:t>6</w:t>
      </w:r>
      <w:r w:rsidRPr="01350802" w:rsidR="0869DA03">
        <w:rPr>
          <w:rFonts w:ascii="Arial" w:hAnsi="Arial" w:eastAsia="Arial" w:cs="Arial"/>
          <w:noProof w:val="0"/>
          <w:sz w:val="24"/>
          <w:szCs w:val="24"/>
          <w:lang w:val="en-GB"/>
        </w:rPr>
        <w:t xml:space="preserve"> July 2026).</w:t>
      </w:r>
    </w:p>
    <w:p xmlns:wp14="http://schemas.microsoft.com/office/word/2010/wordml" w:rsidP="01350802" wp14:paraId="29BD9899" wp14:textId="6BE89AA3">
      <w:pPr>
        <w:pStyle w:val="Normal"/>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34047BE6" wp14:textId="54D3A3A3">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6C4631BA" wp14:textId="4FE76925">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08E06412" wp14:textId="76510EBA">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37FBBF80" wp14:textId="3AE4021F">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01350802" wp14:paraId="53C1E335" wp14:textId="5D02B728">
      <w:pPr>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p14:paraId="5E5787A5" wp14:textId="6526378C"/>
    <w:sectPr>
      <w:pgSz w:w="11906" w:h="16838" w:orient="portrait"/>
      <w:pgMar w:top="1440" w:right="1440" w:bottom="1440" w:left="1440" w:header="720" w:footer="720" w:gutter="0"/>
      <w:cols w:space="720"/>
      <w:docGrid w:linePitch="360"/>
      <w:headerReference w:type="default" r:id="Raf4037c684fa4271"/>
      <w:footerReference w:type="default" r:id="R407918e1f9fd45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350802" w:rsidTr="01350802" w14:paraId="732EF402">
      <w:trPr>
        <w:trHeight w:val="300"/>
      </w:trPr>
      <w:tc>
        <w:tcPr>
          <w:tcW w:w="3005" w:type="dxa"/>
          <w:tcMar/>
        </w:tcPr>
        <w:p w:rsidR="01350802" w:rsidP="01350802" w:rsidRDefault="01350802" w14:paraId="036EEA97" w14:textId="0FB3DB3E">
          <w:pPr>
            <w:pStyle w:val="Header"/>
            <w:bidi w:val="0"/>
            <w:ind w:left="-115"/>
            <w:jc w:val="left"/>
          </w:pPr>
        </w:p>
      </w:tc>
      <w:tc>
        <w:tcPr>
          <w:tcW w:w="3005" w:type="dxa"/>
          <w:tcMar/>
        </w:tcPr>
        <w:p w:rsidR="01350802" w:rsidP="01350802" w:rsidRDefault="01350802" w14:paraId="302B8459" w14:textId="0EB9870C">
          <w:pPr>
            <w:pStyle w:val="Header"/>
            <w:bidi w:val="0"/>
            <w:jc w:val="center"/>
          </w:pPr>
          <w:r>
            <w:fldChar w:fldCharType="begin"/>
          </w:r>
          <w:r>
            <w:instrText xml:space="preserve">PAGE</w:instrText>
          </w:r>
          <w:r>
            <w:fldChar w:fldCharType="separate"/>
          </w:r>
          <w:r>
            <w:fldChar w:fldCharType="end"/>
          </w:r>
        </w:p>
      </w:tc>
      <w:tc>
        <w:tcPr>
          <w:tcW w:w="3005" w:type="dxa"/>
          <w:tcMar/>
        </w:tcPr>
        <w:p w:rsidR="01350802" w:rsidP="01350802" w:rsidRDefault="01350802" w14:paraId="2166C93F" w14:textId="4D02816F">
          <w:pPr>
            <w:pStyle w:val="Header"/>
            <w:bidi w:val="0"/>
            <w:ind w:right="-115"/>
            <w:jc w:val="right"/>
          </w:pPr>
        </w:p>
      </w:tc>
    </w:tr>
  </w:tbl>
  <w:p w:rsidR="01350802" w:rsidP="01350802" w:rsidRDefault="01350802" w14:paraId="173CD61C" w14:textId="076C13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1350802" w:rsidTr="01350802" w14:paraId="26CB27D2">
      <w:trPr>
        <w:trHeight w:val="300"/>
      </w:trPr>
      <w:tc>
        <w:tcPr>
          <w:tcW w:w="3005" w:type="dxa"/>
          <w:tcMar/>
        </w:tcPr>
        <w:p w:rsidR="01350802" w:rsidP="01350802" w:rsidRDefault="01350802" w14:paraId="1E9CAB91" w14:textId="4EC29972">
          <w:pPr>
            <w:pStyle w:val="Header"/>
            <w:bidi w:val="0"/>
            <w:ind w:left="-115"/>
            <w:jc w:val="left"/>
          </w:pPr>
        </w:p>
      </w:tc>
      <w:tc>
        <w:tcPr>
          <w:tcW w:w="3005" w:type="dxa"/>
          <w:tcMar/>
        </w:tcPr>
        <w:p w:rsidR="01350802" w:rsidP="01350802" w:rsidRDefault="01350802" w14:paraId="72C79C32" w14:textId="4280402D">
          <w:pPr>
            <w:pStyle w:val="Header"/>
            <w:bidi w:val="0"/>
            <w:jc w:val="center"/>
          </w:pPr>
        </w:p>
      </w:tc>
      <w:tc>
        <w:tcPr>
          <w:tcW w:w="3005" w:type="dxa"/>
          <w:tcMar/>
        </w:tcPr>
        <w:p w:rsidR="01350802" w:rsidP="01350802" w:rsidRDefault="01350802" w14:paraId="4F3B177B" w14:textId="54CEF32C">
          <w:pPr>
            <w:pStyle w:val="Header"/>
            <w:bidi w:val="0"/>
            <w:ind w:right="-115"/>
            <w:jc w:val="right"/>
          </w:pPr>
        </w:p>
      </w:tc>
    </w:tr>
  </w:tbl>
  <w:p w:rsidR="01350802" w:rsidP="01350802" w:rsidRDefault="01350802" w14:paraId="58764D3B" w14:textId="71D9F7E6">
    <w:pPr>
      <w:pStyle w:val="Header"/>
      <w:bidi w:val="0"/>
    </w:pPr>
  </w:p>
</w:hdr>
</file>

<file path=word/numbering.xml><?xml version="1.0" encoding="utf-8"?>
<w:numbering xmlns:w="http://schemas.openxmlformats.org/wordprocessingml/2006/main">
  <w:abstractNum xmlns:w="http://schemas.openxmlformats.org/wordprocessingml/2006/main" w:abstractNumId="10">
    <w:nsid w:val="5bb467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bfad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c150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b2d79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3fb56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72b4f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d31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9fd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24e3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4f1b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18081C"/>
    <w:rsid w:val="00530E74"/>
    <w:rsid w:val="01350802"/>
    <w:rsid w:val="0214FCDB"/>
    <w:rsid w:val="032A92FB"/>
    <w:rsid w:val="039172B2"/>
    <w:rsid w:val="042C2275"/>
    <w:rsid w:val="04387977"/>
    <w:rsid w:val="04F84364"/>
    <w:rsid w:val="05E3FEB5"/>
    <w:rsid w:val="06F73FB2"/>
    <w:rsid w:val="06FE69D4"/>
    <w:rsid w:val="071A56BC"/>
    <w:rsid w:val="073DF64C"/>
    <w:rsid w:val="0869DA03"/>
    <w:rsid w:val="08A74EE1"/>
    <w:rsid w:val="09797747"/>
    <w:rsid w:val="0AF0D546"/>
    <w:rsid w:val="0DB36FF0"/>
    <w:rsid w:val="0EDCBEF1"/>
    <w:rsid w:val="1058F879"/>
    <w:rsid w:val="17783AED"/>
    <w:rsid w:val="19EEE386"/>
    <w:rsid w:val="1D6C23B9"/>
    <w:rsid w:val="1ED3BCF2"/>
    <w:rsid w:val="1F294A4A"/>
    <w:rsid w:val="1F4600CC"/>
    <w:rsid w:val="22D58E18"/>
    <w:rsid w:val="2486998B"/>
    <w:rsid w:val="25CD9236"/>
    <w:rsid w:val="2775A0B2"/>
    <w:rsid w:val="27DF7DDC"/>
    <w:rsid w:val="2D9FB368"/>
    <w:rsid w:val="2EEBBC47"/>
    <w:rsid w:val="37643C92"/>
    <w:rsid w:val="39658AF4"/>
    <w:rsid w:val="3D022378"/>
    <w:rsid w:val="3D174938"/>
    <w:rsid w:val="3D25C40D"/>
    <w:rsid w:val="3FFE3545"/>
    <w:rsid w:val="40A84A93"/>
    <w:rsid w:val="40F5FF64"/>
    <w:rsid w:val="410B176C"/>
    <w:rsid w:val="450CA3C6"/>
    <w:rsid w:val="459811F1"/>
    <w:rsid w:val="46659DBB"/>
    <w:rsid w:val="475C26E2"/>
    <w:rsid w:val="479C175F"/>
    <w:rsid w:val="480722D3"/>
    <w:rsid w:val="48A03546"/>
    <w:rsid w:val="48C02F5C"/>
    <w:rsid w:val="4A263154"/>
    <w:rsid w:val="4BED7D87"/>
    <w:rsid w:val="5034848E"/>
    <w:rsid w:val="528E13F2"/>
    <w:rsid w:val="531DD272"/>
    <w:rsid w:val="54FCA1E5"/>
    <w:rsid w:val="5603CFD2"/>
    <w:rsid w:val="569A5B3A"/>
    <w:rsid w:val="577B129C"/>
    <w:rsid w:val="5836B261"/>
    <w:rsid w:val="58FC69C2"/>
    <w:rsid w:val="5938E963"/>
    <w:rsid w:val="5C6F695F"/>
    <w:rsid w:val="5CC056F9"/>
    <w:rsid w:val="5D16C418"/>
    <w:rsid w:val="600DE5A9"/>
    <w:rsid w:val="6051FC43"/>
    <w:rsid w:val="606D0C41"/>
    <w:rsid w:val="618EBC71"/>
    <w:rsid w:val="65BBA949"/>
    <w:rsid w:val="66F25C41"/>
    <w:rsid w:val="6718081C"/>
    <w:rsid w:val="67BA8C4F"/>
    <w:rsid w:val="699ECF54"/>
    <w:rsid w:val="6B2E0BCD"/>
    <w:rsid w:val="6BE25F4E"/>
    <w:rsid w:val="6DABA104"/>
    <w:rsid w:val="706D3280"/>
    <w:rsid w:val="73B9B9DB"/>
    <w:rsid w:val="74731ECD"/>
    <w:rsid w:val="75595463"/>
    <w:rsid w:val="7938546C"/>
    <w:rsid w:val="79942A7D"/>
    <w:rsid w:val="7A0C1E02"/>
    <w:rsid w:val="7AAEF09B"/>
    <w:rsid w:val="7B2A478D"/>
    <w:rsid w:val="7D164369"/>
    <w:rsid w:val="7F405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B22D4"/>
  <w15:chartTrackingRefBased/>
  <w15:docId w15:val="{F76A2C6D-FCEE-46C0-AF38-E840967350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135080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0135080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1350802"/>
    <w:pPr>
      <w:spacing/>
      <w:ind w:left="720"/>
      <w:contextualSpacing/>
    </w:pPr>
  </w:style>
  <w:style w:type="paragraph" w:styleId="Heading2">
    <w:uiPriority w:val="9"/>
    <w:name w:val="heading 2"/>
    <w:basedOn w:val="Normal"/>
    <w:next w:val="Normal"/>
    <w:unhideWhenUsed/>
    <w:qFormat/>
    <w:rsid w:val="0135080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1350802"/>
    <w:rPr>
      <w:color w:val="467886"/>
      <w:u w:val="single"/>
    </w:rPr>
  </w:style>
  <w:style w:type="paragraph" w:styleId="Header">
    <w:uiPriority w:val="99"/>
    <w:name w:val="header"/>
    <w:basedOn w:val="Normal"/>
    <w:unhideWhenUsed/>
    <w:rsid w:val="01350802"/>
    <w:pPr>
      <w:tabs>
        <w:tab w:val="center" w:leader="none" w:pos="4680"/>
        <w:tab w:val="right" w:leader="none" w:pos="9360"/>
      </w:tabs>
      <w:spacing w:after="0" w:line="240" w:lineRule="auto"/>
    </w:pPr>
  </w:style>
  <w:style w:type="paragraph" w:styleId="Footer">
    <w:uiPriority w:val="99"/>
    <w:name w:val="footer"/>
    <w:basedOn w:val="Normal"/>
    <w:unhideWhenUsed/>
    <w:rsid w:val="0135080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org/uk/knowledge/reports/resourcing-talent-planning/" TargetMode="External" Id="R0e56e1d2759842d6" /><Relationship Type="http://schemas.openxmlformats.org/officeDocument/2006/relationships/hyperlink" Target="https://www.bing.com/search?q=%22https%3A%2F%2Fwww.cipd.org%2Fuk%2Fknowledge%2Freports%2Fresourcing-talent-planning%2F%22&amp;utm_source=copilot.com" TargetMode="External" Id="Rd755312a33c943f0" /><Relationship Type="http://schemas.openxmlformats.org/officeDocument/2006/relationships/hyperlink" Target="https://www.cipd.org/uk/knowledge/reports/people-profession-2023/" TargetMode="External" Id="R6fc389c4d38b409f" /><Relationship Type="http://schemas.openxmlformats.org/officeDocument/2006/relationships/hyperlink" Target="https://www.bing.com/search?q=%22https%3A%2F%2Fwww.cipd.org%2Fuk%2Fknowledge%2Freports%2Fpeople-profession-2023%2F%22&amp;utm_source=copilot.com" TargetMode="External" Id="R1d5bbdfb9f8640d2" /><Relationship Type="http://schemas.openxmlformats.org/officeDocument/2006/relationships/hyperlink" Target="https://www.cipd.org/uk/knowledge/guides/diversity-inclusion/" TargetMode="External" Id="R6cf4453b01b9495f" /><Relationship Type="http://schemas.openxmlformats.org/officeDocument/2006/relationships/hyperlink" Target="https://www.bing.com/search?q=%22https%3A%2F%2Fwww.cipd.org%2Fuk%2Fknowledge%2Fguides%2Fdiversity-inclusion%2F%22&amp;utm_source=copilot.com" TargetMode="External" Id="Rac231bb57d5e4355" /><Relationship Type="http://schemas.openxmlformats.org/officeDocument/2006/relationships/hyperlink" Target="https://www2.deloitte.com/uk/en/pages/consumer-business/articles/digital-transformation-retail.html" TargetMode="External" Id="R3da506e10a90415f" /><Relationship Type="http://schemas.openxmlformats.org/officeDocument/2006/relationships/hyperlink" Target="https://www.bing.com/search?q=%22https%3A%2F%2Fwww2.deloitte.com%2Fuk%2Fen%2Fpages%2Fconsumer-business%2Farticles%2Fdigital-transformation-retail.html%22&amp;utm_source=copilot.com" TargetMode="External" Id="Ra0f5f55b4df84aa7" /><Relationship Type="http://schemas.openxmlformats.org/officeDocument/2006/relationships/hyperlink" Target="https://www.gallup.com/workplace/349484/state-of-the-global-workplace.aspx" TargetMode="External" Id="R1ed24a5429544519" /><Relationship Type="http://schemas.openxmlformats.org/officeDocument/2006/relationships/hyperlink" Target="https://www.bing.com/search?q=%22https%3A%2F%2Fwww.gallup.com%2Fworkplace%2F349484%2Fstate-of-the-global-workplace.aspx%22&amp;utm_source=copilot.com" TargetMode="External" Id="R4a71c6e9606d4314" /><Relationship Type="http://schemas.openxmlformats.org/officeDocument/2006/relationships/hyperlink" Target="https://www.gov.uk/guidance/equality-act-2010-guidance" TargetMode="External" Id="R03def38295d44068" /><Relationship Type="http://schemas.openxmlformats.org/officeDocument/2006/relationships/hyperlink" Target="https://www.bing.com/search?q=%22https%3A%2F%2Fwww.gov.uk%2Fguidance%2Fequality-act-2010-guidance%22&amp;utm_source=copilot.com" TargetMode="External" Id="R1d0953905b9a4bba" /><Relationship Type="http://schemas.openxmlformats.org/officeDocument/2006/relationships/hyperlink" Target="https://www.mckinsey.com/featured-insights/diversity-and-inclusion/diversity-wins-how-inclusion-matters" TargetMode="External" Id="Rda2df7b9baaa460c" /><Relationship Type="http://schemas.openxmlformats.org/officeDocument/2006/relationships/hyperlink" Target="https://www.bing.com/search?q=%22https%3A%2F%2Fwww.mckinsey.com%2Ffeatured-insights%2Fdiversity-and-inclusion%2Fdiversity-wins-how-inclusion-matters%22&amp;utm_source=copilot.com" TargetMode="External" Id="Ra69575b7325e477d" /><Relationship Type="http://schemas.openxmlformats.org/officeDocument/2006/relationships/hyperlink" Target="https://www.mckinsey.com/featured-insights/future-of-work/the-future-of-work-after-covid-19" TargetMode="External" Id="R2068707fd6ac4804" /><Relationship Type="http://schemas.openxmlformats.org/officeDocument/2006/relationships/hyperlink" Target="https://www.bing.com/search?q=%22https%3A%2F%2Fwww.mckinsey.com%2Ffeatured-insights%2Ffuture-of-work%2Fthe-future-of-work-after-covid-19%22&amp;utm_source=copilot.com" TargetMode="External" Id="R8081cff9072c4cc2" /><Relationship Type="http://schemas.openxmlformats.org/officeDocument/2006/relationships/hyperlink" Target="https://www.ons.gov.uk/employmentandlabourmarket/peopleinwork" TargetMode="External" Id="R2491d5190f55431d" /><Relationship Type="http://schemas.openxmlformats.org/officeDocument/2006/relationships/hyperlink" Target="https://www.bing.com/search?q=%22https%3A%2F%2Fwww.ons.gov.uk%2Femploymentandlabourmarket%2Fpeopleinwork%22&amp;utm_source=copilot.com" TargetMode="External" Id="Rcecd8bfc83e74514" /><Relationship Type="http://schemas.openxmlformats.org/officeDocument/2006/relationships/hyperlink" Target="https://www.pwc.com/gx/en/services/people-organisation/future-of-hr.html" TargetMode="External" Id="Rdfc2744557174940" /><Relationship Type="http://schemas.openxmlformats.org/officeDocument/2006/relationships/hyperlink" Target="https://www.bing.com/search?q=%22https%3A%2F%2Fwww.pwc.com%2Fgx%2Fen%2Fservices%2Fpeople-organisation%2Ffuture-of-hr.html%22&amp;utm_source=copilot.com" TargetMode="External" Id="R016769456f2a4745" /><Relationship Type="http://schemas.openxmlformats.org/officeDocument/2006/relationships/hyperlink" Target="https://www.tescoplc.com/investors/reports-results-and-presentations/" TargetMode="External" Id="Re89a05afe9384a65" /><Relationship Type="http://schemas.openxmlformats.org/officeDocument/2006/relationships/hyperlink" Target="https://www.bing.com/search?q=%22https%3A%2F%2Fwww.tescoplc.com%2Finvestors%2Freports-results-and-presentations%2F%22&amp;utm_source=copilot.com" TargetMode="External" Id="R32877891e93844df" /><Relationship Type="http://schemas.openxmlformats.org/officeDocument/2006/relationships/hyperlink" Target="https://www.tescoplc.com/about/our-business/" TargetMode="External" Id="Re36cadeada24401f" /><Relationship Type="http://schemas.openxmlformats.org/officeDocument/2006/relationships/hyperlink" Target="https://www.bing.com/search?q=%22https%3A%2F%2Fwww.tescoplc.com%2Fabout%2Four-business%2F%22&amp;utm_source=copilot.com" TargetMode="External" Id="R1114f83e3e4b432f" /><Relationship Type="http://schemas.openxmlformats.org/officeDocument/2006/relationships/hyperlink" Target="https://www.tescoplc.com/sustainability/people/diversity-and-inclusion/" TargetMode="External" Id="Rd580af73b07440d2" /><Relationship Type="http://schemas.openxmlformats.org/officeDocument/2006/relationships/hyperlink" Target="https://www.bing.com/search?q=%22https%3A%2F%2Fwww.tescoplc.com%2Fsustainability%2Fpeople%2Fdiversity-and-inclusion%2F%22&amp;utm_source=copilot.com" TargetMode="External" Id="R809e1bc2a3194d30" /><Relationship Type="http://schemas.openxmlformats.org/officeDocument/2006/relationships/header" Target="/word/header.xml" Id="Raf4037c684fa4271" /><Relationship Type="http://schemas.openxmlformats.org/officeDocument/2006/relationships/footer" Target="/word/footer.xml" Id="R407918e1f9fd45f8" /><Relationship Type="http://schemas.openxmlformats.org/officeDocument/2006/relationships/numbering" Target="/word/numbering.xml" Id="R987a0c5cff2446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Shona Lea Veitch (2441498)</dc:creator>
  <keywords/>
  <dc:description/>
  <lastModifiedBy>Shona Lea Veitch (2441498)</lastModifiedBy>
  <revision>2</revision>
  <dcterms:created xsi:type="dcterms:W3CDTF">2026-07-19T20:10:28.4907042Z</dcterms:created>
  <dcterms:modified xsi:type="dcterms:W3CDTF">2026-07-19T22:02:30.9103647Z</dcterms:modified>
</coreProperties>
</file>