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7DE4996" w14:textId="32C9AB37" w:rsidR="009A072D" w:rsidRDefault="009A072D" w:rsidP="009A072D">
      <w:pPr>
        <w:spacing w:line="360" w:lineRule="auto"/>
        <w:rPr>
          <w:sz w:val="24"/>
          <w:szCs w:val="24"/>
        </w:rPr>
      </w:pPr>
    </w:p>
    <w:p w14:paraId="38133D90" w14:textId="0BA5149C" w:rsidR="00564232" w:rsidRDefault="00564232" w:rsidP="009A072D">
      <w:pPr>
        <w:spacing w:line="360" w:lineRule="auto"/>
        <w:rPr>
          <w:sz w:val="24"/>
          <w:szCs w:val="24"/>
        </w:rPr>
      </w:pPr>
    </w:p>
    <w:p w14:paraId="57146423" w14:textId="77777777" w:rsidR="00564232" w:rsidRDefault="00564232" w:rsidP="009A072D">
      <w:pPr>
        <w:spacing w:line="360" w:lineRule="auto"/>
        <w:rPr>
          <w:sz w:val="24"/>
          <w:szCs w:val="24"/>
        </w:rPr>
      </w:pPr>
    </w:p>
    <w:p w14:paraId="5AA94F3C" w14:textId="7D02CA7A" w:rsidR="00564232" w:rsidRDefault="00564232" w:rsidP="00564232">
      <w:pPr>
        <w:spacing w:line="360" w:lineRule="auto"/>
        <w:jc w:val="center"/>
        <w:rPr>
          <w:sz w:val="24"/>
          <w:szCs w:val="24"/>
        </w:rPr>
      </w:pPr>
      <w:r>
        <w:rPr>
          <w:noProof/>
          <w:sz w:val="24"/>
          <w:szCs w:val="24"/>
          <w:lang w:eastAsia="en-GB"/>
        </w:rPr>
        <w:drawing>
          <wp:inline distT="0" distB="0" distL="0" distR="0" wp14:anchorId="6F1EA653" wp14:editId="357F9285">
            <wp:extent cx="3720904" cy="372090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ew knee.jpg"/>
                    <pic:cNvPicPr/>
                  </pic:nvPicPr>
                  <pic:blipFill>
                    <a:blip r:embed="rId10">
                      <a:extLst>
                        <a:ext uri="{28A0092B-C50C-407E-A947-70E740481C1C}">
                          <a14:useLocalDpi xmlns:a14="http://schemas.microsoft.com/office/drawing/2010/main" val="0"/>
                        </a:ext>
                      </a:extLst>
                    </a:blip>
                    <a:stretch>
                      <a:fillRect/>
                    </a:stretch>
                  </pic:blipFill>
                  <pic:spPr>
                    <a:xfrm>
                      <a:off x="0" y="0"/>
                      <a:ext cx="3726799" cy="3726799"/>
                    </a:xfrm>
                    <a:prstGeom prst="rect">
                      <a:avLst/>
                    </a:prstGeom>
                  </pic:spPr>
                </pic:pic>
              </a:graphicData>
            </a:graphic>
          </wp:inline>
        </w:drawing>
      </w:r>
    </w:p>
    <w:p w14:paraId="00166E39" w14:textId="01BE46A7" w:rsidR="00564232" w:rsidRDefault="00564232" w:rsidP="009A072D">
      <w:pPr>
        <w:spacing w:line="360" w:lineRule="auto"/>
        <w:rPr>
          <w:sz w:val="24"/>
          <w:szCs w:val="24"/>
        </w:rPr>
      </w:pPr>
    </w:p>
    <w:p w14:paraId="7BA919FB" w14:textId="0D66F39A" w:rsidR="00564232" w:rsidRDefault="00564232" w:rsidP="009A072D">
      <w:pPr>
        <w:spacing w:line="360" w:lineRule="auto"/>
        <w:rPr>
          <w:sz w:val="24"/>
          <w:szCs w:val="24"/>
        </w:rPr>
      </w:pPr>
    </w:p>
    <w:p w14:paraId="419C1431" w14:textId="3596BEC9" w:rsidR="00564232" w:rsidRDefault="00564232" w:rsidP="009A072D">
      <w:pPr>
        <w:spacing w:line="360" w:lineRule="auto"/>
        <w:rPr>
          <w:sz w:val="24"/>
          <w:szCs w:val="24"/>
        </w:rPr>
      </w:pPr>
    </w:p>
    <w:p w14:paraId="7321FCAF" w14:textId="3E839C7C" w:rsidR="00564232" w:rsidRDefault="00564232" w:rsidP="009A072D">
      <w:pPr>
        <w:spacing w:line="360" w:lineRule="auto"/>
        <w:rPr>
          <w:sz w:val="24"/>
          <w:szCs w:val="24"/>
        </w:rPr>
      </w:pPr>
    </w:p>
    <w:p w14:paraId="5A170ED2" w14:textId="1D787939" w:rsidR="00564232" w:rsidRDefault="00564232" w:rsidP="009A072D">
      <w:pPr>
        <w:spacing w:line="360" w:lineRule="auto"/>
        <w:rPr>
          <w:sz w:val="24"/>
          <w:szCs w:val="24"/>
        </w:rPr>
      </w:pPr>
    </w:p>
    <w:p w14:paraId="31CF3F8C" w14:textId="632CCEDC" w:rsidR="00564232" w:rsidRDefault="00564232" w:rsidP="009A072D">
      <w:pPr>
        <w:spacing w:line="360" w:lineRule="auto"/>
        <w:rPr>
          <w:sz w:val="24"/>
          <w:szCs w:val="24"/>
        </w:rPr>
      </w:pPr>
    </w:p>
    <w:p w14:paraId="4908B1BA" w14:textId="69783B72" w:rsidR="00564232" w:rsidRPr="009A072D" w:rsidRDefault="00564232" w:rsidP="009A072D">
      <w:pPr>
        <w:spacing w:line="360" w:lineRule="auto"/>
        <w:rPr>
          <w:sz w:val="24"/>
          <w:szCs w:val="24"/>
        </w:rPr>
      </w:pPr>
      <w:r>
        <w:rPr>
          <w:sz w:val="24"/>
          <w:szCs w:val="24"/>
        </w:rPr>
        <w:t>Title:</w:t>
      </w:r>
      <w:r w:rsidR="00C1018F">
        <w:rPr>
          <w:sz w:val="24"/>
          <w:szCs w:val="24"/>
        </w:rPr>
        <w:t xml:space="preserve"> Total Knee replacement General Anaesthetic vs Spinal Anaesthetic and effect on recovery</w:t>
      </w:r>
    </w:p>
    <w:p w14:paraId="02D3837F" w14:textId="4FCF1ED2" w:rsidR="00D934F2" w:rsidRPr="009A072D" w:rsidRDefault="009A072D" w:rsidP="009A072D">
      <w:pPr>
        <w:spacing w:line="360" w:lineRule="auto"/>
        <w:rPr>
          <w:sz w:val="24"/>
          <w:szCs w:val="24"/>
        </w:rPr>
      </w:pPr>
      <w:r w:rsidRPr="009A072D">
        <w:rPr>
          <w:sz w:val="24"/>
          <w:szCs w:val="24"/>
        </w:rPr>
        <w:t>Claire Louise Wright</w:t>
      </w:r>
    </w:p>
    <w:p w14:paraId="20988266" w14:textId="49A00541" w:rsidR="009A072D" w:rsidRPr="009A072D" w:rsidRDefault="009A072D" w:rsidP="009A072D">
      <w:pPr>
        <w:spacing w:line="360" w:lineRule="auto"/>
        <w:rPr>
          <w:sz w:val="24"/>
          <w:szCs w:val="24"/>
        </w:rPr>
      </w:pPr>
      <w:r w:rsidRPr="009A072D">
        <w:rPr>
          <w:sz w:val="24"/>
          <w:szCs w:val="24"/>
        </w:rPr>
        <w:t xml:space="preserve">Student number </w:t>
      </w:r>
      <w:r w:rsidR="005770AA">
        <w:rPr>
          <w:sz w:val="24"/>
          <w:szCs w:val="24"/>
        </w:rPr>
        <w:t>2318243</w:t>
      </w:r>
    </w:p>
    <w:p w14:paraId="71B77223" w14:textId="4F820E26" w:rsidR="009A072D" w:rsidRPr="009A072D" w:rsidRDefault="009A072D" w:rsidP="009A072D">
      <w:pPr>
        <w:spacing w:line="360" w:lineRule="auto"/>
        <w:rPr>
          <w:sz w:val="24"/>
          <w:szCs w:val="24"/>
        </w:rPr>
      </w:pPr>
    </w:p>
    <w:p w14:paraId="0EEEE755" w14:textId="73725810" w:rsidR="009A072D" w:rsidRPr="009A072D" w:rsidRDefault="009A072D" w:rsidP="009A072D">
      <w:pPr>
        <w:spacing w:line="360" w:lineRule="auto"/>
        <w:rPr>
          <w:sz w:val="24"/>
          <w:szCs w:val="24"/>
        </w:rPr>
      </w:pPr>
    </w:p>
    <w:p w14:paraId="0DA6E768" w14:textId="03B554D8" w:rsidR="009A072D" w:rsidRPr="009A072D" w:rsidRDefault="009A072D" w:rsidP="009A072D">
      <w:pPr>
        <w:spacing w:line="360" w:lineRule="auto"/>
        <w:rPr>
          <w:sz w:val="24"/>
          <w:szCs w:val="24"/>
        </w:rPr>
      </w:pPr>
      <w:r w:rsidRPr="009A072D">
        <w:rPr>
          <w:sz w:val="24"/>
          <w:szCs w:val="24"/>
        </w:rPr>
        <w:t>Contents:</w:t>
      </w:r>
    </w:p>
    <w:p w14:paraId="22596867" w14:textId="78D7687F" w:rsidR="009A072D" w:rsidRPr="009A072D" w:rsidRDefault="009A072D" w:rsidP="009A072D">
      <w:pPr>
        <w:spacing w:line="360" w:lineRule="auto"/>
        <w:rPr>
          <w:sz w:val="24"/>
          <w:szCs w:val="24"/>
        </w:rPr>
      </w:pPr>
      <w:r w:rsidRPr="009A072D">
        <w:rPr>
          <w:sz w:val="24"/>
          <w:szCs w:val="24"/>
        </w:rPr>
        <w:t>Introduction</w:t>
      </w:r>
    </w:p>
    <w:p w14:paraId="7AD0CF83" w14:textId="784DE042" w:rsidR="009A072D" w:rsidRPr="009A072D" w:rsidRDefault="009A072D" w:rsidP="009A072D">
      <w:pPr>
        <w:spacing w:line="360" w:lineRule="auto"/>
        <w:rPr>
          <w:sz w:val="24"/>
          <w:szCs w:val="24"/>
        </w:rPr>
      </w:pPr>
      <w:r w:rsidRPr="009A072D">
        <w:rPr>
          <w:sz w:val="24"/>
          <w:szCs w:val="24"/>
        </w:rPr>
        <w:t>Case Study</w:t>
      </w:r>
    </w:p>
    <w:p w14:paraId="5EA143F4" w14:textId="3015EC9E" w:rsidR="009A072D" w:rsidRPr="009A072D" w:rsidRDefault="009A072D" w:rsidP="009A072D">
      <w:pPr>
        <w:spacing w:line="360" w:lineRule="auto"/>
        <w:rPr>
          <w:sz w:val="24"/>
          <w:szCs w:val="24"/>
        </w:rPr>
      </w:pPr>
      <w:r w:rsidRPr="009A072D">
        <w:rPr>
          <w:sz w:val="24"/>
          <w:szCs w:val="24"/>
        </w:rPr>
        <w:t>Condition Overview</w:t>
      </w:r>
    </w:p>
    <w:p w14:paraId="542328DD" w14:textId="653B8688" w:rsidR="009A072D" w:rsidRPr="009A072D" w:rsidRDefault="009A072D" w:rsidP="009A072D">
      <w:pPr>
        <w:spacing w:line="360" w:lineRule="auto"/>
        <w:rPr>
          <w:sz w:val="24"/>
          <w:szCs w:val="24"/>
        </w:rPr>
      </w:pPr>
      <w:r w:rsidRPr="009A072D">
        <w:rPr>
          <w:sz w:val="24"/>
          <w:szCs w:val="24"/>
        </w:rPr>
        <w:t>Previous Approaches to the condition</w:t>
      </w:r>
    </w:p>
    <w:p w14:paraId="37A5027F" w14:textId="301804CF" w:rsidR="009A072D" w:rsidRPr="009A072D" w:rsidRDefault="009A072D" w:rsidP="009A072D">
      <w:pPr>
        <w:spacing w:line="360" w:lineRule="auto"/>
        <w:rPr>
          <w:sz w:val="24"/>
          <w:szCs w:val="24"/>
        </w:rPr>
      </w:pPr>
      <w:r w:rsidRPr="009A072D">
        <w:rPr>
          <w:sz w:val="24"/>
          <w:szCs w:val="24"/>
        </w:rPr>
        <w:t>Current Approaches to the condition</w:t>
      </w:r>
    </w:p>
    <w:p w14:paraId="247D40E8" w14:textId="454EA91C" w:rsidR="009A072D" w:rsidRPr="009A072D" w:rsidRDefault="009A072D" w:rsidP="009A072D">
      <w:pPr>
        <w:spacing w:line="360" w:lineRule="auto"/>
        <w:rPr>
          <w:sz w:val="24"/>
          <w:szCs w:val="24"/>
        </w:rPr>
      </w:pPr>
      <w:r w:rsidRPr="009A072D">
        <w:rPr>
          <w:sz w:val="24"/>
          <w:szCs w:val="24"/>
        </w:rPr>
        <w:t>Co-production</w:t>
      </w:r>
    </w:p>
    <w:p w14:paraId="75BA7893" w14:textId="4409A5AB" w:rsidR="009A072D" w:rsidRPr="009A072D" w:rsidRDefault="009A072D" w:rsidP="009A072D">
      <w:pPr>
        <w:spacing w:line="360" w:lineRule="auto"/>
        <w:rPr>
          <w:sz w:val="24"/>
          <w:szCs w:val="24"/>
        </w:rPr>
      </w:pPr>
      <w:r w:rsidRPr="009A072D">
        <w:rPr>
          <w:sz w:val="24"/>
          <w:szCs w:val="24"/>
        </w:rPr>
        <w:t>Clinical governance and supervision framework</w:t>
      </w:r>
    </w:p>
    <w:p w14:paraId="41257021" w14:textId="2AF27722" w:rsidR="009A072D" w:rsidRPr="009A072D" w:rsidRDefault="009A072D" w:rsidP="009A072D">
      <w:pPr>
        <w:spacing w:line="360" w:lineRule="auto"/>
        <w:rPr>
          <w:sz w:val="24"/>
          <w:szCs w:val="24"/>
        </w:rPr>
      </w:pPr>
      <w:r w:rsidRPr="009A072D">
        <w:rPr>
          <w:sz w:val="24"/>
          <w:szCs w:val="24"/>
        </w:rPr>
        <w:t>Conclusion and recommendations</w:t>
      </w:r>
    </w:p>
    <w:p w14:paraId="7524E584" w14:textId="77777777" w:rsidR="009A072D" w:rsidRPr="009A072D" w:rsidRDefault="009A072D" w:rsidP="009A072D">
      <w:pPr>
        <w:spacing w:line="360" w:lineRule="auto"/>
        <w:rPr>
          <w:sz w:val="24"/>
          <w:szCs w:val="24"/>
        </w:rPr>
      </w:pPr>
      <w:r w:rsidRPr="009A072D">
        <w:rPr>
          <w:sz w:val="24"/>
          <w:szCs w:val="24"/>
        </w:rPr>
        <w:t>Reference list</w:t>
      </w:r>
    </w:p>
    <w:p w14:paraId="720669FE" w14:textId="046A17EF" w:rsidR="009A072D" w:rsidRPr="009A072D" w:rsidRDefault="009A072D" w:rsidP="009A072D">
      <w:pPr>
        <w:spacing w:line="360" w:lineRule="auto"/>
        <w:rPr>
          <w:sz w:val="24"/>
          <w:szCs w:val="24"/>
        </w:rPr>
      </w:pPr>
      <w:r w:rsidRPr="009A072D">
        <w:rPr>
          <w:sz w:val="24"/>
          <w:szCs w:val="24"/>
        </w:rPr>
        <w:t>Appendices</w:t>
      </w:r>
    </w:p>
    <w:p w14:paraId="0A59044F" w14:textId="77777777" w:rsidR="009A072D" w:rsidRPr="009A072D" w:rsidRDefault="009A072D" w:rsidP="009A072D">
      <w:pPr>
        <w:spacing w:line="360" w:lineRule="auto"/>
        <w:rPr>
          <w:sz w:val="24"/>
          <w:szCs w:val="24"/>
        </w:rPr>
      </w:pPr>
    </w:p>
    <w:p w14:paraId="41669C6D" w14:textId="603111C5" w:rsidR="009A072D" w:rsidRDefault="009A072D" w:rsidP="009A072D">
      <w:pPr>
        <w:spacing w:line="360" w:lineRule="auto"/>
        <w:rPr>
          <w:sz w:val="24"/>
          <w:szCs w:val="24"/>
        </w:rPr>
      </w:pPr>
    </w:p>
    <w:p w14:paraId="55839266" w14:textId="690149DA" w:rsidR="00564232" w:rsidRDefault="00564232" w:rsidP="009A072D">
      <w:pPr>
        <w:spacing w:line="360" w:lineRule="auto"/>
        <w:rPr>
          <w:sz w:val="24"/>
          <w:szCs w:val="24"/>
        </w:rPr>
      </w:pPr>
    </w:p>
    <w:p w14:paraId="717B151F" w14:textId="15FA7571" w:rsidR="00564232" w:rsidRDefault="00564232" w:rsidP="009A072D">
      <w:pPr>
        <w:spacing w:line="360" w:lineRule="auto"/>
        <w:rPr>
          <w:sz w:val="24"/>
          <w:szCs w:val="24"/>
        </w:rPr>
      </w:pPr>
    </w:p>
    <w:p w14:paraId="447829E5" w14:textId="71623408" w:rsidR="00564232" w:rsidRDefault="00564232" w:rsidP="009A072D">
      <w:pPr>
        <w:spacing w:line="360" w:lineRule="auto"/>
        <w:rPr>
          <w:sz w:val="24"/>
          <w:szCs w:val="24"/>
        </w:rPr>
      </w:pPr>
    </w:p>
    <w:p w14:paraId="5F72FDA2" w14:textId="6FB8E51A" w:rsidR="00564232" w:rsidRDefault="00564232" w:rsidP="009A072D">
      <w:pPr>
        <w:spacing w:line="360" w:lineRule="auto"/>
        <w:rPr>
          <w:sz w:val="24"/>
          <w:szCs w:val="24"/>
        </w:rPr>
      </w:pPr>
    </w:p>
    <w:p w14:paraId="233A1860" w14:textId="3C0D6625" w:rsidR="00564232" w:rsidRDefault="00564232" w:rsidP="009A072D">
      <w:pPr>
        <w:spacing w:line="360" w:lineRule="auto"/>
        <w:rPr>
          <w:sz w:val="24"/>
          <w:szCs w:val="24"/>
        </w:rPr>
      </w:pPr>
    </w:p>
    <w:p w14:paraId="691468B7" w14:textId="59A55479" w:rsidR="00564232" w:rsidRDefault="00564232" w:rsidP="009A072D">
      <w:pPr>
        <w:spacing w:line="360" w:lineRule="auto"/>
        <w:rPr>
          <w:sz w:val="24"/>
          <w:szCs w:val="24"/>
        </w:rPr>
      </w:pPr>
    </w:p>
    <w:p w14:paraId="36A67921" w14:textId="3874D231" w:rsidR="00F84183" w:rsidRDefault="00F84183" w:rsidP="009A072D">
      <w:pPr>
        <w:spacing w:line="360" w:lineRule="auto"/>
        <w:rPr>
          <w:sz w:val="24"/>
          <w:szCs w:val="24"/>
        </w:rPr>
      </w:pPr>
    </w:p>
    <w:p w14:paraId="74B0757E" w14:textId="77777777" w:rsidR="00F84183" w:rsidRDefault="00F84183" w:rsidP="009A072D">
      <w:pPr>
        <w:spacing w:line="360" w:lineRule="auto"/>
        <w:rPr>
          <w:sz w:val="24"/>
          <w:szCs w:val="24"/>
        </w:rPr>
      </w:pPr>
    </w:p>
    <w:p w14:paraId="4594F26B" w14:textId="349D3F8C" w:rsidR="009A072D" w:rsidRDefault="009A072D" w:rsidP="009A072D">
      <w:pPr>
        <w:spacing w:line="360" w:lineRule="auto"/>
        <w:rPr>
          <w:sz w:val="24"/>
          <w:szCs w:val="24"/>
        </w:rPr>
      </w:pPr>
    </w:p>
    <w:p w14:paraId="466BFF3F" w14:textId="7138E32F" w:rsidR="00F3747E" w:rsidRDefault="00F3747E" w:rsidP="009A072D">
      <w:pPr>
        <w:spacing w:line="360" w:lineRule="auto"/>
        <w:rPr>
          <w:sz w:val="24"/>
          <w:szCs w:val="24"/>
          <w:u w:val="single"/>
        </w:rPr>
      </w:pPr>
      <w:r w:rsidRPr="00F3747E">
        <w:rPr>
          <w:sz w:val="24"/>
          <w:szCs w:val="24"/>
          <w:u w:val="single"/>
        </w:rPr>
        <w:t>Introduction.</w:t>
      </w:r>
      <w:r w:rsidR="00F84183">
        <w:rPr>
          <w:sz w:val="24"/>
          <w:szCs w:val="24"/>
          <w:u w:val="single"/>
        </w:rPr>
        <w:t xml:space="preserve">  </w:t>
      </w:r>
    </w:p>
    <w:p w14:paraId="6A09F6E8" w14:textId="77777777" w:rsidR="00C1018F" w:rsidRPr="00C1018F" w:rsidRDefault="00C1018F" w:rsidP="00C1018F">
      <w:pPr>
        <w:spacing w:line="360" w:lineRule="auto"/>
        <w:rPr>
          <w:sz w:val="24"/>
          <w:szCs w:val="24"/>
        </w:rPr>
      </w:pPr>
      <w:r w:rsidRPr="00C1018F">
        <w:rPr>
          <w:sz w:val="24"/>
          <w:szCs w:val="24"/>
        </w:rPr>
        <w:t>Osteoarthritis (OA) is one of the most debilitating diseases according to Grassel and Muschter (2020).</w:t>
      </w:r>
    </w:p>
    <w:p w14:paraId="1B5223E9" w14:textId="77777777" w:rsidR="00C1018F" w:rsidRPr="00C1018F" w:rsidRDefault="00C1018F" w:rsidP="00C1018F">
      <w:pPr>
        <w:spacing w:line="360" w:lineRule="auto"/>
        <w:rPr>
          <w:sz w:val="24"/>
          <w:szCs w:val="24"/>
        </w:rPr>
      </w:pPr>
      <w:r w:rsidRPr="00C1018F">
        <w:rPr>
          <w:sz w:val="24"/>
          <w:szCs w:val="24"/>
        </w:rPr>
        <w:t>Osteoarthritis (OA) is a chronic disease and the most common orthopedic disorder. A vast majority of the social OA burden is related to hips and knees. (Giorgino et al 2023)</w:t>
      </w:r>
    </w:p>
    <w:p w14:paraId="2E7072D8" w14:textId="39385E43" w:rsidR="00125B27" w:rsidRPr="00C1018F" w:rsidRDefault="00C1018F" w:rsidP="00C1018F">
      <w:pPr>
        <w:spacing w:line="360" w:lineRule="auto"/>
        <w:rPr>
          <w:sz w:val="24"/>
          <w:szCs w:val="24"/>
        </w:rPr>
      </w:pPr>
      <w:r w:rsidRPr="00C1018F">
        <w:rPr>
          <w:sz w:val="24"/>
          <w:szCs w:val="24"/>
        </w:rPr>
        <w:t>This study looks at the difference having a total knee replacement using spinal block instead of general anaesthetic, has made to patients hospital length of stay, total recovery time and outcomes.</w:t>
      </w:r>
    </w:p>
    <w:p w14:paraId="1699FBBC" w14:textId="7609D2ED" w:rsidR="00F3747E" w:rsidRPr="004A6A18" w:rsidRDefault="004A6A18" w:rsidP="009A072D">
      <w:pPr>
        <w:spacing w:line="360" w:lineRule="auto"/>
        <w:rPr>
          <w:sz w:val="24"/>
          <w:szCs w:val="24"/>
        </w:rPr>
      </w:pPr>
      <w:r>
        <w:rPr>
          <w:sz w:val="24"/>
          <w:szCs w:val="24"/>
        </w:rPr>
        <w:t xml:space="preserve"> </w:t>
      </w:r>
    </w:p>
    <w:p w14:paraId="6C8D14F2" w14:textId="77777777" w:rsidR="00246B23" w:rsidRDefault="00F3747E" w:rsidP="009A072D">
      <w:pPr>
        <w:spacing w:line="360" w:lineRule="auto"/>
        <w:rPr>
          <w:sz w:val="24"/>
          <w:szCs w:val="24"/>
          <w:u w:val="single"/>
        </w:rPr>
      </w:pPr>
      <w:r>
        <w:rPr>
          <w:sz w:val="24"/>
          <w:szCs w:val="24"/>
          <w:u w:val="single"/>
        </w:rPr>
        <w:t>Case Study</w:t>
      </w:r>
    </w:p>
    <w:p w14:paraId="139B39F3" w14:textId="77777777" w:rsidR="00246B23" w:rsidRPr="00246B23" w:rsidRDefault="00F3747E" w:rsidP="00246B23">
      <w:pPr>
        <w:spacing w:line="360" w:lineRule="auto"/>
        <w:rPr>
          <w:sz w:val="24"/>
          <w:szCs w:val="24"/>
        </w:rPr>
      </w:pPr>
      <w:r w:rsidRPr="00246B23">
        <w:rPr>
          <w:sz w:val="24"/>
          <w:szCs w:val="24"/>
        </w:rPr>
        <w:t xml:space="preserve"> </w:t>
      </w:r>
      <w:r w:rsidR="00246B23" w:rsidRPr="00246B23">
        <w:rPr>
          <w:sz w:val="24"/>
          <w:szCs w:val="24"/>
        </w:rPr>
        <w:t>This case study will be looking at the role of a Therapy Assistant Practitioner (TAP) working in the Community Reablement Team (CRT). The TAPs within the CRT are Generic working equally with Physiotherapy (PT) and Occupational Therapy (OT). Patients are allocated in one of 2 ways, either by the clinical lead as a direct referral where the TAP is the only worker involved; or via internal referrals from qualified therapists who will remain as the main caseworker. The patient in this case study was a direct referral. For the purposes of this case study, we will refer to the patient as May, to maintain confidentiality.</w:t>
      </w:r>
    </w:p>
    <w:p w14:paraId="450ACCAF" w14:textId="77777777" w:rsidR="00246B23" w:rsidRPr="00246B23" w:rsidRDefault="00246B23" w:rsidP="00246B23">
      <w:pPr>
        <w:spacing w:line="360" w:lineRule="auto"/>
        <w:rPr>
          <w:sz w:val="24"/>
          <w:szCs w:val="24"/>
        </w:rPr>
      </w:pPr>
      <w:r w:rsidRPr="00246B23">
        <w:rPr>
          <w:sz w:val="24"/>
          <w:szCs w:val="24"/>
        </w:rPr>
        <w:t>May is an 83-year-old Lady who had severe Osteoarthritis (OA) in her knees. Osteoarthritis (OA) is one of the most debilitating diseases according to Grassel and Muschter (2020).</w:t>
      </w:r>
    </w:p>
    <w:p w14:paraId="4A5B3243" w14:textId="77777777" w:rsidR="00246B23" w:rsidRPr="00246B23" w:rsidRDefault="00246B23" w:rsidP="00246B23">
      <w:pPr>
        <w:spacing w:line="360" w:lineRule="auto"/>
        <w:rPr>
          <w:sz w:val="24"/>
          <w:szCs w:val="24"/>
        </w:rPr>
      </w:pPr>
      <w:r w:rsidRPr="00246B23">
        <w:rPr>
          <w:sz w:val="24"/>
          <w:szCs w:val="24"/>
        </w:rPr>
        <w:t>May was referred to CRT for physiotherapy input following a total knee replacement(TKR).  This was an elective procedure  and May had been waiting for the operation for 4years. The length of wait was due to a number of cancellations and postponements. May has a past medical history that includes Chronic Arthritis. Osteoporosis. Irregular heartbeat. High blood pressure and Macular degeneration. Oedematous legs with a history of breaking down causing ulcers and swelling.</w:t>
      </w:r>
    </w:p>
    <w:p w14:paraId="27A40244" w14:textId="77777777" w:rsidR="00246B23" w:rsidRPr="00246B23" w:rsidRDefault="00246B23" w:rsidP="00246B23">
      <w:pPr>
        <w:spacing w:line="360" w:lineRule="auto"/>
        <w:rPr>
          <w:sz w:val="24"/>
          <w:szCs w:val="24"/>
        </w:rPr>
      </w:pPr>
      <w:r w:rsidRPr="00246B23">
        <w:rPr>
          <w:sz w:val="24"/>
          <w:szCs w:val="24"/>
        </w:rPr>
        <w:lastRenderedPageBreak/>
        <w:t>May has been widowed for approximately 12 years, she has 1 step daughter who lives in Canada and who phones her every day. May has 2 Nieces who are very supportive and will help with providing lifts to appointments, shopping and cleaning.</w:t>
      </w:r>
    </w:p>
    <w:p w14:paraId="59F7C0F2" w14:textId="77777777" w:rsidR="00246B23" w:rsidRPr="00246B23" w:rsidRDefault="00246B23" w:rsidP="00246B23">
      <w:pPr>
        <w:spacing w:line="360" w:lineRule="auto"/>
        <w:rPr>
          <w:sz w:val="24"/>
          <w:szCs w:val="24"/>
        </w:rPr>
      </w:pPr>
      <w:r w:rsidRPr="00246B23">
        <w:rPr>
          <w:sz w:val="24"/>
          <w:szCs w:val="24"/>
        </w:rPr>
        <w:t xml:space="preserve">May is very independent and has always had a good social life. Since retiring May has been an active member of the ‘old age club’, and has a good friend network. Often meeting friends for lunch, or going shopping with her Niece. May also enjoys reading, jigsaws and used to do a lot of cross-stitch although she finds this very difficult now because of her failing eyesight. May does not drive but will use the bus for local trips. May has been a keen supporter of Swansea City football Team for many years. </w:t>
      </w:r>
    </w:p>
    <w:p w14:paraId="10B1E061" w14:textId="77777777" w:rsidR="00246B23" w:rsidRPr="00246B23" w:rsidRDefault="00246B23" w:rsidP="00246B23">
      <w:pPr>
        <w:spacing w:line="360" w:lineRule="auto"/>
        <w:rPr>
          <w:sz w:val="24"/>
          <w:szCs w:val="24"/>
        </w:rPr>
      </w:pPr>
      <w:r w:rsidRPr="00246B23">
        <w:rPr>
          <w:sz w:val="24"/>
          <w:szCs w:val="24"/>
        </w:rPr>
        <w:t xml:space="preserve">During the time that May was waiting for her operation, she found her mobility was gradually declining, and her ability to maintain her social activities was affected.  </w:t>
      </w:r>
    </w:p>
    <w:p w14:paraId="12F9A243" w14:textId="77777777" w:rsidR="00246B23" w:rsidRPr="00246B23" w:rsidRDefault="00246B23" w:rsidP="00246B23">
      <w:pPr>
        <w:spacing w:line="360" w:lineRule="auto"/>
        <w:rPr>
          <w:sz w:val="24"/>
          <w:szCs w:val="24"/>
        </w:rPr>
      </w:pPr>
      <w:r w:rsidRPr="00246B23">
        <w:rPr>
          <w:sz w:val="24"/>
          <w:szCs w:val="24"/>
        </w:rPr>
        <w:t>“Potential long-term consequences of knee osteoarthritis include reduced physical activity, deconditioning, impaired sleep, fatigue, depression, functional decline, and disability.” (Sharma 2021)</w:t>
      </w:r>
    </w:p>
    <w:p w14:paraId="0DD2A096" w14:textId="77777777" w:rsidR="00246B23" w:rsidRPr="00246B23" w:rsidRDefault="00246B23" w:rsidP="00246B23">
      <w:pPr>
        <w:spacing w:line="360" w:lineRule="auto"/>
        <w:rPr>
          <w:sz w:val="24"/>
          <w:szCs w:val="24"/>
        </w:rPr>
      </w:pPr>
      <w:r w:rsidRPr="00246B23">
        <w:rPr>
          <w:sz w:val="24"/>
          <w:szCs w:val="24"/>
        </w:rPr>
        <w:t xml:space="preserve">As she was waiting for the knee replacement May found that she was finding her own method of doing things to compensate for her reduced range of movement and increased pain. This included walking downstairs backwards and upstairs in a sideways manner. She developed a ‘hip hitch’ when walking because she was not able to bend her knee. </w:t>
      </w:r>
    </w:p>
    <w:p w14:paraId="64674F77" w14:textId="77777777" w:rsidR="00246B23" w:rsidRPr="00246B23" w:rsidRDefault="00246B23" w:rsidP="00246B23">
      <w:pPr>
        <w:spacing w:line="360" w:lineRule="auto"/>
        <w:rPr>
          <w:sz w:val="24"/>
          <w:szCs w:val="24"/>
        </w:rPr>
      </w:pPr>
      <w:r w:rsidRPr="00246B23">
        <w:rPr>
          <w:sz w:val="24"/>
          <w:szCs w:val="24"/>
        </w:rPr>
        <w:t xml:space="preserve">May had her knee replacement with an epidural rather than under general anaesthetic as this was deemed to be the safer option due to her irregular heartbeat. May was discharged from hospital 7 days after the operation and with no care package. She had an OT assessment in hospital but no equipment needs were identified, an environmental/home visit was not conducted. May received PT input on the ward which included being given a standard program of chair and bed exercises. She was assessed as being independently mobile with a rollator frame </w:t>
      </w:r>
    </w:p>
    <w:p w14:paraId="13B28C75" w14:textId="6A60722D" w:rsidR="00F3747E" w:rsidRPr="00246B23" w:rsidRDefault="00246B23" w:rsidP="00246B23">
      <w:pPr>
        <w:spacing w:line="360" w:lineRule="auto"/>
        <w:rPr>
          <w:sz w:val="24"/>
          <w:szCs w:val="24"/>
        </w:rPr>
      </w:pPr>
      <w:r w:rsidRPr="00246B23">
        <w:rPr>
          <w:sz w:val="24"/>
          <w:szCs w:val="24"/>
        </w:rPr>
        <w:t>May was referred for PT input to help her reach her goals, which were to progress mobility to walking unaided, and be independent on stairs. As TAPs are generic, an OT environmental assessment would be carried out and any identified needs addressed at the same time.</w:t>
      </w:r>
    </w:p>
    <w:p w14:paraId="4F34CC8F" w14:textId="7906937F" w:rsidR="004062B3" w:rsidRDefault="00F3747E" w:rsidP="005C27C4">
      <w:pPr>
        <w:spacing w:line="360" w:lineRule="auto"/>
        <w:rPr>
          <w:sz w:val="24"/>
          <w:szCs w:val="24"/>
          <w:u w:val="single"/>
        </w:rPr>
      </w:pPr>
      <w:r>
        <w:rPr>
          <w:sz w:val="24"/>
          <w:szCs w:val="24"/>
          <w:u w:val="single"/>
        </w:rPr>
        <w:t>Overview of co</w:t>
      </w:r>
      <w:r w:rsidR="00F84183">
        <w:rPr>
          <w:sz w:val="24"/>
          <w:szCs w:val="24"/>
          <w:u w:val="single"/>
        </w:rPr>
        <w:t xml:space="preserve">ndition </w:t>
      </w:r>
    </w:p>
    <w:p w14:paraId="259C514B" w14:textId="7251BFA6" w:rsidR="005C27C4" w:rsidRPr="003170AB" w:rsidRDefault="003170AB" w:rsidP="005C27C4">
      <w:pPr>
        <w:spacing w:line="360" w:lineRule="auto"/>
        <w:rPr>
          <w:sz w:val="24"/>
          <w:szCs w:val="24"/>
        </w:rPr>
      </w:pPr>
      <w:r w:rsidRPr="003170AB">
        <w:rPr>
          <w:sz w:val="24"/>
          <w:szCs w:val="24"/>
        </w:rPr>
        <w:lastRenderedPageBreak/>
        <w:t>Osteoarthritis (OA) is a chronic disease affecting the joint and its tissues, primarily leading to progressive damage to articular cartilage and, subsequently, to the subchondral bone and surrounding synovial structures. OA is a disabling condition with increasing incidence and prevalence in the general population. ( Giorgino et al 2023). The rate of progression differs from person to person. OA can affect any joint; however, the majority of affected joints are hips and knees.  Sharma (2021) tells us that many factors can be associated with an increased risk of OA, and can include age, sex, obesity, occupational factors and knee injury, with females over the age of 60 being more at risk. Symptoms of OA can include Pain, stiffness, reduced range of movement within the joint and muscle weakness. There is no cure for the disease and due to its progressive nature; OA of the knee can have a major    effect on people’s ability to carry out their ADL independently. This leads to OA having a big impact on health and social care systems. Abraham et al found that healthcare costs were almost doubled in patients with moderate to severe OA pain.</w:t>
      </w:r>
    </w:p>
    <w:p w14:paraId="74A29661" w14:textId="1AAFF40D" w:rsidR="00F3747E" w:rsidRDefault="00F3747E" w:rsidP="009A072D">
      <w:pPr>
        <w:spacing w:line="360" w:lineRule="auto"/>
        <w:rPr>
          <w:sz w:val="24"/>
          <w:szCs w:val="24"/>
          <w:u w:val="single"/>
        </w:rPr>
      </w:pPr>
      <w:r>
        <w:rPr>
          <w:sz w:val="24"/>
          <w:szCs w:val="24"/>
          <w:u w:val="single"/>
        </w:rPr>
        <w:t>Previous approach to condit</w:t>
      </w:r>
      <w:r w:rsidR="00F84183">
        <w:rPr>
          <w:sz w:val="24"/>
          <w:szCs w:val="24"/>
          <w:u w:val="single"/>
        </w:rPr>
        <w:t xml:space="preserve">ion </w:t>
      </w:r>
    </w:p>
    <w:p w14:paraId="3DBB6489" w14:textId="77777777" w:rsidR="00445E44" w:rsidRPr="00445E44" w:rsidRDefault="00445E44" w:rsidP="00445E44">
      <w:pPr>
        <w:spacing w:line="360" w:lineRule="auto"/>
        <w:rPr>
          <w:sz w:val="24"/>
          <w:szCs w:val="24"/>
        </w:rPr>
      </w:pPr>
      <w:r w:rsidRPr="00445E44">
        <w:rPr>
          <w:sz w:val="24"/>
          <w:szCs w:val="24"/>
        </w:rPr>
        <w:t xml:space="preserve">In the first instance, a Doctor, following physical examination and discussion, usually diagnoses OA. The cardinal symptom of OA is pain, which is typically provoked by load bearing and relieved by rest. (Katz et al 2021).  Other symptoms include stiffness following inactivity; increased pain brought on by movement of the joint and bony overgrowth that can be discovered on physical examination. Following the initial diagnosis patients will often be sent for imaging and this can be X-rays, Computed Tomography (CT scans) and/or Magnetic Resonance Imaging (MRI scans.) Scanning the joint will enable the physician to decide on the level of damage to the joint and the most appropriate treatment.  OA is a progressive disease (as stated above) and there is no cure. Early treatments include painkillers; anti-inflammatory gels and/or tablets. As the disease progresses treatments such as steroid injections into the affected joint may be required. Surgical interventions such as TKR are not usually performed until OA is more advanced. Therapy intervention is recommended through all stages of the disease and it often falls to the TAP to carry out these interventions. Physiotherapy TAPs will provide exercise programs for the patient to complete on a daily basis. Gentle exercise is recommended to keep the joint as mobile as possible even while it is deteriorating. However, Hunter and Hall (2023) suggest that improvements in pain and function are on average small to moderate.   In some cases more </w:t>
      </w:r>
      <w:r w:rsidRPr="00445E44">
        <w:rPr>
          <w:sz w:val="24"/>
          <w:szCs w:val="24"/>
        </w:rPr>
        <w:lastRenderedPageBreak/>
        <w:t xml:space="preserve">specialised exercise types such as hydrotherapy are offered – not all health boards have the facilities to offer this therapy. Whilst there may be some doubt over the true benefit of exercise, it is beneficial in helping patients with weight control, which is important as one of the main risk factors for OA is obesity. TAP’s will provide strengthening exercises to try to maintain stability in the joint and are generally more gentle than aerobic exercises, and there will normally be a mixture of seated, lying and standing exercises. </w:t>
      </w:r>
    </w:p>
    <w:p w14:paraId="590CBEC9" w14:textId="77777777" w:rsidR="00445E44" w:rsidRPr="00445E44" w:rsidRDefault="00445E44" w:rsidP="00445E44">
      <w:pPr>
        <w:spacing w:line="360" w:lineRule="auto"/>
        <w:rPr>
          <w:sz w:val="24"/>
          <w:szCs w:val="24"/>
        </w:rPr>
      </w:pPr>
      <w:r w:rsidRPr="00445E44">
        <w:rPr>
          <w:sz w:val="24"/>
          <w:szCs w:val="24"/>
        </w:rPr>
        <w:t>TAP’s will also be able to assess the patients environment and offer advice on and in some cases issue small aids and assistive equipment that will help patients maintain their independence with ADL. This can be something as simple as a sock aid or long handled shoe horn, to furniture raisers and raised toilet seats to make essential transfers easier.</w:t>
      </w:r>
    </w:p>
    <w:p w14:paraId="047216F0" w14:textId="59001376" w:rsidR="00F3747E" w:rsidRPr="00445E44" w:rsidRDefault="00445E44" w:rsidP="00445E44">
      <w:pPr>
        <w:spacing w:line="360" w:lineRule="auto"/>
        <w:rPr>
          <w:sz w:val="24"/>
          <w:szCs w:val="24"/>
        </w:rPr>
      </w:pPr>
      <w:r w:rsidRPr="00445E44">
        <w:rPr>
          <w:sz w:val="24"/>
          <w:szCs w:val="24"/>
        </w:rPr>
        <w:t xml:space="preserve">Evans et al (2019) points out that given time all TKR will fail and need revision. Despite this  NICE guidelines (2020) tells us that knee replacement is an established treatment once all non-surgical treatments have been tried, and reports that over 100,000 knee replacement procedures are performed in the United Kingdom each year, with TKR amounting to over 80% of those.  </w:t>
      </w:r>
    </w:p>
    <w:p w14:paraId="427A5985" w14:textId="258DB07A" w:rsidR="0051066F" w:rsidRPr="0051066F" w:rsidRDefault="00F3747E" w:rsidP="0051066F">
      <w:pPr>
        <w:spacing w:line="360" w:lineRule="auto"/>
        <w:rPr>
          <w:sz w:val="24"/>
          <w:szCs w:val="24"/>
          <w:u w:val="single"/>
        </w:rPr>
      </w:pPr>
      <w:r>
        <w:rPr>
          <w:sz w:val="24"/>
          <w:szCs w:val="24"/>
          <w:u w:val="single"/>
        </w:rPr>
        <w:t>Current approaches to the co</w:t>
      </w:r>
      <w:r w:rsidR="00F84183">
        <w:rPr>
          <w:sz w:val="24"/>
          <w:szCs w:val="24"/>
          <w:u w:val="single"/>
        </w:rPr>
        <w:t xml:space="preserve">ndition </w:t>
      </w:r>
    </w:p>
    <w:p w14:paraId="6AC920D3" w14:textId="77777777" w:rsidR="0051066F" w:rsidRPr="0051066F" w:rsidRDefault="0051066F" w:rsidP="0051066F">
      <w:pPr>
        <w:spacing w:line="360" w:lineRule="auto"/>
        <w:rPr>
          <w:sz w:val="24"/>
          <w:szCs w:val="24"/>
        </w:rPr>
      </w:pPr>
      <w:r w:rsidRPr="0051066F">
        <w:rPr>
          <w:sz w:val="24"/>
          <w:szCs w:val="24"/>
        </w:rPr>
        <w:t xml:space="preserve">Patients undergoing TKR are generally 55yrs of age and older. Ehsani et al (2020) advises that, the likelihood of patients in this age group, suffering from additional complications of General Anaesthetic (GA), such as post-operative delirium, are increased. Post-operative delirium can have serious implications on a patient’s recovery as it can have a significant effect on length of hospital stay, increasing risk of hospital-acquired infections. Ability to manage independent ADL, and participation in rehabilitation programs are also greatly affected. In an effort to combat this, TKRs are now being performed more and more under Spinal Anaesthetic (SA). (Matharu et al 2020) tells us that Regional anaesthesia can help reduce length of hospital stay, readmissions and other complications. </w:t>
      </w:r>
    </w:p>
    <w:p w14:paraId="40FD32DE" w14:textId="77777777" w:rsidR="0051066F" w:rsidRPr="0051066F" w:rsidRDefault="0051066F" w:rsidP="0051066F">
      <w:pPr>
        <w:spacing w:line="360" w:lineRule="auto"/>
        <w:rPr>
          <w:sz w:val="24"/>
          <w:szCs w:val="24"/>
        </w:rPr>
      </w:pPr>
      <w:r w:rsidRPr="0051066F">
        <w:rPr>
          <w:sz w:val="24"/>
          <w:szCs w:val="24"/>
        </w:rPr>
        <w:t xml:space="preserve">(Mancel,Van Loon and Lopez 2021) suggest that early mobilization following TKR positively influences the patient outcome. TAPs based on hospital wards will be actively involved in helping patients become mobile as soon as possible, along with the physiotherapist. Patients who received their surgery under SA could be ready for therapy input within 12 – 24 hours; however patients who have had a GA may have a delay in starting their physio </w:t>
      </w:r>
      <w:r w:rsidRPr="0051066F">
        <w:rPr>
          <w:sz w:val="24"/>
          <w:szCs w:val="24"/>
        </w:rPr>
        <w:lastRenderedPageBreak/>
        <w:t xml:space="preserve">due to time needed to recover from GA common side effects can include nausea and vomiting; prolonged tiredness and confusion, as advised by American Association of Anaesthesiologists. </w:t>
      </w:r>
    </w:p>
    <w:p w14:paraId="4C953DFF" w14:textId="77777777" w:rsidR="0051066F" w:rsidRPr="0051066F" w:rsidRDefault="0051066F" w:rsidP="0051066F">
      <w:pPr>
        <w:spacing w:line="360" w:lineRule="auto"/>
        <w:rPr>
          <w:sz w:val="24"/>
          <w:szCs w:val="24"/>
        </w:rPr>
      </w:pPr>
      <w:r w:rsidRPr="0051066F">
        <w:rPr>
          <w:sz w:val="24"/>
          <w:szCs w:val="24"/>
        </w:rPr>
        <w:t xml:space="preserve">TAPs will be involved with delivering physiotherapy programs and will work with the Hospital Occupational Therapists to provide any equipment or reablement required prior to discharge. </w:t>
      </w:r>
    </w:p>
    <w:p w14:paraId="71B5AC1F" w14:textId="14784731" w:rsidR="0051066F" w:rsidRPr="0051066F" w:rsidRDefault="0051066F" w:rsidP="0051066F">
      <w:pPr>
        <w:spacing w:line="360" w:lineRule="auto"/>
        <w:rPr>
          <w:sz w:val="24"/>
          <w:szCs w:val="24"/>
        </w:rPr>
      </w:pPr>
      <w:r w:rsidRPr="0051066F">
        <w:rPr>
          <w:sz w:val="24"/>
          <w:szCs w:val="24"/>
        </w:rPr>
        <w:t>With shorter lengths of stay, patients are more likely to require the help of Community Teams, such as the Community Reablement Team (CRT) Therapists, and possibly CRT reablement support workers. CRT TAPs will be able to offer 1:1 physio input tailored to meet the patient’s individual needs and goals, this is delivered in the patient’s own home and being in a familiar environment can be more comfortable for the patient, and this can lead to better outcomes. There is an argument that outpatient clinics are a safer environment for rehabilitation as they are usually held in a hospital setting with qualified staff on hand, specialist training equipment is available, such as parallel bars, rehabilitation steps, there are drawbacks as traditional Outpatient clinics can be less accessible to patients and outpatient groups are not as person centred. However, (Zhao et al 2023). Tells us that home based rehabilitation following TKR appears as effective, safe and cost efficient as outpatients.</w:t>
      </w:r>
    </w:p>
    <w:p w14:paraId="591EFC76" w14:textId="570C84A4" w:rsidR="00F3747E" w:rsidRDefault="00F3747E" w:rsidP="009A072D">
      <w:pPr>
        <w:spacing w:line="360" w:lineRule="auto"/>
        <w:rPr>
          <w:sz w:val="24"/>
          <w:szCs w:val="24"/>
          <w:u w:val="single"/>
        </w:rPr>
      </w:pPr>
      <w:r>
        <w:rPr>
          <w:sz w:val="24"/>
          <w:szCs w:val="24"/>
          <w:u w:val="single"/>
        </w:rPr>
        <w:t>Co-product</w:t>
      </w:r>
      <w:r w:rsidR="00F84183">
        <w:rPr>
          <w:sz w:val="24"/>
          <w:szCs w:val="24"/>
          <w:u w:val="single"/>
        </w:rPr>
        <w:t xml:space="preserve">ion </w:t>
      </w:r>
    </w:p>
    <w:p w14:paraId="5B4158CD" w14:textId="77777777" w:rsidR="00F75196" w:rsidRPr="00F75196" w:rsidRDefault="00F75196" w:rsidP="00F75196">
      <w:pPr>
        <w:spacing w:line="360" w:lineRule="auto"/>
        <w:rPr>
          <w:sz w:val="24"/>
          <w:szCs w:val="24"/>
        </w:rPr>
      </w:pPr>
      <w:r w:rsidRPr="00F75196">
        <w:rPr>
          <w:sz w:val="24"/>
          <w:szCs w:val="24"/>
        </w:rPr>
        <w:t>Co-production of health is defined as ‘the interdependent work of users and professionals who are creating, designing, producing, delivering, assessing, and evaluating the relationships and actions that contribute to the health of individuals and populations’ (Gremyr et al.2021)</w:t>
      </w:r>
    </w:p>
    <w:p w14:paraId="74F8A535" w14:textId="77777777" w:rsidR="00F75196" w:rsidRPr="00F75196" w:rsidRDefault="00F75196" w:rsidP="00F75196">
      <w:pPr>
        <w:spacing w:line="360" w:lineRule="auto"/>
        <w:rPr>
          <w:sz w:val="24"/>
          <w:szCs w:val="24"/>
        </w:rPr>
      </w:pPr>
      <w:r w:rsidRPr="00F75196">
        <w:rPr>
          <w:sz w:val="24"/>
          <w:szCs w:val="24"/>
        </w:rPr>
        <w:t>Individuals and agencies needed to work together can be split into a number of different areas, which include, Health, Social and third sector.</w:t>
      </w:r>
    </w:p>
    <w:p w14:paraId="01E6E24F" w14:textId="77777777" w:rsidR="00F75196" w:rsidRPr="00F75196" w:rsidRDefault="00F75196" w:rsidP="00F75196">
      <w:pPr>
        <w:spacing w:line="360" w:lineRule="auto"/>
        <w:rPr>
          <w:sz w:val="24"/>
          <w:szCs w:val="24"/>
        </w:rPr>
      </w:pPr>
      <w:r w:rsidRPr="00F75196">
        <w:rPr>
          <w:sz w:val="24"/>
          <w:szCs w:val="24"/>
        </w:rPr>
        <w:t xml:space="preserve">Within health there is the Consultant and surgical team who carried out May’s knee replacement; Other Allied Health Practitioners (AHP) working with May within the hospital before and after May’s surgery; District Nurses and GP and Colleagues within the CRT following May’s discharge. Working together is vital to providing a ‘seamless’ service for </w:t>
      </w:r>
      <w:r w:rsidRPr="00F75196">
        <w:rPr>
          <w:sz w:val="24"/>
          <w:szCs w:val="24"/>
        </w:rPr>
        <w:lastRenderedPageBreak/>
        <w:t>May, as details of operation and any restrictions during rehabilitation, such as weight bearing restrictions, need to be passed on. District Nurses will need to take over wound care and GP’s will monitor pain relief.</w:t>
      </w:r>
    </w:p>
    <w:p w14:paraId="1184B483" w14:textId="77777777" w:rsidR="00F75196" w:rsidRPr="00F75196" w:rsidRDefault="00F75196" w:rsidP="00F75196">
      <w:pPr>
        <w:spacing w:line="360" w:lineRule="auto"/>
        <w:rPr>
          <w:sz w:val="24"/>
          <w:szCs w:val="24"/>
        </w:rPr>
      </w:pPr>
      <w:r w:rsidRPr="00F75196">
        <w:rPr>
          <w:sz w:val="24"/>
          <w:szCs w:val="24"/>
        </w:rPr>
        <w:t xml:space="preserve">Wolfe et al 2020. Tells us Family and unpaid caregivers often play an active role in managing the care of older adults with activity limitations. In May’s case she will need assistance with shopping, laundry etc. </w:t>
      </w:r>
    </w:p>
    <w:p w14:paraId="2B0DC7D5" w14:textId="77777777" w:rsidR="00F75196" w:rsidRPr="00F75196" w:rsidRDefault="00F75196" w:rsidP="00F75196">
      <w:pPr>
        <w:spacing w:line="360" w:lineRule="auto"/>
        <w:rPr>
          <w:sz w:val="24"/>
          <w:szCs w:val="24"/>
        </w:rPr>
      </w:pPr>
      <w:r w:rsidRPr="00F75196">
        <w:rPr>
          <w:sz w:val="24"/>
          <w:szCs w:val="24"/>
        </w:rPr>
        <w:t xml:space="preserve">Barriers to co-production can be lack of staff within other health teams –might not have received optimal intervention when an inpatient, this can also be due to pressures on the health service and bed shortages combined with policies to discharge patients as soon as possible.  Breakdown in communication from the hospital teams to the community teams can also be a problem. Often referrals do not contain all the information the CRT staff will need in order to provide the best interventions for patient.  In May’s case, this could be something as simple as no record of when the Consultant wishes to conduct a review in fracture clinic. Referrals made to two or more teams because different professionals make them. For example, Consultant referred to outpatients and discharge team referred to CRT; both referrals were for Physiotherapy intervention.  </w:t>
      </w:r>
    </w:p>
    <w:p w14:paraId="4AB7F060" w14:textId="77777777" w:rsidR="00F75196" w:rsidRPr="00F75196" w:rsidRDefault="00F75196" w:rsidP="00F75196">
      <w:pPr>
        <w:spacing w:line="360" w:lineRule="auto"/>
        <w:rPr>
          <w:sz w:val="24"/>
          <w:szCs w:val="24"/>
        </w:rPr>
      </w:pPr>
      <w:r w:rsidRPr="00F75196">
        <w:rPr>
          <w:sz w:val="24"/>
          <w:szCs w:val="24"/>
        </w:rPr>
        <w:t xml:space="preserve">There are a number of barriers encountered when trying to work collaboratively with GP’s. these include lack of home visits and difficulty obtaining face to face appointments. </w:t>
      </w:r>
    </w:p>
    <w:p w14:paraId="0D8D5CFC" w14:textId="77777777" w:rsidR="00F75196" w:rsidRPr="00F75196" w:rsidRDefault="00F75196" w:rsidP="00F75196">
      <w:pPr>
        <w:spacing w:line="360" w:lineRule="auto"/>
        <w:rPr>
          <w:sz w:val="24"/>
          <w:szCs w:val="24"/>
        </w:rPr>
      </w:pPr>
      <w:r w:rsidRPr="00F75196">
        <w:rPr>
          <w:sz w:val="24"/>
          <w:szCs w:val="24"/>
        </w:rPr>
        <w:t xml:space="preserve">Difficulties also arise when having to rely on family members, extended family members often have full lives or live away.  TAPs will often need to overcome family member’s uninformed expectations. In May’s case the problem was that family members were trying to stop May from doing things that they felt were unsafe despite the TAP having completed assessments and having deemed May safe to do. </w:t>
      </w:r>
    </w:p>
    <w:p w14:paraId="16496371" w14:textId="0334D551" w:rsidR="00F75196" w:rsidRPr="00F75196" w:rsidRDefault="00F75196" w:rsidP="00F75196">
      <w:pPr>
        <w:spacing w:line="360" w:lineRule="auto"/>
        <w:rPr>
          <w:sz w:val="24"/>
          <w:szCs w:val="24"/>
        </w:rPr>
      </w:pPr>
      <w:r w:rsidRPr="00F75196">
        <w:rPr>
          <w:sz w:val="24"/>
          <w:szCs w:val="24"/>
        </w:rPr>
        <w:t>Despite the acknowledgement of a number of barriers to co-production, Masterson et al 2022 recommend that the focus shift towards advocating for it.</w:t>
      </w:r>
    </w:p>
    <w:p w14:paraId="5D065F41" w14:textId="0688A629" w:rsidR="00F3747E" w:rsidRDefault="00F3747E" w:rsidP="009A072D">
      <w:pPr>
        <w:spacing w:line="360" w:lineRule="auto"/>
        <w:rPr>
          <w:sz w:val="24"/>
          <w:szCs w:val="24"/>
          <w:u w:val="single"/>
        </w:rPr>
      </w:pPr>
      <w:r>
        <w:rPr>
          <w:sz w:val="24"/>
          <w:szCs w:val="24"/>
          <w:u w:val="single"/>
        </w:rPr>
        <w:t>Clinical governance and supervision framew</w:t>
      </w:r>
      <w:r w:rsidR="00F84183">
        <w:rPr>
          <w:sz w:val="24"/>
          <w:szCs w:val="24"/>
          <w:u w:val="single"/>
        </w:rPr>
        <w:t xml:space="preserve">ork </w:t>
      </w:r>
    </w:p>
    <w:p w14:paraId="1209A839" w14:textId="77777777" w:rsidR="0009349C" w:rsidRPr="0009349C" w:rsidRDefault="0009349C" w:rsidP="0009349C">
      <w:pPr>
        <w:spacing w:line="360" w:lineRule="auto"/>
        <w:rPr>
          <w:sz w:val="24"/>
          <w:szCs w:val="24"/>
        </w:rPr>
      </w:pPr>
      <w:r w:rsidRPr="0009349C">
        <w:rPr>
          <w:sz w:val="24"/>
          <w:szCs w:val="24"/>
        </w:rPr>
        <w:t>Clinical governance is an umbrella term that encompasses quality assurance, quality improvement and risk and incident management. (Blanks and Wright. 2023)</w:t>
      </w:r>
    </w:p>
    <w:p w14:paraId="17875BD7" w14:textId="77777777" w:rsidR="0009349C" w:rsidRPr="0009349C" w:rsidRDefault="0009349C" w:rsidP="0009349C">
      <w:pPr>
        <w:spacing w:line="360" w:lineRule="auto"/>
        <w:rPr>
          <w:sz w:val="24"/>
          <w:szCs w:val="24"/>
        </w:rPr>
      </w:pPr>
      <w:r w:rsidRPr="0009349C">
        <w:rPr>
          <w:sz w:val="24"/>
          <w:szCs w:val="24"/>
        </w:rPr>
        <w:t>There are ‘seven pillars’ of clinical governance, which are</w:t>
      </w:r>
    </w:p>
    <w:p w14:paraId="3EDB055F" w14:textId="77777777" w:rsidR="0009349C" w:rsidRPr="0009349C" w:rsidRDefault="0009349C" w:rsidP="0009349C">
      <w:pPr>
        <w:spacing w:line="360" w:lineRule="auto"/>
        <w:rPr>
          <w:sz w:val="24"/>
          <w:szCs w:val="24"/>
        </w:rPr>
      </w:pPr>
      <w:r w:rsidRPr="0009349C">
        <w:rPr>
          <w:sz w:val="24"/>
          <w:szCs w:val="24"/>
        </w:rPr>
        <w:lastRenderedPageBreak/>
        <w:t>1.Risk Management. 2. Staff Management. 3. Information management. 4. Training and education. 5. Service user engagement. 6. Clinical effectiveness. 7. Quality and clinical audit.</w:t>
      </w:r>
    </w:p>
    <w:p w14:paraId="7369E52D" w14:textId="77777777" w:rsidR="0009349C" w:rsidRPr="0009349C" w:rsidRDefault="0009349C" w:rsidP="0009349C">
      <w:pPr>
        <w:spacing w:line="360" w:lineRule="auto"/>
        <w:rPr>
          <w:sz w:val="24"/>
          <w:szCs w:val="24"/>
        </w:rPr>
      </w:pPr>
      <w:r w:rsidRPr="0009349C">
        <w:rPr>
          <w:sz w:val="24"/>
          <w:szCs w:val="24"/>
        </w:rPr>
        <w:t>I looked at two of these pillars and their relevance to the role of the TAP.</w:t>
      </w:r>
    </w:p>
    <w:p w14:paraId="4089DD1E" w14:textId="77777777" w:rsidR="0009349C" w:rsidRPr="0009349C" w:rsidRDefault="0009349C" w:rsidP="0009349C">
      <w:pPr>
        <w:spacing w:line="360" w:lineRule="auto"/>
        <w:rPr>
          <w:sz w:val="24"/>
          <w:szCs w:val="24"/>
        </w:rPr>
      </w:pPr>
      <w:r w:rsidRPr="0009349C">
        <w:rPr>
          <w:sz w:val="24"/>
          <w:szCs w:val="24"/>
        </w:rPr>
        <w:t xml:space="preserve">Service user engagement. – The role of the TAP is patient facing and reliant on building strong connections with those patients. A good rapport between patient and therapy staff makes it more likely that the therapy intervention will have a good outcome. This is confirmed by Black et al (2014) who reported “ The aspect of experience most strongly associated with a better outcome was the level of communication with and trust in their doctor”.   Service user feedback and therapy outcome measures, are used to measure the level of service user engagement. Known as Patient reported outcome measures (Proms) and Patient reported experience measures (Prems). Kingsley and Patel (2017) explain that data gathered by using Proms and Prems has many uses including quality evaluation. This can be a vital tool in service development, and measuring service quality. However, relying on patient surveys and questionnaires has its drawbacks, as patients may not provide accurate data. The engagement of patients to Proms and Prems can often depend on how the data is collected, especially in the community setting where a large number of patients are elderly. Electronic forms can be difficult to access for the elderly for example. One solution to this is for therapy staff to assist the patient to complete the forms, unfortunately this may mean that patients don’t provide honest responses as they are concerned about upsetting the therapist. </w:t>
      </w:r>
    </w:p>
    <w:p w14:paraId="21F8E8D4" w14:textId="03F4A5CA" w:rsidR="00AA654A" w:rsidRDefault="0009349C" w:rsidP="0009349C">
      <w:pPr>
        <w:spacing w:line="360" w:lineRule="auto"/>
        <w:rPr>
          <w:sz w:val="24"/>
          <w:szCs w:val="24"/>
        </w:rPr>
      </w:pPr>
      <w:r w:rsidRPr="0009349C">
        <w:rPr>
          <w:sz w:val="24"/>
          <w:szCs w:val="24"/>
        </w:rPr>
        <w:t>Information management – A lot of data is collected by health care professionals while they are treating patients. This data is protected by the General Data Protection Regulation (GDPR) and Data Protection Act 2018. Only information that is needed for the effective treatment of the patient should be collected and kept. Consent to share information, even between health care professionals must be gained from the patient, information can only be kept for as long as it is needed and must be stored and destroyed securely.</w:t>
      </w:r>
    </w:p>
    <w:p w14:paraId="1BAC7FAA" w14:textId="320DB61A" w:rsidR="00F3747E" w:rsidRDefault="008D64A6" w:rsidP="009A072D">
      <w:pPr>
        <w:spacing w:line="360" w:lineRule="auto"/>
        <w:rPr>
          <w:sz w:val="24"/>
          <w:szCs w:val="24"/>
          <w:u w:val="single"/>
        </w:rPr>
      </w:pPr>
      <w:r>
        <w:rPr>
          <w:sz w:val="24"/>
          <w:szCs w:val="24"/>
          <w:u w:val="single"/>
        </w:rPr>
        <w:t xml:space="preserve"> </w:t>
      </w:r>
      <w:r w:rsidR="00F3747E">
        <w:rPr>
          <w:sz w:val="24"/>
          <w:szCs w:val="24"/>
          <w:u w:val="single"/>
        </w:rPr>
        <w:t>Conclusion and recommendati</w:t>
      </w:r>
      <w:r w:rsidR="00F84183">
        <w:rPr>
          <w:sz w:val="24"/>
          <w:szCs w:val="24"/>
          <w:u w:val="single"/>
        </w:rPr>
        <w:t xml:space="preserve">ons </w:t>
      </w:r>
    </w:p>
    <w:p w14:paraId="2F55BE44" w14:textId="77777777" w:rsidR="00125B27" w:rsidRPr="00125B27" w:rsidRDefault="00125B27" w:rsidP="00125B27">
      <w:pPr>
        <w:spacing w:line="360" w:lineRule="auto"/>
        <w:rPr>
          <w:sz w:val="24"/>
          <w:szCs w:val="24"/>
        </w:rPr>
      </w:pPr>
      <w:r w:rsidRPr="00125B27">
        <w:rPr>
          <w:sz w:val="24"/>
          <w:szCs w:val="24"/>
        </w:rPr>
        <w:t xml:space="preserve">Osteoarthritis is the most frequent reason for activity limitation in adults.(Katz et al 2021).  </w:t>
      </w:r>
    </w:p>
    <w:p w14:paraId="077107DB" w14:textId="77777777" w:rsidR="00125B27" w:rsidRPr="00125B27" w:rsidRDefault="00125B27" w:rsidP="00125B27">
      <w:pPr>
        <w:spacing w:line="360" w:lineRule="auto"/>
        <w:rPr>
          <w:sz w:val="24"/>
          <w:szCs w:val="24"/>
        </w:rPr>
      </w:pPr>
      <w:r w:rsidRPr="00125B27">
        <w:rPr>
          <w:sz w:val="24"/>
          <w:szCs w:val="24"/>
        </w:rPr>
        <w:lastRenderedPageBreak/>
        <w:t>TKRs are not an easy fix, not only because of the need for revision, but also because of the post-operative care. As they are a ‘last resort’ treatment the patient will have lived with increasing pain and decreased mobility of the joint for a long time, and this can make recovery harder.</w:t>
      </w:r>
    </w:p>
    <w:p w14:paraId="1647052C" w14:textId="77777777" w:rsidR="00125B27" w:rsidRPr="00125B27" w:rsidRDefault="00125B27" w:rsidP="00125B27">
      <w:pPr>
        <w:spacing w:line="360" w:lineRule="auto"/>
        <w:rPr>
          <w:sz w:val="24"/>
          <w:szCs w:val="24"/>
        </w:rPr>
      </w:pPr>
      <w:r w:rsidRPr="00125B27">
        <w:rPr>
          <w:sz w:val="24"/>
          <w:szCs w:val="24"/>
        </w:rPr>
        <w:t xml:space="preserve">Therapy intervention prior to surgery can help to delay the progression of the disease and help to manage pain relief. </w:t>
      </w:r>
    </w:p>
    <w:p w14:paraId="3D9E2DB2" w14:textId="77777777" w:rsidR="00125B27" w:rsidRPr="00125B27" w:rsidRDefault="00125B27" w:rsidP="00125B27">
      <w:pPr>
        <w:spacing w:line="360" w:lineRule="auto"/>
        <w:rPr>
          <w:sz w:val="24"/>
          <w:szCs w:val="24"/>
        </w:rPr>
      </w:pPr>
      <w:r w:rsidRPr="00125B27">
        <w:rPr>
          <w:sz w:val="24"/>
          <w:szCs w:val="24"/>
        </w:rPr>
        <w:t>Recent developments in anaesthesia have discovered that patients who have a TKR under spinal anaesthesia can have a significantly higher success rate, than those who have a general.</w:t>
      </w:r>
    </w:p>
    <w:p w14:paraId="1E92227F" w14:textId="4A6720C5" w:rsidR="00974068" w:rsidRDefault="00125B27" w:rsidP="00125B27">
      <w:pPr>
        <w:spacing w:line="360" w:lineRule="auto"/>
        <w:rPr>
          <w:sz w:val="24"/>
          <w:szCs w:val="24"/>
        </w:rPr>
      </w:pPr>
      <w:r w:rsidRPr="00125B27">
        <w:rPr>
          <w:sz w:val="24"/>
          <w:szCs w:val="24"/>
        </w:rPr>
        <w:t>Owen et al (2022). In the largest single institutional report to date, we found that spinal anaesthesia was associated with significantly lower oral morphine use, lower risk of altered mental state, and lower overall 30- and 90-day readmissions following primary TKRs. Additionally, spinal anaesthesia was associated with reduced risk of any revision and any reoperation after accounting for numerous patient and operative factors. When possible and safe, spinal anaesthesia should be considered in primary TKRs.</w:t>
      </w:r>
    </w:p>
    <w:p w14:paraId="7160F30A" w14:textId="3B8B7CA0" w:rsidR="00125B27" w:rsidRDefault="00125B27" w:rsidP="00125B27">
      <w:pPr>
        <w:spacing w:line="360" w:lineRule="auto"/>
        <w:rPr>
          <w:sz w:val="24"/>
          <w:szCs w:val="24"/>
        </w:rPr>
      </w:pPr>
    </w:p>
    <w:p w14:paraId="7A02C32A" w14:textId="393F068B" w:rsidR="00974068" w:rsidRDefault="00974068" w:rsidP="009A072D">
      <w:pPr>
        <w:spacing w:line="360" w:lineRule="auto"/>
        <w:rPr>
          <w:sz w:val="24"/>
          <w:szCs w:val="24"/>
          <w:u w:val="single"/>
        </w:rPr>
      </w:pPr>
    </w:p>
    <w:p w14:paraId="41EADE5C" w14:textId="6F058D30" w:rsidR="00C1018F" w:rsidRDefault="00C1018F" w:rsidP="009A072D">
      <w:pPr>
        <w:spacing w:line="360" w:lineRule="auto"/>
        <w:rPr>
          <w:sz w:val="24"/>
          <w:szCs w:val="24"/>
          <w:u w:val="single"/>
        </w:rPr>
      </w:pPr>
    </w:p>
    <w:p w14:paraId="430658BB" w14:textId="18F1E818" w:rsidR="00C1018F" w:rsidRDefault="00C1018F" w:rsidP="009A072D">
      <w:pPr>
        <w:spacing w:line="360" w:lineRule="auto"/>
        <w:rPr>
          <w:sz w:val="24"/>
          <w:szCs w:val="24"/>
          <w:u w:val="single"/>
        </w:rPr>
      </w:pPr>
    </w:p>
    <w:p w14:paraId="13619459" w14:textId="0ED3AC75" w:rsidR="00C1018F" w:rsidRDefault="00C1018F" w:rsidP="009A072D">
      <w:pPr>
        <w:spacing w:line="360" w:lineRule="auto"/>
        <w:rPr>
          <w:sz w:val="24"/>
          <w:szCs w:val="24"/>
          <w:u w:val="single"/>
        </w:rPr>
      </w:pPr>
    </w:p>
    <w:p w14:paraId="698BC5C4" w14:textId="1D455188" w:rsidR="00C1018F" w:rsidRDefault="00C1018F" w:rsidP="009A072D">
      <w:pPr>
        <w:spacing w:line="360" w:lineRule="auto"/>
        <w:rPr>
          <w:sz w:val="24"/>
          <w:szCs w:val="24"/>
          <w:u w:val="single"/>
        </w:rPr>
      </w:pPr>
    </w:p>
    <w:p w14:paraId="07559D3C" w14:textId="50CF65D8" w:rsidR="00C1018F" w:rsidRDefault="00C1018F" w:rsidP="009A072D">
      <w:pPr>
        <w:spacing w:line="360" w:lineRule="auto"/>
        <w:rPr>
          <w:sz w:val="24"/>
          <w:szCs w:val="24"/>
          <w:u w:val="single"/>
        </w:rPr>
      </w:pPr>
    </w:p>
    <w:p w14:paraId="3F82EE7A" w14:textId="73D54B28" w:rsidR="00C1018F" w:rsidRDefault="00C1018F" w:rsidP="009A072D">
      <w:pPr>
        <w:spacing w:line="360" w:lineRule="auto"/>
        <w:rPr>
          <w:sz w:val="24"/>
          <w:szCs w:val="24"/>
          <w:u w:val="single"/>
        </w:rPr>
      </w:pPr>
    </w:p>
    <w:p w14:paraId="58B1356A" w14:textId="4CCF2474" w:rsidR="00C1018F" w:rsidRDefault="00C1018F" w:rsidP="009A072D">
      <w:pPr>
        <w:spacing w:line="360" w:lineRule="auto"/>
        <w:rPr>
          <w:sz w:val="24"/>
          <w:szCs w:val="24"/>
          <w:u w:val="single"/>
        </w:rPr>
      </w:pPr>
    </w:p>
    <w:p w14:paraId="41B649D6" w14:textId="77777777" w:rsidR="00C1018F" w:rsidRDefault="00C1018F" w:rsidP="009A072D">
      <w:pPr>
        <w:spacing w:line="360" w:lineRule="auto"/>
        <w:rPr>
          <w:sz w:val="24"/>
          <w:szCs w:val="24"/>
          <w:u w:val="single"/>
        </w:rPr>
      </w:pPr>
    </w:p>
    <w:p w14:paraId="4A9C7DF2" w14:textId="54AF0A29" w:rsidR="00F3747E" w:rsidRPr="00F3747E" w:rsidRDefault="00F3747E" w:rsidP="009A072D">
      <w:pPr>
        <w:spacing w:line="360" w:lineRule="auto"/>
        <w:rPr>
          <w:sz w:val="24"/>
          <w:szCs w:val="24"/>
          <w:u w:val="single"/>
        </w:rPr>
      </w:pPr>
    </w:p>
    <w:p w14:paraId="6AC16EDB" w14:textId="3F6A2376" w:rsidR="009A072D" w:rsidRDefault="009A072D" w:rsidP="009A072D">
      <w:pPr>
        <w:spacing w:line="360" w:lineRule="auto"/>
        <w:rPr>
          <w:sz w:val="24"/>
          <w:szCs w:val="24"/>
          <w:u w:val="single"/>
        </w:rPr>
      </w:pPr>
      <w:r w:rsidRPr="009A072D">
        <w:rPr>
          <w:sz w:val="24"/>
          <w:szCs w:val="24"/>
          <w:u w:val="single"/>
        </w:rPr>
        <w:lastRenderedPageBreak/>
        <w:t>References</w:t>
      </w:r>
      <w:r w:rsidR="00F84183">
        <w:rPr>
          <w:sz w:val="24"/>
          <w:szCs w:val="24"/>
          <w:u w:val="single"/>
        </w:rPr>
        <w:t xml:space="preserve"> </w:t>
      </w:r>
    </w:p>
    <w:p w14:paraId="4699B152" w14:textId="3182AB7A" w:rsidR="00830B6B" w:rsidRDefault="00C1018F" w:rsidP="009A072D">
      <w:pPr>
        <w:spacing w:line="360" w:lineRule="auto"/>
        <w:rPr>
          <w:sz w:val="24"/>
          <w:szCs w:val="24"/>
        </w:rPr>
      </w:pPr>
      <w:r w:rsidRPr="00C1018F">
        <w:rPr>
          <w:sz w:val="24"/>
          <w:szCs w:val="24"/>
        </w:rPr>
        <w:t>Grässel, S. and Muschter, D., 2020. Recent advances in the treatment of osteoarthritis. F1000Research, 9.</w:t>
      </w:r>
    </w:p>
    <w:p w14:paraId="7CF927AE" w14:textId="6FEBDB13" w:rsidR="00C1018F" w:rsidRDefault="00C1018F" w:rsidP="009A072D">
      <w:pPr>
        <w:spacing w:line="360" w:lineRule="auto"/>
        <w:rPr>
          <w:sz w:val="24"/>
          <w:szCs w:val="24"/>
        </w:rPr>
      </w:pPr>
      <w:r w:rsidRPr="00C1018F">
        <w:rPr>
          <w:sz w:val="24"/>
          <w:szCs w:val="24"/>
        </w:rPr>
        <w:t>Giorgino, R., Albano, D., Fusco, S., Peretti, G.M., Mangiavini, L. and Messina, C., 2023. Knee osteoarthritis: epidemiology, pathogenesis, and mesenchymal stem cells: what else is new? An update. International journal of molecular sciences, 24(7), p.6405.</w:t>
      </w:r>
    </w:p>
    <w:p w14:paraId="4640567F" w14:textId="5DEF9313" w:rsidR="00C1018F" w:rsidRDefault="00C1018F" w:rsidP="009A072D">
      <w:pPr>
        <w:spacing w:line="360" w:lineRule="auto"/>
        <w:rPr>
          <w:sz w:val="24"/>
          <w:szCs w:val="24"/>
        </w:rPr>
      </w:pPr>
      <w:r w:rsidRPr="00C1018F">
        <w:rPr>
          <w:sz w:val="24"/>
          <w:szCs w:val="24"/>
        </w:rPr>
        <w:t>Grässel, S. and Muschter, D., 2020. Recent advances in the treatment of osteoarthritis. F1000Research, 9.</w:t>
      </w:r>
    </w:p>
    <w:p w14:paraId="183D2B88" w14:textId="77777777" w:rsidR="00C1018F" w:rsidRPr="00C1018F" w:rsidRDefault="00C1018F" w:rsidP="00C1018F">
      <w:pPr>
        <w:rPr>
          <w:sz w:val="24"/>
          <w:szCs w:val="24"/>
        </w:rPr>
      </w:pPr>
      <w:r w:rsidRPr="00C1018F">
        <w:rPr>
          <w:sz w:val="24"/>
          <w:szCs w:val="24"/>
        </w:rPr>
        <w:t>Sharma, L., 2021. Osteoarthritis of the knee. New England Journal of Medicine, 384(1), pp.51-59.</w:t>
      </w:r>
    </w:p>
    <w:p w14:paraId="38F81912" w14:textId="77777777" w:rsidR="00C1018F" w:rsidRPr="00C1018F" w:rsidRDefault="00C1018F" w:rsidP="00C1018F">
      <w:pPr>
        <w:spacing w:line="360" w:lineRule="auto"/>
        <w:rPr>
          <w:sz w:val="24"/>
          <w:szCs w:val="24"/>
        </w:rPr>
      </w:pPr>
      <w:r w:rsidRPr="00C1018F">
        <w:rPr>
          <w:sz w:val="24"/>
          <w:szCs w:val="24"/>
        </w:rPr>
        <w:t>Giorgino, R., Albano, D., Fusco, S., Peretti, G.M., Mangiavini, L. and Messina, C., 2023. Knee osteoarthritis: epidemiology, pathogenesis, and mesenchymal stem cells: what else is new? An update. International journal of molecular sciences, 24(7), p.6405.</w:t>
      </w:r>
    </w:p>
    <w:p w14:paraId="20E6A9D9" w14:textId="77777777" w:rsidR="00C1018F" w:rsidRPr="00C1018F" w:rsidRDefault="00C1018F" w:rsidP="00C1018F">
      <w:pPr>
        <w:spacing w:line="360" w:lineRule="auto"/>
        <w:rPr>
          <w:sz w:val="24"/>
          <w:szCs w:val="24"/>
        </w:rPr>
      </w:pPr>
      <w:r w:rsidRPr="00C1018F">
        <w:rPr>
          <w:sz w:val="24"/>
          <w:szCs w:val="24"/>
        </w:rPr>
        <w:t>Sharma, L., 2021. Osteoarthritis of the knee. New England Journal of Medicine, 384(1), pp.51-59.</w:t>
      </w:r>
    </w:p>
    <w:p w14:paraId="4AEA25CE" w14:textId="65497937" w:rsidR="00C1018F" w:rsidRDefault="00C1018F" w:rsidP="00C1018F">
      <w:pPr>
        <w:spacing w:line="360" w:lineRule="auto"/>
        <w:rPr>
          <w:sz w:val="24"/>
          <w:szCs w:val="24"/>
        </w:rPr>
      </w:pPr>
      <w:r w:rsidRPr="00C1018F">
        <w:rPr>
          <w:sz w:val="24"/>
          <w:szCs w:val="24"/>
        </w:rPr>
        <w:t>Abraham, L., Halsby, K., Stein, N., Wrona, B., Emir, B. and Stevenson, H., 2022. An observational retrospective matched cohort study of healthcare resource utilisation and costs in UK patients with moderate to severe Osteoarthritis pain. Rheumatology and Therapy, 9(3), pp.851-874.</w:t>
      </w:r>
    </w:p>
    <w:p w14:paraId="385CD4F5" w14:textId="77777777" w:rsidR="00C1018F" w:rsidRPr="00C1018F" w:rsidRDefault="00C1018F" w:rsidP="00C1018F">
      <w:pPr>
        <w:spacing w:line="360" w:lineRule="auto"/>
        <w:rPr>
          <w:sz w:val="24"/>
          <w:szCs w:val="24"/>
        </w:rPr>
      </w:pPr>
      <w:r w:rsidRPr="00C1018F">
        <w:rPr>
          <w:sz w:val="24"/>
          <w:szCs w:val="24"/>
        </w:rPr>
        <w:t>Katz, J.N., Arant, K.R. and Loeser, R.F., 2021. Diagnosis and treatment of hip and knee osteoarthritis: a review. Jama, 325(6), pp.568-578.</w:t>
      </w:r>
    </w:p>
    <w:p w14:paraId="5C628F26" w14:textId="77777777" w:rsidR="00C1018F" w:rsidRPr="00C1018F" w:rsidRDefault="00C1018F" w:rsidP="00C1018F">
      <w:pPr>
        <w:spacing w:line="360" w:lineRule="auto"/>
        <w:rPr>
          <w:sz w:val="24"/>
          <w:szCs w:val="24"/>
        </w:rPr>
      </w:pPr>
      <w:r w:rsidRPr="00C1018F">
        <w:rPr>
          <w:sz w:val="24"/>
          <w:szCs w:val="24"/>
        </w:rPr>
        <w:t>Hunter, D.J. and Hall, M., 2023. Time to revisit the therapeutic benefits of exercise for osteoarthritis?. The Lancet Rheumatology, 5(7), pp.e365-e367.#</w:t>
      </w:r>
    </w:p>
    <w:p w14:paraId="4C1A7DF8" w14:textId="77777777" w:rsidR="00C1018F" w:rsidRPr="00C1018F" w:rsidRDefault="00C1018F" w:rsidP="00C1018F">
      <w:pPr>
        <w:spacing w:line="360" w:lineRule="auto"/>
        <w:rPr>
          <w:sz w:val="24"/>
          <w:szCs w:val="24"/>
        </w:rPr>
      </w:pPr>
      <w:r w:rsidRPr="00C1018F">
        <w:rPr>
          <w:sz w:val="24"/>
          <w:szCs w:val="24"/>
        </w:rPr>
        <w:t>Evans, J.T., Walker, R.W., Evans, J.P., Blom, A.W., Sayers, A. and Whitehouse, M.R., 2019. How long does a knee replacement last? A systematic review and meta-analysis of case series and national registry reports with more than 15 years of follow-up. The Lancet, 393(10172), pp.655-663.</w:t>
      </w:r>
    </w:p>
    <w:p w14:paraId="4EBC1237" w14:textId="0A2D628A" w:rsidR="00C1018F" w:rsidRDefault="00C1018F" w:rsidP="00C1018F">
      <w:pPr>
        <w:spacing w:line="360" w:lineRule="auto"/>
        <w:rPr>
          <w:sz w:val="24"/>
          <w:szCs w:val="24"/>
        </w:rPr>
      </w:pPr>
      <w:r w:rsidRPr="00C1018F">
        <w:rPr>
          <w:sz w:val="24"/>
          <w:szCs w:val="24"/>
        </w:rPr>
        <w:t>UK, N.G.C., 2020. Evidence review for total knee replacement.</w:t>
      </w:r>
    </w:p>
    <w:p w14:paraId="779B1C65" w14:textId="77777777" w:rsidR="00C1018F" w:rsidRPr="00C1018F" w:rsidRDefault="00C1018F" w:rsidP="00C1018F">
      <w:pPr>
        <w:spacing w:line="360" w:lineRule="auto"/>
        <w:rPr>
          <w:sz w:val="24"/>
          <w:szCs w:val="24"/>
        </w:rPr>
      </w:pPr>
      <w:r w:rsidRPr="00C1018F">
        <w:rPr>
          <w:sz w:val="24"/>
          <w:szCs w:val="24"/>
        </w:rPr>
        <w:lastRenderedPageBreak/>
        <w:t>Ehsani, R., Motlagh, S.D., Zaman, B., Kashani, S.S. and Ghodraty, M.R., 2020. Effect of general versus spinal anesthesia on postoperative delirium and early cognitive dysfunction in elderly patients. Anesthesiology and pain medicine, 10(4).</w:t>
      </w:r>
    </w:p>
    <w:p w14:paraId="149D392B" w14:textId="77777777" w:rsidR="00C1018F" w:rsidRPr="00C1018F" w:rsidRDefault="00C1018F" w:rsidP="00C1018F">
      <w:pPr>
        <w:spacing w:line="360" w:lineRule="auto"/>
        <w:rPr>
          <w:sz w:val="24"/>
          <w:szCs w:val="24"/>
        </w:rPr>
      </w:pPr>
      <w:r w:rsidRPr="00C1018F">
        <w:rPr>
          <w:sz w:val="24"/>
          <w:szCs w:val="24"/>
        </w:rPr>
        <w:t>Matharu, G.S., Garriga, C., Rangan, A. and Judge, A., 2020. Does regional anesthesia reduce complications following total hip and knee replacement compared with general anesthesia? An analysis from the National Joint Registry for England, Wales, Northern Ireland and the Isle of Man. The Journal of arthroplasty, 35(6), pp.1521-1528.</w:t>
      </w:r>
    </w:p>
    <w:p w14:paraId="6EA6DE71" w14:textId="77777777" w:rsidR="00C1018F" w:rsidRPr="00C1018F" w:rsidRDefault="00C1018F" w:rsidP="00C1018F">
      <w:pPr>
        <w:spacing w:line="360" w:lineRule="auto"/>
        <w:rPr>
          <w:sz w:val="24"/>
          <w:szCs w:val="24"/>
        </w:rPr>
      </w:pPr>
      <w:r w:rsidRPr="00C1018F">
        <w:rPr>
          <w:sz w:val="24"/>
          <w:szCs w:val="24"/>
        </w:rPr>
        <w:t>Mancel, L., Van Loon, K. and Lopez, A.M., 2021. Role of regional anesthesia in Enhanced Recovery After Surgery (ERAS) protocols. Current Opinion in Anesthesiology, 34(5), pp.616-625.</w:t>
      </w:r>
    </w:p>
    <w:p w14:paraId="0A29FB16" w14:textId="48DE3B0D" w:rsidR="00C1018F" w:rsidRDefault="00C1018F" w:rsidP="00C1018F">
      <w:pPr>
        <w:spacing w:line="360" w:lineRule="auto"/>
        <w:rPr>
          <w:sz w:val="24"/>
          <w:szCs w:val="24"/>
        </w:rPr>
      </w:pPr>
      <w:r w:rsidRPr="00C1018F">
        <w:rPr>
          <w:sz w:val="24"/>
          <w:szCs w:val="24"/>
        </w:rPr>
        <w:t>Zhao, B., Liu, H., Du, K., Zhou, W. and Li, Y., 2023. Effectiveness and safety of outpatient rehabilitation versus home-based rehabilitation after knee arthroplasty: a systematic review and meta-analysis. Journal of Orthopaedic Surgery and Research, 18(1), p.704.</w:t>
      </w:r>
    </w:p>
    <w:p w14:paraId="48BCFE7F" w14:textId="77777777" w:rsidR="00C1018F" w:rsidRPr="00C1018F" w:rsidRDefault="00C1018F" w:rsidP="00C1018F">
      <w:pPr>
        <w:spacing w:line="360" w:lineRule="auto"/>
        <w:rPr>
          <w:sz w:val="24"/>
          <w:szCs w:val="24"/>
        </w:rPr>
      </w:pPr>
      <w:r w:rsidRPr="00C1018F">
        <w:rPr>
          <w:sz w:val="24"/>
          <w:szCs w:val="24"/>
        </w:rPr>
        <w:t>Gremyr, A., Andersson Gäre, B., Thor, J., Elwyn, G., Batalden, P. and Andersson, A.C., 2021. The role of co-production in learning health systems. International Journal for Quality in Health Care, 33(Supplement_2), pp.ii26-ii32.</w:t>
      </w:r>
    </w:p>
    <w:p w14:paraId="108C2C81" w14:textId="40CBBC42" w:rsidR="00C1018F" w:rsidRDefault="00C1018F" w:rsidP="00C1018F">
      <w:pPr>
        <w:spacing w:line="360" w:lineRule="auto"/>
        <w:rPr>
          <w:sz w:val="24"/>
          <w:szCs w:val="24"/>
        </w:rPr>
      </w:pPr>
      <w:r w:rsidRPr="00C1018F">
        <w:rPr>
          <w:sz w:val="24"/>
          <w:szCs w:val="24"/>
        </w:rPr>
        <w:t>Wolff, J.L., Freedman, V.A., Mulcahy, J.F. and Kasper, J.D., 2020. Family caregivers’ experiences with health care workers in the care of older adults with activity limitations. JAMA network open, 3(1), pp.e1919866-e1919866.</w:t>
      </w:r>
    </w:p>
    <w:p w14:paraId="6301F835" w14:textId="32B5B8EE" w:rsidR="00C1018F" w:rsidRDefault="00C1018F" w:rsidP="00C1018F">
      <w:pPr>
        <w:spacing w:line="360" w:lineRule="auto"/>
        <w:rPr>
          <w:sz w:val="24"/>
          <w:szCs w:val="24"/>
        </w:rPr>
      </w:pPr>
      <w:r w:rsidRPr="00C1018F">
        <w:rPr>
          <w:sz w:val="24"/>
          <w:szCs w:val="24"/>
        </w:rPr>
        <w:t>Masterson, D., Areskoug Josefsson, K., Robert, G., Nylander, E. and Kjellström, S., 2022. Mapping definitions of co‐production and co‐design in health and social care: a systematic scoping review providing lessons for the future. Health Expectations, 25(3), pp.902-913.</w:t>
      </w:r>
    </w:p>
    <w:p w14:paraId="3E37DA29" w14:textId="77777777" w:rsidR="00C1018F" w:rsidRPr="00C1018F" w:rsidRDefault="00C1018F" w:rsidP="00C1018F">
      <w:pPr>
        <w:spacing w:line="360" w:lineRule="auto"/>
        <w:rPr>
          <w:sz w:val="24"/>
          <w:szCs w:val="24"/>
        </w:rPr>
      </w:pPr>
      <w:r w:rsidRPr="00C1018F">
        <w:rPr>
          <w:sz w:val="24"/>
          <w:szCs w:val="24"/>
        </w:rPr>
        <w:t>Blanks, L. and Wright, G., 2023. Navigating and understanding clinical governance and risk management in maternity. Obstetrics, Gynaecology &amp; Reproductive Medicine.</w:t>
      </w:r>
    </w:p>
    <w:p w14:paraId="7FB91B00" w14:textId="77777777" w:rsidR="00C1018F" w:rsidRPr="00C1018F" w:rsidRDefault="00C1018F" w:rsidP="00C1018F">
      <w:pPr>
        <w:spacing w:line="360" w:lineRule="auto"/>
        <w:rPr>
          <w:sz w:val="24"/>
          <w:szCs w:val="24"/>
        </w:rPr>
      </w:pPr>
      <w:r w:rsidRPr="00C1018F">
        <w:rPr>
          <w:sz w:val="24"/>
          <w:szCs w:val="24"/>
        </w:rPr>
        <w:t>Kingsley, C. and Patel, S., 2017. Patient-reported outcome measures and patient-reported experience measures. Bja Education, 17(4), pp.137-144.</w:t>
      </w:r>
    </w:p>
    <w:p w14:paraId="7B4DD378" w14:textId="77777777" w:rsidR="00C1018F" w:rsidRPr="00C1018F" w:rsidRDefault="00C1018F" w:rsidP="00C1018F">
      <w:pPr>
        <w:spacing w:line="360" w:lineRule="auto"/>
        <w:rPr>
          <w:sz w:val="24"/>
          <w:szCs w:val="24"/>
        </w:rPr>
      </w:pPr>
      <w:r w:rsidRPr="00C1018F">
        <w:rPr>
          <w:sz w:val="24"/>
          <w:szCs w:val="24"/>
        </w:rPr>
        <w:lastRenderedPageBreak/>
        <w:t>Black, N., Varaganum, M. and Hutchings, A., 2014. Relationship between patient reported experience (PREMs) and patient reported outcomes (PROMs) in elective surgery. BMJ quality &amp; safety, 23(7), pp.534-542.</w:t>
      </w:r>
    </w:p>
    <w:p w14:paraId="00846153" w14:textId="73B6A830" w:rsidR="00C1018F" w:rsidRDefault="00C1018F" w:rsidP="00C1018F">
      <w:pPr>
        <w:spacing w:line="360" w:lineRule="auto"/>
        <w:rPr>
          <w:sz w:val="24"/>
          <w:szCs w:val="24"/>
        </w:rPr>
      </w:pPr>
      <w:r w:rsidRPr="00C1018F">
        <w:rPr>
          <w:sz w:val="24"/>
          <w:szCs w:val="24"/>
        </w:rPr>
        <w:t>General Data Protection Regulation (GDPR) and Data Protection Act 2018</w:t>
      </w:r>
    </w:p>
    <w:p w14:paraId="3BC85723" w14:textId="77777777" w:rsidR="00C1018F" w:rsidRPr="00C1018F" w:rsidRDefault="00C1018F" w:rsidP="00C1018F">
      <w:pPr>
        <w:spacing w:line="360" w:lineRule="auto"/>
        <w:rPr>
          <w:sz w:val="24"/>
          <w:szCs w:val="24"/>
        </w:rPr>
      </w:pPr>
      <w:r w:rsidRPr="00C1018F">
        <w:rPr>
          <w:sz w:val="24"/>
          <w:szCs w:val="24"/>
        </w:rPr>
        <w:t>Katz, J.N., Arant, K.R. and Loeser, R.F., 2021. Diagnosis and treatment of hip and knee osteoarthritis: a review. Jama, 325(6), pp.568-578.</w:t>
      </w:r>
    </w:p>
    <w:p w14:paraId="0FC3B62E" w14:textId="77777777" w:rsidR="00C1018F" w:rsidRPr="00C1018F" w:rsidRDefault="00C1018F" w:rsidP="00C1018F">
      <w:pPr>
        <w:spacing w:line="360" w:lineRule="auto"/>
        <w:rPr>
          <w:sz w:val="24"/>
          <w:szCs w:val="24"/>
        </w:rPr>
      </w:pPr>
    </w:p>
    <w:p w14:paraId="6230BBBB" w14:textId="77777777" w:rsidR="00C1018F" w:rsidRPr="00C1018F" w:rsidRDefault="00C1018F" w:rsidP="00C1018F">
      <w:pPr>
        <w:spacing w:line="360" w:lineRule="auto"/>
        <w:rPr>
          <w:sz w:val="24"/>
          <w:szCs w:val="24"/>
        </w:rPr>
      </w:pPr>
      <w:r w:rsidRPr="00C1018F">
        <w:rPr>
          <w:sz w:val="24"/>
          <w:szCs w:val="24"/>
        </w:rPr>
        <w:t>Owen, A.R., Amundson, A.W., Larson, D.R., Duncan, C.M., Smith, H.M., Johnson, R.L., Taunton, M.J., Pagnano, M.W., Berry, D.J. and Abdel, M.P., 2022. Spinal versus general anaesthesia in contemporary primary total knee arthroplasties. The bone &amp; joint journal, 104(11), pp.1209-1214.</w:t>
      </w:r>
    </w:p>
    <w:p w14:paraId="114FE34B" w14:textId="029ED78B" w:rsidR="00C1018F" w:rsidRDefault="00C1018F" w:rsidP="00C1018F">
      <w:pPr>
        <w:spacing w:line="360" w:lineRule="auto"/>
        <w:rPr>
          <w:sz w:val="24"/>
          <w:szCs w:val="24"/>
        </w:rPr>
      </w:pPr>
      <w:r w:rsidRPr="00C1018F">
        <w:rPr>
          <w:sz w:val="24"/>
          <w:szCs w:val="24"/>
        </w:rPr>
        <w:t>van Doormaal, M.C., Meerhoff, G.A., Vliet Vlieland, T.P. and Peter, W.F., 2020. A clinical practice guideline for physical therapy in patients with hip or knee osteoarthritis. Musculoskeletal care, 18(4), pp.575-595.</w:t>
      </w:r>
      <w:bookmarkStart w:id="0" w:name="_GoBack"/>
      <w:bookmarkEnd w:id="0"/>
    </w:p>
    <w:p w14:paraId="127BAEAD" w14:textId="55FE73BE" w:rsidR="00C1018F" w:rsidRDefault="00C1018F" w:rsidP="009A072D">
      <w:pPr>
        <w:spacing w:line="360" w:lineRule="auto"/>
        <w:rPr>
          <w:sz w:val="24"/>
          <w:szCs w:val="24"/>
        </w:rPr>
      </w:pPr>
    </w:p>
    <w:p w14:paraId="1DAB1299" w14:textId="1BC887BB" w:rsidR="00C1018F" w:rsidRDefault="00C1018F" w:rsidP="009A072D">
      <w:pPr>
        <w:spacing w:line="360" w:lineRule="auto"/>
        <w:rPr>
          <w:sz w:val="24"/>
          <w:szCs w:val="24"/>
        </w:rPr>
      </w:pPr>
    </w:p>
    <w:p w14:paraId="770BC169" w14:textId="77777777" w:rsidR="00C1018F" w:rsidRPr="00C1018F" w:rsidRDefault="00C1018F" w:rsidP="009A072D">
      <w:pPr>
        <w:spacing w:line="360" w:lineRule="auto"/>
        <w:rPr>
          <w:sz w:val="24"/>
          <w:szCs w:val="24"/>
        </w:rPr>
      </w:pPr>
    </w:p>
    <w:p w14:paraId="172A5996" w14:textId="1E611144" w:rsidR="00830B6B" w:rsidRDefault="00830B6B" w:rsidP="009A072D">
      <w:pPr>
        <w:spacing w:line="360" w:lineRule="auto"/>
        <w:rPr>
          <w:sz w:val="24"/>
          <w:szCs w:val="24"/>
          <w:u w:val="single"/>
        </w:rPr>
      </w:pPr>
      <w:r>
        <w:rPr>
          <w:sz w:val="24"/>
          <w:szCs w:val="24"/>
          <w:u w:val="single"/>
        </w:rPr>
        <w:t>Appendices:</w:t>
      </w:r>
    </w:p>
    <w:p w14:paraId="31F66922" w14:textId="0FB7999E" w:rsidR="00830B6B" w:rsidRPr="00830B6B" w:rsidRDefault="00830B6B" w:rsidP="00830B6B">
      <w:pPr>
        <w:pStyle w:val="ListParagraph"/>
        <w:numPr>
          <w:ilvl w:val="0"/>
          <w:numId w:val="1"/>
        </w:numPr>
        <w:spacing w:line="360" w:lineRule="auto"/>
        <w:rPr>
          <w:sz w:val="24"/>
          <w:szCs w:val="24"/>
          <w:u w:val="single"/>
        </w:rPr>
      </w:pPr>
      <w:r>
        <w:rPr>
          <w:sz w:val="24"/>
          <w:szCs w:val="24"/>
        </w:rPr>
        <w:t>Evaluation and Analysis table of literature used.</w:t>
      </w:r>
      <w:r w:rsidRPr="00830B6B">
        <w:rPr>
          <w:sz w:val="24"/>
          <w:szCs w:val="24"/>
          <w:u w:val="single"/>
        </w:rPr>
        <w:t xml:space="preserve"> </w:t>
      </w:r>
    </w:p>
    <w:sectPr w:rsidR="00830B6B" w:rsidRPr="00830B6B">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7C96A8A" w14:textId="77777777" w:rsidR="00830B6B" w:rsidRDefault="00830B6B" w:rsidP="00830B6B">
      <w:pPr>
        <w:spacing w:after="0" w:line="240" w:lineRule="auto"/>
      </w:pPr>
      <w:r>
        <w:separator/>
      </w:r>
    </w:p>
  </w:endnote>
  <w:endnote w:type="continuationSeparator" w:id="0">
    <w:p w14:paraId="73ADD505" w14:textId="77777777" w:rsidR="00830B6B" w:rsidRDefault="00830B6B" w:rsidP="00830B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20757053"/>
      <w:docPartObj>
        <w:docPartGallery w:val="Page Numbers (Bottom of Page)"/>
        <w:docPartUnique/>
      </w:docPartObj>
    </w:sdtPr>
    <w:sdtEndPr>
      <w:rPr>
        <w:noProof/>
      </w:rPr>
    </w:sdtEndPr>
    <w:sdtContent>
      <w:p w14:paraId="4B91EDFD" w14:textId="4C7BE264" w:rsidR="00C1018F" w:rsidRDefault="00C1018F">
        <w:pPr>
          <w:pStyle w:val="Footer"/>
          <w:jc w:val="right"/>
        </w:pPr>
        <w:r>
          <w:fldChar w:fldCharType="begin"/>
        </w:r>
        <w:r>
          <w:instrText xml:space="preserve"> PAGE   \* MERGEFORMAT </w:instrText>
        </w:r>
        <w:r>
          <w:fldChar w:fldCharType="separate"/>
        </w:r>
        <w:r w:rsidR="005B4B1F">
          <w:rPr>
            <w:noProof/>
          </w:rPr>
          <w:t>13</w:t>
        </w:r>
        <w:r>
          <w:rPr>
            <w:noProof/>
          </w:rPr>
          <w:fldChar w:fldCharType="end"/>
        </w:r>
      </w:p>
    </w:sdtContent>
  </w:sdt>
  <w:p w14:paraId="1FB291E4" w14:textId="77777777" w:rsidR="00C1018F" w:rsidRDefault="00C101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4EF8070" w14:textId="77777777" w:rsidR="00830B6B" w:rsidRDefault="00830B6B" w:rsidP="00830B6B">
      <w:pPr>
        <w:spacing w:after="0" w:line="240" w:lineRule="auto"/>
      </w:pPr>
      <w:r>
        <w:separator/>
      </w:r>
    </w:p>
  </w:footnote>
  <w:footnote w:type="continuationSeparator" w:id="0">
    <w:p w14:paraId="72BD8638" w14:textId="77777777" w:rsidR="00830B6B" w:rsidRDefault="00830B6B" w:rsidP="00830B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BF0BE6" w14:textId="01E3A599" w:rsidR="00830B6B" w:rsidRDefault="00830B6B">
    <w:pPr>
      <w:pStyle w:val="Header"/>
    </w:pPr>
  </w:p>
  <w:p w14:paraId="15548194" w14:textId="77777777" w:rsidR="00830B6B" w:rsidRDefault="00830B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5BA2AF2"/>
    <w:multiLevelType w:val="hybridMultilevel"/>
    <w:tmpl w:val="B9E622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63B6"/>
    <w:rsid w:val="00057B01"/>
    <w:rsid w:val="00067C35"/>
    <w:rsid w:val="0009349C"/>
    <w:rsid w:val="000F63B6"/>
    <w:rsid w:val="00125B27"/>
    <w:rsid w:val="00132EA8"/>
    <w:rsid w:val="00141E86"/>
    <w:rsid w:val="001850D0"/>
    <w:rsid w:val="001A106F"/>
    <w:rsid w:val="00246B23"/>
    <w:rsid w:val="002C3E34"/>
    <w:rsid w:val="003170AB"/>
    <w:rsid w:val="004062B3"/>
    <w:rsid w:val="00415F28"/>
    <w:rsid w:val="004372E1"/>
    <w:rsid w:val="00445E44"/>
    <w:rsid w:val="004A6A18"/>
    <w:rsid w:val="0051066F"/>
    <w:rsid w:val="00564232"/>
    <w:rsid w:val="005770AA"/>
    <w:rsid w:val="005B4B1F"/>
    <w:rsid w:val="005C27C4"/>
    <w:rsid w:val="006D0D35"/>
    <w:rsid w:val="00725919"/>
    <w:rsid w:val="00795925"/>
    <w:rsid w:val="00830B6B"/>
    <w:rsid w:val="008A39C9"/>
    <w:rsid w:val="008A5847"/>
    <w:rsid w:val="008D64A6"/>
    <w:rsid w:val="00974068"/>
    <w:rsid w:val="009A072D"/>
    <w:rsid w:val="00A078D8"/>
    <w:rsid w:val="00A9432E"/>
    <w:rsid w:val="00AA654A"/>
    <w:rsid w:val="00BB612A"/>
    <w:rsid w:val="00C1018F"/>
    <w:rsid w:val="00C732DF"/>
    <w:rsid w:val="00CC72FF"/>
    <w:rsid w:val="00CF39FE"/>
    <w:rsid w:val="00D04EC1"/>
    <w:rsid w:val="00D76BF2"/>
    <w:rsid w:val="00EE6946"/>
    <w:rsid w:val="00F3747E"/>
    <w:rsid w:val="00F75196"/>
    <w:rsid w:val="00F841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9A321"/>
  <w15:chartTrackingRefBased/>
  <w15:docId w15:val="{0B5D2E1C-99C0-4858-A7E3-5B8D94F524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0B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0B6B"/>
  </w:style>
  <w:style w:type="paragraph" w:styleId="Footer">
    <w:name w:val="footer"/>
    <w:basedOn w:val="Normal"/>
    <w:link w:val="FooterChar"/>
    <w:uiPriority w:val="99"/>
    <w:unhideWhenUsed/>
    <w:rsid w:val="00830B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0B6B"/>
  </w:style>
  <w:style w:type="paragraph" w:styleId="ListParagraph">
    <w:name w:val="List Paragraph"/>
    <w:basedOn w:val="Normal"/>
    <w:uiPriority w:val="34"/>
    <w:qFormat/>
    <w:rsid w:val="00830B6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jp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89A38509AB74C459A59FEED456D282D" ma:contentTypeVersion="16" ma:contentTypeDescription="Create a new document." ma:contentTypeScope="" ma:versionID="3d2893886f0e76fd6268cff60ec63a7c">
  <xsd:schema xmlns:xsd="http://www.w3.org/2001/XMLSchema" xmlns:xs="http://www.w3.org/2001/XMLSchema" xmlns:p="http://schemas.microsoft.com/office/2006/metadata/properties" xmlns:ns3="1d0bafc6-86fe-4c88-8f3c-e0496537464d" xmlns:ns4="71e02f92-f1f1-4089-9b78-0fe9c0d669ad" targetNamespace="http://schemas.microsoft.com/office/2006/metadata/properties" ma:root="true" ma:fieldsID="5764696368ecbbfd770a9db8838c1f4c" ns3:_="" ns4:_="">
    <xsd:import namespace="1d0bafc6-86fe-4c88-8f3c-e0496537464d"/>
    <xsd:import namespace="71e02f92-f1f1-4089-9b78-0fe9c0d669a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0bafc6-86fe-4c88-8f3c-e0496537464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SearchProperties" ma:index="2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1e02f92-f1f1-4089-9b78-0fe9c0d669ad"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EFFE96A-12F9-4FB2-AD57-5C96FC365D74}">
  <ds:schemaRefs>
    <ds:schemaRef ds:uri="http://schemas.microsoft.com/office/2006/documentManagement/types"/>
    <ds:schemaRef ds:uri="http://schemas.microsoft.com/office/2006/metadata/properties"/>
    <ds:schemaRef ds:uri="http://schemas.openxmlformats.org/package/2006/metadata/core-properties"/>
    <ds:schemaRef ds:uri="http://purl.org/dc/elements/1.1/"/>
    <ds:schemaRef ds:uri="http://purl.org/dc/terms/"/>
    <ds:schemaRef ds:uri="1d0bafc6-86fe-4c88-8f3c-e0496537464d"/>
    <ds:schemaRef ds:uri="71e02f92-f1f1-4089-9b78-0fe9c0d669ad"/>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D8755A29-D2AD-49E5-A3C3-0C5762B322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0bafc6-86fe-4c88-8f3c-e0496537464d"/>
    <ds:schemaRef ds:uri="71e02f92-f1f1-4089-9b78-0fe9c0d669a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FCCCA5D-27C5-41EF-AA56-A601A936F39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13</Pages>
  <Words>3358</Words>
  <Characters>19141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ABMU LHB</Company>
  <LinksUpToDate>false</LinksUpToDate>
  <CharactersWithSpaces>22455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Louise Wright (Swansea Bay UHB - CRT)</dc:creator>
  <cp:keywords/>
  <dc:description/>
  <cp:lastModifiedBy>Claire Louise Wright (Swansea Bay UHB - CRT)</cp:lastModifiedBy>
  <cp:revision>11</cp:revision>
  <dcterms:created xsi:type="dcterms:W3CDTF">2024-05-09T08:40:00Z</dcterms:created>
  <dcterms:modified xsi:type="dcterms:W3CDTF">2024-05-16T21:42:00Z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0x010100089A38509AB74C459A59FEED456D282D</vt:lpwstr>
  </property>
</Properties>
</file>