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A5E08FF" w14:paraId="2CBA4FD9" wp14:textId="462F37C3">
      <w:pPr>
        <w:rPr>
          <w:rFonts w:ascii="Times New Roman" w:hAnsi="Times New Roman" w:eastAsia="Times New Roman" w:cs="Times New Roman"/>
          <w:noProof w:val="0"/>
          <w:sz w:val="24"/>
          <w:szCs w:val="24"/>
          <w:lang w:val="en-GB"/>
        </w:rPr>
      </w:pPr>
    </w:p>
    <w:p xmlns:wp14="http://schemas.microsoft.com/office/word/2010/wordml" w:rsidP="7A5E08FF" w14:paraId="5B467842" wp14:textId="0AA37BF3">
      <w:pPr>
        <w:rPr>
          <w:rFonts w:ascii="Times New Roman" w:hAnsi="Times New Roman" w:eastAsia="Times New Roman" w:cs="Times New Roman"/>
          <w:noProof w:val="0"/>
          <w:sz w:val="24"/>
          <w:szCs w:val="24"/>
          <w:u w:val="single"/>
          <w:lang w:val="en-GB"/>
        </w:rPr>
      </w:pPr>
      <w:r w:rsidRPr="7A5E08FF" w:rsidR="4CAD7AB1">
        <w:rPr>
          <w:rFonts w:ascii="Times New Roman" w:hAnsi="Times New Roman" w:eastAsia="Times New Roman" w:cs="Times New Roman"/>
          <w:noProof w:val="0"/>
          <w:sz w:val="24"/>
          <w:szCs w:val="24"/>
          <w:u w:val="single"/>
          <w:lang w:val="en-GB"/>
        </w:rPr>
        <w:t>Human recourse management</w:t>
      </w:r>
    </w:p>
    <w:p xmlns:wp14="http://schemas.microsoft.com/office/word/2010/wordml" w:rsidP="7A5E08FF" w14:paraId="4E99D36A" wp14:textId="76945E74">
      <w:pPr>
        <w:rPr>
          <w:rFonts w:ascii="Times New Roman" w:hAnsi="Times New Roman" w:eastAsia="Times New Roman" w:cs="Times New Roman"/>
          <w:noProof w:val="0"/>
          <w:sz w:val="24"/>
          <w:szCs w:val="24"/>
          <w:lang w:val="en-GB"/>
        </w:rPr>
      </w:pPr>
    </w:p>
    <w:p xmlns:wp14="http://schemas.microsoft.com/office/word/2010/wordml" w:rsidP="7A5E08FF" w14:paraId="37B35195" wp14:textId="3E57C53D">
      <w:pPr>
        <w:rPr>
          <w:rFonts w:ascii="Times New Roman" w:hAnsi="Times New Roman" w:eastAsia="Times New Roman" w:cs="Times New Roman"/>
          <w:noProof w:val="0"/>
          <w:sz w:val="24"/>
          <w:szCs w:val="24"/>
          <w:lang w:val="en-GB"/>
        </w:rPr>
      </w:pPr>
      <w:r w:rsidRPr="7A5E08FF" w:rsidR="4CAD7AB1">
        <w:rPr>
          <w:rFonts w:ascii="Times New Roman" w:hAnsi="Times New Roman" w:eastAsia="Times New Roman" w:cs="Times New Roman"/>
          <w:noProof w:val="0"/>
          <w:sz w:val="24"/>
          <w:szCs w:val="24"/>
          <w:lang w:val="en-GB"/>
        </w:rPr>
        <w:t>Introduction -</w:t>
      </w:r>
    </w:p>
    <w:p xmlns:wp14="http://schemas.microsoft.com/office/word/2010/wordml" w14:paraId="740E34D7" wp14:textId="3FD94D13">
      <w:r w:rsidRPr="7A5E08FF" w:rsidR="4CAD7AB1">
        <w:rPr>
          <w:rFonts w:ascii="Times New Roman" w:hAnsi="Times New Roman" w:eastAsia="Times New Roman" w:cs="Times New Roman"/>
          <w:noProof w:val="0"/>
          <w:sz w:val="24"/>
          <w:szCs w:val="24"/>
          <w:lang w:val="en-GB"/>
        </w:rPr>
        <w:t xml:space="preserve">With costs of social care increasing year on year and the number of people needing the services increasing, the true problem emerges. More people are requesting support each year but fewer people each year are actually receiving it (The Kings Fund, 2021). Social care spending in England is still £600 million lower than in 2010 (TUC, 2021) making the costs less important for recent governments to commit to. This could be a reason why life expectancy in England and Wales is stalling (Hiam et al, 2018), as governments are putting less priority on our most vulnerable in our society. Obviously, there are reasons why cuts happened, and governments have to juggle costs. This was very apparent in 2010-2014, where because of the financial crisis, social care spending took a cut – however these decisions have mortal consequences as over this time there was a higher than expected number of deaths, with the majority being in the over 60’s community (Watkins et al, 2017). Deficit reduction is also a reason why the social care sector has been (and might in the future) having budget cuts. As each cut has value direct to life, there has been studies like Elson (2012), who argue that cuts like these have to be scrutinised from a human rights perspective. </w:t>
      </w:r>
    </w:p>
    <w:p xmlns:wp14="http://schemas.microsoft.com/office/word/2010/wordml" w:rsidP="7A5E08FF" w14:paraId="144AB295" wp14:textId="4C0CB943">
      <w:pPr>
        <w:rPr>
          <w:rFonts w:ascii="Times New Roman" w:hAnsi="Times New Roman" w:eastAsia="Times New Roman" w:cs="Times New Roman"/>
        </w:rPr>
      </w:pPr>
      <w:r>
        <w:br/>
      </w:r>
      <w:proofErr w:type="spellStart"/>
      <w:r w:rsidRPr="7A5E08FF" w:rsidR="4CAD7AB1">
        <w:rPr>
          <w:rFonts w:ascii="Times New Roman" w:hAnsi="Times New Roman" w:eastAsia="Times New Roman" w:cs="Times New Roman"/>
        </w:rPr>
        <w:t>Mainbody</w:t>
      </w:r>
      <w:proofErr w:type="spellEnd"/>
      <w:r w:rsidRPr="7A5E08FF" w:rsidR="4CAD7AB1">
        <w:rPr>
          <w:rFonts w:ascii="Times New Roman" w:hAnsi="Times New Roman" w:eastAsia="Times New Roman" w:cs="Times New Roman"/>
        </w:rPr>
        <w:t xml:space="preserve"> -</w:t>
      </w:r>
    </w:p>
    <w:p xmlns:wp14="http://schemas.microsoft.com/office/word/2010/wordml" w14:paraId="4F54EECC" wp14:textId="327D7C33">
      <w:r w:rsidRPr="7A5E08FF" w:rsidR="4CAD7AB1">
        <w:rPr>
          <w:rFonts w:ascii="Times New Roman" w:hAnsi="Times New Roman" w:eastAsia="Times New Roman" w:cs="Times New Roman"/>
          <w:noProof w:val="0"/>
          <w:sz w:val="24"/>
          <w:szCs w:val="24"/>
          <w:lang w:val="en-GB"/>
        </w:rPr>
        <w:t>Human Resource management is an important part of any organisation, and especially in a social care environment, can’t be overlooked. Human resource management is when a organisation focusses on the people of that organisation, and has many different roles it has to focus on. From hiring to firing and everything in between, human resource management will manage staff performance, motivation, productivity and training as well as other things from time to time. Jackson (2021) discusses the important note that Human resource management should be thought about along with human resource development, to better serve the staff it manages.</w:t>
      </w:r>
    </w:p>
    <w:p xmlns:wp14="http://schemas.microsoft.com/office/word/2010/wordml" w14:paraId="06EBA4B5" wp14:textId="59A9A6FE">
      <w:r>
        <w:br/>
      </w:r>
    </w:p>
    <w:p xmlns:wp14="http://schemas.microsoft.com/office/word/2010/wordml" w14:paraId="73D2D5C8" wp14:textId="1894DAE7">
      <w:r w:rsidRPr="7A5E08FF" w:rsidR="4CAD7AB1">
        <w:rPr>
          <w:rFonts w:ascii="Times New Roman" w:hAnsi="Times New Roman" w:eastAsia="Times New Roman" w:cs="Times New Roman"/>
          <w:noProof w:val="0"/>
          <w:sz w:val="24"/>
          <w:szCs w:val="24"/>
          <w:lang w:val="en-GB"/>
        </w:rPr>
        <w:t>Human resource management gets the best out of the staff in that organisation and is a lifeline between the staff and management. A good Human resource management team can be the difference between an organisation sinking or swimming (Kabene et al, 2006), and in a social care setting this ultimately means reducing mortality and increasing quality of life.</w:t>
      </w:r>
    </w:p>
    <w:p xmlns:wp14="http://schemas.microsoft.com/office/word/2010/wordml" w14:paraId="7C62D088" wp14:textId="1CA6F4BB">
      <w:r>
        <w:br/>
      </w:r>
    </w:p>
    <w:p xmlns:wp14="http://schemas.microsoft.com/office/word/2010/wordml" w14:paraId="0C6B91B6" wp14:textId="69D8BFDC">
      <w:r w:rsidRPr="7A5E08FF" w:rsidR="4CAD7AB1">
        <w:rPr>
          <w:rFonts w:ascii="Times New Roman" w:hAnsi="Times New Roman" w:eastAsia="Times New Roman" w:cs="Times New Roman"/>
          <w:noProof w:val="0"/>
          <w:sz w:val="24"/>
          <w:szCs w:val="24"/>
          <w:lang w:val="en-GB"/>
        </w:rPr>
        <w:t>When it comes to preparing for cuts, the Human resource team has an unenviable but critical role. This team has to explore increasing productivity of staff, whilst also exploring scope for redundancies, all whilst trying to implement these changes with minimal impact to client care. Tallaki and Bracci (2021) discuss the process of HR dealing with cuts by focussing on risk perception, accounting and resilience, and by focussing on each of these areas’ cuts can be explored whilst hopefully minimising risk to patients.</w:t>
      </w:r>
    </w:p>
    <w:p xmlns:wp14="http://schemas.microsoft.com/office/word/2010/wordml" w14:paraId="31DB9FAC" wp14:textId="0E1B8CF7">
      <w:r>
        <w:br/>
      </w:r>
    </w:p>
    <w:p xmlns:wp14="http://schemas.microsoft.com/office/word/2010/wordml" w14:paraId="54F23528" wp14:textId="79B5CC3C">
      <w:r w:rsidRPr="7A5E08FF" w:rsidR="4CAD7AB1">
        <w:rPr>
          <w:rFonts w:ascii="Times New Roman" w:hAnsi="Times New Roman" w:eastAsia="Times New Roman" w:cs="Times New Roman"/>
          <w:noProof w:val="0"/>
          <w:sz w:val="24"/>
          <w:szCs w:val="24"/>
          <w:lang w:val="en-GB"/>
        </w:rPr>
        <w:t xml:space="preserve">An organisational culture can help each individual member of staff knowing exactly what is expected of them, and what they can expect in return. The culture should be based directly on the values of the organisation, and if an organisations culture is a poor fit for them, it can have real issues arise from that like poor performance and high turnover. The culture of an organisation is evident through management styles, how internal messages are distributed and even staff or management parties. As social care organisations are multifaceted, a number of different cultures can be evident, however it is good to try to have a universal culture within the organisation to ensure staff loyalty and productivity. Organisational culture affects productivity as each member of staff is an individual, and without a solid culture staff may feel disenfranchised, and not feel as much as a part of the organisation, causing productivity </w:t>
      </w:r>
    </w:p>
    <w:p xmlns:wp14="http://schemas.microsoft.com/office/word/2010/wordml" w14:paraId="44B662E2" wp14:textId="3B40939A">
      <w:r w:rsidRPr="7A5E08FF" w:rsidR="4CAD7AB1">
        <w:rPr>
          <w:rFonts w:ascii="Times New Roman" w:hAnsi="Times New Roman" w:eastAsia="Times New Roman" w:cs="Times New Roman"/>
          <w:noProof w:val="0"/>
          <w:sz w:val="24"/>
          <w:szCs w:val="24"/>
          <w:lang w:val="en-GB"/>
        </w:rPr>
        <w:t>to lower. Organisational culture is very likely to be negatively affected by cuts, so needs to be monitored very closely and there are various ways to minimise any affect. An ideal way of dealing with cuts to funding could actually solidify the organisational culture, studies like Scott et al. (2003) researched the possible link between organisational culture and health care performance, and although a link was found, the study highlighted the difficulty in measuring both the organisational culture and performance to accurately review any correlation.</w:t>
      </w:r>
    </w:p>
    <w:p xmlns:wp14="http://schemas.microsoft.com/office/word/2010/wordml" w14:paraId="3DC104E2" wp14:textId="0C88FC9D">
      <w:r>
        <w:br/>
      </w:r>
    </w:p>
    <w:p xmlns:wp14="http://schemas.microsoft.com/office/word/2010/wordml" w14:paraId="54ECB258" wp14:textId="234C5929">
      <w:r w:rsidRPr="7A5E08FF" w:rsidR="4CAD7AB1">
        <w:rPr>
          <w:rFonts w:ascii="Times New Roman" w:hAnsi="Times New Roman" w:eastAsia="Times New Roman" w:cs="Times New Roman"/>
          <w:noProof w:val="0"/>
          <w:sz w:val="24"/>
          <w:szCs w:val="24"/>
          <w:lang w:val="en-GB"/>
        </w:rPr>
        <w:t xml:space="preserve">With the organisational culture being how things happen in an organisation, organisational climate is a staff members perception of their work environment, meaning that both the climate and culture of an organisation are linked, but both need to be looked at to ensure a happy and productive work environment. If a staff member does not believe in the competence of their leaders, which would form part of the organisational culture, then this will adversely affect the organisations ability to function properly. Ancarani et al. (2009) studied organisational climate and patient satisfaction in hospitals, the study suggests that a better organisational climate has the effect of better patient satisfaction. When an organisation is facing cuts, this may have an adverse reaction to it’s climate as staff may feel undervalued depending on the implementation of any cuts, this may have a knock-on effect of the whole organisation being less productive, which is the exact opposite of what is required during funding cuts for an organisation. In terms of business, a great deal of care is taken looking into organisational culture with Balasubramaniyan (2021) assigning it a top priority when planning an agile project or scrum team. The similarities in regard to a public and private organisation mean that the structure and culture of the staff can be compared as although there is a different management structure usually, the staff are still people. The correlation </w:t>
      </w:r>
    </w:p>
    <w:p xmlns:wp14="http://schemas.microsoft.com/office/word/2010/wordml" w14:paraId="44E3EA97" wp14:textId="3E8D2123">
      <w:r w:rsidRPr="7A5E08FF" w:rsidR="4CAD7AB1">
        <w:rPr>
          <w:rFonts w:ascii="Times New Roman" w:hAnsi="Times New Roman" w:eastAsia="Times New Roman" w:cs="Times New Roman"/>
          <w:noProof w:val="0"/>
          <w:sz w:val="24"/>
          <w:szCs w:val="24"/>
          <w:lang w:val="en-GB"/>
        </w:rPr>
        <w:t>between culture of private and public organisations would benefit from further studies to ensure best practices from the private sector can be applied to the public sector, such as the health and social care field (public). Hockley (2021) discussed a recent government leak suggesting that government reform is the problem and not the solution, which means that the whole structure, culture and climate of the NHS should be evaluated.</w:t>
      </w:r>
    </w:p>
    <w:p xmlns:wp14="http://schemas.microsoft.com/office/word/2010/wordml" w14:paraId="08EBE003" wp14:textId="36AF5557">
      <w:r>
        <w:br/>
      </w:r>
    </w:p>
    <w:p xmlns:wp14="http://schemas.microsoft.com/office/word/2010/wordml" w14:paraId="1F2266CB" wp14:textId="40F70671">
      <w:r w:rsidRPr="7A5E08FF" w:rsidR="4CAD7AB1">
        <w:rPr>
          <w:rFonts w:ascii="Times New Roman" w:hAnsi="Times New Roman" w:eastAsia="Times New Roman" w:cs="Times New Roman"/>
          <w:noProof w:val="0"/>
          <w:sz w:val="24"/>
          <w:szCs w:val="24"/>
          <w:lang w:val="en-GB"/>
        </w:rPr>
        <w:t xml:space="preserve">For staff at any organisation, the news of funding cuts could be distressing, and further uncertainty could make things worse, so any changes need to be explained clearly to all staff, so everyone knows what is going to happen, and when. During any cuts in an organisation, to reduce the likelihood of adverse effects on the climate or culture, staff should have the ability to give feedback which could be used to strengthen both the organisations culture and climate. A manager’s role during funding cuts is to keep staff productive and content. Currie and Procter (2005) looked into management in hospitals and pointed towards the problem of role conflict and role ambiguity, which during any cuts would need to be extensively looked at to avoid any doubt and to ensure productivity for not only staff but middle management as well. During the Coronavirus pandemic, Faggioni et al. (2021) researched the implications of cuts during a national emergency in Italy and emphasised the cost of life for triage decisions which become more necessary during any funding cuts. The study found that patients over 70 years of age were triaged so they were completely without any respiratory assistance, which undoubtably contributed to the more than 112,000 deaths so far in Italy (Worldometers.info, 2021), with the elderly being most at risk. This points back to the fact that people, organisations and especially governments make errors in implementing cuts, so after that fact, it is up to an organisations human resource team to best deal with what is in front of them, </w:t>
      </w:r>
    </w:p>
    <w:p xmlns:wp14="http://schemas.microsoft.com/office/word/2010/wordml" w14:paraId="7F8EBF81" wp14:textId="08AD1D15">
      <w:r w:rsidRPr="7A5E08FF" w:rsidR="4CAD7AB1">
        <w:rPr>
          <w:rFonts w:ascii="Times New Roman" w:hAnsi="Times New Roman" w:eastAsia="Times New Roman" w:cs="Times New Roman"/>
          <w:noProof w:val="0"/>
          <w:sz w:val="24"/>
          <w:szCs w:val="24"/>
          <w:lang w:val="en-GB"/>
        </w:rPr>
        <w:t>whilst providing feedback to possible mistakes, omissions or inequality perceived from such cuts to financial budgets.</w:t>
      </w:r>
    </w:p>
    <w:p xmlns:wp14="http://schemas.microsoft.com/office/word/2010/wordml" w14:paraId="5B635A73" wp14:textId="20F2821B">
      <w:r>
        <w:br/>
      </w:r>
      <w:r w:rsidRPr="7A5E08FF" w:rsidR="4CAD7AB1">
        <w:rPr>
          <w:rFonts w:ascii="Times New Roman" w:hAnsi="Times New Roman" w:eastAsia="Times New Roman" w:cs="Times New Roman"/>
        </w:rPr>
        <w:t>Conclusion -</w:t>
      </w:r>
    </w:p>
    <w:p xmlns:wp14="http://schemas.microsoft.com/office/word/2010/wordml" w14:paraId="5264036B" wp14:textId="044A6172">
      <w:r w:rsidRPr="7A5E08FF" w:rsidR="4CAD7AB1">
        <w:rPr>
          <w:rFonts w:ascii="Times New Roman" w:hAnsi="Times New Roman" w:eastAsia="Times New Roman" w:cs="Times New Roman"/>
          <w:noProof w:val="0"/>
          <w:sz w:val="24"/>
          <w:szCs w:val="24"/>
          <w:lang w:val="en-GB"/>
        </w:rPr>
        <w:t>Taking an overall look at funding cuts in an organisation, it is important to see that every single part of that organisation needs to collaborate to work through any such cuts. Human Resource management needs to support managers (and all staff), who need to support their staff and any break in the chain can have severe consequences. Being in the health and social care field, these changes need to have additional scrutiny, as any changes can and do have a knock-on effect to patient satisfaction and even mortality rates. This is evident from Green et al. (2017) showing that following the austerity plan by the UK government, mortality increased by nearly 40,000 in the year to July 2015. The study also showed that this change was unaffected by area, affluence or rural or urban, meaning that although the government’s austerity plan saved money, there was a cost of human life. Although cuts to funding are required at some points in time, it is clear that recent governments have been seen to cut funding without adequate research into what effect it will have, for example drug and alcohol services for young people has been cut by £26 million in six years, which was a 37% cut (Kmietowicz, 2021). These funding cuts has been despite a higher number of young people needing the service. When funding is cut to this degree it is almost impossible to provide the same service, and with funding cuts this deep, a different strategy would be needed to change the entire organisation as they no longer have the resources to provide their services to every person that needs it.</w:t>
      </w:r>
    </w:p>
    <w:p xmlns:wp14="http://schemas.microsoft.com/office/word/2010/wordml" w14:paraId="67E76045" wp14:textId="432F08E6">
      <w:r>
        <w:br/>
      </w:r>
    </w:p>
    <w:p xmlns:wp14="http://schemas.microsoft.com/office/word/2010/wordml" w14:paraId="0B4B34E3" wp14:textId="384FF5FE">
      <w:r>
        <w:br/>
      </w:r>
    </w:p>
    <w:p xmlns:wp14="http://schemas.microsoft.com/office/word/2010/wordml" w14:paraId="6666FABF" wp14:textId="6A253F22">
      <w:r w:rsidRPr="7A5E08FF" w:rsidR="4CAD7AB1">
        <w:rPr>
          <w:rFonts w:ascii="Times New Roman" w:hAnsi="Times New Roman" w:eastAsia="Times New Roman" w:cs="Times New Roman"/>
          <w:noProof w:val="0"/>
          <w:sz w:val="24"/>
          <w:szCs w:val="24"/>
          <w:lang w:val="en-GB"/>
        </w:rPr>
        <w:t xml:space="preserve">Ancarani, A., Di Mauro, C. and Giammanco, M.D., 2009. How are organisational climate models and patient satisfaction related? A competing value framework approach. </w:t>
      </w:r>
      <w:r w:rsidRPr="7A5E08FF" w:rsidR="4CAD7AB1">
        <w:rPr>
          <w:rFonts w:ascii="Times New Roman" w:hAnsi="Times New Roman" w:eastAsia="Times New Roman" w:cs="Times New Roman"/>
          <w:i w:val="1"/>
          <w:iCs w:val="1"/>
          <w:noProof w:val="0"/>
          <w:sz w:val="24"/>
          <w:szCs w:val="24"/>
          <w:lang w:val="en-GB"/>
        </w:rPr>
        <w:t>Social science &amp; medicine</w:t>
      </w:r>
      <w:r w:rsidRPr="7A5E08FF" w:rsidR="4CAD7AB1">
        <w:rPr>
          <w:rFonts w:ascii="Times New Roman" w:hAnsi="Times New Roman" w:eastAsia="Times New Roman" w:cs="Times New Roman"/>
          <w:noProof w:val="0"/>
          <w:sz w:val="24"/>
          <w:szCs w:val="24"/>
          <w:lang w:val="en-GB"/>
        </w:rPr>
        <w:t xml:space="preserve">, </w:t>
      </w:r>
      <w:r w:rsidRPr="7A5E08FF" w:rsidR="4CAD7AB1">
        <w:rPr>
          <w:rFonts w:ascii="Times New Roman" w:hAnsi="Times New Roman" w:eastAsia="Times New Roman" w:cs="Times New Roman"/>
          <w:i w:val="1"/>
          <w:iCs w:val="1"/>
          <w:noProof w:val="0"/>
          <w:sz w:val="24"/>
          <w:szCs w:val="24"/>
          <w:lang w:val="en-GB"/>
        </w:rPr>
        <w:t>69</w:t>
      </w:r>
      <w:r w:rsidRPr="7A5E08FF" w:rsidR="4CAD7AB1">
        <w:rPr>
          <w:rFonts w:ascii="Times New Roman" w:hAnsi="Times New Roman" w:eastAsia="Times New Roman" w:cs="Times New Roman"/>
          <w:noProof w:val="0"/>
          <w:sz w:val="24"/>
          <w:szCs w:val="24"/>
          <w:lang w:val="en-GB"/>
        </w:rPr>
        <w:t>(12), pp.1813-1818.</w:t>
      </w:r>
    </w:p>
    <w:p xmlns:wp14="http://schemas.microsoft.com/office/word/2010/wordml" w14:paraId="0096883A" wp14:textId="1AD19892">
      <w:r>
        <w:br/>
      </w:r>
    </w:p>
    <w:p xmlns:wp14="http://schemas.microsoft.com/office/word/2010/wordml" w14:paraId="3E4162A9" wp14:textId="0DC01BFB">
      <w:r w:rsidRPr="7A5E08FF" w:rsidR="4CAD7AB1">
        <w:rPr>
          <w:rFonts w:ascii="Times New Roman" w:hAnsi="Times New Roman" w:eastAsia="Times New Roman" w:cs="Times New Roman"/>
          <w:noProof w:val="0"/>
          <w:sz w:val="24"/>
          <w:szCs w:val="24"/>
          <w:lang w:val="en-GB"/>
        </w:rPr>
        <w:t xml:space="preserve">Balasubramaniyan, S.M., 2021. Leadership and Team Dynamics for a Successful Agile Organisational Culture. In </w:t>
      </w:r>
      <w:r w:rsidRPr="7A5E08FF" w:rsidR="4CAD7AB1">
        <w:rPr>
          <w:rFonts w:ascii="Times New Roman" w:hAnsi="Times New Roman" w:eastAsia="Times New Roman" w:cs="Times New Roman"/>
          <w:i w:val="1"/>
          <w:iCs w:val="1"/>
          <w:noProof w:val="0"/>
          <w:sz w:val="24"/>
          <w:szCs w:val="24"/>
          <w:lang w:val="en-GB"/>
        </w:rPr>
        <w:t>Agile Scrum Implementation and Its Long-Term Impact on Organizations</w:t>
      </w:r>
      <w:r w:rsidRPr="7A5E08FF" w:rsidR="4CAD7AB1">
        <w:rPr>
          <w:rFonts w:ascii="Times New Roman" w:hAnsi="Times New Roman" w:eastAsia="Times New Roman" w:cs="Times New Roman"/>
          <w:noProof w:val="0"/>
          <w:sz w:val="24"/>
          <w:szCs w:val="24"/>
          <w:lang w:val="en-GB"/>
        </w:rPr>
        <w:t xml:space="preserve"> (pp. 17-35). IGI Global.</w:t>
      </w:r>
    </w:p>
    <w:p xmlns:wp14="http://schemas.microsoft.com/office/word/2010/wordml" w14:paraId="105FA9BC" wp14:textId="660C6CE2">
      <w:r>
        <w:br/>
      </w:r>
    </w:p>
    <w:p xmlns:wp14="http://schemas.microsoft.com/office/word/2010/wordml" w14:paraId="00C0F73F" wp14:textId="33FD56B0">
      <w:r w:rsidRPr="7A5E08FF" w:rsidR="4CAD7AB1">
        <w:rPr>
          <w:rFonts w:ascii="Times New Roman" w:hAnsi="Times New Roman" w:eastAsia="Times New Roman" w:cs="Times New Roman"/>
          <w:noProof w:val="0"/>
          <w:sz w:val="24"/>
          <w:szCs w:val="24"/>
          <w:lang w:val="en-GB"/>
        </w:rPr>
        <w:t xml:space="preserve">Currie, G. and Procter, S.J., 2005. The antecedents of middle managers’ strategic contribution: The case of a professional bureaucracy. </w:t>
      </w:r>
      <w:r w:rsidRPr="7A5E08FF" w:rsidR="4CAD7AB1">
        <w:rPr>
          <w:rFonts w:ascii="Times New Roman" w:hAnsi="Times New Roman" w:eastAsia="Times New Roman" w:cs="Times New Roman"/>
          <w:i w:val="1"/>
          <w:iCs w:val="1"/>
          <w:noProof w:val="0"/>
          <w:sz w:val="24"/>
          <w:szCs w:val="24"/>
          <w:lang w:val="en-GB"/>
        </w:rPr>
        <w:t>Journal of management studies</w:t>
      </w:r>
      <w:r w:rsidRPr="7A5E08FF" w:rsidR="4CAD7AB1">
        <w:rPr>
          <w:rFonts w:ascii="Times New Roman" w:hAnsi="Times New Roman" w:eastAsia="Times New Roman" w:cs="Times New Roman"/>
          <w:noProof w:val="0"/>
          <w:sz w:val="24"/>
          <w:szCs w:val="24"/>
          <w:lang w:val="en-GB"/>
        </w:rPr>
        <w:t xml:space="preserve">, </w:t>
      </w:r>
      <w:r w:rsidRPr="7A5E08FF" w:rsidR="4CAD7AB1">
        <w:rPr>
          <w:rFonts w:ascii="Times New Roman" w:hAnsi="Times New Roman" w:eastAsia="Times New Roman" w:cs="Times New Roman"/>
          <w:i w:val="1"/>
          <w:iCs w:val="1"/>
          <w:noProof w:val="0"/>
          <w:sz w:val="24"/>
          <w:szCs w:val="24"/>
          <w:lang w:val="en-GB"/>
        </w:rPr>
        <w:t>42</w:t>
      </w:r>
      <w:r w:rsidRPr="7A5E08FF" w:rsidR="4CAD7AB1">
        <w:rPr>
          <w:rFonts w:ascii="Times New Roman" w:hAnsi="Times New Roman" w:eastAsia="Times New Roman" w:cs="Times New Roman"/>
          <w:noProof w:val="0"/>
          <w:sz w:val="24"/>
          <w:szCs w:val="24"/>
          <w:lang w:val="en-GB"/>
        </w:rPr>
        <w:t>(7), pp.1325-1356.</w:t>
      </w:r>
    </w:p>
    <w:p xmlns:wp14="http://schemas.microsoft.com/office/word/2010/wordml" w14:paraId="5D863CAA" wp14:textId="02BDE3AF">
      <w:r>
        <w:br/>
      </w:r>
    </w:p>
    <w:p xmlns:wp14="http://schemas.microsoft.com/office/word/2010/wordml" w14:paraId="27B1861E" wp14:textId="3B77F914">
      <w:r w:rsidRPr="7A5E08FF" w:rsidR="4CAD7AB1">
        <w:rPr>
          <w:rFonts w:ascii="Times New Roman" w:hAnsi="Times New Roman" w:eastAsia="Times New Roman" w:cs="Times New Roman"/>
          <w:noProof w:val="0"/>
          <w:sz w:val="24"/>
          <w:szCs w:val="24"/>
          <w:lang w:val="en-GB"/>
        </w:rPr>
        <w:t xml:space="preserve">Elson, D., 2012. The reduction of the UK budget deficit: a human rights perspective. </w:t>
      </w:r>
      <w:r w:rsidRPr="7A5E08FF" w:rsidR="4CAD7AB1">
        <w:rPr>
          <w:rFonts w:ascii="Times New Roman" w:hAnsi="Times New Roman" w:eastAsia="Times New Roman" w:cs="Times New Roman"/>
          <w:i w:val="1"/>
          <w:iCs w:val="1"/>
          <w:noProof w:val="0"/>
          <w:sz w:val="24"/>
          <w:szCs w:val="24"/>
          <w:lang w:val="en-GB"/>
        </w:rPr>
        <w:t>International Review of Applied Economics</w:t>
      </w:r>
      <w:r w:rsidRPr="7A5E08FF" w:rsidR="4CAD7AB1">
        <w:rPr>
          <w:rFonts w:ascii="Times New Roman" w:hAnsi="Times New Roman" w:eastAsia="Times New Roman" w:cs="Times New Roman"/>
          <w:noProof w:val="0"/>
          <w:sz w:val="24"/>
          <w:szCs w:val="24"/>
          <w:lang w:val="en-GB"/>
        </w:rPr>
        <w:t xml:space="preserve">, </w:t>
      </w:r>
      <w:r w:rsidRPr="7A5E08FF" w:rsidR="4CAD7AB1">
        <w:rPr>
          <w:rFonts w:ascii="Times New Roman" w:hAnsi="Times New Roman" w:eastAsia="Times New Roman" w:cs="Times New Roman"/>
          <w:i w:val="1"/>
          <w:iCs w:val="1"/>
          <w:noProof w:val="0"/>
          <w:sz w:val="24"/>
          <w:szCs w:val="24"/>
          <w:lang w:val="en-GB"/>
        </w:rPr>
        <w:t>26</w:t>
      </w:r>
      <w:r w:rsidRPr="7A5E08FF" w:rsidR="4CAD7AB1">
        <w:rPr>
          <w:rFonts w:ascii="Times New Roman" w:hAnsi="Times New Roman" w:eastAsia="Times New Roman" w:cs="Times New Roman"/>
          <w:noProof w:val="0"/>
          <w:sz w:val="24"/>
          <w:szCs w:val="24"/>
          <w:lang w:val="en-GB"/>
        </w:rPr>
        <w:t>(2), pp.177-190.</w:t>
      </w:r>
    </w:p>
    <w:p xmlns:wp14="http://schemas.microsoft.com/office/word/2010/wordml" w14:paraId="39B3932D" wp14:textId="7446EA9B">
      <w:r>
        <w:br/>
      </w:r>
    </w:p>
    <w:p xmlns:wp14="http://schemas.microsoft.com/office/word/2010/wordml" w14:paraId="00C66168" wp14:textId="0C497387">
      <w:r w:rsidRPr="7A5E08FF" w:rsidR="4CAD7AB1">
        <w:rPr>
          <w:rFonts w:ascii="Times New Roman" w:hAnsi="Times New Roman" w:eastAsia="Times New Roman" w:cs="Times New Roman"/>
          <w:noProof w:val="0"/>
          <w:sz w:val="24"/>
          <w:szCs w:val="24"/>
          <w:lang w:val="en-GB"/>
        </w:rPr>
        <w:t xml:space="preserve">Faggioni, M.P., González-Melado, F.J. and Di Pietro, M.L., 2021. National health system cuts and triage decisions during the COVID-19 pandemic in Italy and Spain: ethical implications. </w:t>
      </w:r>
      <w:r w:rsidRPr="7A5E08FF" w:rsidR="4CAD7AB1">
        <w:rPr>
          <w:rFonts w:ascii="Times New Roman" w:hAnsi="Times New Roman" w:eastAsia="Times New Roman" w:cs="Times New Roman"/>
          <w:i w:val="1"/>
          <w:iCs w:val="1"/>
          <w:noProof w:val="0"/>
          <w:sz w:val="24"/>
          <w:szCs w:val="24"/>
          <w:lang w:val="en-GB"/>
        </w:rPr>
        <w:t>Journal of Medical Ethics</w:t>
      </w:r>
      <w:r w:rsidRPr="7A5E08FF" w:rsidR="4CAD7AB1">
        <w:rPr>
          <w:rFonts w:ascii="Times New Roman" w:hAnsi="Times New Roman" w:eastAsia="Times New Roman" w:cs="Times New Roman"/>
          <w:noProof w:val="0"/>
          <w:sz w:val="24"/>
          <w:szCs w:val="24"/>
          <w:lang w:val="en-GB"/>
        </w:rPr>
        <w:t>.</w:t>
      </w:r>
    </w:p>
    <w:p xmlns:wp14="http://schemas.microsoft.com/office/word/2010/wordml" w14:paraId="1EB23950" wp14:textId="4ADAA666">
      <w:r>
        <w:br/>
      </w:r>
    </w:p>
    <w:p xmlns:wp14="http://schemas.microsoft.com/office/word/2010/wordml" w14:paraId="43310967" wp14:textId="066A8882">
      <w:r w:rsidRPr="7A5E08FF" w:rsidR="4CAD7AB1">
        <w:rPr>
          <w:rFonts w:ascii="Times New Roman" w:hAnsi="Times New Roman" w:eastAsia="Times New Roman" w:cs="Times New Roman"/>
          <w:noProof w:val="0"/>
          <w:sz w:val="24"/>
          <w:szCs w:val="24"/>
          <w:lang w:val="en-GB"/>
        </w:rPr>
        <w:t xml:space="preserve">Green, M., Dorling, D. and Minton, J., 2017. The geography of a rapid rise in elderly </w:t>
      </w:r>
    </w:p>
    <w:p xmlns:wp14="http://schemas.microsoft.com/office/word/2010/wordml" w14:paraId="31390EAC" wp14:textId="003FEB9A">
      <w:r w:rsidRPr="7A5E08FF" w:rsidR="4CAD7AB1">
        <w:rPr>
          <w:rFonts w:ascii="Times New Roman" w:hAnsi="Times New Roman" w:eastAsia="Times New Roman" w:cs="Times New Roman"/>
          <w:noProof w:val="0"/>
          <w:sz w:val="24"/>
          <w:szCs w:val="24"/>
          <w:lang w:val="en-GB"/>
        </w:rPr>
        <w:t xml:space="preserve">mortality in England and Wales, 2014-15. </w:t>
      </w:r>
      <w:r w:rsidRPr="7A5E08FF" w:rsidR="4CAD7AB1">
        <w:rPr>
          <w:rFonts w:ascii="Times New Roman" w:hAnsi="Times New Roman" w:eastAsia="Times New Roman" w:cs="Times New Roman"/>
          <w:i w:val="1"/>
          <w:iCs w:val="1"/>
          <w:noProof w:val="0"/>
          <w:sz w:val="24"/>
          <w:szCs w:val="24"/>
          <w:lang w:val="en-GB"/>
        </w:rPr>
        <w:t>Health &amp; place</w:t>
      </w:r>
      <w:r w:rsidRPr="7A5E08FF" w:rsidR="4CAD7AB1">
        <w:rPr>
          <w:rFonts w:ascii="Times New Roman" w:hAnsi="Times New Roman" w:eastAsia="Times New Roman" w:cs="Times New Roman"/>
          <w:noProof w:val="0"/>
          <w:sz w:val="24"/>
          <w:szCs w:val="24"/>
          <w:lang w:val="en-GB"/>
        </w:rPr>
        <w:t xml:space="preserve">, </w:t>
      </w:r>
      <w:r w:rsidRPr="7A5E08FF" w:rsidR="4CAD7AB1">
        <w:rPr>
          <w:rFonts w:ascii="Times New Roman" w:hAnsi="Times New Roman" w:eastAsia="Times New Roman" w:cs="Times New Roman"/>
          <w:i w:val="1"/>
          <w:iCs w:val="1"/>
          <w:noProof w:val="0"/>
          <w:sz w:val="24"/>
          <w:szCs w:val="24"/>
          <w:lang w:val="en-GB"/>
        </w:rPr>
        <w:t>44</w:t>
      </w:r>
      <w:r w:rsidRPr="7A5E08FF" w:rsidR="4CAD7AB1">
        <w:rPr>
          <w:rFonts w:ascii="Times New Roman" w:hAnsi="Times New Roman" w:eastAsia="Times New Roman" w:cs="Times New Roman"/>
          <w:noProof w:val="0"/>
          <w:sz w:val="24"/>
          <w:szCs w:val="24"/>
          <w:lang w:val="en-GB"/>
        </w:rPr>
        <w:t>, pp.77-85.</w:t>
      </w:r>
    </w:p>
    <w:p xmlns:wp14="http://schemas.microsoft.com/office/word/2010/wordml" w14:paraId="1BCA66E5" wp14:textId="6228ECC9">
      <w:r>
        <w:br/>
      </w:r>
    </w:p>
    <w:p xmlns:wp14="http://schemas.microsoft.com/office/word/2010/wordml" w14:paraId="7291087E" wp14:textId="3E62D4B9">
      <w:r w:rsidRPr="7A5E08FF" w:rsidR="4CAD7AB1">
        <w:rPr>
          <w:rFonts w:ascii="Times New Roman" w:hAnsi="Times New Roman" w:eastAsia="Times New Roman" w:cs="Times New Roman"/>
          <w:noProof w:val="0"/>
          <w:sz w:val="24"/>
          <w:szCs w:val="24"/>
          <w:lang w:val="en-GB"/>
        </w:rPr>
        <w:t xml:space="preserve">Hiam, L., Harrison, D., McKee, M. and Dorling, D., 2018. Why is life expectancy in England and Wales ‘stalling’?. </w:t>
      </w:r>
      <w:r w:rsidRPr="7A5E08FF" w:rsidR="4CAD7AB1">
        <w:rPr>
          <w:rFonts w:ascii="Times New Roman" w:hAnsi="Times New Roman" w:eastAsia="Times New Roman" w:cs="Times New Roman"/>
          <w:i w:val="1"/>
          <w:iCs w:val="1"/>
          <w:noProof w:val="0"/>
          <w:sz w:val="24"/>
          <w:szCs w:val="24"/>
          <w:lang w:val="en-GB"/>
        </w:rPr>
        <w:t>J Epidemiol Community Health</w:t>
      </w:r>
      <w:r w:rsidRPr="7A5E08FF" w:rsidR="4CAD7AB1">
        <w:rPr>
          <w:rFonts w:ascii="Times New Roman" w:hAnsi="Times New Roman" w:eastAsia="Times New Roman" w:cs="Times New Roman"/>
          <w:noProof w:val="0"/>
          <w:sz w:val="24"/>
          <w:szCs w:val="24"/>
          <w:lang w:val="en-GB"/>
        </w:rPr>
        <w:t xml:space="preserve">, </w:t>
      </w:r>
      <w:r w:rsidRPr="7A5E08FF" w:rsidR="4CAD7AB1">
        <w:rPr>
          <w:rFonts w:ascii="Times New Roman" w:hAnsi="Times New Roman" w:eastAsia="Times New Roman" w:cs="Times New Roman"/>
          <w:i w:val="1"/>
          <w:iCs w:val="1"/>
          <w:noProof w:val="0"/>
          <w:sz w:val="24"/>
          <w:szCs w:val="24"/>
          <w:lang w:val="en-GB"/>
        </w:rPr>
        <w:t>72</w:t>
      </w:r>
      <w:r w:rsidRPr="7A5E08FF" w:rsidR="4CAD7AB1">
        <w:rPr>
          <w:rFonts w:ascii="Times New Roman" w:hAnsi="Times New Roman" w:eastAsia="Times New Roman" w:cs="Times New Roman"/>
          <w:noProof w:val="0"/>
          <w:sz w:val="24"/>
          <w:szCs w:val="24"/>
          <w:lang w:val="en-GB"/>
        </w:rPr>
        <w:t>(5), pp.404-408.</w:t>
      </w:r>
    </w:p>
    <w:p xmlns:wp14="http://schemas.microsoft.com/office/word/2010/wordml" w14:paraId="35D0C450" wp14:textId="6AB6746E">
      <w:r>
        <w:br/>
      </w:r>
    </w:p>
    <w:p xmlns:wp14="http://schemas.microsoft.com/office/word/2010/wordml" w14:paraId="138EB799" wp14:textId="193DED9C">
      <w:r w:rsidRPr="7A5E08FF" w:rsidR="4CAD7AB1">
        <w:rPr>
          <w:rFonts w:ascii="Times New Roman" w:hAnsi="Times New Roman" w:eastAsia="Times New Roman" w:cs="Times New Roman"/>
          <w:noProof w:val="0"/>
          <w:sz w:val="24"/>
          <w:szCs w:val="24"/>
          <w:lang w:val="en-GB"/>
        </w:rPr>
        <w:t xml:space="preserve">Hockley, T., 2021. Leaked government white paper: NHS reform is the problem, not the solution. </w:t>
      </w:r>
      <w:r w:rsidRPr="7A5E08FF" w:rsidR="4CAD7AB1">
        <w:rPr>
          <w:rFonts w:ascii="Times New Roman" w:hAnsi="Times New Roman" w:eastAsia="Times New Roman" w:cs="Times New Roman"/>
          <w:i w:val="1"/>
          <w:iCs w:val="1"/>
          <w:noProof w:val="0"/>
          <w:sz w:val="24"/>
          <w:szCs w:val="24"/>
          <w:lang w:val="en-GB"/>
        </w:rPr>
        <w:t>British Politics and Policy at LSE</w:t>
      </w:r>
      <w:r w:rsidRPr="7A5E08FF" w:rsidR="4CAD7AB1">
        <w:rPr>
          <w:rFonts w:ascii="Times New Roman" w:hAnsi="Times New Roman" w:eastAsia="Times New Roman" w:cs="Times New Roman"/>
          <w:noProof w:val="0"/>
          <w:sz w:val="24"/>
          <w:szCs w:val="24"/>
          <w:lang w:val="en-GB"/>
        </w:rPr>
        <w:t>.</w:t>
      </w:r>
    </w:p>
    <w:p xmlns:wp14="http://schemas.microsoft.com/office/word/2010/wordml" w14:paraId="02CDC33C" wp14:textId="02E815E3">
      <w:r>
        <w:br/>
      </w:r>
    </w:p>
    <w:p xmlns:wp14="http://schemas.microsoft.com/office/word/2010/wordml" w14:paraId="12359C1F" wp14:textId="12538113">
      <w:r w:rsidRPr="7A5E08FF" w:rsidR="4CAD7AB1">
        <w:rPr>
          <w:rFonts w:ascii="Times New Roman" w:hAnsi="Times New Roman" w:eastAsia="Times New Roman" w:cs="Times New Roman"/>
          <w:noProof w:val="0"/>
          <w:sz w:val="24"/>
          <w:szCs w:val="24"/>
          <w:lang w:val="en-GB"/>
        </w:rPr>
        <w:t>Jackson, K., 2021. Sustainable human resource management: strategies, practices and challenges: written and edited by Sugumar Mariappanadar, London, Red Globe Press, Amherst, 2019, xvi+ 340 pp., RRP£ 56.00 (paperback), ISBN 978-1-137-53049-3.</w:t>
      </w:r>
    </w:p>
    <w:p xmlns:wp14="http://schemas.microsoft.com/office/word/2010/wordml" w14:paraId="7CBEC74F" wp14:textId="6C70C7F9">
      <w:r>
        <w:br/>
      </w:r>
    </w:p>
    <w:p xmlns:wp14="http://schemas.microsoft.com/office/word/2010/wordml" w14:paraId="00DD0828" wp14:textId="1E5B96C1">
      <w:r w:rsidRPr="7A5E08FF" w:rsidR="4CAD7AB1">
        <w:rPr>
          <w:rFonts w:ascii="Times New Roman" w:hAnsi="Times New Roman" w:eastAsia="Times New Roman" w:cs="Times New Roman"/>
          <w:noProof w:val="0"/>
          <w:sz w:val="24"/>
          <w:szCs w:val="24"/>
          <w:lang w:val="en-GB"/>
        </w:rPr>
        <w:t xml:space="preserve">Kabene, S.M., Orchard, C., Howard, J.M., Soriano, M.A. and Leduc, R., 2006. The importance of human resources management in health care: a global context. </w:t>
      </w:r>
      <w:r w:rsidRPr="7A5E08FF" w:rsidR="4CAD7AB1">
        <w:rPr>
          <w:rFonts w:ascii="Times New Roman" w:hAnsi="Times New Roman" w:eastAsia="Times New Roman" w:cs="Times New Roman"/>
          <w:i w:val="1"/>
          <w:iCs w:val="1"/>
          <w:noProof w:val="0"/>
          <w:sz w:val="24"/>
          <w:szCs w:val="24"/>
          <w:lang w:val="en-GB"/>
        </w:rPr>
        <w:t>Human resources for health</w:t>
      </w:r>
      <w:r w:rsidRPr="7A5E08FF" w:rsidR="4CAD7AB1">
        <w:rPr>
          <w:rFonts w:ascii="Times New Roman" w:hAnsi="Times New Roman" w:eastAsia="Times New Roman" w:cs="Times New Roman"/>
          <w:noProof w:val="0"/>
          <w:sz w:val="24"/>
          <w:szCs w:val="24"/>
          <w:lang w:val="en-GB"/>
        </w:rPr>
        <w:t xml:space="preserve">, </w:t>
      </w:r>
      <w:r w:rsidRPr="7A5E08FF" w:rsidR="4CAD7AB1">
        <w:rPr>
          <w:rFonts w:ascii="Times New Roman" w:hAnsi="Times New Roman" w:eastAsia="Times New Roman" w:cs="Times New Roman"/>
          <w:i w:val="1"/>
          <w:iCs w:val="1"/>
          <w:noProof w:val="0"/>
          <w:sz w:val="24"/>
          <w:szCs w:val="24"/>
          <w:lang w:val="en-GB"/>
        </w:rPr>
        <w:t>4</w:t>
      </w:r>
      <w:r w:rsidRPr="7A5E08FF" w:rsidR="4CAD7AB1">
        <w:rPr>
          <w:rFonts w:ascii="Times New Roman" w:hAnsi="Times New Roman" w:eastAsia="Times New Roman" w:cs="Times New Roman"/>
          <w:noProof w:val="0"/>
          <w:sz w:val="24"/>
          <w:szCs w:val="24"/>
          <w:lang w:val="en-GB"/>
        </w:rPr>
        <w:t>(1), pp.1-17.</w:t>
      </w:r>
    </w:p>
    <w:p xmlns:wp14="http://schemas.microsoft.com/office/word/2010/wordml" w14:paraId="0F5FED52" wp14:textId="5BD3C454">
      <w:r>
        <w:br/>
      </w:r>
    </w:p>
    <w:p xmlns:wp14="http://schemas.microsoft.com/office/word/2010/wordml" w14:paraId="53F8C827" wp14:textId="35E47BE1">
      <w:r w:rsidRPr="7A5E08FF" w:rsidR="4CAD7AB1">
        <w:rPr>
          <w:rFonts w:ascii="Times New Roman" w:hAnsi="Times New Roman" w:eastAsia="Times New Roman" w:cs="Times New Roman"/>
          <w:noProof w:val="0"/>
          <w:sz w:val="24"/>
          <w:szCs w:val="24"/>
          <w:lang w:val="en-GB"/>
        </w:rPr>
        <w:t>Kmietowicz, Z., 2021. Drug and alcohol services for young people cut by£ 26m in six years.</w:t>
      </w:r>
    </w:p>
    <w:p xmlns:wp14="http://schemas.microsoft.com/office/word/2010/wordml" w14:paraId="77338966" wp14:textId="5CA02965">
      <w:r>
        <w:br/>
      </w:r>
    </w:p>
    <w:p xmlns:wp14="http://schemas.microsoft.com/office/word/2010/wordml" w14:paraId="0AC28429" wp14:textId="4A3FE547">
      <w:r w:rsidRPr="7A5E08FF" w:rsidR="4CAD7AB1">
        <w:rPr>
          <w:rFonts w:ascii="Times New Roman" w:hAnsi="Times New Roman" w:eastAsia="Times New Roman" w:cs="Times New Roman"/>
          <w:noProof w:val="0"/>
          <w:sz w:val="24"/>
          <w:szCs w:val="24"/>
          <w:lang w:val="en-GB"/>
        </w:rPr>
        <w:t xml:space="preserve">Scott, T., Mannion, R., Marshall, M. and Davies, H., 2003. Does organisational culture influence health care performance? A review of the evidence. </w:t>
      </w:r>
      <w:r w:rsidRPr="7A5E08FF" w:rsidR="4CAD7AB1">
        <w:rPr>
          <w:rFonts w:ascii="Times New Roman" w:hAnsi="Times New Roman" w:eastAsia="Times New Roman" w:cs="Times New Roman"/>
          <w:i w:val="1"/>
          <w:iCs w:val="1"/>
          <w:noProof w:val="0"/>
          <w:sz w:val="24"/>
          <w:szCs w:val="24"/>
          <w:lang w:val="en-GB"/>
        </w:rPr>
        <w:t>Journal of health services research &amp; policy</w:t>
      </w:r>
      <w:r w:rsidRPr="7A5E08FF" w:rsidR="4CAD7AB1">
        <w:rPr>
          <w:rFonts w:ascii="Times New Roman" w:hAnsi="Times New Roman" w:eastAsia="Times New Roman" w:cs="Times New Roman"/>
          <w:noProof w:val="0"/>
          <w:sz w:val="24"/>
          <w:szCs w:val="24"/>
          <w:lang w:val="en-GB"/>
        </w:rPr>
        <w:t xml:space="preserve">, </w:t>
      </w:r>
      <w:r w:rsidRPr="7A5E08FF" w:rsidR="4CAD7AB1">
        <w:rPr>
          <w:rFonts w:ascii="Times New Roman" w:hAnsi="Times New Roman" w:eastAsia="Times New Roman" w:cs="Times New Roman"/>
          <w:i w:val="1"/>
          <w:iCs w:val="1"/>
          <w:noProof w:val="0"/>
          <w:sz w:val="24"/>
          <w:szCs w:val="24"/>
          <w:lang w:val="en-GB"/>
        </w:rPr>
        <w:t>8</w:t>
      </w:r>
      <w:r w:rsidRPr="7A5E08FF" w:rsidR="4CAD7AB1">
        <w:rPr>
          <w:rFonts w:ascii="Times New Roman" w:hAnsi="Times New Roman" w:eastAsia="Times New Roman" w:cs="Times New Roman"/>
          <w:noProof w:val="0"/>
          <w:sz w:val="24"/>
          <w:szCs w:val="24"/>
          <w:lang w:val="en-GB"/>
        </w:rPr>
        <w:t>(2), pp.105-117.</w:t>
      </w:r>
    </w:p>
    <w:p xmlns:wp14="http://schemas.microsoft.com/office/word/2010/wordml" w14:paraId="2DBB4032" wp14:textId="707AC6CD">
      <w:r>
        <w:br/>
      </w:r>
    </w:p>
    <w:p xmlns:wp14="http://schemas.microsoft.com/office/word/2010/wordml" w14:paraId="751290FB" wp14:textId="596889C6">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Tallaki, M. and Bracci, E., 2021. Risk Perception, Accounting, and Resilience in Public Sector Organizations: A Case Study Analysis. </w:t>
      </w:r>
      <w:r w:rsidRPr="7A5E08FF" w:rsidR="4CAD7AB1">
        <w:rPr>
          <w:rFonts w:ascii="Times New Roman" w:hAnsi="Times New Roman" w:eastAsia="Times New Roman" w:cs="Times New Roman"/>
          <w:b w:val="0"/>
          <w:bCs w:val="0"/>
          <w:i w:val="1"/>
          <w:iCs w:val="1"/>
          <w:noProof w:val="0"/>
          <w:color w:val="000000" w:themeColor="text1" w:themeTint="FF" w:themeShade="FF"/>
          <w:sz w:val="24"/>
          <w:szCs w:val="24"/>
          <w:lang w:val="en-GB"/>
        </w:rPr>
        <w:t>Journal of Risk and Financial Management</w:t>
      </w:r>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A5E08FF" w:rsidR="4CAD7AB1">
        <w:rPr>
          <w:rFonts w:ascii="Times New Roman" w:hAnsi="Times New Roman" w:eastAsia="Times New Roman" w:cs="Times New Roman"/>
          <w:b w:val="0"/>
          <w:bCs w:val="0"/>
          <w:i w:val="1"/>
          <w:iCs w:val="1"/>
          <w:noProof w:val="0"/>
          <w:color w:val="000000" w:themeColor="text1" w:themeTint="FF" w:themeShade="FF"/>
          <w:sz w:val="24"/>
          <w:szCs w:val="24"/>
          <w:lang w:val="en-GB"/>
        </w:rPr>
        <w:t>14</w:t>
      </w:r>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(1), p.4.</w:t>
      </w:r>
    </w:p>
    <w:p xmlns:wp14="http://schemas.microsoft.com/office/word/2010/wordml" w14:paraId="2247FFEC" wp14:textId="0398D956">
      <w:r>
        <w:br/>
      </w:r>
    </w:p>
    <w:p xmlns:wp14="http://schemas.microsoft.com/office/word/2010/wordml" w14:paraId="79964D36" wp14:textId="11B56997">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King's Fund. 2021. </w:t>
      </w:r>
      <w:r w:rsidRPr="7A5E08FF" w:rsidR="4CAD7AB1">
        <w:rPr>
          <w:rFonts w:ascii="Times New Roman" w:hAnsi="Times New Roman" w:eastAsia="Times New Roman" w:cs="Times New Roman"/>
          <w:b w:val="0"/>
          <w:bCs w:val="0"/>
          <w:i w:val="1"/>
          <w:iCs w:val="1"/>
          <w:noProof w:val="0"/>
          <w:color w:val="000000" w:themeColor="text1" w:themeTint="FF" w:themeShade="FF"/>
          <w:sz w:val="24"/>
          <w:szCs w:val="24"/>
          <w:lang w:val="en-GB"/>
        </w:rPr>
        <w:t>Social care services: funding cuts are biting hard</w:t>
      </w:r>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&lt;https://www.kingsfund.org.uk/blog/2020/01/social-care-funding-cuts-are-biting-hard&gt; [Accessed 8 April 2021].</w:t>
      </w:r>
    </w:p>
    <w:p xmlns:wp14="http://schemas.microsoft.com/office/word/2010/wordml" w14:paraId="7A2466AB" wp14:textId="18763615">
      <w:r>
        <w:br/>
      </w:r>
    </w:p>
    <w:p xmlns:wp14="http://schemas.microsoft.com/office/word/2010/wordml" w14:paraId="61BE9474" wp14:textId="37AD3F7D">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Tuc.org.uk. 2021. </w:t>
      </w:r>
      <w:r w:rsidRPr="7A5E08FF" w:rsidR="4CAD7AB1">
        <w:rPr>
          <w:rFonts w:ascii="Times New Roman" w:hAnsi="Times New Roman" w:eastAsia="Times New Roman" w:cs="Times New Roman"/>
          <w:b w:val="0"/>
          <w:bCs w:val="0"/>
          <w:i w:val="1"/>
          <w:iCs w:val="1"/>
          <w:noProof w:val="0"/>
          <w:color w:val="000000" w:themeColor="text1" w:themeTint="FF" w:themeShade="FF"/>
          <w:sz w:val="24"/>
          <w:szCs w:val="24"/>
          <w:lang w:val="en-GB"/>
        </w:rPr>
        <w:t>Social care spending in England still £600m lower than in 2010</w:t>
      </w:r>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&lt;https://www.tuc.org.uk/news/social-care-spending-england-still-ps600m-lower-2010&gt; [Accessed 8 April 2021].</w:t>
      </w:r>
    </w:p>
    <w:p xmlns:wp14="http://schemas.microsoft.com/office/word/2010/wordml" w14:paraId="3C1FD1D9" wp14:textId="738E90B8">
      <w:r>
        <w:br/>
      </w:r>
    </w:p>
    <w:p xmlns:wp14="http://schemas.microsoft.com/office/word/2010/wordml" w14:paraId="092B13CE" wp14:textId="15A867A3">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Watkins, J., Wulaningsih, W., Da Zhou, C., Marshall, D.C., Sylianteng, G.D., Rosa, P.G.D., Miguel, V.A., Raine, R., King, L.P. and Maruthappu, M., 2017. Effects of health and social care spending constraints on mortality in England: a time trend analysis. </w:t>
      </w:r>
      <w:r w:rsidRPr="7A5E08FF" w:rsidR="4CAD7AB1">
        <w:rPr>
          <w:rFonts w:ascii="Times New Roman" w:hAnsi="Times New Roman" w:eastAsia="Times New Roman" w:cs="Times New Roman"/>
          <w:b w:val="0"/>
          <w:bCs w:val="0"/>
          <w:i w:val="1"/>
          <w:iCs w:val="1"/>
          <w:noProof w:val="0"/>
          <w:color w:val="000000" w:themeColor="text1" w:themeTint="FF" w:themeShade="FF"/>
          <w:sz w:val="24"/>
          <w:szCs w:val="24"/>
          <w:lang w:val="en-GB"/>
        </w:rPr>
        <w:t>BMJ open</w:t>
      </w:r>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A5E08FF" w:rsidR="4CAD7AB1">
        <w:rPr>
          <w:rFonts w:ascii="Times New Roman" w:hAnsi="Times New Roman" w:eastAsia="Times New Roman" w:cs="Times New Roman"/>
          <w:b w:val="0"/>
          <w:bCs w:val="0"/>
          <w:i w:val="1"/>
          <w:iCs w:val="1"/>
          <w:noProof w:val="0"/>
          <w:color w:val="000000" w:themeColor="text1" w:themeTint="FF" w:themeShade="FF"/>
          <w:sz w:val="24"/>
          <w:szCs w:val="24"/>
          <w:lang w:val="en-GB"/>
        </w:rPr>
        <w:t>7</w:t>
      </w:r>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(11).</w:t>
      </w:r>
    </w:p>
    <w:p xmlns:wp14="http://schemas.microsoft.com/office/word/2010/wordml" w14:paraId="2FC52080" wp14:textId="0127EFCF">
      <w:r>
        <w:br/>
      </w:r>
    </w:p>
    <w:p xmlns:wp14="http://schemas.microsoft.com/office/word/2010/wordml" w14:paraId="6CA9F4D9" wp14:textId="7A7554DE">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Worldometers.info. 2021. </w:t>
      </w:r>
      <w:r w:rsidRPr="7A5E08FF" w:rsidR="4CAD7AB1">
        <w:rPr>
          <w:rFonts w:ascii="Times New Roman" w:hAnsi="Times New Roman" w:eastAsia="Times New Roman" w:cs="Times New Roman"/>
          <w:b w:val="0"/>
          <w:bCs w:val="0"/>
          <w:i w:val="1"/>
          <w:iCs w:val="1"/>
          <w:noProof w:val="0"/>
          <w:color w:val="000000" w:themeColor="text1" w:themeTint="FF" w:themeShade="FF"/>
          <w:sz w:val="24"/>
          <w:szCs w:val="24"/>
          <w:lang w:val="en-GB"/>
        </w:rPr>
        <w:t>Italy Coronavirus: 3,717,602 Cases and 112,861 Deaths - Worldometer</w:t>
      </w:r>
      <w:r w:rsidRPr="7A5E08FF" w:rsidR="4CAD7AB1">
        <w:rPr>
          <w:rFonts w:ascii="Times New Roman" w:hAnsi="Times New Roman" w:eastAsia="Times New Roman" w:cs="Times New Roman"/>
          <w:b w:val="0"/>
          <w:bCs w:val="0"/>
          <w:i w:val="0"/>
          <w:iCs w:val="0"/>
          <w:noProof w:val="0"/>
          <w:color w:val="000000" w:themeColor="text1" w:themeTint="FF" w:themeShade="FF"/>
          <w:sz w:val="24"/>
          <w:szCs w:val="24"/>
          <w:lang w:val="en-GB"/>
        </w:rPr>
        <w:t>. [online] Available at: &lt;https://www.worldometers.info/coronavirus/country/italy/&gt; [Accessed 9 April 2021].</w:t>
      </w:r>
    </w:p>
    <w:p xmlns:wp14="http://schemas.microsoft.com/office/word/2010/wordml" w14:paraId="5EBFA133" wp14:textId="7BC9B801">
      <w:r>
        <w:br/>
      </w:r>
    </w:p>
    <w:p xmlns:wp14="http://schemas.microsoft.com/office/word/2010/wordml" w:rsidP="7A5E08FF" w14:paraId="5E5787A5" wp14:textId="2E41F460">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1EACC7"/>
    <w:rsid w:val="101EACC7"/>
    <w:rsid w:val="2D05A47E"/>
    <w:rsid w:val="2EA174DF"/>
    <w:rsid w:val="452EC7B3"/>
    <w:rsid w:val="4CAD7AB1"/>
    <w:rsid w:val="5FC66859"/>
    <w:rsid w:val="7A5E0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D2A53"/>
  <w15:chartTrackingRefBased/>
  <w15:docId w15:val="{d021983d-d419-449e-9f6b-c3b02907f2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Francis (1904148)</dc:creator>
  <keywords/>
  <dc:description/>
  <lastModifiedBy>Kayleigh Francis (1904148)</lastModifiedBy>
  <revision>2</revision>
  <dcterms:created xsi:type="dcterms:W3CDTF">2021-04-09T21:39:09.2758251Z</dcterms:created>
  <dcterms:modified xsi:type="dcterms:W3CDTF">2021-04-09T21:42:31.8808311Z</dcterms:modified>
</coreProperties>
</file>