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F9E366" w14:textId="43A66181" w:rsidR="00730BA1" w:rsidRPr="00F23155" w:rsidRDefault="00730BA1">
      <w:pPr>
        <w:rPr>
          <w:sz w:val="28"/>
          <w:szCs w:val="28"/>
        </w:rPr>
      </w:pPr>
      <w:r w:rsidRPr="00F23155">
        <w:rPr>
          <w:sz w:val="28"/>
          <w:szCs w:val="28"/>
        </w:rPr>
        <w:t xml:space="preserve">This assignment </w:t>
      </w:r>
      <w:r w:rsidR="00D95C35" w:rsidRPr="00F23155">
        <w:rPr>
          <w:sz w:val="28"/>
          <w:szCs w:val="28"/>
        </w:rPr>
        <w:t xml:space="preserve">delves into </w:t>
      </w:r>
      <w:r w:rsidR="00D66607">
        <w:rPr>
          <w:sz w:val="28"/>
          <w:szCs w:val="28"/>
        </w:rPr>
        <w:t xml:space="preserve">the </w:t>
      </w:r>
      <w:r w:rsidR="00D95C35" w:rsidRPr="00F23155">
        <w:rPr>
          <w:sz w:val="28"/>
          <w:szCs w:val="28"/>
        </w:rPr>
        <w:t xml:space="preserve">policy, legislation, and practice in meeting the additional requirements of post-16 learners in Wales. Central to this analysis is an exploration of the profound impact these requirements have on the student experience. With a keen focus on inclusivity and the diverse needs of learners, </w:t>
      </w:r>
      <w:r w:rsidR="00191377" w:rsidRPr="00F23155">
        <w:rPr>
          <w:sz w:val="28"/>
          <w:szCs w:val="28"/>
        </w:rPr>
        <w:t xml:space="preserve">looking at </w:t>
      </w:r>
      <w:r w:rsidR="00D95C35" w:rsidRPr="00F23155">
        <w:rPr>
          <w:sz w:val="28"/>
          <w:szCs w:val="28"/>
        </w:rPr>
        <w:t>the intricate connections between policy frameworks</w:t>
      </w:r>
      <w:r w:rsidR="00191377" w:rsidRPr="00F23155">
        <w:rPr>
          <w:sz w:val="28"/>
          <w:szCs w:val="28"/>
        </w:rPr>
        <w:t xml:space="preserve">, </w:t>
      </w:r>
      <w:r w:rsidR="00F762C0" w:rsidRPr="00F23155">
        <w:rPr>
          <w:sz w:val="28"/>
          <w:szCs w:val="28"/>
        </w:rPr>
        <w:t>values,</w:t>
      </w:r>
      <w:r w:rsidR="00191377" w:rsidRPr="00F23155">
        <w:rPr>
          <w:sz w:val="28"/>
          <w:szCs w:val="28"/>
        </w:rPr>
        <w:t xml:space="preserve"> </w:t>
      </w:r>
      <w:r w:rsidR="00D95C35" w:rsidRPr="00F23155">
        <w:rPr>
          <w:sz w:val="28"/>
          <w:szCs w:val="28"/>
        </w:rPr>
        <w:t>and practical implications.</w:t>
      </w:r>
    </w:p>
    <w:p w14:paraId="36A84B9E" w14:textId="026E287F" w:rsidR="00C523B9" w:rsidRPr="00F23155" w:rsidRDefault="00A72493">
      <w:pPr>
        <w:rPr>
          <w:color w:val="C00000"/>
          <w:sz w:val="28"/>
          <w:szCs w:val="28"/>
        </w:rPr>
      </w:pPr>
      <w:r w:rsidRPr="00F23155">
        <w:rPr>
          <w:sz w:val="28"/>
          <w:szCs w:val="28"/>
        </w:rPr>
        <w:t>The core professional standard for further education teachers in Wales</w:t>
      </w:r>
      <w:r w:rsidR="00743182">
        <w:rPr>
          <w:sz w:val="28"/>
          <w:szCs w:val="28"/>
        </w:rPr>
        <w:t xml:space="preserve"> (2017)</w:t>
      </w:r>
      <w:r w:rsidRPr="00F23155">
        <w:rPr>
          <w:sz w:val="28"/>
          <w:szCs w:val="28"/>
        </w:rPr>
        <w:t>, which predominates this assignment is "value and promote diversity, equality of opportunities, and inclusion." However, in the pursuit of this singular standard, various aspects of corresponding standards become intertwined, notably dignity and respect, inclusive assessment practices, fostering positive relationships, and engaging in critical reflection on one's own knowledge, values, and inclusivity skills</w:t>
      </w:r>
      <w:r w:rsidR="00743182">
        <w:rPr>
          <w:sz w:val="28"/>
          <w:szCs w:val="28"/>
        </w:rPr>
        <w:t>.</w:t>
      </w:r>
    </w:p>
    <w:p w14:paraId="2269946D" w14:textId="0D0A449B" w:rsidR="006256CC" w:rsidRDefault="002018D8" w:rsidP="00C4728F">
      <w:pPr>
        <w:rPr>
          <w:sz w:val="28"/>
          <w:szCs w:val="28"/>
        </w:rPr>
      </w:pPr>
      <w:r w:rsidRPr="00F23155">
        <w:rPr>
          <w:sz w:val="28"/>
          <w:szCs w:val="28"/>
        </w:rPr>
        <w:t>In Inclusive Education, guidance and policy documents serve as the primary means of interpreting through two central lenses</w:t>
      </w:r>
      <w:r w:rsidR="0016273A" w:rsidRPr="00F23155">
        <w:rPr>
          <w:sz w:val="28"/>
          <w:szCs w:val="28"/>
        </w:rPr>
        <w:t>;</w:t>
      </w:r>
      <w:r w:rsidRPr="00F23155">
        <w:rPr>
          <w:sz w:val="28"/>
          <w:szCs w:val="28"/>
        </w:rPr>
        <w:t xml:space="preserve"> 'practice' and 'values'.</w:t>
      </w:r>
      <w:r w:rsidR="0016273A" w:rsidRPr="00F23155">
        <w:rPr>
          <w:sz w:val="28"/>
          <w:szCs w:val="28"/>
        </w:rPr>
        <w:t xml:space="preserve">  </w:t>
      </w:r>
      <w:r w:rsidR="00AA52AD" w:rsidRPr="00F23155">
        <w:rPr>
          <w:sz w:val="28"/>
          <w:szCs w:val="28"/>
        </w:rPr>
        <w:t>The Equality and Human Rights Commission guidance</w:t>
      </w:r>
      <w:r w:rsidR="007E76D6" w:rsidRPr="00F23155">
        <w:rPr>
          <w:sz w:val="28"/>
          <w:szCs w:val="28"/>
        </w:rPr>
        <w:t xml:space="preserve"> (2014)</w:t>
      </w:r>
      <w:r w:rsidR="00AA52AD" w:rsidRPr="00F23155">
        <w:rPr>
          <w:sz w:val="28"/>
          <w:szCs w:val="28"/>
        </w:rPr>
        <w:t xml:space="preserve">, sets out what the </w:t>
      </w:r>
      <w:r w:rsidR="00507319" w:rsidRPr="00F23155">
        <w:rPr>
          <w:sz w:val="28"/>
          <w:szCs w:val="28"/>
        </w:rPr>
        <w:t>E</w:t>
      </w:r>
      <w:r w:rsidR="00AA52AD" w:rsidRPr="00F23155">
        <w:rPr>
          <w:sz w:val="28"/>
          <w:szCs w:val="28"/>
        </w:rPr>
        <w:t xml:space="preserve">quality </w:t>
      </w:r>
      <w:r w:rsidR="00507319" w:rsidRPr="00F23155">
        <w:rPr>
          <w:sz w:val="28"/>
          <w:szCs w:val="28"/>
        </w:rPr>
        <w:t xml:space="preserve">Act 2010 </w:t>
      </w:r>
      <w:r w:rsidR="00AA52AD" w:rsidRPr="00F23155">
        <w:rPr>
          <w:sz w:val="28"/>
          <w:szCs w:val="28"/>
        </w:rPr>
        <w:t>means for education providers in further</w:t>
      </w:r>
      <w:r w:rsidR="00F64A8E" w:rsidRPr="00F23155">
        <w:rPr>
          <w:sz w:val="28"/>
          <w:szCs w:val="28"/>
        </w:rPr>
        <w:t>/</w:t>
      </w:r>
      <w:r w:rsidR="00AA52AD" w:rsidRPr="00F23155">
        <w:rPr>
          <w:sz w:val="28"/>
          <w:szCs w:val="28"/>
        </w:rPr>
        <w:t>higher education</w:t>
      </w:r>
      <w:r w:rsidR="004D2765" w:rsidRPr="00F23155">
        <w:rPr>
          <w:sz w:val="28"/>
          <w:szCs w:val="28"/>
        </w:rPr>
        <w:t xml:space="preserve"> in Wales</w:t>
      </w:r>
      <w:r w:rsidR="007C2E05">
        <w:rPr>
          <w:sz w:val="28"/>
          <w:szCs w:val="28"/>
        </w:rPr>
        <w:t xml:space="preserve"> and</w:t>
      </w:r>
      <w:r w:rsidR="00AA52AD" w:rsidRPr="00F23155">
        <w:rPr>
          <w:sz w:val="28"/>
          <w:szCs w:val="28"/>
        </w:rPr>
        <w:t xml:space="preserve"> to support the implementation of </w:t>
      </w:r>
      <w:r w:rsidR="00741ED8" w:rsidRPr="00F23155">
        <w:rPr>
          <w:sz w:val="28"/>
          <w:szCs w:val="28"/>
        </w:rPr>
        <w:t>it</w:t>
      </w:r>
      <w:r w:rsidR="004D2765" w:rsidRPr="00F23155">
        <w:rPr>
          <w:sz w:val="28"/>
          <w:szCs w:val="28"/>
        </w:rPr>
        <w:t>. The Equality Act (2010)</w:t>
      </w:r>
      <w:r w:rsidR="001F10E8" w:rsidRPr="00F23155">
        <w:rPr>
          <w:sz w:val="28"/>
          <w:szCs w:val="28"/>
        </w:rPr>
        <w:t xml:space="preserve"> is</w:t>
      </w:r>
      <w:r w:rsidR="00DC3930" w:rsidRPr="00F23155">
        <w:rPr>
          <w:sz w:val="28"/>
          <w:szCs w:val="28"/>
        </w:rPr>
        <w:t xml:space="preserve"> intended</w:t>
      </w:r>
      <w:r w:rsidR="001F10E8" w:rsidRPr="00F23155">
        <w:rPr>
          <w:sz w:val="28"/>
          <w:szCs w:val="28"/>
        </w:rPr>
        <w:t xml:space="preserve"> </w:t>
      </w:r>
      <w:r w:rsidR="0016273A" w:rsidRPr="00F23155">
        <w:rPr>
          <w:sz w:val="28"/>
          <w:szCs w:val="28"/>
        </w:rPr>
        <w:t xml:space="preserve">to </w:t>
      </w:r>
      <w:r w:rsidR="001F10E8" w:rsidRPr="00F23155">
        <w:rPr>
          <w:sz w:val="28"/>
          <w:szCs w:val="28"/>
        </w:rPr>
        <w:t>protect vulnerable groups in</w:t>
      </w:r>
      <w:r w:rsidR="00741ED8" w:rsidRPr="00F23155">
        <w:rPr>
          <w:sz w:val="28"/>
          <w:szCs w:val="28"/>
        </w:rPr>
        <w:t xml:space="preserve"> stating </w:t>
      </w:r>
      <w:r w:rsidR="00C769E2" w:rsidRPr="00F23155">
        <w:rPr>
          <w:sz w:val="28"/>
          <w:szCs w:val="28"/>
        </w:rPr>
        <w:t>‘</w:t>
      </w:r>
      <w:r w:rsidR="001F10E8" w:rsidRPr="00F23155">
        <w:rPr>
          <w:sz w:val="28"/>
          <w:szCs w:val="28"/>
        </w:rPr>
        <w:t>protective characteristics</w:t>
      </w:r>
      <w:r w:rsidR="00C769E2" w:rsidRPr="00F23155">
        <w:rPr>
          <w:sz w:val="28"/>
          <w:szCs w:val="28"/>
        </w:rPr>
        <w:t>’</w:t>
      </w:r>
      <w:r w:rsidR="00741ED8" w:rsidRPr="00F23155">
        <w:rPr>
          <w:sz w:val="28"/>
          <w:szCs w:val="28"/>
        </w:rPr>
        <w:t>.  T</w:t>
      </w:r>
      <w:r w:rsidR="001F10E8" w:rsidRPr="00F23155">
        <w:rPr>
          <w:sz w:val="28"/>
          <w:szCs w:val="28"/>
        </w:rPr>
        <w:t xml:space="preserve">his protection </w:t>
      </w:r>
      <w:r w:rsidR="00C769E2" w:rsidRPr="00F23155">
        <w:rPr>
          <w:sz w:val="28"/>
          <w:szCs w:val="28"/>
        </w:rPr>
        <w:t xml:space="preserve">is meant to </w:t>
      </w:r>
      <w:r w:rsidR="001F10E8" w:rsidRPr="00F23155">
        <w:rPr>
          <w:sz w:val="28"/>
          <w:szCs w:val="28"/>
        </w:rPr>
        <w:t xml:space="preserve">ensures a safe and inclusive learning environment; it also </w:t>
      </w:r>
      <w:r w:rsidR="004D2765" w:rsidRPr="00F23155">
        <w:rPr>
          <w:sz w:val="28"/>
          <w:szCs w:val="28"/>
        </w:rPr>
        <w:t xml:space="preserve">consolidates </w:t>
      </w:r>
      <w:r w:rsidR="001F10E8" w:rsidRPr="00F23155">
        <w:rPr>
          <w:sz w:val="28"/>
          <w:szCs w:val="28"/>
        </w:rPr>
        <w:t>institutional</w:t>
      </w:r>
      <w:r w:rsidR="004D2765" w:rsidRPr="00F23155">
        <w:rPr>
          <w:sz w:val="28"/>
          <w:szCs w:val="28"/>
        </w:rPr>
        <w:t xml:space="preserve"> obligations and responsibilities into a single legal framework. </w:t>
      </w:r>
      <w:r w:rsidR="001F10E8" w:rsidRPr="00F23155">
        <w:rPr>
          <w:sz w:val="28"/>
          <w:szCs w:val="28"/>
        </w:rPr>
        <w:t xml:space="preserve"> Promotion of equality requires higher educators to proactively tackle discrimination and address the needs of disadvantaged groups</w:t>
      </w:r>
      <w:r w:rsidR="004D1DD3" w:rsidRPr="00F23155">
        <w:rPr>
          <w:sz w:val="28"/>
          <w:szCs w:val="28"/>
        </w:rPr>
        <w:t xml:space="preserve"> (Brown, 2018)</w:t>
      </w:r>
      <w:r w:rsidR="001F10E8" w:rsidRPr="00F23155">
        <w:rPr>
          <w:sz w:val="28"/>
          <w:szCs w:val="28"/>
        </w:rPr>
        <w:t xml:space="preserve">. </w:t>
      </w:r>
      <w:r w:rsidR="00391C0B">
        <w:rPr>
          <w:sz w:val="28"/>
          <w:szCs w:val="28"/>
        </w:rPr>
        <w:t xml:space="preserve">It </w:t>
      </w:r>
      <w:r w:rsidR="00885191" w:rsidRPr="00F23155">
        <w:rPr>
          <w:sz w:val="28"/>
          <w:szCs w:val="28"/>
        </w:rPr>
        <w:t>serve</w:t>
      </w:r>
      <w:r w:rsidR="00391C0B">
        <w:rPr>
          <w:sz w:val="28"/>
          <w:szCs w:val="28"/>
        </w:rPr>
        <w:t>s</w:t>
      </w:r>
      <w:r w:rsidR="00885191" w:rsidRPr="00F23155">
        <w:rPr>
          <w:sz w:val="28"/>
          <w:szCs w:val="28"/>
        </w:rPr>
        <w:t xml:space="preserve"> to uphold the accountability of educational institutions</w:t>
      </w:r>
      <w:r w:rsidR="00391C0B">
        <w:rPr>
          <w:sz w:val="28"/>
          <w:szCs w:val="28"/>
        </w:rPr>
        <w:t>,</w:t>
      </w:r>
      <w:r w:rsidR="00885191" w:rsidRPr="00F23155">
        <w:rPr>
          <w:sz w:val="28"/>
          <w:szCs w:val="28"/>
        </w:rPr>
        <w:t xml:space="preserve"> while fostering a culture of responsibility and rectifying instances of discrimination</w:t>
      </w:r>
      <w:r w:rsidR="00391C0B">
        <w:rPr>
          <w:sz w:val="28"/>
          <w:szCs w:val="28"/>
        </w:rPr>
        <w:t>/</w:t>
      </w:r>
      <w:r w:rsidR="00885191" w:rsidRPr="00F23155">
        <w:rPr>
          <w:sz w:val="28"/>
          <w:szCs w:val="28"/>
        </w:rPr>
        <w:t xml:space="preserve">inequality.  </w:t>
      </w:r>
      <w:r w:rsidR="001F10E8" w:rsidRPr="00F23155">
        <w:rPr>
          <w:sz w:val="28"/>
          <w:szCs w:val="28"/>
        </w:rPr>
        <w:t>Despite efforts to clarify the law</w:t>
      </w:r>
      <w:r w:rsidR="00DC3930" w:rsidRPr="00F23155">
        <w:rPr>
          <w:sz w:val="28"/>
          <w:szCs w:val="28"/>
        </w:rPr>
        <w:t xml:space="preserve"> (</w:t>
      </w:r>
      <w:r w:rsidR="004D1DD3" w:rsidRPr="00F23155">
        <w:rPr>
          <w:sz w:val="28"/>
          <w:szCs w:val="28"/>
        </w:rPr>
        <w:t>Benn, 2020</w:t>
      </w:r>
      <w:r w:rsidR="00DC3930" w:rsidRPr="00F23155">
        <w:rPr>
          <w:sz w:val="28"/>
          <w:szCs w:val="28"/>
        </w:rPr>
        <w:t>)</w:t>
      </w:r>
      <w:r w:rsidR="00885191" w:rsidRPr="00F23155">
        <w:rPr>
          <w:sz w:val="28"/>
          <w:szCs w:val="28"/>
        </w:rPr>
        <w:t>,</w:t>
      </w:r>
      <w:r w:rsidR="001F10E8" w:rsidRPr="00F23155">
        <w:rPr>
          <w:sz w:val="28"/>
          <w:szCs w:val="28"/>
        </w:rPr>
        <w:t xml:space="preserve"> there is still potential for </w:t>
      </w:r>
      <w:r w:rsidR="00DC3930" w:rsidRPr="00F23155">
        <w:rPr>
          <w:sz w:val="28"/>
          <w:szCs w:val="28"/>
        </w:rPr>
        <w:t>misinterpretation</w:t>
      </w:r>
      <w:r w:rsidR="001F10E8" w:rsidRPr="00F23155">
        <w:rPr>
          <w:sz w:val="28"/>
          <w:szCs w:val="28"/>
        </w:rPr>
        <w:t xml:space="preserve"> or inconsistent application</w:t>
      </w:r>
      <w:r w:rsidR="00DC3930" w:rsidRPr="00F23155">
        <w:rPr>
          <w:sz w:val="28"/>
          <w:szCs w:val="28"/>
        </w:rPr>
        <w:t xml:space="preserve">; this could lead to confusion or dispute. </w:t>
      </w:r>
      <w:r w:rsidR="009E45E0" w:rsidRPr="00F23155">
        <w:rPr>
          <w:sz w:val="28"/>
          <w:szCs w:val="28"/>
        </w:rPr>
        <w:t>Pickard</w:t>
      </w:r>
      <w:r w:rsidR="00391F28" w:rsidRPr="00F23155">
        <w:rPr>
          <w:sz w:val="28"/>
          <w:szCs w:val="28"/>
        </w:rPr>
        <w:t xml:space="preserve"> (2021, p.21)</w:t>
      </w:r>
      <w:r w:rsidR="009E45E0" w:rsidRPr="00F23155">
        <w:rPr>
          <w:sz w:val="28"/>
          <w:szCs w:val="28"/>
        </w:rPr>
        <w:t xml:space="preserve"> </w:t>
      </w:r>
      <w:r w:rsidR="00DE6F8C" w:rsidRPr="00F23155">
        <w:rPr>
          <w:sz w:val="28"/>
          <w:szCs w:val="28"/>
        </w:rPr>
        <w:t xml:space="preserve">asserts </w:t>
      </w:r>
      <w:r w:rsidR="00391F28" w:rsidRPr="00F23155">
        <w:rPr>
          <w:sz w:val="28"/>
          <w:szCs w:val="28"/>
        </w:rPr>
        <w:t xml:space="preserve">that the </w:t>
      </w:r>
      <w:r w:rsidR="009E45E0" w:rsidRPr="00F23155">
        <w:rPr>
          <w:sz w:val="28"/>
          <w:szCs w:val="28"/>
        </w:rPr>
        <w:t>“policy avoids the challenging critique of ableist practices at a systemic level”</w:t>
      </w:r>
      <w:r w:rsidR="00E370D3" w:rsidRPr="00F23155">
        <w:rPr>
          <w:sz w:val="28"/>
          <w:szCs w:val="28"/>
        </w:rPr>
        <w:t xml:space="preserve">.  </w:t>
      </w:r>
      <w:r w:rsidR="00253C9A" w:rsidRPr="00F23155">
        <w:rPr>
          <w:sz w:val="28"/>
          <w:szCs w:val="28"/>
        </w:rPr>
        <w:t>Pickard</w:t>
      </w:r>
      <w:r w:rsidR="00E370D3" w:rsidRPr="00F23155">
        <w:rPr>
          <w:sz w:val="28"/>
          <w:szCs w:val="28"/>
        </w:rPr>
        <w:t xml:space="preserve"> also</w:t>
      </w:r>
      <w:r w:rsidR="00253C9A" w:rsidRPr="00F23155">
        <w:rPr>
          <w:sz w:val="28"/>
          <w:szCs w:val="28"/>
        </w:rPr>
        <w:t xml:space="preserve"> </w:t>
      </w:r>
      <w:r w:rsidR="00F63DAD" w:rsidRPr="00F23155">
        <w:rPr>
          <w:sz w:val="28"/>
          <w:szCs w:val="28"/>
        </w:rPr>
        <w:t>challenges the l</w:t>
      </w:r>
      <w:r w:rsidR="003D0521" w:rsidRPr="00F23155">
        <w:rPr>
          <w:sz w:val="28"/>
          <w:szCs w:val="28"/>
        </w:rPr>
        <w:t xml:space="preserve">ack of holistic considerations </w:t>
      </w:r>
      <w:r w:rsidR="00F63DAD" w:rsidRPr="00F23155">
        <w:rPr>
          <w:sz w:val="28"/>
          <w:szCs w:val="28"/>
        </w:rPr>
        <w:t xml:space="preserve">in the Act </w:t>
      </w:r>
      <w:r w:rsidR="003D0521" w:rsidRPr="00F23155">
        <w:rPr>
          <w:sz w:val="28"/>
          <w:szCs w:val="28"/>
        </w:rPr>
        <w:t xml:space="preserve">(Pickard, 2021) </w:t>
      </w:r>
      <w:r w:rsidR="00C769E2" w:rsidRPr="00F23155">
        <w:rPr>
          <w:sz w:val="28"/>
          <w:szCs w:val="28"/>
        </w:rPr>
        <w:t xml:space="preserve">for example </w:t>
      </w:r>
      <w:r w:rsidR="0064746F" w:rsidRPr="00F23155">
        <w:rPr>
          <w:sz w:val="28"/>
          <w:szCs w:val="28"/>
        </w:rPr>
        <w:t xml:space="preserve">some individuals will have </w:t>
      </w:r>
      <w:r w:rsidR="00FE7E69" w:rsidRPr="00F23155">
        <w:rPr>
          <w:sz w:val="28"/>
          <w:szCs w:val="28"/>
        </w:rPr>
        <w:t>several</w:t>
      </w:r>
      <w:r w:rsidR="0064746F" w:rsidRPr="00F23155">
        <w:rPr>
          <w:sz w:val="28"/>
          <w:szCs w:val="28"/>
        </w:rPr>
        <w:t xml:space="preserve"> protected characteristics </w:t>
      </w:r>
      <w:r w:rsidR="00FE7E69">
        <w:rPr>
          <w:sz w:val="28"/>
          <w:szCs w:val="28"/>
        </w:rPr>
        <w:t>creating a</w:t>
      </w:r>
      <w:r w:rsidR="009B6020" w:rsidRPr="00F23155">
        <w:rPr>
          <w:sz w:val="28"/>
          <w:szCs w:val="28"/>
        </w:rPr>
        <w:t xml:space="preserve"> need for a person-</w:t>
      </w:r>
      <w:r w:rsidR="008D560E" w:rsidRPr="00F23155">
        <w:rPr>
          <w:sz w:val="28"/>
          <w:szCs w:val="28"/>
        </w:rPr>
        <w:t>centred</w:t>
      </w:r>
      <w:r w:rsidR="0021007E">
        <w:rPr>
          <w:sz w:val="28"/>
          <w:szCs w:val="28"/>
        </w:rPr>
        <w:t>/complex</w:t>
      </w:r>
      <w:r w:rsidR="009B6020" w:rsidRPr="00F23155">
        <w:rPr>
          <w:sz w:val="28"/>
          <w:szCs w:val="28"/>
        </w:rPr>
        <w:t xml:space="preserve"> </w:t>
      </w:r>
      <w:r w:rsidR="008D560E" w:rsidRPr="00F23155">
        <w:rPr>
          <w:sz w:val="28"/>
          <w:szCs w:val="28"/>
        </w:rPr>
        <w:t>application of the law</w:t>
      </w:r>
      <w:r w:rsidR="00012140">
        <w:rPr>
          <w:sz w:val="28"/>
          <w:szCs w:val="28"/>
        </w:rPr>
        <w:t xml:space="preserve"> (</w:t>
      </w:r>
      <w:r w:rsidR="00A361DF" w:rsidRPr="00A361DF">
        <w:rPr>
          <w:sz w:val="28"/>
          <w:szCs w:val="28"/>
        </w:rPr>
        <w:t>Ajjawi,</w:t>
      </w:r>
      <w:r w:rsidR="00A361DF">
        <w:rPr>
          <w:sz w:val="28"/>
          <w:szCs w:val="28"/>
        </w:rPr>
        <w:t xml:space="preserve"> </w:t>
      </w:r>
      <w:r w:rsidR="00A361DF" w:rsidRPr="00A361DF">
        <w:rPr>
          <w:sz w:val="28"/>
          <w:szCs w:val="28"/>
        </w:rPr>
        <w:t>2023</w:t>
      </w:r>
      <w:r w:rsidR="00A361DF">
        <w:rPr>
          <w:sz w:val="28"/>
          <w:szCs w:val="28"/>
        </w:rPr>
        <w:t>)</w:t>
      </w:r>
      <w:r w:rsidR="008D560E" w:rsidRPr="00F23155">
        <w:rPr>
          <w:sz w:val="28"/>
          <w:szCs w:val="28"/>
        </w:rPr>
        <w:t>.</w:t>
      </w:r>
    </w:p>
    <w:p w14:paraId="15A06BBF" w14:textId="50FC53D7" w:rsidR="00C461FF" w:rsidRDefault="00C461FF" w:rsidP="00C4728F">
      <w:pPr>
        <w:rPr>
          <w:sz w:val="28"/>
          <w:szCs w:val="28"/>
        </w:rPr>
      </w:pPr>
      <w:r>
        <w:rPr>
          <w:noProof/>
        </w:rPr>
        <w:lastRenderedPageBreak/>
        <w:drawing>
          <wp:anchor distT="0" distB="0" distL="114300" distR="114300" simplePos="0" relativeHeight="251658240" behindDoc="1" locked="0" layoutInCell="1" allowOverlap="1" wp14:anchorId="46815863" wp14:editId="7B293F03">
            <wp:simplePos x="0" y="0"/>
            <wp:positionH relativeFrom="page">
              <wp:align>left</wp:align>
            </wp:positionH>
            <wp:positionV relativeFrom="paragraph">
              <wp:posOffset>44450</wp:posOffset>
            </wp:positionV>
            <wp:extent cx="7467600" cy="10005060"/>
            <wp:effectExtent l="0" t="38100" r="19050" b="0"/>
            <wp:wrapNone/>
            <wp:docPr id="29663770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r w:rsidRPr="006256CC">
        <w:rPr>
          <w:noProof/>
          <w:sz w:val="28"/>
          <w:szCs w:val="28"/>
        </w:rPr>
        <mc:AlternateContent>
          <mc:Choice Requires="wps">
            <w:drawing>
              <wp:anchor distT="45720" distB="45720" distL="114300" distR="114300" simplePos="0" relativeHeight="251660288" behindDoc="1" locked="0" layoutInCell="1" allowOverlap="1" wp14:anchorId="75600464" wp14:editId="0FAB822A">
                <wp:simplePos x="0" y="0"/>
                <wp:positionH relativeFrom="column">
                  <wp:posOffset>-118110</wp:posOffset>
                </wp:positionH>
                <wp:positionV relativeFrom="paragraph">
                  <wp:posOffset>-777240</wp:posOffset>
                </wp:positionV>
                <wp:extent cx="6271260" cy="716280"/>
                <wp:effectExtent l="0" t="0" r="1524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1260" cy="716280"/>
                        </a:xfrm>
                        <a:prstGeom prst="rect">
                          <a:avLst/>
                        </a:prstGeom>
                        <a:solidFill>
                          <a:srgbClr val="FFFFFF"/>
                        </a:solidFill>
                        <a:ln w="9525">
                          <a:solidFill>
                            <a:schemeClr val="bg1"/>
                          </a:solidFill>
                          <a:miter lim="800000"/>
                          <a:headEnd/>
                          <a:tailEnd/>
                        </a:ln>
                      </wps:spPr>
                      <wps:txbx>
                        <w:txbxContent>
                          <w:p w14:paraId="62119EFC" w14:textId="3232C143" w:rsidR="006256CC" w:rsidRDefault="006256CC" w:rsidP="00DC5151">
                            <w:pPr>
                              <w:jc w:val="center"/>
                            </w:pPr>
                            <w:r w:rsidRPr="006256CC">
                              <w:t>Below is an example of Laws, Policies, Guidance, and operational practices that is in place for the inclusion of post-16 learners in non-compulsory education. A top-down approach, looking at how Law is ‘passed down’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600464" id="_x0000_t202" coordsize="21600,21600" o:spt="202" path="m,l,21600r21600,l21600,xe">
                <v:stroke joinstyle="miter"/>
                <v:path gradientshapeok="t" o:connecttype="rect"/>
              </v:shapetype>
              <v:shape id="Text Box 2" o:spid="_x0000_s1026" type="#_x0000_t202" style="position:absolute;margin-left:-9.3pt;margin-top:-61.2pt;width:493.8pt;height:56.4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" strokecolor="white [3212]">
                <v:textbox>
                  <w:txbxContent>
                    <w:p w14:paraId="62119EFC" w14:textId="3232C143" w:rsidR="006256CC" w:rsidRDefault="006256CC" w:rsidP="00DC5151">
                      <w:pPr>
                        <w:jc w:val="center"/>
                      </w:pPr>
                      <w:r w:rsidRPr="006256CC">
                        <w:t>Below is an example of Laws, Policies, Guidance, and operational practices that is in place for the inclusion of post-16 learners in non-compulsory education. A top-down approach, looking at how Law is ‘passed down’</w:t>
                      </w:r>
                    </w:p>
                  </w:txbxContent>
                </v:textbox>
              </v:shape>
            </w:pict>
          </mc:Fallback>
        </mc:AlternateContent>
      </w:r>
    </w:p>
    <w:p w14:paraId="789AB98E" w14:textId="2DA2935E" w:rsidR="007E43A6" w:rsidRDefault="00586320" w:rsidP="00C4728F">
      <w:pPr>
        <w:rPr>
          <w:sz w:val="28"/>
          <w:szCs w:val="28"/>
        </w:rPr>
      </w:pPr>
      <w:r>
        <w:rPr>
          <w:sz w:val="28"/>
          <w:szCs w:val="28"/>
        </w:rPr>
        <w:t xml:space="preserve">. </w:t>
      </w:r>
    </w:p>
    <w:p w14:paraId="7C876DC0" w14:textId="77777777" w:rsidR="007E43A6" w:rsidRDefault="007E43A6" w:rsidP="00C4728F">
      <w:pPr>
        <w:rPr>
          <w:sz w:val="28"/>
          <w:szCs w:val="28"/>
        </w:rPr>
      </w:pPr>
    </w:p>
    <w:p w14:paraId="3FA63CC4" w14:textId="5FD1C7D6" w:rsidR="007E43A6" w:rsidRDefault="007E43A6" w:rsidP="00C4728F">
      <w:pPr>
        <w:rPr>
          <w:sz w:val="28"/>
          <w:szCs w:val="28"/>
        </w:rPr>
      </w:pPr>
    </w:p>
    <w:p w14:paraId="36EE3A2F" w14:textId="77777777" w:rsidR="007E43A6" w:rsidRDefault="007E43A6" w:rsidP="00C4728F">
      <w:pPr>
        <w:rPr>
          <w:sz w:val="28"/>
          <w:szCs w:val="28"/>
        </w:rPr>
      </w:pPr>
    </w:p>
    <w:p w14:paraId="2CE00387" w14:textId="39AB05DF" w:rsidR="007E43A6" w:rsidRDefault="007E43A6" w:rsidP="00C4728F">
      <w:pPr>
        <w:rPr>
          <w:sz w:val="28"/>
          <w:szCs w:val="28"/>
        </w:rPr>
      </w:pPr>
    </w:p>
    <w:p w14:paraId="3689F9B6" w14:textId="64504530" w:rsidR="007E43A6" w:rsidRDefault="007E43A6" w:rsidP="00C4728F">
      <w:pPr>
        <w:rPr>
          <w:sz w:val="28"/>
          <w:szCs w:val="28"/>
        </w:rPr>
      </w:pPr>
    </w:p>
    <w:p w14:paraId="6188A3B2" w14:textId="59D8103F" w:rsidR="007E43A6" w:rsidRDefault="007E43A6" w:rsidP="00C4728F">
      <w:pPr>
        <w:rPr>
          <w:sz w:val="28"/>
          <w:szCs w:val="28"/>
        </w:rPr>
      </w:pPr>
    </w:p>
    <w:p w14:paraId="689FC84A" w14:textId="3F2B6423" w:rsidR="007E43A6" w:rsidRDefault="007E43A6" w:rsidP="00C4728F">
      <w:pPr>
        <w:rPr>
          <w:sz w:val="28"/>
          <w:szCs w:val="28"/>
        </w:rPr>
      </w:pPr>
    </w:p>
    <w:p w14:paraId="5A2E4279" w14:textId="6B07709B" w:rsidR="007E43A6" w:rsidRDefault="007E43A6" w:rsidP="00C4728F">
      <w:pPr>
        <w:rPr>
          <w:sz w:val="28"/>
          <w:szCs w:val="28"/>
        </w:rPr>
      </w:pPr>
    </w:p>
    <w:p w14:paraId="448EC431" w14:textId="368C42A0" w:rsidR="007E43A6" w:rsidRDefault="007E43A6" w:rsidP="00C4728F">
      <w:pPr>
        <w:rPr>
          <w:sz w:val="28"/>
          <w:szCs w:val="28"/>
        </w:rPr>
      </w:pPr>
    </w:p>
    <w:p w14:paraId="67145BAE" w14:textId="77777777" w:rsidR="007E43A6" w:rsidRDefault="007E43A6" w:rsidP="00C4728F">
      <w:pPr>
        <w:rPr>
          <w:sz w:val="28"/>
          <w:szCs w:val="28"/>
        </w:rPr>
      </w:pPr>
    </w:p>
    <w:p w14:paraId="1D6B2F4A" w14:textId="30068D1A" w:rsidR="007E43A6" w:rsidRPr="007E1962" w:rsidRDefault="007E43A6" w:rsidP="00C4728F">
      <w:pPr>
        <w:rPr>
          <w:sz w:val="28"/>
          <w:szCs w:val="28"/>
        </w:rPr>
      </w:pPr>
    </w:p>
    <w:p w14:paraId="341B5330" w14:textId="1DF74CFC" w:rsidR="00C4728F" w:rsidRPr="00C4728F" w:rsidRDefault="00614917" w:rsidP="00C4728F">
      <w:pPr>
        <w:rPr>
          <w:vanish/>
          <w:color w:val="45B0E1" w:themeColor="accent1" w:themeTint="99"/>
          <w:sz w:val="28"/>
          <w:szCs w:val="28"/>
        </w:rPr>
      </w:pPr>
      <w:r>
        <w:rPr>
          <w:noProof/>
          <w:vanish/>
          <w:color w:val="45B0E1" w:themeColor="accent1" w:themeTint="99"/>
          <w:sz w:val="28"/>
          <w:szCs w:val="28"/>
        </w:rPr>
        <w:drawing>
          <wp:inline distT="0" distB="0" distL="0" distR="0" wp14:anchorId="1B22B39B" wp14:editId="464F8747">
            <wp:extent cx="7181850" cy="9211945"/>
            <wp:effectExtent l="0" t="0" r="0" b="8255"/>
            <wp:docPr id="372094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181850" cy="9211945"/>
                    </a:xfrm>
                    <a:prstGeom prst="rect">
                      <a:avLst/>
                    </a:prstGeom>
                    <a:noFill/>
                  </pic:spPr>
                </pic:pic>
              </a:graphicData>
            </a:graphic>
          </wp:inline>
        </w:drawing>
      </w:r>
      <w:r w:rsidR="00C4728F" w:rsidRPr="00C4728F">
        <w:rPr>
          <w:vanish/>
          <w:color w:val="45B0E1" w:themeColor="accent1" w:themeTint="99"/>
          <w:sz w:val="28"/>
          <w:szCs w:val="28"/>
        </w:rPr>
        <w:t>Top of Form</w:t>
      </w:r>
    </w:p>
    <w:p w14:paraId="01AED8BF" w14:textId="77777777" w:rsidR="00C4728F" w:rsidRPr="00BE4C0D" w:rsidRDefault="00C4728F">
      <w:pPr>
        <w:rPr>
          <w:color w:val="45B0E1" w:themeColor="accent1" w:themeTint="99"/>
          <w:sz w:val="28"/>
          <w:szCs w:val="28"/>
        </w:rPr>
      </w:pPr>
    </w:p>
    <w:p w14:paraId="6C2D7E63" w14:textId="77777777" w:rsidR="007E43A6" w:rsidRDefault="007E43A6" w:rsidP="00FC1DB9">
      <w:pPr>
        <w:rPr>
          <w:sz w:val="28"/>
          <w:szCs w:val="28"/>
        </w:rPr>
      </w:pPr>
    </w:p>
    <w:p w14:paraId="1E13AAF9" w14:textId="77777777" w:rsidR="007E43A6" w:rsidRDefault="007E43A6" w:rsidP="00FC1DB9">
      <w:pPr>
        <w:rPr>
          <w:sz w:val="28"/>
          <w:szCs w:val="28"/>
        </w:rPr>
      </w:pPr>
    </w:p>
    <w:p w14:paraId="63B9F139" w14:textId="77777777" w:rsidR="007E43A6" w:rsidRDefault="007E43A6" w:rsidP="00FC1DB9">
      <w:pPr>
        <w:rPr>
          <w:sz w:val="28"/>
          <w:szCs w:val="28"/>
        </w:rPr>
      </w:pPr>
    </w:p>
    <w:p w14:paraId="04ACB6E0" w14:textId="77777777" w:rsidR="007E43A6" w:rsidRDefault="007E43A6" w:rsidP="00FC1DB9">
      <w:pPr>
        <w:rPr>
          <w:sz w:val="28"/>
          <w:szCs w:val="28"/>
        </w:rPr>
      </w:pPr>
    </w:p>
    <w:p w14:paraId="5238096B" w14:textId="77777777" w:rsidR="007E43A6" w:rsidRDefault="007E43A6" w:rsidP="00FC1DB9">
      <w:pPr>
        <w:rPr>
          <w:sz w:val="28"/>
          <w:szCs w:val="28"/>
        </w:rPr>
      </w:pPr>
    </w:p>
    <w:p w14:paraId="60CDCEAF" w14:textId="77777777" w:rsidR="007E43A6" w:rsidRDefault="007E43A6" w:rsidP="00FC1DB9">
      <w:pPr>
        <w:rPr>
          <w:sz w:val="28"/>
          <w:szCs w:val="28"/>
        </w:rPr>
      </w:pPr>
    </w:p>
    <w:p w14:paraId="6ECF5F7F" w14:textId="77777777" w:rsidR="007E43A6" w:rsidRDefault="007E43A6" w:rsidP="00FC1DB9">
      <w:pPr>
        <w:rPr>
          <w:sz w:val="28"/>
          <w:szCs w:val="28"/>
        </w:rPr>
      </w:pPr>
    </w:p>
    <w:p w14:paraId="3254552E" w14:textId="77777777" w:rsidR="007E43A6" w:rsidRDefault="007E43A6" w:rsidP="00FC1DB9">
      <w:pPr>
        <w:rPr>
          <w:sz w:val="28"/>
          <w:szCs w:val="28"/>
        </w:rPr>
      </w:pPr>
    </w:p>
    <w:p w14:paraId="10BEDE4E" w14:textId="77777777" w:rsidR="007E43A6" w:rsidRDefault="007E43A6" w:rsidP="00FC1DB9">
      <w:pPr>
        <w:rPr>
          <w:sz w:val="28"/>
          <w:szCs w:val="28"/>
        </w:rPr>
      </w:pPr>
    </w:p>
    <w:p w14:paraId="4351242D" w14:textId="77777777" w:rsidR="007E43A6" w:rsidRDefault="007E43A6" w:rsidP="00FC1DB9">
      <w:pPr>
        <w:rPr>
          <w:sz w:val="28"/>
          <w:szCs w:val="28"/>
        </w:rPr>
      </w:pPr>
    </w:p>
    <w:p w14:paraId="490E8A01" w14:textId="77777777" w:rsidR="00DC5151" w:rsidRDefault="00DC5151" w:rsidP="0009265D">
      <w:pPr>
        <w:rPr>
          <w:rFonts w:cs="Aparajita"/>
          <w:sz w:val="28"/>
          <w:szCs w:val="28"/>
        </w:rPr>
      </w:pPr>
    </w:p>
    <w:p w14:paraId="49CC5880" w14:textId="01B579C6" w:rsidR="0009265D" w:rsidRPr="0009265D" w:rsidRDefault="00FC1DB9" w:rsidP="0009265D">
      <w:pPr>
        <w:rPr>
          <w:rFonts w:cs="Aparajita"/>
          <w:sz w:val="28"/>
          <w:szCs w:val="28"/>
        </w:rPr>
      </w:pPr>
      <w:r w:rsidRPr="00943891">
        <w:rPr>
          <w:rFonts w:cs="Aparajita"/>
          <w:sz w:val="28"/>
          <w:szCs w:val="28"/>
        </w:rPr>
        <w:t>By following this hierarchical structure, higher education institutions and post-16 education providers can ensure that they comply with legal requirements, promote equality and diversity, and create an inclusive learning environment where all students have equal opportunities to succeed (The Equality Act, 2010</w:t>
      </w:r>
      <w:r w:rsidR="00DD5494" w:rsidRPr="00943891">
        <w:rPr>
          <w:rFonts w:cs="Aparajita"/>
          <w:sz w:val="28"/>
          <w:szCs w:val="28"/>
        </w:rPr>
        <w:t>).</w:t>
      </w:r>
      <w:r w:rsidR="005D5F56" w:rsidRPr="00943891">
        <w:rPr>
          <w:rFonts w:cs="Aparajita"/>
          <w:sz w:val="28"/>
          <w:szCs w:val="28"/>
        </w:rPr>
        <w:t xml:space="preserve"> </w:t>
      </w:r>
      <w:r w:rsidR="005D5F56" w:rsidRPr="00723682">
        <w:rPr>
          <w:rFonts w:cs="Aparajita"/>
          <w:sz w:val="28"/>
          <w:szCs w:val="28"/>
        </w:rPr>
        <w:t>Policymaking is a linear process created to ‘solve’ problems</w:t>
      </w:r>
      <w:r w:rsidR="005D5F56" w:rsidRPr="00943891">
        <w:rPr>
          <w:rFonts w:cs="Aparajita"/>
          <w:sz w:val="28"/>
          <w:szCs w:val="28"/>
        </w:rPr>
        <w:t xml:space="preserve"> (McNay, 2022). </w:t>
      </w:r>
      <w:r w:rsidR="00545E4B" w:rsidRPr="00723682">
        <w:rPr>
          <w:rFonts w:cs="Aparajita"/>
          <w:sz w:val="28"/>
          <w:szCs w:val="28"/>
        </w:rPr>
        <w:t>Knight &amp; Crick (2022) acknowledge that curriculum can become outdated, overloaded and complicated</w:t>
      </w:r>
      <w:r w:rsidR="003666BD" w:rsidRPr="00943891">
        <w:rPr>
          <w:rFonts w:cs="Aparajita"/>
          <w:sz w:val="28"/>
          <w:szCs w:val="28"/>
        </w:rPr>
        <w:t xml:space="preserve"> </w:t>
      </w:r>
      <w:r w:rsidR="003666BD" w:rsidRPr="00723682">
        <w:rPr>
          <w:rFonts w:cs="Aparajita"/>
          <w:sz w:val="28"/>
          <w:szCs w:val="28"/>
        </w:rPr>
        <w:t>(hundreds of policies, laws and guidelines)</w:t>
      </w:r>
      <w:r w:rsidR="00545E4B" w:rsidRPr="00723682">
        <w:rPr>
          <w:rFonts w:cs="Aparajita"/>
          <w:sz w:val="28"/>
          <w:szCs w:val="28"/>
        </w:rPr>
        <w:t>.</w:t>
      </w:r>
      <w:r w:rsidR="003666BD" w:rsidRPr="00943891">
        <w:rPr>
          <w:rFonts w:cs="Aparajita"/>
          <w:sz w:val="28"/>
          <w:szCs w:val="28"/>
        </w:rPr>
        <w:t xml:space="preserve"> </w:t>
      </w:r>
    </w:p>
    <w:p w14:paraId="76EA55C6" w14:textId="4185F6E5" w:rsidR="00897195" w:rsidRPr="00943891" w:rsidRDefault="00897195" w:rsidP="00897195">
      <w:pPr>
        <w:rPr>
          <w:rFonts w:cs="Aparajita"/>
          <w:color w:val="C00000"/>
          <w:sz w:val="28"/>
          <w:szCs w:val="28"/>
        </w:rPr>
      </w:pPr>
      <w:r w:rsidRPr="00943891">
        <w:rPr>
          <w:rFonts w:cs="Aparajita"/>
          <w:sz w:val="28"/>
          <w:szCs w:val="28"/>
        </w:rPr>
        <w:t>The Higher Education (Wales) Bill enact</w:t>
      </w:r>
      <w:r w:rsidR="002422EE" w:rsidRPr="00943891">
        <w:rPr>
          <w:rFonts w:cs="Aparajita"/>
          <w:sz w:val="28"/>
          <w:szCs w:val="28"/>
        </w:rPr>
        <w:t>s</w:t>
      </w:r>
      <w:r w:rsidRPr="00943891">
        <w:rPr>
          <w:rFonts w:cs="Aparajita"/>
          <w:sz w:val="28"/>
          <w:szCs w:val="28"/>
        </w:rPr>
        <w:t xml:space="preserve"> legislative measures to uphold several key </w:t>
      </w:r>
      <w:r w:rsidR="0049481D" w:rsidRPr="00943891">
        <w:rPr>
          <w:rFonts w:cs="Aparajita"/>
          <w:sz w:val="28"/>
          <w:szCs w:val="28"/>
        </w:rPr>
        <w:t>objectives</w:t>
      </w:r>
      <w:r w:rsidR="0049481D">
        <w:rPr>
          <w:rFonts w:cs="Aparajita"/>
          <w:sz w:val="28"/>
          <w:szCs w:val="28"/>
        </w:rPr>
        <w:t>,</w:t>
      </w:r>
      <w:r w:rsidRPr="00943891">
        <w:rPr>
          <w:rFonts w:cs="Aparajita"/>
          <w:sz w:val="28"/>
          <w:szCs w:val="28"/>
        </w:rPr>
        <w:t xml:space="preserve"> ensuring stringent and proportional regulation of educational institutions in Wales receiving support from Welsh Government-funded higher education grants and loans. </w:t>
      </w:r>
      <w:r w:rsidR="00A92E56">
        <w:rPr>
          <w:rFonts w:cs="Aparajita"/>
          <w:sz w:val="28"/>
          <w:szCs w:val="28"/>
        </w:rPr>
        <w:t>M</w:t>
      </w:r>
      <w:r w:rsidRPr="00943891">
        <w:rPr>
          <w:rFonts w:cs="Aparajita"/>
          <w:sz w:val="28"/>
          <w:szCs w:val="28"/>
        </w:rPr>
        <w:t>andates that all higher education providers benefiting from Welsh Government financial support possess charitable status and commit to promoting equality of access to higher education</w:t>
      </w:r>
      <w:r w:rsidR="00A326B6" w:rsidRPr="00A326B6">
        <w:rPr>
          <w:sz w:val="28"/>
          <w:szCs w:val="28"/>
        </w:rPr>
        <w:t xml:space="preserve"> </w:t>
      </w:r>
      <w:r w:rsidR="00A326B6">
        <w:rPr>
          <w:sz w:val="28"/>
          <w:szCs w:val="28"/>
        </w:rPr>
        <w:t>(</w:t>
      </w:r>
      <w:r w:rsidR="00A326B6" w:rsidRPr="00A326B6">
        <w:rPr>
          <w:rFonts w:cs="Aparajita"/>
          <w:sz w:val="28"/>
          <w:szCs w:val="28"/>
        </w:rPr>
        <w:t>Koutsouris</w:t>
      </w:r>
      <w:r w:rsidR="00A326B6">
        <w:rPr>
          <w:rFonts w:cs="Aparajita"/>
          <w:sz w:val="28"/>
          <w:szCs w:val="28"/>
        </w:rPr>
        <w:t xml:space="preserve"> et al, </w:t>
      </w:r>
      <w:r w:rsidR="00A326B6" w:rsidRPr="00A326B6">
        <w:rPr>
          <w:rFonts w:cs="Aparajita"/>
          <w:sz w:val="28"/>
          <w:szCs w:val="28"/>
        </w:rPr>
        <w:t>2022)</w:t>
      </w:r>
      <w:r w:rsidRPr="00943891">
        <w:rPr>
          <w:rFonts w:cs="Aparajita"/>
          <w:sz w:val="28"/>
          <w:szCs w:val="28"/>
        </w:rPr>
        <w:t>.</w:t>
      </w:r>
      <w:r w:rsidRPr="00943891">
        <w:rPr>
          <w:rFonts w:cs="Aparajita"/>
          <w:color w:val="A02B93" w:themeColor="accent5"/>
          <w:sz w:val="28"/>
          <w:szCs w:val="28"/>
        </w:rPr>
        <w:t xml:space="preserve"> </w:t>
      </w:r>
    </w:p>
    <w:p w14:paraId="65796193" w14:textId="71FD7FF6" w:rsidR="006451A9" w:rsidRDefault="00897195" w:rsidP="00461AAD">
      <w:pPr>
        <w:rPr>
          <w:rFonts w:cs="Aparajita"/>
          <w:sz w:val="28"/>
          <w:szCs w:val="28"/>
        </w:rPr>
      </w:pPr>
      <w:r w:rsidRPr="00943891">
        <w:rPr>
          <w:rFonts w:cs="Aparajita"/>
          <w:sz w:val="28"/>
          <w:szCs w:val="28"/>
        </w:rPr>
        <w:t xml:space="preserve">Pickard (2021) looks at how the Higher Education Wales Act (2015) transfers onto universities’ disability service web pages. </w:t>
      </w:r>
      <w:r w:rsidR="00C52E6B" w:rsidRPr="00943891">
        <w:rPr>
          <w:rFonts w:cs="Aparajita"/>
          <w:sz w:val="28"/>
          <w:szCs w:val="28"/>
        </w:rPr>
        <w:t>F</w:t>
      </w:r>
      <w:r w:rsidRPr="00943891">
        <w:rPr>
          <w:rFonts w:cs="Aparajita"/>
          <w:sz w:val="28"/>
          <w:szCs w:val="28"/>
        </w:rPr>
        <w:t xml:space="preserve">rom a Critical Disability Studies perspective Pickard (2021) found that during their </w:t>
      </w:r>
      <w:r w:rsidR="00C52E6B" w:rsidRPr="00943891">
        <w:rPr>
          <w:rFonts w:cs="Aparajita"/>
          <w:sz w:val="28"/>
          <w:szCs w:val="28"/>
        </w:rPr>
        <w:t>analysis</w:t>
      </w:r>
      <w:r w:rsidRPr="00943891">
        <w:rPr>
          <w:rFonts w:cs="Aparajita"/>
          <w:sz w:val="28"/>
          <w:szCs w:val="28"/>
        </w:rPr>
        <w:t xml:space="preserve"> process there was a</w:t>
      </w:r>
      <w:r w:rsidR="006E18D2">
        <w:rPr>
          <w:rFonts w:cs="Aparajita"/>
          <w:sz w:val="28"/>
          <w:szCs w:val="28"/>
        </w:rPr>
        <w:t>n</w:t>
      </w:r>
      <w:r w:rsidRPr="00943891">
        <w:rPr>
          <w:rFonts w:cs="Aparajita"/>
          <w:sz w:val="28"/>
          <w:szCs w:val="28"/>
        </w:rPr>
        <w:t xml:space="preserve"> “recognition of the prominence of certain dimensions and the absence of others” disabilities and disability language</w:t>
      </w:r>
      <w:r w:rsidR="0087126E" w:rsidRPr="00943891">
        <w:rPr>
          <w:rFonts w:cs="Aparajita"/>
          <w:sz w:val="28"/>
          <w:szCs w:val="28"/>
        </w:rPr>
        <w:t>.</w:t>
      </w:r>
      <w:r w:rsidRPr="00943891">
        <w:rPr>
          <w:rFonts w:cs="Aparajita"/>
          <w:sz w:val="28"/>
          <w:szCs w:val="28"/>
        </w:rPr>
        <w:t xml:space="preserve"> </w:t>
      </w:r>
      <w:r w:rsidR="00F50303" w:rsidRPr="00943891">
        <w:rPr>
          <w:rFonts w:cs="Aparajita"/>
          <w:sz w:val="28"/>
          <w:szCs w:val="28"/>
        </w:rPr>
        <w:t xml:space="preserve"> </w:t>
      </w:r>
      <w:r w:rsidR="00CD0F27" w:rsidRPr="00943891">
        <w:rPr>
          <w:rFonts w:cs="Aparajita"/>
          <w:sz w:val="28"/>
          <w:szCs w:val="28"/>
        </w:rPr>
        <w:t xml:space="preserve">University </w:t>
      </w:r>
      <w:r w:rsidR="00213E51" w:rsidRPr="00943891">
        <w:rPr>
          <w:rFonts w:cs="Aparajita"/>
          <w:sz w:val="28"/>
          <w:szCs w:val="28"/>
        </w:rPr>
        <w:t xml:space="preserve">narrative </w:t>
      </w:r>
      <w:r w:rsidR="00CD0F27" w:rsidRPr="00943891">
        <w:rPr>
          <w:rFonts w:cs="Aparajita"/>
          <w:sz w:val="28"/>
          <w:szCs w:val="28"/>
        </w:rPr>
        <w:t>of websites included words such as</w:t>
      </w:r>
      <w:r w:rsidR="00213E51" w:rsidRPr="00943891">
        <w:rPr>
          <w:rFonts w:cs="Aparajita"/>
          <w:sz w:val="28"/>
          <w:szCs w:val="28"/>
        </w:rPr>
        <w:t xml:space="preserve"> ‘suffers from’ ‘handicapped’, ‘wheelchair-bound’ </w:t>
      </w:r>
      <w:r w:rsidR="006E18D2">
        <w:rPr>
          <w:rFonts w:cs="Aparajita"/>
          <w:sz w:val="28"/>
          <w:szCs w:val="28"/>
        </w:rPr>
        <w:t>r</w:t>
      </w:r>
      <w:r w:rsidR="00213E51" w:rsidRPr="00943891">
        <w:rPr>
          <w:rFonts w:cs="Aparajita"/>
          <w:sz w:val="28"/>
          <w:szCs w:val="28"/>
        </w:rPr>
        <w:t>eference to being in need of ‘help’, also</w:t>
      </w:r>
      <w:r w:rsidR="00046E09" w:rsidRPr="00943891">
        <w:rPr>
          <w:rFonts w:cs="Aparajita"/>
          <w:sz w:val="28"/>
          <w:szCs w:val="28"/>
        </w:rPr>
        <w:t xml:space="preserve"> implying</w:t>
      </w:r>
      <w:r w:rsidR="00213E51" w:rsidRPr="00943891">
        <w:rPr>
          <w:rFonts w:cs="Aparajita"/>
          <w:sz w:val="28"/>
          <w:szCs w:val="28"/>
        </w:rPr>
        <w:t xml:space="preserve"> </w:t>
      </w:r>
      <w:r w:rsidR="00046E09" w:rsidRPr="00943891">
        <w:rPr>
          <w:rFonts w:cs="Aparajita"/>
          <w:sz w:val="28"/>
          <w:szCs w:val="28"/>
        </w:rPr>
        <w:t>i</w:t>
      </w:r>
      <w:r w:rsidR="00213E51" w:rsidRPr="00943891">
        <w:rPr>
          <w:rFonts w:cs="Aparajita"/>
          <w:sz w:val="28"/>
          <w:szCs w:val="28"/>
        </w:rPr>
        <w:t>ndividual responsibility for impairment ‘students must secure a diagnosis’</w:t>
      </w:r>
      <w:r w:rsidR="00CA5D66" w:rsidRPr="00943891">
        <w:rPr>
          <w:rFonts w:cs="Aparajita"/>
          <w:sz w:val="28"/>
          <w:szCs w:val="28"/>
        </w:rPr>
        <w:t xml:space="preserve">.  </w:t>
      </w:r>
      <w:r w:rsidR="00213E51" w:rsidRPr="00943891">
        <w:rPr>
          <w:rFonts w:cs="Aparajita"/>
          <w:sz w:val="28"/>
          <w:szCs w:val="28"/>
        </w:rPr>
        <w:t xml:space="preserve">It </w:t>
      </w:r>
      <w:r w:rsidR="003C036D">
        <w:rPr>
          <w:rFonts w:cs="Aparajita"/>
          <w:sz w:val="28"/>
          <w:szCs w:val="28"/>
        </w:rPr>
        <w:t>would</w:t>
      </w:r>
      <w:r w:rsidR="00213E51" w:rsidRPr="00943891">
        <w:rPr>
          <w:rFonts w:cs="Aparajita"/>
          <w:sz w:val="28"/>
          <w:szCs w:val="28"/>
        </w:rPr>
        <w:t xml:space="preserve"> be beneficial for Universities to create their disability processes through the Social Model of disability</w:t>
      </w:r>
      <w:r w:rsidR="00D76F6F" w:rsidRPr="00943891">
        <w:rPr>
          <w:rFonts w:cs="Aparajita"/>
          <w:sz w:val="28"/>
          <w:szCs w:val="28"/>
        </w:rPr>
        <w:t xml:space="preserve"> (Lainy, 2023)</w:t>
      </w:r>
      <w:r w:rsidR="00213E51" w:rsidRPr="00943891">
        <w:rPr>
          <w:rFonts w:cs="Aparajita"/>
          <w:sz w:val="28"/>
          <w:szCs w:val="28"/>
        </w:rPr>
        <w:t xml:space="preserve">. </w:t>
      </w:r>
      <w:r w:rsidR="00CA5D66" w:rsidRPr="00943891">
        <w:rPr>
          <w:rFonts w:cs="Aparajita"/>
          <w:sz w:val="28"/>
          <w:szCs w:val="28"/>
        </w:rPr>
        <w:t xml:space="preserve"> </w:t>
      </w:r>
      <w:r w:rsidR="003C036D">
        <w:rPr>
          <w:rFonts w:cs="Aparajita"/>
          <w:sz w:val="28"/>
          <w:szCs w:val="28"/>
        </w:rPr>
        <w:t>S</w:t>
      </w:r>
      <w:r w:rsidR="00213E51" w:rsidRPr="00943891">
        <w:rPr>
          <w:rFonts w:cs="Aparajita"/>
          <w:sz w:val="28"/>
          <w:szCs w:val="28"/>
        </w:rPr>
        <w:t xml:space="preserve">tudents who are </w:t>
      </w:r>
      <w:r w:rsidR="00CA5D66" w:rsidRPr="00943891">
        <w:rPr>
          <w:rFonts w:cs="Aparajita"/>
          <w:sz w:val="28"/>
          <w:szCs w:val="28"/>
        </w:rPr>
        <w:t>eligible</w:t>
      </w:r>
      <w:r w:rsidR="00213E51" w:rsidRPr="00943891">
        <w:rPr>
          <w:rFonts w:cs="Aparajita"/>
          <w:sz w:val="28"/>
          <w:szCs w:val="28"/>
        </w:rPr>
        <w:t xml:space="preserve"> to receive support all have a ‘disability’ </w:t>
      </w:r>
      <w:r w:rsidR="00D71622">
        <w:rPr>
          <w:rFonts w:cs="Aparajita"/>
          <w:sz w:val="28"/>
          <w:szCs w:val="28"/>
        </w:rPr>
        <w:t>which</w:t>
      </w:r>
      <w:r w:rsidR="00213E51" w:rsidRPr="00943891">
        <w:rPr>
          <w:rFonts w:cs="Aparajita"/>
          <w:sz w:val="28"/>
          <w:szCs w:val="28"/>
        </w:rPr>
        <w:t xml:space="preserve"> does not encompass students of a race minority, part of the LGBT</w:t>
      </w:r>
      <w:r w:rsidR="00D71622">
        <w:rPr>
          <w:rFonts w:cs="Aparajita"/>
          <w:sz w:val="28"/>
          <w:szCs w:val="28"/>
        </w:rPr>
        <w:t>QIA</w:t>
      </w:r>
      <w:r w:rsidR="00213E51" w:rsidRPr="00943891">
        <w:rPr>
          <w:rFonts w:cs="Aparajita"/>
          <w:sz w:val="28"/>
          <w:szCs w:val="28"/>
        </w:rPr>
        <w:t>+ community</w:t>
      </w:r>
      <w:r w:rsidR="00D71622">
        <w:rPr>
          <w:rFonts w:cs="Aparajita"/>
          <w:sz w:val="28"/>
          <w:szCs w:val="28"/>
        </w:rPr>
        <w:t>,</w:t>
      </w:r>
      <w:r w:rsidR="00213E51" w:rsidRPr="00943891">
        <w:rPr>
          <w:rFonts w:cs="Aparajita"/>
          <w:sz w:val="28"/>
          <w:szCs w:val="28"/>
        </w:rPr>
        <w:t xml:space="preserve"> who might be at a disadvantage but are not </w:t>
      </w:r>
      <w:r w:rsidR="00CA5D66" w:rsidRPr="00943891">
        <w:rPr>
          <w:rFonts w:cs="Aparajita"/>
          <w:sz w:val="28"/>
          <w:szCs w:val="28"/>
        </w:rPr>
        <w:t>eligible</w:t>
      </w:r>
      <w:r w:rsidR="00213E51" w:rsidRPr="00943891">
        <w:rPr>
          <w:rFonts w:cs="Aparajita"/>
          <w:sz w:val="28"/>
          <w:szCs w:val="28"/>
        </w:rPr>
        <w:t xml:space="preserve"> for the </w:t>
      </w:r>
      <w:r w:rsidR="00923444">
        <w:rPr>
          <w:rFonts w:cs="Aparajita"/>
          <w:sz w:val="28"/>
          <w:szCs w:val="28"/>
        </w:rPr>
        <w:t xml:space="preserve">certain types of </w:t>
      </w:r>
      <w:r w:rsidR="00213E51" w:rsidRPr="00943891">
        <w:rPr>
          <w:rFonts w:cs="Aparajita"/>
          <w:sz w:val="28"/>
          <w:szCs w:val="28"/>
        </w:rPr>
        <w:t xml:space="preserve">support </w:t>
      </w:r>
      <w:r w:rsidR="00923444">
        <w:rPr>
          <w:rFonts w:cs="Aparajita"/>
          <w:sz w:val="28"/>
          <w:szCs w:val="28"/>
        </w:rPr>
        <w:t>unless</w:t>
      </w:r>
      <w:r w:rsidR="00213E51" w:rsidRPr="00943891">
        <w:rPr>
          <w:rFonts w:cs="Aparajita"/>
          <w:sz w:val="28"/>
          <w:szCs w:val="28"/>
        </w:rPr>
        <w:t xml:space="preserve"> ‘</w:t>
      </w:r>
      <w:r w:rsidR="00923444" w:rsidRPr="00943891">
        <w:rPr>
          <w:rFonts w:cs="Aparajita"/>
          <w:sz w:val="28"/>
          <w:szCs w:val="28"/>
        </w:rPr>
        <w:t>diagnosed</w:t>
      </w:r>
      <w:r w:rsidR="00213E51" w:rsidRPr="00943891">
        <w:rPr>
          <w:rFonts w:cs="Aparajita"/>
          <w:sz w:val="28"/>
          <w:szCs w:val="28"/>
        </w:rPr>
        <w:t xml:space="preserve">’ </w:t>
      </w:r>
      <w:r w:rsidR="00E55DEE" w:rsidRPr="00943891">
        <w:rPr>
          <w:rFonts w:cs="Aparajita"/>
          <w:sz w:val="28"/>
          <w:szCs w:val="28"/>
        </w:rPr>
        <w:t>(Thompson, 2018)</w:t>
      </w:r>
      <w:r w:rsidR="00213E51" w:rsidRPr="00943891">
        <w:rPr>
          <w:rFonts w:cs="Aparajita"/>
          <w:sz w:val="28"/>
          <w:szCs w:val="28"/>
        </w:rPr>
        <w:t xml:space="preserve">. </w:t>
      </w:r>
      <w:r w:rsidR="00461AAD">
        <w:rPr>
          <w:rFonts w:cs="Aparajita"/>
          <w:sz w:val="28"/>
          <w:szCs w:val="28"/>
        </w:rPr>
        <w:t xml:space="preserve"> </w:t>
      </w:r>
    </w:p>
    <w:p w14:paraId="05C285C2" w14:textId="7472FCF6" w:rsidR="00897195" w:rsidRPr="00943891" w:rsidRDefault="00461AAD" w:rsidP="00897195">
      <w:pPr>
        <w:rPr>
          <w:rFonts w:cs="Aparajita"/>
          <w:sz w:val="28"/>
          <w:szCs w:val="28"/>
        </w:rPr>
      </w:pPr>
      <w:r w:rsidRPr="00461AAD">
        <w:rPr>
          <w:rFonts w:cs="Aparajita"/>
          <w:sz w:val="28"/>
          <w:szCs w:val="28"/>
        </w:rPr>
        <w:t xml:space="preserve">The Disabled Students' Allowance (DSA) represents a governmental grant within the UK designed to furnish disabled students in Higher Education </w:t>
      </w:r>
      <w:r w:rsidR="0028166C">
        <w:rPr>
          <w:rFonts w:cs="Aparajita"/>
          <w:sz w:val="28"/>
          <w:szCs w:val="28"/>
        </w:rPr>
        <w:t xml:space="preserve">and reduce inequality, </w:t>
      </w:r>
      <w:r w:rsidRPr="00461AAD">
        <w:rPr>
          <w:rFonts w:cs="Aparajita"/>
          <w:sz w:val="28"/>
          <w:szCs w:val="28"/>
        </w:rPr>
        <w:t>with tailored support, thereby guaranteeing equitable opportunities for academic advancement (Gov, 2024). With long waiting lists dependant on student having a ‘professional’ diagnosis (Kelley, 2023, p.151).  Even more challenging for individuals who have invested significant effort in concealing their disability through the practice of "masking" (Tint &amp; Weiss, 2018</w:t>
      </w:r>
      <w:r w:rsidR="009C10C6">
        <w:rPr>
          <w:rFonts w:cs="Aparajita"/>
          <w:sz w:val="28"/>
          <w:szCs w:val="28"/>
        </w:rPr>
        <w:t>).</w:t>
      </w:r>
    </w:p>
    <w:p w14:paraId="00B07B51" w14:textId="5EB2BB0D" w:rsidR="00834400" w:rsidRDefault="00B2756A" w:rsidP="00DF3B5A">
      <w:pPr>
        <w:rPr>
          <w:rFonts w:cs="Aparajita"/>
          <w:sz w:val="28"/>
          <w:szCs w:val="28"/>
        </w:rPr>
      </w:pPr>
      <w:r w:rsidRPr="00B2756A">
        <w:rPr>
          <w:rFonts w:cs="Aparajita"/>
          <w:sz w:val="28"/>
          <w:szCs w:val="28"/>
        </w:rPr>
        <w:t xml:space="preserve">The Well-being of Future Generations (Wales) Act 2015 is an innovative, distinct cultural policy that is unique to Wales. Some of the well-being goals that are specific to ALN and inclusion are ‘A Wales of vibrant culture and thriving Welsh language’, ‘A prosperous Wales’ and ‘A more equal Wales’.  Although these new reforms hold promising potential for advancing towards an inclusive education system, there exists inconsistency in the implementation and communication (Knight &amp; Crick, 2022). For </w:t>
      </w:r>
      <w:r w:rsidR="00FE4129" w:rsidRPr="00B2756A">
        <w:rPr>
          <w:rFonts w:cs="Aparajita"/>
          <w:sz w:val="28"/>
          <w:szCs w:val="28"/>
        </w:rPr>
        <w:t>example,</w:t>
      </w:r>
      <w:r w:rsidRPr="00B2756A">
        <w:rPr>
          <w:rFonts w:cs="Aparajita"/>
          <w:sz w:val="28"/>
          <w:szCs w:val="28"/>
        </w:rPr>
        <w:t xml:space="preserve"> solutions will need to be found for prosperity in a </w:t>
      </w:r>
      <w:r w:rsidR="00EE6A24" w:rsidRPr="00B2756A">
        <w:rPr>
          <w:rFonts w:cs="Aparajita"/>
          <w:sz w:val="28"/>
          <w:szCs w:val="28"/>
        </w:rPr>
        <w:t>cost-of-living</w:t>
      </w:r>
      <w:r w:rsidRPr="00B2756A">
        <w:rPr>
          <w:rFonts w:cs="Aparajita"/>
          <w:sz w:val="28"/>
          <w:szCs w:val="28"/>
        </w:rPr>
        <w:t xml:space="preserve"> crisis, a more equal Wales when in the financial year end </w:t>
      </w:r>
      <w:r w:rsidR="00FE4129">
        <w:rPr>
          <w:rFonts w:cs="Aparajita"/>
          <w:sz w:val="28"/>
          <w:szCs w:val="28"/>
        </w:rPr>
        <w:t>(</w:t>
      </w:r>
      <w:r w:rsidRPr="00B2756A">
        <w:rPr>
          <w:rFonts w:cs="Aparajita"/>
          <w:sz w:val="28"/>
          <w:szCs w:val="28"/>
        </w:rPr>
        <w:t>2022</w:t>
      </w:r>
      <w:r w:rsidR="00FE4129">
        <w:rPr>
          <w:rFonts w:cs="Aparajita"/>
          <w:sz w:val="28"/>
          <w:szCs w:val="28"/>
        </w:rPr>
        <w:t>)</w:t>
      </w:r>
      <w:r w:rsidRPr="00B2756A">
        <w:rPr>
          <w:rFonts w:cs="Aparajita"/>
          <w:sz w:val="28"/>
          <w:szCs w:val="28"/>
        </w:rPr>
        <w:t xml:space="preserve"> 21% of Wales were livening in relative income poverty (Murphy, 2023).</w:t>
      </w:r>
    </w:p>
    <w:p w14:paraId="4BA6F98A" w14:textId="5BBB4EA6" w:rsidR="00DF3B5A" w:rsidRPr="00DF3B5A" w:rsidRDefault="00DF3B5A" w:rsidP="00DF3B5A">
      <w:pPr>
        <w:rPr>
          <w:rFonts w:cs="Aparajita"/>
          <w:sz w:val="28"/>
          <w:szCs w:val="28"/>
        </w:rPr>
      </w:pPr>
      <w:r w:rsidRPr="00DF3B5A">
        <w:rPr>
          <w:rFonts w:cs="Aparajita"/>
          <w:sz w:val="28"/>
          <w:szCs w:val="28"/>
        </w:rPr>
        <w:t>Equity and excellence: further and higher education national mission report (Williams, 2021) discusses the progress made in post-16 education in Wales since 2016.  Knight &amp; Crick (2022, p.266) critical policy analysis</w:t>
      </w:r>
      <w:r w:rsidR="001C3B74" w:rsidRPr="00943891">
        <w:rPr>
          <w:rFonts w:cs="Aparajita"/>
          <w:sz w:val="28"/>
          <w:szCs w:val="28"/>
        </w:rPr>
        <w:t xml:space="preserve"> </w:t>
      </w:r>
      <w:r w:rsidRPr="00DF3B5A">
        <w:rPr>
          <w:rFonts w:cs="Aparajita"/>
          <w:sz w:val="28"/>
          <w:szCs w:val="28"/>
        </w:rPr>
        <w:t xml:space="preserve">argues that the talk of ‘including’ in social justice is usually made by those occupying a position of privilege. </w:t>
      </w:r>
      <w:r w:rsidR="0081036B">
        <w:rPr>
          <w:rFonts w:cs="Aparajita"/>
          <w:sz w:val="28"/>
          <w:szCs w:val="28"/>
        </w:rPr>
        <w:t xml:space="preserve"> </w:t>
      </w:r>
      <w:r w:rsidRPr="00DF3B5A">
        <w:rPr>
          <w:rFonts w:cs="Aparajita"/>
          <w:sz w:val="28"/>
          <w:szCs w:val="28"/>
        </w:rPr>
        <w:t xml:space="preserve">Conn &amp; Davis, </w:t>
      </w:r>
      <w:r w:rsidR="001C3B74" w:rsidRPr="00943891">
        <w:rPr>
          <w:rFonts w:cs="Aparajita"/>
          <w:sz w:val="28"/>
          <w:szCs w:val="28"/>
        </w:rPr>
        <w:t>(</w:t>
      </w:r>
      <w:r w:rsidRPr="00DF3B5A">
        <w:rPr>
          <w:rFonts w:cs="Aparajita"/>
          <w:sz w:val="28"/>
          <w:szCs w:val="28"/>
        </w:rPr>
        <w:t xml:space="preserve">2023, p.133) look at turning policy into practice. They say that policy only exists as text and that there needs to be awareness that how each policy is actually communicated, perceived, understood and enacted by practitioners. </w:t>
      </w:r>
    </w:p>
    <w:p w14:paraId="2C72F7BC" w14:textId="523B69D5" w:rsidR="00965257" w:rsidRDefault="00AE5254">
      <w:pPr>
        <w:rPr>
          <w:rFonts w:cs="Aparajita"/>
          <w:sz w:val="28"/>
          <w:szCs w:val="28"/>
        </w:rPr>
      </w:pPr>
      <w:r>
        <w:rPr>
          <w:rFonts w:cs="Aparajita"/>
          <w:sz w:val="28"/>
          <w:szCs w:val="28"/>
        </w:rPr>
        <w:t>A</w:t>
      </w:r>
      <w:r w:rsidR="00F4012B" w:rsidRPr="00943891">
        <w:rPr>
          <w:rFonts w:cs="Aparajita"/>
          <w:sz w:val="28"/>
          <w:szCs w:val="28"/>
        </w:rPr>
        <w:t>t an operational level</w:t>
      </w:r>
      <w:r w:rsidR="001D1755" w:rsidRPr="00943891">
        <w:rPr>
          <w:rFonts w:cs="Aparajita"/>
          <w:sz w:val="28"/>
          <w:szCs w:val="28"/>
        </w:rPr>
        <w:t xml:space="preserve"> the UWTSD</w:t>
      </w:r>
      <w:r w:rsidR="00CA6496" w:rsidRPr="00943891">
        <w:rPr>
          <w:rFonts w:cs="Aparajita"/>
          <w:sz w:val="28"/>
          <w:szCs w:val="28"/>
        </w:rPr>
        <w:t xml:space="preserve"> will be used as an example</w:t>
      </w:r>
      <w:r w:rsidR="00AD47F4">
        <w:rPr>
          <w:rFonts w:cs="Aparajita"/>
          <w:sz w:val="28"/>
          <w:szCs w:val="28"/>
        </w:rPr>
        <w:t>.</w:t>
      </w:r>
      <w:r w:rsidR="00EE6A24" w:rsidRPr="00EE6A24">
        <w:rPr>
          <w:rFonts w:cs="Aparajita"/>
          <w:sz w:val="28"/>
          <w:szCs w:val="28"/>
        </w:rPr>
        <w:t xml:space="preserve"> </w:t>
      </w:r>
      <w:r w:rsidR="00AD47F4">
        <w:rPr>
          <w:rFonts w:cs="Aparajita"/>
          <w:sz w:val="28"/>
          <w:szCs w:val="28"/>
        </w:rPr>
        <w:t>P</w:t>
      </w:r>
      <w:r w:rsidR="00DF3B5A" w:rsidRPr="00DF3B5A">
        <w:rPr>
          <w:rFonts w:cs="Aparajita"/>
          <w:sz w:val="28"/>
          <w:szCs w:val="28"/>
        </w:rPr>
        <w:t xml:space="preserve">olicy is </w:t>
      </w:r>
      <w:r w:rsidR="00AD47F4">
        <w:rPr>
          <w:rFonts w:cs="Aparajita"/>
          <w:sz w:val="28"/>
          <w:szCs w:val="28"/>
        </w:rPr>
        <w:t xml:space="preserve">usually interpreted and </w:t>
      </w:r>
      <w:r w:rsidR="00DF3B5A" w:rsidRPr="00DF3B5A">
        <w:rPr>
          <w:rFonts w:cs="Aparajita"/>
          <w:sz w:val="28"/>
          <w:szCs w:val="28"/>
        </w:rPr>
        <w:t>understood</w:t>
      </w:r>
      <w:r w:rsidR="00EE6A24" w:rsidRPr="00EE6A24">
        <w:rPr>
          <w:rFonts w:cs="Aparajita"/>
          <w:sz w:val="28"/>
          <w:szCs w:val="28"/>
        </w:rPr>
        <w:t xml:space="preserve"> on </w:t>
      </w:r>
      <w:r w:rsidR="00DF3B5A" w:rsidRPr="00DF3B5A">
        <w:rPr>
          <w:rFonts w:cs="Aparajita"/>
          <w:sz w:val="28"/>
          <w:szCs w:val="28"/>
        </w:rPr>
        <w:t>cultural values, commitments and systemic priorities</w:t>
      </w:r>
      <w:r w:rsidR="00AD47F4">
        <w:rPr>
          <w:rFonts w:cs="Aparajita"/>
          <w:sz w:val="28"/>
          <w:szCs w:val="28"/>
        </w:rPr>
        <w:t xml:space="preserve"> </w:t>
      </w:r>
      <w:r w:rsidR="00DF3B5A" w:rsidRPr="00DF3B5A">
        <w:rPr>
          <w:rFonts w:cs="Aparajita"/>
          <w:sz w:val="28"/>
          <w:szCs w:val="28"/>
        </w:rPr>
        <w:t>(Conn &amp; Davis, 2023, p.133)</w:t>
      </w:r>
      <w:r w:rsidR="00EE6A24" w:rsidRPr="00EE6A24">
        <w:rPr>
          <w:rFonts w:cs="Aparajita"/>
          <w:sz w:val="28"/>
          <w:szCs w:val="28"/>
        </w:rPr>
        <w:t>.</w:t>
      </w:r>
      <w:r w:rsidR="001D1755" w:rsidRPr="00943891">
        <w:rPr>
          <w:rFonts w:cs="Aparajita"/>
          <w:sz w:val="28"/>
          <w:szCs w:val="28"/>
        </w:rPr>
        <w:t xml:space="preserve"> </w:t>
      </w:r>
      <w:r w:rsidR="003F5D23" w:rsidRPr="00943891">
        <w:rPr>
          <w:rFonts w:cs="Aparajita"/>
          <w:sz w:val="28"/>
          <w:szCs w:val="28"/>
        </w:rPr>
        <w:t xml:space="preserve"> </w:t>
      </w:r>
      <w:r w:rsidR="00965257" w:rsidRPr="00943891">
        <w:rPr>
          <w:rFonts w:cs="Aparajita"/>
          <w:sz w:val="28"/>
          <w:szCs w:val="28"/>
        </w:rPr>
        <w:t>The UWTSD emphasi</w:t>
      </w:r>
      <w:r w:rsidR="000B17C1">
        <w:rPr>
          <w:rFonts w:cs="Aparajita"/>
          <w:sz w:val="28"/>
          <w:szCs w:val="28"/>
        </w:rPr>
        <w:t>s</w:t>
      </w:r>
      <w:r w:rsidR="00965257" w:rsidRPr="00943891">
        <w:rPr>
          <w:rFonts w:cs="Aparajita"/>
          <w:sz w:val="28"/>
          <w:szCs w:val="28"/>
        </w:rPr>
        <w:t xml:space="preserve">es inclusivity and wellbeing through policies </w:t>
      </w:r>
      <w:r w:rsidR="00AD47F4">
        <w:rPr>
          <w:rFonts w:cs="Aparajita"/>
          <w:sz w:val="28"/>
          <w:szCs w:val="28"/>
        </w:rPr>
        <w:t>such as</w:t>
      </w:r>
      <w:r w:rsidR="005F78FD">
        <w:rPr>
          <w:rFonts w:cs="Aparajita"/>
          <w:sz w:val="28"/>
          <w:szCs w:val="28"/>
        </w:rPr>
        <w:t xml:space="preserve">; </w:t>
      </w:r>
      <w:r w:rsidR="00965257" w:rsidRPr="00943891">
        <w:rPr>
          <w:rFonts w:cs="Aparajita"/>
          <w:sz w:val="28"/>
          <w:szCs w:val="28"/>
        </w:rPr>
        <w:t>Annual Equality and Diversity reports</w:t>
      </w:r>
      <w:r w:rsidR="00F22AF8">
        <w:rPr>
          <w:rFonts w:cs="Aparajita"/>
          <w:sz w:val="28"/>
          <w:szCs w:val="28"/>
        </w:rPr>
        <w:t>,</w:t>
      </w:r>
      <w:r w:rsidR="00965257" w:rsidRPr="00943891">
        <w:rPr>
          <w:rFonts w:cs="Aparajita"/>
          <w:sz w:val="28"/>
          <w:szCs w:val="28"/>
        </w:rPr>
        <w:t xml:space="preserve"> Student Health &amp; Wellbeing Strategy (2024), </w:t>
      </w:r>
      <w:r w:rsidR="0048121B">
        <w:rPr>
          <w:rFonts w:cs="Aparajita"/>
          <w:sz w:val="28"/>
          <w:szCs w:val="28"/>
        </w:rPr>
        <w:t xml:space="preserve">which </w:t>
      </w:r>
      <w:r w:rsidR="005F78FD" w:rsidRPr="00943891">
        <w:rPr>
          <w:rFonts w:cs="Aparajita"/>
          <w:sz w:val="28"/>
          <w:szCs w:val="28"/>
        </w:rPr>
        <w:t>aligns</w:t>
      </w:r>
      <w:r w:rsidR="00965257" w:rsidRPr="00943891">
        <w:rPr>
          <w:rFonts w:cs="Aparajita"/>
          <w:sz w:val="28"/>
          <w:szCs w:val="28"/>
        </w:rPr>
        <w:t xml:space="preserve"> with the Well-Being of Future Generations (Wales) Act 2015. Services</w:t>
      </w:r>
      <w:r w:rsidR="000B17C1">
        <w:rPr>
          <w:rFonts w:cs="Aparajita"/>
          <w:sz w:val="28"/>
          <w:szCs w:val="28"/>
        </w:rPr>
        <w:t xml:space="preserve"> at UWTSD</w:t>
      </w:r>
      <w:r w:rsidR="00965257" w:rsidRPr="00943891">
        <w:rPr>
          <w:rFonts w:cs="Aparajita"/>
          <w:sz w:val="28"/>
          <w:szCs w:val="28"/>
        </w:rPr>
        <w:t xml:space="preserve"> include Student Support, PAL, and access to </w:t>
      </w:r>
      <w:r w:rsidR="00504049">
        <w:rPr>
          <w:rFonts w:cs="Aparajita"/>
          <w:sz w:val="28"/>
          <w:szCs w:val="28"/>
        </w:rPr>
        <w:t>the ‘</w:t>
      </w:r>
      <w:r w:rsidR="00965257" w:rsidRPr="00943891">
        <w:rPr>
          <w:rFonts w:cs="Aparajita"/>
          <w:sz w:val="28"/>
          <w:szCs w:val="28"/>
        </w:rPr>
        <w:t>Feeling Good App</w:t>
      </w:r>
      <w:r w:rsidR="00504049">
        <w:rPr>
          <w:rFonts w:cs="Aparajita"/>
          <w:sz w:val="28"/>
          <w:szCs w:val="28"/>
        </w:rPr>
        <w:t>’</w:t>
      </w:r>
      <w:r w:rsidR="00965257" w:rsidRPr="00943891">
        <w:rPr>
          <w:rFonts w:cs="Aparajita"/>
          <w:sz w:val="28"/>
          <w:szCs w:val="28"/>
        </w:rPr>
        <w:t>. UWTSD's achieve</w:t>
      </w:r>
      <w:r w:rsidR="00504049">
        <w:rPr>
          <w:rFonts w:cs="Aparajita"/>
          <w:sz w:val="28"/>
          <w:szCs w:val="28"/>
        </w:rPr>
        <w:t>d</w:t>
      </w:r>
      <w:r w:rsidR="00965257" w:rsidRPr="00943891">
        <w:rPr>
          <w:rFonts w:cs="Aparajita"/>
          <w:sz w:val="28"/>
          <w:szCs w:val="28"/>
        </w:rPr>
        <w:t xml:space="preserve"> top communication in mental well-being support </w:t>
      </w:r>
      <w:r w:rsidR="005F78FD">
        <w:rPr>
          <w:rFonts w:cs="Aparajita"/>
          <w:sz w:val="28"/>
          <w:szCs w:val="28"/>
        </w:rPr>
        <w:t xml:space="preserve">in </w:t>
      </w:r>
      <w:r w:rsidR="00965257" w:rsidRPr="00943891">
        <w:rPr>
          <w:rFonts w:cs="Aparajita"/>
          <w:sz w:val="28"/>
          <w:szCs w:val="28"/>
        </w:rPr>
        <w:t xml:space="preserve">2023. Additionally, the </w:t>
      </w:r>
      <w:r w:rsidR="008E62BA">
        <w:rPr>
          <w:rFonts w:cs="Aparajita"/>
          <w:sz w:val="28"/>
          <w:szCs w:val="28"/>
        </w:rPr>
        <w:t>UWTSD</w:t>
      </w:r>
      <w:r w:rsidR="00965257" w:rsidRPr="00943891">
        <w:rPr>
          <w:rFonts w:cs="Aparajita"/>
          <w:sz w:val="28"/>
          <w:szCs w:val="28"/>
        </w:rPr>
        <w:t xml:space="preserve"> core values include addressing poverty, supporting vulnerable groups, combating discrimination, and promoting human rights awareness</w:t>
      </w:r>
      <w:r w:rsidR="001345F3">
        <w:rPr>
          <w:rFonts w:cs="Aparajita"/>
          <w:sz w:val="28"/>
          <w:szCs w:val="28"/>
        </w:rPr>
        <w:t xml:space="preserve"> (UWTSD, 2024)</w:t>
      </w:r>
      <w:r w:rsidR="00965257" w:rsidRPr="00943891">
        <w:rPr>
          <w:rFonts w:cs="Aparajita"/>
          <w:sz w:val="28"/>
          <w:szCs w:val="28"/>
        </w:rPr>
        <w:t>.</w:t>
      </w:r>
    </w:p>
    <w:p w14:paraId="7125947F" w14:textId="4C57E4BF" w:rsidR="00C605E2" w:rsidRPr="00943891" w:rsidRDefault="00C605E2">
      <w:pPr>
        <w:rPr>
          <w:rFonts w:cs="Aparajita"/>
          <w:sz w:val="28"/>
          <w:szCs w:val="28"/>
        </w:rPr>
      </w:pPr>
      <w:r w:rsidRPr="00C605E2">
        <w:rPr>
          <w:rFonts w:cs="Aparajita"/>
          <w:sz w:val="28"/>
          <w:szCs w:val="28"/>
        </w:rPr>
        <w:t xml:space="preserve">Numerous challenges impede the effective implementation of inclusive education. These include a lack of supportive policy and legal frameworks, inadequate resources and facilities, specialised staff, insufficient training in inclusive practices, inflexible curricula, unsupportive leadership, </w:t>
      </w:r>
      <w:r w:rsidR="008E62BA">
        <w:rPr>
          <w:rFonts w:cs="Aparajita"/>
          <w:sz w:val="28"/>
          <w:szCs w:val="28"/>
        </w:rPr>
        <w:t>even</w:t>
      </w:r>
      <w:r w:rsidRPr="00C605E2">
        <w:rPr>
          <w:rFonts w:cs="Aparajita"/>
          <w:sz w:val="28"/>
          <w:szCs w:val="28"/>
        </w:rPr>
        <w:t xml:space="preserve"> entrenched socio-cultural attitudes towards disability (Ajjawi, 2023). Overcoming these obstacles requires concerted efforts in policy development, resource allocation, professional development, and societal attitude shifts to create truly inclusive learning environments (Thompson, 2018).</w:t>
      </w:r>
    </w:p>
    <w:p w14:paraId="3B33842E" w14:textId="61FA06AB" w:rsidR="00370B00" w:rsidRPr="00305DFB" w:rsidRDefault="00C4728F" w:rsidP="00370B00">
      <w:pPr>
        <w:rPr>
          <w:rFonts w:cs="Aparajita"/>
          <w:sz w:val="28"/>
          <w:szCs w:val="28"/>
        </w:rPr>
      </w:pPr>
      <w:r w:rsidRPr="00943891">
        <w:rPr>
          <w:rFonts w:cs="Aparajita"/>
          <w:sz w:val="28"/>
          <w:szCs w:val="28"/>
        </w:rPr>
        <w:t>In conclusion, through familiarity with these legislative requirements, policies, and guidelines, educators can ensure that their teaching practices promote inclusivity</w:t>
      </w:r>
      <w:r w:rsidR="0041426B">
        <w:rPr>
          <w:rFonts w:cs="Aparajita"/>
          <w:sz w:val="28"/>
          <w:szCs w:val="28"/>
        </w:rPr>
        <w:t>.</w:t>
      </w:r>
      <w:r w:rsidRPr="00943891">
        <w:rPr>
          <w:rFonts w:cs="Aparajita"/>
          <w:sz w:val="28"/>
          <w:szCs w:val="28"/>
        </w:rPr>
        <w:t xml:space="preserve"> </w:t>
      </w:r>
      <w:r w:rsidR="008620BC">
        <w:rPr>
          <w:rFonts w:cs="Aparajita"/>
          <w:sz w:val="28"/>
          <w:szCs w:val="28"/>
        </w:rPr>
        <w:t>S</w:t>
      </w:r>
      <w:r w:rsidRPr="00943891">
        <w:rPr>
          <w:rFonts w:cs="Aparajita"/>
          <w:sz w:val="28"/>
          <w:szCs w:val="28"/>
        </w:rPr>
        <w:t>upport services facilitate the creation of an inclusive learning environment that supports the diverse needs of all learners.</w:t>
      </w:r>
      <w:r w:rsidR="00370B00" w:rsidRPr="00943891">
        <w:rPr>
          <w:rFonts w:cs="Aparajita"/>
          <w:sz w:val="28"/>
          <w:szCs w:val="28"/>
        </w:rPr>
        <w:t xml:space="preserve"> </w:t>
      </w:r>
      <w:r w:rsidR="00F750D4" w:rsidRPr="00943891">
        <w:rPr>
          <w:rFonts w:cs="Aparajita"/>
          <w:sz w:val="28"/>
          <w:szCs w:val="28"/>
        </w:rPr>
        <w:t>Whe</w:t>
      </w:r>
      <w:r w:rsidR="008620BC">
        <w:rPr>
          <w:rFonts w:cs="Aparajita"/>
          <w:sz w:val="28"/>
          <w:szCs w:val="28"/>
        </w:rPr>
        <w:t>re</w:t>
      </w:r>
      <w:r w:rsidR="00DF3D6A" w:rsidRPr="00943891">
        <w:rPr>
          <w:rFonts w:cs="Aparajita"/>
          <w:sz w:val="28"/>
          <w:szCs w:val="28"/>
        </w:rPr>
        <w:t xml:space="preserve"> there </w:t>
      </w:r>
      <w:r w:rsidR="008620BC" w:rsidRPr="00943891">
        <w:rPr>
          <w:rFonts w:cs="Aparajita"/>
          <w:sz w:val="28"/>
          <w:szCs w:val="28"/>
        </w:rPr>
        <w:t>are</w:t>
      </w:r>
      <w:r w:rsidR="00F750D4" w:rsidRPr="00943891">
        <w:rPr>
          <w:rFonts w:cs="Aparajita"/>
          <w:sz w:val="28"/>
          <w:szCs w:val="28"/>
        </w:rPr>
        <w:t xml:space="preserve"> s</w:t>
      </w:r>
      <w:r w:rsidR="00370B00" w:rsidRPr="00723682">
        <w:rPr>
          <w:rFonts w:cs="Aparajita"/>
          <w:sz w:val="28"/>
          <w:szCs w:val="28"/>
        </w:rPr>
        <w:t>ignificant investments in mental health and well-being support student</w:t>
      </w:r>
      <w:r w:rsidR="00DF3D6A" w:rsidRPr="00943891">
        <w:rPr>
          <w:rFonts w:cs="Aparajita"/>
          <w:sz w:val="28"/>
          <w:szCs w:val="28"/>
        </w:rPr>
        <w:t>s can</w:t>
      </w:r>
      <w:r w:rsidR="00370B00" w:rsidRPr="00723682">
        <w:rPr>
          <w:rFonts w:cs="Aparajita"/>
          <w:sz w:val="28"/>
          <w:szCs w:val="28"/>
        </w:rPr>
        <w:t xml:space="preserve"> succe</w:t>
      </w:r>
      <w:r w:rsidR="00DF3D6A" w:rsidRPr="00943891">
        <w:rPr>
          <w:rFonts w:cs="Aparajita"/>
          <w:sz w:val="28"/>
          <w:szCs w:val="28"/>
        </w:rPr>
        <w:t>ed</w:t>
      </w:r>
      <w:r w:rsidR="00370B00" w:rsidRPr="00723682">
        <w:rPr>
          <w:rFonts w:cs="Aparajita"/>
          <w:sz w:val="28"/>
          <w:szCs w:val="28"/>
        </w:rPr>
        <w:t xml:space="preserve"> and overcoming barriers to education. </w:t>
      </w:r>
      <w:r w:rsidR="008620BC">
        <w:rPr>
          <w:rFonts w:cs="Aparajita"/>
          <w:sz w:val="28"/>
          <w:szCs w:val="28"/>
        </w:rPr>
        <w:t>I</w:t>
      </w:r>
      <w:r w:rsidR="00370B00" w:rsidRPr="00723682">
        <w:rPr>
          <w:rFonts w:cs="Aparajita"/>
          <w:sz w:val="28"/>
          <w:szCs w:val="28"/>
        </w:rPr>
        <w:t>nclusive, empowering, committed to fostering pride and excellence</w:t>
      </w:r>
      <w:r w:rsidR="008620BC">
        <w:rPr>
          <w:rFonts w:cs="Aparajita"/>
          <w:sz w:val="28"/>
          <w:szCs w:val="28"/>
        </w:rPr>
        <w:t xml:space="preserve"> is t</w:t>
      </w:r>
      <w:r w:rsidR="008620BC" w:rsidRPr="008620BC">
        <w:rPr>
          <w:rFonts w:cs="Aparajita"/>
          <w:sz w:val="28"/>
          <w:szCs w:val="28"/>
        </w:rPr>
        <w:t>he v</w:t>
      </w:r>
      <w:r w:rsidR="008620BC" w:rsidRPr="00723682">
        <w:rPr>
          <w:rFonts w:cs="Aparajita"/>
          <w:sz w:val="28"/>
          <w:szCs w:val="28"/>
        </w:rPr>
        <w:t xml:space="preserve">ision </w:t>
      </w:r>
      <w:r w:rsidR="008620BC">
        <w:rPr>
          <w:rFonts w:cs="Aparajita"/>
          <w:sz w:val="28"/>
          <w:szCs w:val="28"/>
        </w:rPr>
        <w:t>for</w:t>
      </w:r>
      <w:r w:rsidR="008620BC" w:rsidRPr="00723682">
        <w:rPr>
          <w:rFonts w:cs="Aparajita"/>
          <w:sz w:val="28"/>
          <w:szCs w:val="28"/>
        </w:rPr>
        <w:t xml:space="preserve"> education in Wales</w:t>
      </w:r>
      <w:r w:rsidR="008620BC">
        <w:rPr>
          <w:rFonts w:cs="Aparajita"/>
          <w:sz w:val="28"/>
          <w:szCs w:val="28"/>
        </w:rPr>
        <w:t>.</w:t>
      </w:r>
    </w:p>
    <w:p w14:paraId="30F75F54" w14:textId="77777777" w:rsidR="008620BC" w:rsidRDefault="008620BC" w:rsidP="00F962D4">
      <w:pPr>
        <w:rPr>
          <w:rFonts w:cs="Aparajita"/>
          <w:sz w:val="28"/>
          <w:szCs w:val="28"/>
        </w:rPr>
      </w:pPr>
    </w:p>
    <w:p w14:paraId="654A9553" w14:textId="77777777" w:rsidR="00DC5151" w:rsidRDefault="00DC5151" w:rsidP="00F962D4">
      <w:pPr>
        <w:rPr>
          <w:rFonts w:cs="Aparajita"/>
          <w:sz w:val="28"/>
          <w:szCs w:val="28"/>
        </w:rPr>
      </w:pPr>
    </w:p>
    <w:p w14:paraId="774F7DDD" w14:textId="77777777" w:rsidR="00DC5151" w:rsidRDefault="00DC5151" w:rsidP="00F962D4">
      <w:pPr>
        <w:rPr>
          <w:rFonts w:cs="Aparajita"/>
          <w:sz w:val="28"/>
          <w:szCs w:val="28"/>
        </w:rPr>
      </w:pPr>
    </w:p>
    <w:p w14:paraId="72B05C09" w14:textId="77777777" w:rsidR="00DC5151" w:rsidRDefault="00DC5151" w:rsidP="00F962D4">
      <w:pPr>
        <w:rPr>
          <w:rFonts w:cs="Aparajita"/>
          <w:sz w:val="28"/>
          <w:szCs w:val="28"/>
        </w:rPr>
      </w:pPr>
    </w:p>
    <w:p w14:paraId="71718CD9" w14:textId="77777777" w:rsidR="00DC5151" w:rsidRDefault="00DC5151" w:rsidP="00F962D4">
      <w:pPr>
        <w:rPr>
          <w:rFonts w:cs="Aparajita"/>
          <w:sz w:val="28"/>
          <w:szCs w:val="28"/>
        </w:rPr>
      </w:pPr>
    </w:p>
    <w:p w14:paraId="13630FDA" w14:textId="77777777" w:rsidR="00DC5151" w:rsidRDefault="00DC5151" w:rsidP="00F962D4">
      <w:pPr>
        <w:rPr>
          <w:rFonts w:cs="Aparajita"/>
          <w:sz w:val="28"/>
          <w:szCs w:val="28"/>
        </w:rPr>
      </w:pPr>
    </w:p>
    <w:p w14:paraId="43E81437" w14:textId="77777777" w:rsidR="00DC5151" w:rsidRDefault="00DC5151" w:rsidP="00F962D4">
      <w:pPr>
        <w:rPr>
          <w:rFonts w:cs="Aparajita"/>
          <w:sz w:val="28"/>
          <w:szCs w:val="28"/>
        </w:rPr>
      </w:pPr>
    </w:p>
    <w:p w14:paraId="26BFBE86" w14:textId="77777777" w:rsidR="00DC5151" w:rsidRDefault="00DC5151" w:rsidP="00F962D4">
      <w:pPr>
        <w:rPr>
          <w:rFonts w:cs="Aparajita"/>
          <w:sz w:val="28"/>
          <w:szCs w:val="28"/>
        </w:rPr>
      </w:pPr>
    </w:p>
    <w:p w14:paraId="14FB9DFC" w14:textId="77777777" w:rsidR="00DC5151" w:rsidRDefault="00DC5151" w:rsidP="00F962D4">
      <w:pPr>
        <w:rPr>
          <w:rFonts w:cs="Aparajita"/>
          <w:sz w:val="28"/>
          <w:szCs w:val="28"/>
        </w:rPr>
      </w:pPr>
    </w:p>
    <w:p w14:paraId="5CD9F171" w14:textId="77777777" w:rsidR="00DC5151" w:rsidRDefault="00DC5151" w:rsidP="00F962D4">
      <w:pPr>
        <w:rPr>
          <w:rFonts w:cs="Aparajita"/>
          <w:sz w:val="28"/>
          <w:szCs w:val="28"/>
        </w:rPr>
      </w:pPr>
    </w:p>
    <w:p w14:paraId="7E3777EF" w14:textId="77777777" w:rsidR="00DC5151" w:rsidRDefault="00DC5151" w:rsidP="00F962D4">
      <w:pPr>
        <w:rPr>
          <w:rFonts w:cs="Aparajita"/>
          <w:sz w:val="28"/>
          <w:szCs w:val="28"/>
        </w:rPr>
      </w:pPr>
    </w:p>
    <w:p w14:paraId="52B40FFD" w14:textId="57D08F80" w:rsidR="00D56DBE" w:rsidRPr="00943891" w:rsidRDefault="00D56DBE" w:rsidP="00F962D4">
      <w:pPr>
        <w:rPr>
          <w:rFonts w:cs="Aparajita"/>
          <w:sz w:val="28"/>
          <w:szCs w:val="28"/>
        </w:rPr>
      </w:pPr>
      <w:r w:rsidRPr="00D56DBE">
        <w:rPr>
          <w:rFonts w:cs="Aparajita"/>
          <w:sz w:val="28"/>
          <w:szCs w:val="28"/>
        </w:rPr>
        <w:t>The three students are studying with the UWTSD. Iwan is completing his degree in Welsh.</w:t>
      </w:r>
      <w:r w:rsidR="00F962D4">
        <w:rPr>
          <w:rFonts w:cs="Aparajita"/>
          <w:sz w:val="28"/>
          <w:szCs w:val="28"/>
        </w:rPr>
        <w:t xml:space="preserve"> Megan and</w:t>
      </w:r>
      <w:r w:rsidRPr="00D56DBE">
        <w:rPr>
          <w:rFonts w:cs="Aparajita"/>
          <w:sz w:val="28"/>
          <w:szCs w:val="28"/>
        </w:rPr>
        <w:t xml:space="preserve"> Angharad are completing a Counselling degree together. </w:t>
      </w:r>
    </w:p>
    <w:p w14:paraId="79AD53A9" w14:textId="37A3A83E" w:rsidR="003173C9" w:rsidRPr="00943891" w:rsidRDefault="003173C9" w:rsidP="00AC414D">
      <w:pPr>
        <w:jc w:val="both"/>
        <w:rPr>
          <w:rFonts w:cs="Aparajita"/>
          <w:sz w:val="28"/>
          <w:szCs w:val="28"/>
        </w:rPr>
      </w:pPr>
      <w:r w:rsidRPr="00943891">
        <w:rPr>
          <w:rFonts w:cs="Aparajita"/>
          <w:b/>
          <w:bCs/>
          <w:sz w:val="28"/>
          <w:szCs w:val="28"/>
        </w:rPr>
        <w:t xml:space="preserve">Iwan </w:t>
      </w:r>
    </w:p>
    <w:p w14:paraId="2DE90C3A" w14:textId="6514ED73" w:rsidR="00136ED7" w:rsidRPr="00943891" w:rsidRDefault="00136ED7" w:rsidP="00136ED7">
      <w:pPr>
        <w:jc w:val="both"/>
        <w:rPr>
          <w:rFonts w:cs="Aparajita"/>
          <w:sz w:val="28"/>
          <w:szCs w:val="28"/>
        </w:rPr>
      </w:pPr>
      <w:r w:rsidRPr="00943891">
        <w:rPr>
          <w:rFonts w:cs="Aparajita"/>
          <w:sz w:val="28"/>
          <w:szCs w:val="28"/>
        </w:rPr>
        <w:t>Student finance</w:t>
      </w:r>
      <w:r w:rsidR="001345F3">
        <w:rPr>
          <w:rFonts w:cs="Aparajita"/>
          <w:sz w:val="28"/>
          <w:szCs w:val="28"/>
        </w:rPr>
        <w:t xml:space="preserve">: </w:t>
      </w:r>
      <w:r w:rsidRPr="00943891">
        <w:rPr>
          <w:rFonts w:cs="Aparajita"/>
          <w:sz w:val="28"/>
          <w:szCs w:val="28"/>
        </w:rPr>
        <w:t xml:space="preserve"> Government loans and grants/bursaries and is the main sources of financial assistance for tuition fees and living expenses for</w:t>
      </w:r>
      <w:r w:rsidR="006B6245">
        <w:rPr>
          <w:rFonts w:cs="Aparajita"/>
          <w:sz w:val="28"/>
          <w:szCs w:val="28"/>
        </w:rPr>
        <w:t xml:space="preserve"> Iwan</w:t>
      </w:r>
      <w:r w:rsidRPr="00943891">
        <w:rPr>
          <w:rFonts w:cs="Aparajita"/>
          <w:sz w:val="28"/>
          <w:szCs w:val="28"/>
        </w:rPr>
        <w:t xml:space="preserve">. Refer to for eligibility and application (Student Finance Wales, 2024).  Students from Wales </w:t>
      </w:r>
      <w:r w:rsidR="00344497">
        <w:rPr>
          <w:rFonts w:cs="Aparajita"/>
          <w:sz w:val="28"/>
          <w:szCs w:val="28"/>
        </w:rPr>
        <w:t>can</w:t>
      </w:r>
      <w:r w:rsidRPr="00943891">
        <w:rPr>
          <w:rFonts w:cs="Aparajita"/>
          <w:sz w:val="28"/>
          <w:szCs w:val="28"/>
        </w:rPr>
        <w:t xml:space="preserve"> apply for a combination of a loan and grant. In Iwans case things that will come into consideration will be: living away from his parents’ home, where they are studying and even what they are studying. </w:t>
      </w:r>
    </w:p>
    <w:p w14:paraId="6086E4E2" w14:textId="2F1C6CB0" w:rsidR="00136ED7" w:rsidRDefault="005D289E" w:rsidP="00136ED7">
      <w:pPr>
        <w:jc w:val="both"/>
        <w:rPr>
          <w:rFonts w:cs="Aparajita"/>
          <w:sz w:val="28"/>
          <w:szCs w:val="28"/>
        </w:rPr>
      </w:pPr>
      <w:r>
        <w:rPr>
          <w:rFonts w:cs="Aparajita"/>
          <w:sz w:val="28"/>
          <w:szCs w:val="28"/>
        </w:rPr>
        <w:t xml:space="preserve">Personal Circumstance: </w:t>
      </w:r>
      <w:r w:rsidR="00136ED7" w:rsidRPr="00943891">
        <w:rPr>
          <w:rFonts w:cs="Aparajita"/>
          <w:sz w:val="28"/>
          <w:szCs w:val="28"/>
        </w:rPr>
        <w:t>Moreover, students like Iwan may qualify for additional support tailored to personal circumstances. For instance, adult students financially supporting dependents over 25 years of age may apply for an Adult Dependants' Grant of up to £3,262 annually. UWTSD also has a Parents and carer bursaries of up to £500 to support adult dependants.</w:t>
      </w:r>
    </w:p>
    <w:p w14:paraId="359F2A18" w14:textId="3E0E2ED3" w:rsidR="004B4E12" w:rsidRPr="00943891" w:rsidRDefault="004B4E12" w:rsidP="00136ED7">
      <w:pPr>
        <w:jc w:val="both"/>
        <w:rPr>
          <w:rFonts w:cs="Aparajita"/>
          <w:sz w:val="28"/>
          <w:szCs w:val="28"/>
        </w:rPr>
      </w:pPr>
      <w:r>
        <w:rPr>
          <w:rFonts w:cs="Aparajita"/>
          <w:sz w:val="28"/>
          <w:szCs w:val="28"/>
        </w:rPr>
        <w:t xml:space="preserve">Mental Health Needs: </w:t>
      </w:r>
      <w:r w:rsidRPr="004B4E12">
        <w:rPr>
          <w:rFonts w:cs="Aparajita"/>
          <w:sz w:val="28"/>
          <w:szCs w:val="28"/>
        </w:rPr>
        <w:t xml:space="preserve">Even though Iwans </w:t>
      </w:r>
      <w:r w:rsidR="002E4EE2">
        <w:rPr>
          <w:rFonts w:cs="Aparajita"/>
          <w:sz w:val="28"/>
          <w:szCs w:val="28"/>
        </w:rPr>
        <w:t xml:space="preserve">circumstances are </w:t>
      </w:r>
      <w:r w:rsidR="002E4EE2" w:rsidRPr="004B4E12">
        <w:rPr>
          <w:rFonts w:cs="Aparajita"/>
          <w:sz w:val="28"/>
          <w:szCs w:val="28"/>
        </w:rPr>
        <w:t>financial</w:t>
      </w:r>
      <w:r w:rsidR="002E4EE2">
        <w:rPr>
          <w:rFonts w:cs="Aparajita"/>
          <w:sz w:val="28"/>
          <w:szCs w:val="28"/>
        </w:rPr>
        <w:t>, all students have mental health needs</w:t>
      </w:r>
      <w:r w:rsidR="001615E2">
        <w:rPr>
          <w:rFonts w:cs="Aparajita"/>
          <w:sz w:val="28"/>
          <w:szCs w:val="28"/>
        </w:rPr>
        <w:t xml:space="preserve">.  Mental Health is not just for the ‘mentally ill’ but something that </w:t>
      </w:r>
      <w:r w:rsidR="00B5054F">
        <w:rPr>
          <w:rFonts w:cs="Aparajita"/>
          <w:sz w:val="28"/>
          <w:szCs w:val="28"/>
        </w:rPr>
        <w:t>increases and decreases throughout as life time.  Some individuals are better at meeting their mental health need than others</w:t>
      </w:r>
      <w:r w:rsidR="006B6245">
        <w:rPr>
          <w:rFonts w:cs="Aparajita"/>
          <w:sz w:val="28"/>
          <w:szCs w:val="28"/>
        </w:rPr>
        <w:t xml:space="preserve"> ( Barden &amp; Caleb, 2019)</w:t>
      </w:r>
      <w:r w:rsidRPr="004B4E12">
        <w:rPr>
          <w:rFonts w:cs="Aparajita"/>
          <w:sz w:val="28"/>
          <w:szCs w:val="28"/>
        </w:rPr>
        <w:t>.</w:t>
      </w:r>
    </w:p>
    <w:p w14:paraId="3207ADCF" w14:textId="5C4110AE" w:rsidR="00136ED7" w:rsidRPr="00943891" w:rsidRDefault="00136ED7" w:rsidP="00136ED7">
      <w:pPr>
        <w:jc w:val="both"/>
        <w:rPr>
          <w:rFonts w:cs="Aparajita"/>
          <w:sz w:val="28"/>
          <w:szCs w:val="28"/>
        </w:rPr>
      </w:pPr>
      <w:r w:rsidRPr="00943891">
        <w:rPr>
          <w:rFonts w:cs="Aparajita"/>
          <w:sz w:val="28"/>
          <w:szCs w:val="28"/>
        </w:rPr>
        <w:t>Universities</w:t>
      </w:r>
      <w:r w:rsidR="006120F4">
        <w:rPr>
          <w:rFonts w:cs="Aparajita"/>
          <w:sz w:val="28"/>
          <w:szCs w:val="28"/>
        </w:rPr>
        <w:t xml:space="preserve"> Services:</w:t>
      </w:r>
      <w:r w:rsidRPr="00943891">
        <w:rPr>
          <w:rFonts w:cs="Aparajita"/>
          <w:sz w:val="28"/>
          <w:szCs w:val="28"/>
        </w:rPr>
        <w:t xml:space="preserve"> advice/welfare services, </w:t>
      </w:r>
      <w:r w:rsidR="00EA4542">
        <w:rPr>
          <w:rFonts w:cs="Aparajita"/>
          <w:sz w:val="28"/>
          <w:szCs w:val="28"/>
        </w:rPr>
        <w:t xml:space="preserve">help with </w:t>
      </w:r>
      <w:r w:rsidRPr="00943891">
        <w:rPr>
          <w:rFonts w:cs="Aparajita"/>
          <w:sz w:val="28"/>
          <w:szCs w:val="28"/>
        </w:rPr>
        <w:t>addressing financial, housing, and benefit-related concerns. Furthermore, hardship funds and scholarships/bursaries, often based on academic excellence or socio-economic disadvantage, can provide supplementary financial aid</w:t>
      </w:r>
      <w:r w:rsidR="00EA4542">
        <w:rPr>
          <w:rFonts w:cs="Aparajita"/>
          <w:sz w:val="28"/>
          <w:szCs w:val="28"/>
        </w:rPr>
        <w:t xml:space="preserve"> for Iwan</w:t>
      </w:r>
      <w:r w:rsidRPr="00943891">
        <w:rPr>
          <w:rFonts w:cs="Aparajita"/>
          <w:sz w:val="28"/>
          <w:szCs w:val="28"/>
        </w:rPr>
        <w:t xml:space="preserve">. Opportunities such as Hardship funding will be advertised on UWTSD websites and listed on websites such as the Scholarship Hub. </w:t>
      </w:r>
      <w:r w:rsidR="006B0B91">
        <w:rPr>
          <w:rFonts w:cs="Aparajita"/>
          <w:sz w:val="28"/>
          <w:szCs w:val="28"/>
        </w:rPr>
        <w:t xml:space="preserve">Iwan needs to be made aware of these services. </w:t>
      </w:r>
    </w:p>
    <w:p w14:paraId="2C07DB09" w14:textId="56CDE1D9" w:rsidR="00136ED7" w:rsidRPr="00943891" w:rsidRDefault="00136ED7" w:rsidP="00136ED7">
      <w:pPr>
        <w:jc w:val="both"/>
        <w:rPr>
          <w:rFonts w:cs="Aparajita"/>
          <w:sz w:val="28"/>
          <w:szCs w:val="28"/>
        </w:rPr>
      </w:pPr>
      <w:r w:rsidRPr="00943891">
        <w:rPr>
          <w:rFonts w:cs="Aparajita"/>
          <w:sz w:val="28"/>
          <w:szCs w:val="28"/>
        </w:rPr>
        <w:t xml:space="preserve">Benefit support; </w:t>
      </w:r>
      <w:r w:rsidR="006B0B91">
        <w:rPr>
          <w:rFonts w:cs="Aparajita"/>
          <w:sz w:val="28"/>
          <w:szCs w:val="28"/>
        </w:rPr>
        <w:t xml:space="preserve">Iwan should be supported </w:t>
      </w:r>
      <w:r w:rsidRPr="00943891">
        <w:rPr>
          <w:rFonts w:cs="Aparajita"/>
          <w:sz w:val="28"/>
          <w:szCs w:val="28"/>
        </w:rPr>
        <w:t>to claim Universal Credit</w:t>
      </w:r>
      <w:r w:rsidR="00A35701">
        <w:rPr>
          <w:rFonts w:cs="Aparajita"/>
          <w:sz w:val="28"/>
          <w:szCs w:val="28"/>
        </w:rPr>
        <w:t>. Although most students are not eligible</w:t>
      </w:r>
      <w:r w:rsidRPr="00943891">
        <w:rPr>
          <w:rFonts w:cs="Aparajita"/>
          <w:sz w:val="28"/>
          <w:szCs w:val="28"/>
        </w:rPr>
        <w:t xml:space="preserve"> there are some exceptions</w:t>
      </w:r>
      <w:r w:rsidR="00A35701">
        <w:rPr>
          <w:rFonts w:cs="Aparajita"/>
          <w:sz w:val="28"/>
          <w:szCs w:val="28"/>
        </w:rPr>
        <w:t>, so this should be explored</w:t>
      </w:r>
      <w:r w:rsidRPr="00943891">
        <w:rPr>
          <w:rFonts w:cs="Aparajita"/>
          <w:sz w:val="28"/>
          <w:szCs w:val="28"/>
        </w:rPr>
        <w:t>. If students are having problems claiming Universal Credit, they can contact the confidential Citizens Advice for ‘help to claim’ advice.  If a student gets Universal Credit, or if they are in receipt of certain other means-tested benefits or tax credits, they may be eligible to receive any or all of three instalments of Cost of Living Payment totalling £900 in 2023/24.</w:t>
      </w:r>
    </w:p>
    <w:p w14:paraId="446AA81C" w14:textId="25230212" w:rsidR="00136ED7" w:rsidRPr="00943891" w:rsidRDefault="00136ED7" w:rsidP="00136ED7">
      <w:pPr>
        <w:jc w:val="both"/>
        <w:rPr>
          <w:rFonts w:cs="Aparajita"/>
          <w:sz w:val="28"/>
          <w:szCs w:val="28"/>
        </w:rPr>
      </w:pPr>
      <w:r w:rsidRPr="00943891">
        <w:rPr>
          <w:rFonts w:cs="Aparajita"/>
          <w:sz w:val="28"/>
          <w:szCs w:val="28"/>
        </w:rPr>
        <w:t xml:space="preserve">Charitable funding; </w:t>
      </w:r>
      <w:r w:rsidR="006A4122">
        <w:rPr>
          <w:rFonts w:cs="Aparajita"/>
          <w:sz w:val="28"/>
          <w:szCs w:val="28"/>
        </w:rPr>
        <w:t>Iwan</w:t>
      </w:r>
      <w:r w:rsidRPr="00943891">
        <w:rPr>
          <w:rFonts w:cs="Aparajita"/>
          <w:sz w:val="28"/>
          <w:szCs w:val="28"/>
        </w:rPr>
        <w:t xml:space="preserve"> can apply to educational trusts and charities for small amounts of funding if they meet an organisation’s eligibility criteria. Organisations such as Turn2Us, Family Action, and Funds Online have searchable online databases of grants. The National Zakat Foundation support</w:t>
      </w:r>
      <w:r w:rsidR="00E526AE">
        <w:rPr>
          <w:rFonts w:cs="Aparajita"/>
          <w:sz w:val="28"/>
          <w:szCs w:val="28"/>
        </w:rPr>
        <w:t>s</w:t>
      </w:r>
      <w:r w:rsidRPr="00943891">
        <w:rPr>
          <w:rFonts w:cs="Aparajita"/>
          <w:sz w:val="28"/>
          <w:szCs w:val="28"/>
        </w:rPr>
        <w:t xml:space="preserve"> Muslim students</w:t>
      </w:r>
      <w:r w:rsidR="00E526AE">
        <w:rPr>
          <w:rFonts w:cs="Aparajita"/>
          <w:sz w:val="28"/>
          <w:szCs w:val="28"/>
        </w:rPr>
        <w:t>,</w:t>
      </w:r>
      <w:r w:rsidRPr="00943891">
        <w:rPr>
          <w:rFonts w:cs="Aparajita"/>
          <w:sz w:val="28"/>
          <w:szCs w:val="28"/>
        </w:rPr>
        <w:t xml:space="preserve"> who do not feel able to access student finance because of their faith.</w:t>
      </w:r>
    </w:p>
    <w:p w14:paraId="47DA9118" w14:textId="6AA790FE" w:rsidR="00136ED7" w:rsidRPr="00943891" w:rsidRDefault="00136ED7" w:rsidP="00136ED7">
      <w:pPr>
        <w:jc w:val="both"/>
        <w:rPr>
          <w:rFonts w:cs="Aparajita"/>
          <w:sz w:val="28"/>
          <w:szCs w:val="28"/>
        </w:rPr>
      </w:pPr>
      <w:r w:rsidRPr="00943891">
        <w:rPr>
          <w:rFonts w:cs="Aparajita"/>
          <w:sz w:val="28"/>
          <w:szCs w:val="28"/>
        </w:rPr>
        <w:t xml:space="preserve">Employer support: As Iwan is employed, </w:t>
      </w:r>
      <w:r w:rsidR="00620AD4">
        <w:rPr>
          <w:rFonts w:cs="Aparajita"/>
          <w:sz w:val="28"/>
          <w:szCs w:val="28"/>
        </w:rPr>
        <w:t>s</w:t>
      </w:r>
      <w:r w:rsidRPr="00943891">
        <w:rPr>
          <w:rFonts w:cs="Aparajita"/>
          <w:sz w:val="28"/>
          <w:szCs w:val="28"/>
        </w:rPr>
        <w:t xml:space="preserve">ome organisations offer financial support or sponsorship to their employees for undertaking </w:t>
      </w:r>
      <w:r w:rsidR="00D51C49">
        <w:rPr>
          <w:rFonts w:cs="Aparajita"/>
          <w:sz w:val="28"/>
          <w:szCs w:val="28"/>
        </w:rPr>
        <w:t>FE</w:t>
      </w:r>
      <w:r w:rsidRPr="00943891">
        <w:rPr>
          <w:rFonts w:cs="Aparajita"/>
          <w:sz w:val="28"/>
          <w:szCs w:val="28"/>
        </w:rPr>
        <w:t xml:space="preserve">courses. </w:t>
      </w:r>
    </w:p>
    <w:p w14:paraId="1A4616DD" w14:textId="41E90AB4" w:rsidR="003173C9" w:rsidRPr="00620AD4" w:rsidRDefault="00136ED7" w:rsidP="00620AD4">
      <w:pPr>
        <w:jc w:val="both"/>
        <w:rPr>
          <w:rFonts w:cs="Aparajita"/>
          <w:sz w:val="28"/>
          <w:szCs w:val="28"/>
        </w:rPr>
      </w:pPr>
      <w:r w:rsidRPr="00943891">
        <w:rPr>
          <w:rFonts w:cs="Aparajita"/>
          <w:sz w:val="28"/>
          <w:szCs w:val="28"/>
        </w:rPr>
        <w:t xml:space="preserve">Welsh Language: </w:t>
      </w:r>
      <w:r w:rsidR="003329EC" w:rsidRPr="003329EC">
        <w:rPr>
          <w:rFonts w:cs="Aparajita"/>
          <w:sz w:val="28"/>
          <w:szCs w:val="28"/>
        </w:rPr>
        <w:t>Welsh. Cymraeg 2050: Welsh Language strategy (2017)</w:t>
      </w:r>
      <w:r w:rsidR="003329EC">
        <w:rPr>
          <w:rFonts w:cs="Aparajita"/>
          <w:sz w:val="28"/>
          <w:szCs w:val="28"/>
        </w:rPr>
        <w:t xml:space="preserve"> </w:t>
      </w:r>
      <w:r w:rsidRPr="00943891">
        <w:rPr>
          <w:rFonts w:cs="Aparajita"/>
          <w:sz w:val="28"/>
          <w:szCs w:val="28"/>
        </w:rPr>
        <w:t>Students undertaking some or all of their programme bilingually through the medium of Welsh</w:t>
      </w:r>
      <w:r w:rsidR="00E9358D">
        <w:rPr>
          <w:rFonts w:cs="Aparajita"/>
          <w:sz w:val="28"/>
          <w:szCs w:val="28"/>
        </w:rPr>
        <w:t xml:space="preserve"> can receive funding</w:t>
      </w:r>
      <w:r w:rsidRPr="00943891">
        <w:rPr>
          <w:rFonts w:cs="Aparajita"/>
          <w:sz w:val="28"/>
          <w:szCs w:val="28"/>
        </w:rPr>
        <w:t xml:space="preserve">.  £50 per 10 credits through the medium of Welsh. Award Amount: Up to £900 (Apply through UWTSD, 2024).  Coleg Cymraeg Cenedlaethol Scholarships also gives funding to those studying in </w:t>
      </w:r>
      <w:r w:rsidR="003329EC">
        <w:rPr>
          <w:rFonts w:cs="Aparajita"/>
          <w:sz w:val="28"/>
          <w:szCs w:val="28"/>
        </w:rPr>
        <w:t xml:space="preserve">Welsh. </w:t>
      </w:r>
    </w:p>
    <w:p w14:paraId="7868AC4B" w14:textId="20414A44" w:rsidR="00FF7B53" w:rsidRPr="00943891" w:rsidRDefault="00C40E90" w:rsidP="00434421">
      <w:pPr>
        <w:rPr>
          <w:rFonts w:cs="Aparajita"/>
          <w:sz w:val="28"/>
          <w:szCs w:val="28"/>
        </w:rPr>
      </w:pPr>
      <w:r w:rsidRPr="00943891">
        <w:rPr>
          <w:rFonts w:cs="Aparajita"/>
          <w:b/>
          <w:bCs/>
          <w:sz w:val="28"/>
          <w:szCs w:val="28"/>
        </w:rPr>
        <w:t>Megan</w:t>
      </w:r>
      <w:r w:rsidRPr="00943891">
        <w:rPr>
          <w:rFonts w:cs="Aparajita"/>
          <w:sz w:val="28"/>
          <w:szCs w:val="28"/>
        </w:rPr>
        <w:t xml:space="preserve"> </w:t>
      </w:r>
    </w:p>
    <w:p w14:paraId="79E916D2" w14:textId="2B16DA51" w:rsidR="005D46FE" w:rsidRPr="00943891" w:rsidRDefault="00FF7B53" w:rsidP="0071476B">
      <w:pPr>
        <w:rPr>
          <w:rFonts w:cs="Aparajita"/>
          <w:sz w:val="28"/>
          <w:szCs w:val="28"/>
        </w:rPr>
      </w:pPr>
      <w:r w:rsidRPr="00943891">
        <w:rPr>
          <w:rFonts w:cs="Aparajita"/>
          <w:sz w:val="28"/>
          <w:szCs w:val="28"/>
        </w:rPr>
        <w:t xml:space="preserve">Apply for </w:t>
      </w:r>
      <w:r w:rsidR="00434421" w:rsidRPr="00434421">
        <w:rPr>
          <w:rFonts w:cs="Aparajita"/>
          <w:sz w:val="28"/>
          <w:szCs w:val="28"/>
        </w:rPr>
        <w:t xml:space="preserve">Disabled Students Allowance; </w:t>
      </w:r>
      <w:r w:rsidR="002E76B6" w:rsidRPr="00723682">
        <w:rPr>
          <w:rFonts w:cs="Aparajita"/>
          <w:sz w:val="28"/>
          <w:szCs w:val="28"/>
        </w:rPr>
        <w:t xml:space="preserve">According to Gov.uk (2024) eligibility is having a “disability that affects your ability to study” which includes and not limited to ADHD, Autism, dyslexia, dyspraxia, visual/hearing impaired. </w:t>
      </w:r>
      <w:r w:rsidR="008A6EEC" w:rsidRPr="00943891">
        <w:rPr>
          <w:rFonts w:cs="Aparajita"/>
          <w:sz w:val="28"/>
          <w:szCs w:val="28"/>
        </w:rPr>
        <w:t xml:space="preserve"> </w:t>
      </w:r>
      <w:r w:rsidR="007F34BB" w:rsidRPr="00943891">
        <w:rPr>
          <w:rFonts w:cs="Aparajita"/>
          <w:sz w:val="28"/>
          <w:szCs w:val="28"/>
        </w:rPr>
        <w:t xml:space="preserve">The needs Assessment will recommend services that will help Megans individual needs; in her case ‘hard to concentrate’ and ‘maintain attention’ could come into consideration. </w:t>
      </w:r>
      <w:r w:rsidR="005D0090" w:rsidRPr="00943891">
        <w:rPr>
          <w:rFonts w:cs="Aparajita"/>
          <w:sz w:val="28"/>
          <w:szCs w:val="28"/>
        </w:rPr>
        <w:t>After</w:t>
      </w:r>
      <w:r w:rsidR="008A6EEC" w:rsidRPr="00943891">
        <w:rPr>
          <w:rFonts w:cs="Aparajita"/>
          <w:sz w:val="28"/>
          <w:szCs w:val="28"/>
        </w:rPr>
        <w:t xml:space="preserve"> an</w:t>
      </w:r>
      <w:r w:rsidR="005D0090" w:rsidRPr="00943891">
        <w:rPr>
          <w:rFonts w:cs="Aparajita"/>
          <w:sz w:val="28"/>
          <w:szCs w:val="28"/>
        </w:rPr>
        <w:t xml:space="preserve"> assessment, </w:t>
      </w:r>
      <w:r w:rsidR="002E76B6" w:rsidRPr="00723682">
        <w:rPr>
          <w:rFonts w:cs="Aparajita"/>
          <w:sz w:val="28"/>
          <w:szCs w:val="28"/>
        </w:rPr>
        <w:t>DSA then entitles students</w:t>
      </w:r>
      <w:r w:rsidR="00ED7C40" w:rsidRPr="00943891">
        <w:rPr>
          <w:rFonts w:cs="Aparajita"/>
          <w:sz w:val="28"/>
          <w:szCs w:val="28"/>
        </w:rPr>
        <w:t xml:space="preserve"> (like Megan)</w:t>
      </w:r>
      <w:r w:rsidR="002E76B6" w:rsidRPr="00723682">
        <w:rPr>
          <w:rFonts w:cs="Aparajita"/>
          <w:sz w:val="28"/>
          <w:szCs w:val="28"/>
        </w:rPr>
        <w:t xml:space="preserve"> to equipment laptop computer</w:t>
      </w:r>
      <w:r w:rsidR="00ED7C40" w:rsidRPr="00943891">
        <w:rPr>
          <w:rFonts w:cs="Aparajita"/>
          <w:sz w:val="28"/>
          <w:szCs w:val="28"/>
        </w:rPr>
        <w:t>, printer, ink, paper</w:t>
      </w:r>
      <w:r w:rsidR="00FB0797" w:rsidRPr="00943891">
        <w:rPr>
          <w:rFonts w:cs="Aparajita"/>
          <w:sz w:val="28"/>
          <w:szCs w:val="28"/>
        </w:rPr>
        <w:t xml:space="preserve"> etc</w:t>
      </w:r>
      <w:r w:rsidR="001304CB" w:rsidRPr="00943891">
        <w:rPr>
          <w:rFonts w:cs="Aparajita"/>
          <w:sz w:val="28"/>
          <w:szCs w:val="28"/>
        </w:rPr>
        <w:t xml:space="preserve"> (Student Finance Wales, 2024)</w:t>
      </w:r>
      <w:r w:rsidR="00ED7C40" w:rsidRPr="00943891">
        <w:rPr>
          <w:rFonts w:cs="Aparajita"/>
          <w:sz w:val="28"/>
          <w:szCs w:val="28"/>
        </w:rPr>
        <w:t>. R</w:t>
      </w:r>
      <w:r w:rsidR="002E76B6" w:rsidRPr="00723682">
        <w:rPr>
          <w:rFonts w:cs="Aparajita"/>
          <w:sz w:val="28"/>
          <w:szCs w:val="28"/>
        </w:rPr>
        <w:t>eady installed software to aid student in their study</w:t>
      </w:r>
      <w:r w:rsidR="00FB0797" w:rsidRPr="00943891">
        <w:rPr>
          <w:rFonts w:cs="Aparajita"/>
          <w:sz w:val="28"/>
          <w:szCs w:val="28"/>
        </w:rPr>
        <w:t xml:space="preserve">; </w:t>
      </w:r>
      <w:r w:rsidR="002E76B6" w:rsidRPr="00723682">
        <w:rPr>
          <w:rFonts w:cs="Aparajita"/>
          <w:sz w:val="28"/>
          <w:szCs w:val="28"/>
        </w:rPr>
        <w:t>Dragon</w:t>
      </w:r>
      <w:r w:rsidR="00FB0797" w:rsidRPr="00943891">
        <w:rPr>
          <w:rFonts w:cs="Aparajita"/>
          <w:sz w:val="28"/>
          <w:szCs w:val="28"/>
        </w:rPr>
        <w:t xml:space="preserve"> software,</w:t>
      </w:r>
      <w:r w:rsidR="002E76B6" w:rsidRPr="00723682">
        <w:rPr>
          <w:rFonts w:cs="Aparajita"/>
          <w:sz w:val="28"/>
          <w:szCs w:val="28"/>
        </w:rPr>
        <w:t xml:space="preserve"> </w:t>
      </w:r>
      <w:r w:rsidR="00D554F2">
        <w:rPr>
          <w:rFonts w:cs="Aparajita"/>
          <w:sz w:val="28"/>
          <w:szCs w:val="28"/>
        </w:rPr>
        <w:t xml:space="preserve">Glean, </w:t>
      </w:r>
      <w:r w:rsidR="002E76B6" w:rsidRPr="00723682">
        <w:rPr>
          <w:rFonts w:cs="Aparajita"/>
          <w:sz w:val="28"/>
          <w:szCs w:val="28"/>
        </w:rPr>
        <w:t xml:space="preserve">aids to read all text’s out loud, </w:t>
      </w:r>
      <w:r w:rsidR="00D554F2">
        <w:rPr>
          <w:rFonts w:cs="Aparajita"/>
          <w:sz w:val="28"/>
          <w:szCs w:val="28"/>
        </w:rPr>
        <w:t xml:space="preserve">and read back </w:t>
      </w:r>
      <w:r w:rsidR="002E76B6" w:rsidRPr="00723682">
        <w:rPr>
          <w:rFonts w:cs="Aparajita"/>
          <w:sz w:val="28"/>
          <w:szCs w:val="28"/>
        </w:rPr>
        <w:t>editing (Nuance, 2024</w:t>
      </w:r>
      <w:r w:rsidR="000353DA">
        <w:rPr>
          <w:rFonts w:cs="Aparajita"/>
          <w:sz w:val="28"/>
          <w:szCs w:val="28"/>
        </w:rPr>
        <w:t xml:space="preserve">; </w:t>
      </w:r>
      <w:r w:rsidR="002E76B6" w:rsidRPr="00723682">
        <w:rPr>
          <w:rFonts w:cs="Aparajita"/>
          <w:sz w:val="28"/>
          <w:szCs w:val="28"/>
        </w:rPr>
        <w:t>Glean, 2024).</w:t>
      </w:r>
      <w:r w:rsidR="006B2D9B" w:rsidRPr="00943891">
        <w:rPr>
          <w:rFonts w:cs="Aparajita"/>
          <w:sz w:val="28"/>
          <w:szCs w:val="28"/>
        </w:rPr>
        <w:t xml:space="preserve">  </w:t>
      </w:r>
      <w:r w:rsidR="006F2EC9" w:rsidRPr="00943891">
        <w:rPr>
          <w:rFonts w:cs="Aparajita"/>
          <w:sz w:val="28"/>
          <w:szCs w:val="28"/>
        </w:rPr>
        <w:t xml:space="preserve">Immersive software, Speech to text software, Electronic Reading Pens and more.  With this software student will receive about 8 hours of assistive technology training, one-to-one </w:t>
      </w:r>
      <w:r w:rsidR="0063295B">
        <w:rPr>
          <w:rFonts w:cs="Aparajita"/>
          <w:sz w:val="28"/>
          <w:szCs w:val="28"/>
        </w:rPr>
        <w:t xml:space="preserve">to </w:t>
      </w:r>
      <w:r w:rsidR="006F2EC9" w:rsidRPr="00943891">
        <w:rPr>
          <w:rFonts w:cs="Aparajita"/>
          <w:sz w:val="28"/>
          <w:szCs w:val="28"/>
        </w:rPr>
        <w:t xml:space="preserve">make the most out of the software provided. </w:t>
      </w:r>
      <w:r w:rsidR="0071476B" w:rsidRPr="0071476B">
        <w:rPr>
          <w:rFonts w:cs="Aparajita"/>
          <w:sz w:val="28"/>
          <w:szCs w:val="28"/>
        </w:rPr>
        <w:t xml:space="preserve">DSA </w:t>
      </w:r>
      <w:r w:rsidR="00E75CE5" w:rsidRPr="00943891">
        <w:rPr>
          <w:rFonts w:cs="Aparajita"/>
          <w:sz w:val="28"/>
          <w:szCs w:val="28"/>
        </w:rPr>
        <w:t xml:space="preserve">has funding for </w:t>
      </w:r>
      <w:r w:rsidR="0071476B" w:rsidRPr="0071476B">
        <w:rPr>
          <w:rFonts w:cs="Aparajita"/>
          <w:sz w:val="28"/>
          <w:szCs w:val="28"/>
        </w:rPr>
        <w:t xml:space="preserve">specialist </w:t>
      </w:r>
      <w:r w:rsidR="00B455CE" w:rsidRPr="00943891">
        <w:rPr>
          <w:rFonts w:cs="Aparajita"/>
          <w:sz w:val="28"/>
          <w:szCs w:val="28"/>
        </w:rPr>
        <w:t>mental health m</w:t>
      </w:r>
      <w:r w:rsidR="00B455CE" w:rsidRPr="0071476B">
        <w:rPr>
          <w:rFonts w:cs="Aparajita"/>
          <w:sz w:val="28"/>
          <w:szCs w:val="28"/>
        </w:rPr>
        <w:t>entors</w:t>
      </w:r>
      <w:r w:rsidR="00B455CE" w:rsidRPr="00943891">
        <w:rPr>
          <w:rFonts w:cs="Aparajita"/>
          <w:sz w:val="28"/>
          <w:szCs w:val="28"/>
        </w:rPr>
        <w:t>, who are</w:t>
      </w:r>
      <w:r w:rsidR="00B455CE" w:rsidRPr="0071476B">
        <w:rPr>
          <w:rFonts w:cs="Aparajita"/>
          <w:sz w:val="28"/>
          <w:szCs w:val="28"/>
        </w:rPr>
        <w:t xml:space="preserve"> </w:t>
      </w:r>
      <w:r w:rsidR="0071476B" w:rsidRPr="0071476B">
        <w:rPr>
          <w:rFonts w:cs="Aparajita"/>
          <w:sz w:val="28"/>
          <w:szCs w:val="28"/>
        </w:rPr>
        <w:t xml:space="preserve">qualified BACP members (British Association </w:t>
      </w:r>
      <w:r w:rsidR="00D51C49">
        <w:rPr>
          <w:rFonts w:cs="Aparajita"/>
          <w:sz w:val="28"/>
          <w:szCs w:val="28"/>
        </w:rPr>
        <w:t>of</w:t>
      </w:r>
      <w:r w:rsidR="0071476B" w:rsidRPr="0071476B">
        <w:rPr>
          <w:rFonts w:cs="Aparajita"/>
          <w:sz w:val="28"/>
          <w:szCs w:val="28"/>
        </w:rPr>
        <w:t xml:space="preserve"> Counsellors</w:t>
      </w:r>
      <w:r w:rsidR="00D51C49">
        <w:rPr>
          <w:rFonts w:cs="Aparajita"/>
          <w:sz w:val="28"/>
          <w:szCs w:val="28"/>
        </w:rPr>
        <w:t xml:space="preserve"> and </w:t>
      </w:r>
      <w:r w:rsidR="0071476B" w:rsidRPr="0071476B">
        <w:rPr>
          <w:rFonts w:cs="Aparajita"/>
          <w:sz w:val="28"/>
          <w:szCs w:val="28"/>
        </w:rPr>
        <w:t>Psychotherapist), adhering to the non-medical helper guidelines (NMH roles, 2023)</w:t>
      </w:r>
      <w:r w:rsidR="0063295B">
        <w:rPr>
          <w:rFonts w:cs="Aparajita"/>
          <w:sz w:val="28"/>
          <w:szCs w:val="28"/>
        </w:rPr>
        <w:t xml:space="preserve">. </w:t>
      </w:r>
      <w:r w:rsidR="00620AD4">
        <w:rPr>
          <w:rFonts w:cs="Aparajita"/>
          <w:sz w:val="28"/>
          <w:szCs w:val="28"/>
        </w:rPr>
        <w:t xml:space="preserve">DSA is probably the most comprehensive support Megan could </w:t>
      </w:r>
      <w:r w:rsidR="00F962D4">
        <w:rPr>
          <w:rFonts w:cs="Aparajita"/>
          <w:sz w:val="28"/>
          <w:szCs w:val="28"/>
        </w:rPr>
        <w:t xml:space="preserve">access. </w:t>
      </w:r>
      <w:r w:rsidR="005D46FE" w:rsidRPr="00723682">
        <w:rPr>
          <w:rFonts w:cs="Aparajita"/>
          <w:sz w:val="28"/>
          <w:szCs w:val="28"/>
        </w:rPr>
        <w:t>Pickard (2021)</w:t>
      </w:r>
      <w:r w:rsidR="0063295B">
        <w:rPr>
          <w:rFonts w:cs="Aparajita"/>
          <w:sz w:val="28"/>
          <w:szCs w:val="28"/>
        </w:rPr>
        <w:t xml:space="preserve"> </w:t>
      </w:r>
      <w:r w:rsidR="00294C32" w:rsidRPr="00943891">
        <w:rPr>
          <w:rFonts w:cs="Aparajita"/>
          <w:sz w:val="28"/>
          <w:szCs w:val="28"/>
        </w:rPr>
        <w:t>said that</w:t>
      </w:r>
      <w:r w:rsidR="005D46FE" w:rsidRPr="00723682">
        <w:rPr>
          <w:rFonts w:cs="Aparajita"/>
          <w:sz w:val="28"/>
          <w:szCs w:val="28"/>
        </w:rPr>
        <w:t xml:space="preserve"> “</w:t>
      </w:r>
      <w:r w:rsidR="00294C32" w:rsidRPr="00943891">
        <w:rPr>
          <w:rFonts w:cs="Aparajita"/>
          <w:sz w:val="28"/>
          <w:szCs w:val="28"/>
        </w:rPr>
        <w:t>i</w:t>
      </w:r>
      <w:r w:rsidR="005D46FE" w:rsidRPr="00723682">
        <w:rPr>
          <w:rFonts w:cs="Aparajita"/>
          <w:sz w:val="28"/>
          <w:szCs w:val="28"/>
        </w:rPr>
        <w:t>n order to access equitable educational provision, students are required to actively apply to the notion of the ‘sick role’, which ascribes them with professional, medical ‘help’ to engage in a largely ableist system.”</w:t>
      </w:r>
      <w:r w:rsidR="00294C32" w:rsidRPr="00943891">
        <w:rPr>
          <w:rFonts w:cs="Aparajita"/>
          <w:sz w:val="28"/>
          <w:szCs w:val="28"/>
        </w:rPr>
        <w:t xml:space="preserve">  It must be acknowledge that Megan cannot receive a large variety of this support without a formal ‘diagnosis’.</w:t>
      </w:r>
    </w:p>
    <w:p w14:paraId="44FCEC79" w14:textId="79BE0800" w:rsidR="00896CF3" w:rsidRDefault="00E825EE" w:rsidP="00896CF3">
      <w:pPr>
        <w:rPr>
          <w:rFonts w:cs="Aparajita"/>
          <w:sz w:val="28"/>
          <w:szCs w:val="28"/>
        </w:rPr>
      </w:pPr>
      <w:r>
        <w:rPr>
          <w:rFonts w:cs="Aparajita"/>
          <w:sz w:val="28"/>
          <w:szCs w:val="28"/>
        </w:rPr>
        <w:t>N</w:t>
      </w:r>
      <w:r w:rsidR="004163B5" w:rsidRPr="00943891">
        <w:rPr>
          <w:rFonts w:cs="Aparajita"/>
          <w:sz w:val="28"/>
          <w:szCs w:val="28"/>
        </w:rPr>
        <w:t xml:space="preserve">ot </w:t>
      </w:r>
      <w:r w:rsidR="00877054" w:rsidRPr="00943891">
        <w:rPr>
          <w:rFonts w:cs="Aparajita"/>
          <w:sz w:val="28"/>
          <w:szCs w:val="28"/>
        </w:rPr>
        <w:t>entitled to DSA (although it is not income based)</w:t>
      </w:r>
      <w:r>
        <w:rPr>
          <w:rFonts w:cs="Aparajita"/>
          <w:sz w:val="28"/>
          <w:szCs w:val="28"/>
        </w:rPr>
        <w:t>,</w:t>
      </w:r>
      <w:r w:rsidR="00877054" w:rsidRPr="00943891">
        <w:rPr>
          <w:rFonts w:cs="Aparajita"/>
          <w:sz w:val="28"/>
          <w:szCs w:val="28"/>
        </w:rPr>
        <w:t xml:space="preserve"> students who have come to study in the UK from abroad are not entitled.  </w:t>
      </w:r>
      <w:r w:rsidR="00BE779E" w:rsidRPr="00943891">
        <w:rPr>
          <w:rFonts w:cs="Aparajita"/>
          <w:sz w:val="28"/>
          <w:szCs w:val="28"/>
        </w:rPr>
        <w:t xml:space="preserve">Megan and others could use </w:t>
      </w:r>
      <w:r w:rsidR="00896CF3" w:rsidRPr="00896CF3">
        <w:rPr>
          <w:rFonts w:cs="Aparajita"/>
          <w:sz w:val="28"/>
          <w:szCs w:val="28"/>
        </w:rPr>
        <w:t>university support</w:t>
      </w:r>
      <w:r w:rsidR="00BE779E" w:rsidRPr="00943891">
        <w:rPr>
          <w:rFonts w:cs="Aparajita"/>
          <w:sz w:val="28"/>
          <w:szCs w:val="28"/>
        </w:rPr>
        <w:t xml:space="preserve"> and as a lecture they might be signposted to</w:t>
      </w:r>
      <w:r w:rsidR="00896CF3" w:rsidRPr="00896CF3">
        <w:rPr>
          <w:rFonts w:cs="Aparajita"/>
          <w:sz w:val="28"/>
          <w:szCs w:val="28"/>
        </w:rPr>
        <w:t xml:space="preserve"> </w:t>
      </w:r>
      <w:r w:rsidR="00BE779E" w:rsidRPr="00943891">
        <w:rPr>
          <w:rFonts w:cs="Aparajita"/>
          <w:sz w:val="28"/>
          <w:szCs w:val="28"/>
        </w:rPr>
        <w:t xml:space="preserve">University </w:t>
      </w:r>
      <w:r w:rsidR="00896CF3" w:rsidRPr="00896CF3">
        <w:rPr>
          <w:rFonts w:cs="Aparajita"/>
          <w:sz w:val="28"/>
          <w:szCs w:val="28"/>
        </w:rPr>
        <w:t>counselling</w:t>
      </w:r>
      <w:r w:rsidR="00BE779E" w:rsidRPr="00943891">
        <w:rPr>
          <w:rFonts w:cs="Aparajita"/>
          <w:sz w:val="28"/>
          <w:szCs w:val="28"/>
        </w:rPr>
        <w:t xml:space="preserve"> services</w:t>
      </w:r>
      <w:r w:rsidR="00896CF3" w:rsidRPr="00896CF3">
        <w:rPr>
          <w:rFonts w:cs="Aparajita"/>
          <w:sz w:val="28"/>
          <w:szCs w:val="28"/>
        </w:rPr>
        <w:t>, mental health</w:t>
      </w:r>
      <w:r w:rsidR="00BE779E" w:rsidRPr="00943891">
        <w:rPr>
          <w:rFonts w:cs="Aparajita"/>
          <w:sz w:val="28"/>
          <w:szCs w:val="28"/>
        </w:rPr>
        <w:t xml:space="preserve"> support</w:t>
      </w:r>
      <w:r w:rsidR="00896CF3" w:rsidRPr="00896CF3">
        <w:rPr>
          <w:rFonts w:cs="Aparajita"/>
          <w:sz w:val="28"/>
          <w:szCs w:val="28"/>
        </w:rPr>
        <w:t xml:space="preserve"> groups</w:t>
      </w:r>
      <w:r w:rsidR="001304CB" w:rsidRPr="00943891">
        <w:rPr>
          <w:rFonts w:cs="Aparajita"/>
          <w:sz w:val="28"/>
          <w:szCs w:val="28"/>
        </w:rPr>
        <w:t xml:space="preserve"> (UWTSD,2024)</w:t>
      </w:r>
      <w:r w:rsidR="00C80255" w:rsidRPr="00943891">
        <w:rPr>
          <w:rFonts w:cs="Aparajita"/>
          <w:sz w:val="28"/>
          <w:szCs w:val="28"/>
        </w:rPr>
        <w:t>. O</w:t>
      </w:r>
      <w:r w:rsidR="00896CF3" w:rsidRPr="00896CF3">
        <w:rPr>
          <w:rFonts w:cs="Aparajita"/>
          <w:sz w:val="28"/>
          <w:szCs w:val="28"/>
        </w:rPr>
        <w:t xml:space="preserve">utside </w:t>
      </w:r>
      <w:r w:rsidR="00DF1114" w:rsidRPr="00943891">
        <w:rPr>
          <w:rFonts w:cs="Aparajita"/>
          <w:sz w:val="28"/>
          <w:szCs w:val="28"/>
        </w:rPr>
        <w:t>universities</w:t>
      </w:r>
      <w:r w:rsidR="00C80255" w:rsidRPr="00943891">
        <w:rPr>
          <w:rFonts w:cs="Aparajita"/>
          <w:sz w:val="28"/>
          <w:szCs w:val="28"/>
        </w:rPr>
        <w:t>,</w:t>
      </w:r>
      <w:r w:rsidR="00896CF3" w:rsidRPr="00896CF3">
        <w:rPr>
          <w:rFonts w:cs="Aparajita"/>
          <w:sz w:val="28"/>
          <w:szCs w:val="28"/>
        </w:rPr>
        <w:t xml:space="preserve"> charities </w:t>
      </w:r>
      <w:r w:rsidR="00BE779E" w:rsidRPr="00943891">
        <w:rPr>
          <w:rFonts w:cs="Aparajita"/>
          <w:sz w:val="28"/>
          <w:szCs w:val="28"/>
        </w:rPr>
        <w:t>that</w:t>
      </w:r>
      <w:r w:rsidR="00896CF3" w:rsidRPr="00896CF3">
        <w:rPr>
          <w:rFonts w:cs="Aparajita"/>
          <w:sz w:val="28"/>
          <w:szCs w:val="28"/>
        </w:rPr>
        <w:t xml:space="preserve"> deal with specific </w:t>
      </w:r>
      <w:r w:rsidR="00393F18" w:rsidRPr="00943891">
        <w:rPr>
          <w:rFonts w:cs="Aparajita"/>
          <w:sz w:val="28"/>
          <w:szCs w:val="28"/>
        </w:rPr>
        <w:t>mental health issues (</w:t>
      </w:r>
      <w:r w:rsidR="00896CF3" w:rsidRPr="00896CF3">
        <w:rPr>
          <w:rFonts w:cs="Aparajita"/>
          <w:sz w:val="28"/>
          <w:szCs w:val="28"/>
        </w:rPr>
        <w:t xml:space="preserve">sexual abuse, </w:t>
      </w:r>
      <w:r w:rsidR="00393F18" w:rsidRPr="00943891">
        <w:rPr>
          <w:rFonts w:cs="Aparajita"/>
          <w:sz w:val="28"/>
          <w:szCs w:val="28"/>
        </w:rPr>
        <w:t xml:space="preserve">anxiety, depression, </w:t>
      </w:r>
      <w:r w:rsidR="00896CF3" w:rsidRPr="00896CF3">
        <w:rPr>
          <w:rFonts w:cs="Aparajita"/>
          <w:sz w:val="28"/>
          <w:szCs w:val="28"/>
        </w:rPr>
        <w:t>death, cancer</w:t>
      </w:r>
      <w:r w:rsidR="00393F18" w:rsidRPr="00943891">
        <w:rPr>
          <w:rFonts w:cs="Aparajita"/>
          <w:sz w:val="28"/>
          <w:szCs w:val="28"/>
        </w:rPr>
        <w:t>, bipolar</w:t>
      </w:r>
      <w:r w:rsidR="00896CF3" w:rsidRPr="00896CF3">
        <w:rPr>
          <w:rFonts w:cs="Aparajita"/>
          <w:sz w:val="28"/>
          <w:szCs w:val="28"/>
        </w:rPr>
        <w:t xml:space="preserve"> etc)</w:t>
      </w:r>
      <w:r w:rsidR="00C80255" w:rsidRPr="00943891">
        <w:rPr>
          <w:rFonts w:cs="Aparajita"/>
          <w:sz w:val="28"/>
          <w:szCs w:val="28"/>
        </w:rPr>
        <w:t xml:space="preserve"> might help Megan also</w:t>
      </w:r>
      <w:r w:rsidR="00DF1114" w:rsidRPr="00943891">
        <w:rPr>
          <w:rFonts w:cs="Aparajita"/>
          <w:sz w:val="28"/>
          <w:szCs w:val="28"/>
        </w:rPr>
        <w:t xml:space="preserve"> (Ajjawi, 2023)</w:t>
      </w:r>
      <w:r w:rsidR="00896CF3" w:rsidRPr="00896CF3">
        <w:rPr>
          <w:rFonts w:cs="Aparajita"/>
          <w:sz w:val="28"/>
          <w:szCs w:val="28"/>
        </w:rPr>
        <w:t xml:space="preserve">. </w:t>
      </w:r>
    </w:p>
    <w:p w14:paraId="3628E3E0" w14:textId="470EBC14" w:rsidR="008F241E" w:rsidRDefault="008F241E" w:rsidP="00896CF3">
      <w:pPr>
        <w:rPr>
          <w:rFonts w:cs="Aparajita"/>
          <w:sz w:val="28"/>
          <w:szCs w:val="28"/>
        </w:rPr>
      </w:pPr>
      <w:r w:rsidRPr="008F241E">
        <w:rPr>
          <w:rFonts w:cs="Aparajita"/>
          <w:sz w:val="28"/>
          <w:szCs w:val="28"/>
        </w:rPr>
        <w:t>In instances where individuals contemplate suicide, they may seek to confide in a trusted individual. As an educator, it is essential to cultivate an environment where discussions surrounding suicide are not met with avoidance, particularly during challenging periods (Frey &amp; Fulginiti, 2017). Equipping lecturers with ASI</w:t>
      </w:r>
      <w:r w:rsidR="00164100">
        <w:rPr>
          <w:rFonts w:cs="Aparajita"/>
          <w:sz w:val="28"/>
          <w:szCs w:val="28"/>
        </w:rPr>
        <w:t>S</w:t>
      </w:r>
      <w:r w:rsidRPr="008F241E">
        <w:rPr>
          <w:rFonts w:cs="Aparajita"/>
          <w:sz w:val="28"/>
          <w:szCs w:val="28"/>
        </w:rPr>
        <w:t>T training facilitates informed responses</w:t>
      </w:r>
      <w:r w:rsidR="00164100">
        <w:rPr>
          <w:rFonts w:cs="Aparajita"/>
          <w:sz w:val="28"/>
          <w:szCs w:val="28"/>
        </w:rPr>
        <w:t xml:space="preserve"> (Papy</w:t>
      </w:r>
      <w:r w:rsidR="00434003">
        <w:rPr>
          <w:rFonts w:cs="Aparajita"/>
          <w:sz w:val="28"/>
          <w:szCs w:val="28"/>
        </w:rPr>
        <w:t>rus, 2024)</w:t>
      </w:r>
      <w:r w:rsidRPr="008F241E">
        <w:rPr>
          <w:rFonts w:cs="Aparajita"/>
          <w:sz w:val="28"/>
          <w:szCs w:val="28"/>
        </w:rPr>
        <w:t>. The course of action taken upon specific circumstances and may encompass various interventions, ranging from safeguarding authorities</w:t>
      </w:r>
      <w:r w:rsidR="006D7FC4">
        <w:rPr>
          <w:rFonts w:cs="Aparajita"/>
          <w:sz w:val="28"/>
          <w:szCs w:val="28"/>
        </w:rPr>
        <w:t xml:space="preserve">, </w:t>
      </w:r>
      <w:r w:rsidRPr="008F241E">
        <w:rPr>
          <w:rFonts w:cs="Aparajita"/>
          <w:sz w:val="28"/>
          <w:szCs w:val="28"/>
        </w:rPr>
        <w:t xml:space="preserve">notifying student's </w:t>
      </w:r>
      <w:r w:rsidR="006D7FC4">
        <w:rPr>
          <w:rFonts w:cs="Aparajita"/>
          <w:sz w:val="28"/>
          <w:szCs w:val="28"/>
        </w:rPr>
        <w:t>friend/</w:t>
      </w:r>
      <w:r w:rsidRPr="008F241E">
        <w:rPr>
          <w:rFonts w:cs="Aparajita"/>
          <w:sz w:val="28"/>
          <w:szCs w:val="28"/>
        </w:rPr>
        <w:t xml:space="preserve"> family members</w:t>
      </w:r>
      <w:r w:rsidR="006D7FC4">
        <w:rPr>
          <w:rFonts w:cs="Aparajita"/>
          <w:sz w:val="28"/>
          <w:szCs w:val="28"/>
        </w:rPr>
        <w:t xml:space="preserve"> or GP</w:t>
      </w:r>
      <w:r w:rsidRPr="008F241E">
        <w:rPr>
          <w:rFonts w:cs="Aparajita"/>
          <w:sz w:val="28"/>
          <w:szCs w:val="28"/>
        </w:rPr>
        <w:t>. These actions align with the safeguarding policies established by UWTSD.</w:t>
      </w:r>
      <w:r w:rsidRPr="008F241E">
        <w:rPr>
          <w:rFonts w:cs="Aparajita"/>
          <w:vanish/>
          <w:sz w:val="28"/>
          <w:szCs w:val="28"/>
        </w:rPr>
        <w:t>Top of Form</w:t>
      </w:r>
    </w:p>
    <w:p w14:paraId="6F40066E" w14:textId="77777777" w:rsidR="006D7FC4" w:rsidRDefault="009E2FC3" w:rsidP="00896CF3">
      <w:pPr>
        <w:rPr>
          <w:rFonts w:cs="Aparajita"/>
          <w:sz w:val="28"/>
          <w:szCs w:val="28"/>
        </w:rPr>
      </w:pPr>
      <w:r w:rsidRPr="00943891">
        <w:rPr>
          <w:rFonts w:cs="Aparajita"/>
          <w:sz w:val="28"/>
          <w:szCs w:val="28"/>
        </w:rPr>
        <w:t xml:space="preserve">As Megan is said to be on a specific Counselling course she may need to be </w:t>
      </w:r>
      <w:r w:rsidR="00875A8B" w:rsidRPr="00943891">
        <w:rPr>
          <w:rFonts w:cs="Aparajita"/>
          <w:sz w:val="28"/>
          <w:szCs w:val="28"/>
        </w:rPr>
        <w:t>assessed through ‘</w:t>
      </w:r>
      <w:r w:rsidR="00896CF3" w:rsidRPr="00896CF3">
        <w:rPr>
          <w:rFonts w:cs="Aparajita"/>
          <w:sz w:val="28"/>
          <w:szCs w:val="28"/>
        </w:rPr>
        <w:t>Fitness to study or fitness to practice</w:t>
      </w:r>
      <w:r w:rsidR="00875A8B" w:rsidRPr="00943891">
        <w:rPr>
          <w:rFonts w:cs="Aparajita"/>
          <w:sz w:val="28"/>
          <w:szCs w:val="28"/>
        </w:rPr>
        <w:t>’ in order to safeguard her and any clients (placement) that she may see</w:t>
      </w:r>
      <w:r w:rsidR="00896CF3" w:rsidRPr="00896CF3">
        <w:rPr>
          <w:rFonts w:cs="Aparajita"/>
          <w:sz w:val="28"/>
          <w:szCs w:val="28"/>
        </w:rPr>
        <w:t xml:space="preserve">. </w:t>
      </w:r>
      <w:r w:rsidR="00875A8B" w:rsidRPr="00943891">
        <w:rPr>
          <w:rFonts w:cs="Aparajita"/>
          <w:sz w:val="28"/>
          <w:szCs w:val="28"/>
        </w:rPr>
        <w:t>As Megan is with the UWTSD the lecture may want to put in a ‘cause for concern’ referral to the University wellbeing team</w:t>
      </w:r>
      <w:r w:rsidR="00DF1114" w:rsidRPr="00943891">
        <w:rPr>
          <w:rFonts w:cs="Aparajita"/>
          <w:sz w:val="28"/>
          <w:szCs w:val="28"/>
        </w:rPr>
        <w:t xml:space="preserve"> (UWTSD, 2024)</w:t>
      </w:r>
      <w:r w:rsidR="00875A8B" w:rsidRPr="00943891">
        <w:rPr>
          <w:rFonts w:cs="Aparajita"/>
          <w:sz w:val="28"/>
          <w:szCs w:val="28"/>
        </w:rPr>
        <w:t xml:space="preserve">. </w:t>
      </w:r>
    </w:p>
    <w:p w14:paraId="70B20E4C" w14:textId="11C28A4A" w:rsidR="00875A8B" w:rsidRPr="00896CF3" w:rsidRDefault="006267B8" w:rsidP="00896CF3">
      <w:pPr>
        <w:rPr>
          <w:rFonts w:cs="Aparajita"/>
          <w:sz w:val="28"/>
          <w:szCs w:val="28"/>
        </w:rPr>
      </w:pPr>
      <w:r w:rsidRPr="00943891">
        <w:rPr>
          <w:rFonts w:cs="Aparajita"/>
          <w:sz w:val="28"/>
          <w:szCs w:val="28"/>
        </w:rPr>
        <w:t xml:space="preserve">There may also need to be measures </w:t>
      </w:r>
      <w:r w:rsidR="008B1A79" w:rsidRPr="00943891">
        <w:rPr>
          <w:rFonts w:cs="Aparajita"/>
          <w:sz w:val="28"/>
          <w:szCs w:val="28"/>
        </w:rPr>
        <w:t xml:space="preserve">put </w:t>
      </w:r>
      <w:r w:rsidRPr="00943891">
        <w:rPr>
          <w:rFonts w:cs="Aparajita"/>
          <w:sz w:val="28"/>
          <w:szCs w:val="28"/>
        </w:rPr>
        <w:t xml:space="preserve">in place </w:t>
      </w:r>
      <w:r w:rsidR="008B1A79" w:rsidRPr="00943891">
        <w:rPr>
          <w:rFonts w:cs="Aparajita"/>
          <w:sz w:val="28"/>
          <w:szCs w:val="28"/>
        </w:rPr>
        <w:t xml:space="preserve">for Megan to have extended time on her assignments, exams and regular breaks in class when feeling overwhelmed (Ajjawi, 2023).  If Megan were to get a dyslexia diagnosis her work may need to be marked </w:t>
      </w:r>
      <w:r w:rsidR="00783D56" w:rsidRPr="00943891">
        <w:rPr>
          <w:rFonts w:cs="Aparajita"/>
          <w:sz w:val="28"/>
          <w:szCs w:val="28"/>
        </w:rPr>
        <w:t xml:space="preserve">in a way </w:t>
      </w:r>
      <w:r w:rsidR="008B1A79" w:rsidRPr="00943891">
        <w:rPr>
          <w:rFonts w:cs="Aparajita"/>
          <w:sz w:val="28"/>
          <w:szCs w:val="28"/>
        </w:rPr>
        <w:t>t</w:t>
      </w:r>
      <w:r w:rsidR="00783D56" w:rsidRPr="00943891">
        <w:rPr>
          <w:rFonts w:cs="Aparajita"/>
          <w:sz w:val="28"/>
          <w:szCs w:val="28"/>
        </w:rPr>
        <w:t>hat</w:t>
      </w:r>
      <w:r w:rsidR="008B1A79" w:rsidRPr="00943891">
        <w:rPr>
          <w:rFonts w:cs="Aparajita"/>
          <w:sz w:val="28"/>
          <w:szCs w:val="28"/>
        </w:rPr>
        <w:t xml:space="preserve"> </w:t>
      </w:r>
      <w:r w:rsidR="00783D56" w:rsidRPr="00943891">
        <w:rPr>
          <w:rFonts w:cs="Aparajita"/>
          <w:sz w:val="28"/>
          <w:szCs w:val="28"/>
        </w:rPr>
        <w:t xml:space="preserve">acknowledges this disability. </w:t>
      </w:r>
    </w:p>
    <w:p w14:paraId="51862923" w14:textId="0643AA18" w:rsidR="00896CF3" w:rsidRPr="0071476B" w:rsidRDefault="00110CB5" w:rsidP="0071476B">
      <w:pPr>
        <w:rPr>
          <w:rFonts w:cs="Aparajita"/>
          <w:sz w:val="28"/>
          <w:szCs w:val="28"/>
        </w:rPr>
      </w:pPr>
      <w:r w:rsidRPr="00943891">
        <w:rPr>
          <w:rFonts w:cs="Aparajita"/>
          <w:sz w:val="28"/>
          <w:szCs w:val="28"/>
        </w:rPr>
        <w:t>Megan may want to seek an ‘official diagnosis’</w:t>
      </w:r>
      <w:r w:rsidR="00A6460E" w:rsidRPr="00943891">
        <w:rPr>
          <w:rFonts w:cs="Aparajita"/>
          <w:sz w:val="28"/>
          <w:szCs w:val="28"/>
        </w:rPr>
        <w:t xml:space="preserve"> although the DSA assessment can indeed assess some specific learning differences (such as dyslexia) it cannot assess if Megan has a</w:t>
      </w:r>
      <w:r w:rsidR="002A402E" w:rsidRPr="00943891">
        <w:rPr>
          <w:rFonts w:cs="Aparajita"/>
          <w:sz w:val="28"/>
          <w:szCs w:val="28"/>
        </w:rPr>
        <w:t>nother</w:t>
      </w:r>
      <w:r w:rsidR="00A6460E" w:rsidRPr="00943891">
        <w:rPr>
          <w:rFonts w:cs="Aparajita"/>
          <w:sz w:val="28"/>
          <w:szCs w:val="28"/>
        </w:rPr>
        <w:t xml:space="preserve"> condition such as ADHD</w:t>
      </w:r>
      <w:r w:rsidR="002A402E" w:rsidRPr="00943891">
        <w:rPr>
          <w:rFonts w:cs="Aparajita"/>
          <w:sz w:val="28"/>
          <w:szCs w:val="28"/>
        </w:rPr>
        <w:t>,</w:t>
      </w:r>
      <w:r w:rsidR="00A6460E" w:rsidRPr="00943891">
        <w:rPr>
          <w:rFonts w:cs="Aparajita"/>
          <w:sz w:val="28"/>
          <w:szCs w:val="28"/>
        </w:rPr>
        <w:t xml:space="preserve"> Autism</w:t>
      </w:r>
      <w:r w:rsidR="00676188" w:rsidRPr="00943891">
        <w:rPr>
          <w:rFonts w:cs="Aparajita"/>
          <w:sz w:val="28"/>
          <w:szCs w:val="28"/>
        </w:rPr>
        <w:t>, significant life altering mental health needs</w:t>
      </w:r>
      <w:r w:rsidR="00DF1114" w:rsidRPr="00943891">
        <w:rPr>
          <w:rFonts w:cs="Aparajita"/>
          <w:sz w:val="28"/>
          <w:szCs w:val="28"/>
        </w:rPr>
        <w:t xml:space="preserve"> (Kelley, 2023)</w:t>
      </w:r>
      <w:r w:rsidR="002A402E" w:rsidRPr="00943891">
        <w:rPr>
          <w:rFonts w:cs="Aparajita"/>
          <w:sz w:val="28"/>
          <w:szCs w:val="28"/>
        </w:rPr>
        <w:t>.</w:t>
      </w:r>
      <w:r w:rsidR="00676188" w:rsidRPr="00943891">
        <w:rPr>
          <w:rFonts w:cs="Aparajita"/>
          <w:sz w:val="28"/>
          <w:szCs w:val="28"/>
        </w:rPr>
        <w:t xml:space="preserve">  </w:t>
      </w:r>
    </w:p>
    <w:p w14:paraId="72EBD89A" w14:textId="77777777" w:rsidR="00F962D4" w:rsidRPr="00F962D4" w:rsidRDefault="00F962D4" w:rsidP="00F962D4">
      <w:pPr>
        <w:rPr>
          <w:rFonts w:cs="Aparajita"/>
          <w:sz w:val="28"/>
          <w:szCs w:val="28"/>
        </w:rPr>
      </w:pPr>
      <w:r w:rsidRPr="00F962D4">
        <w:rPr>
          <w:rFonts w:cs="Aparajita"/>
          <w:b/>
          <w:bCs/>
          <w:sz w:val="28"/>
          <w:szCs w:val="28"/>
          <w:u w:val="single"/>
        </w:rPr>
        <w:t>Rhys/Angharad</w:t>
      </w:r>
      <w:r w:rsidRPr="00F962D4">
        <w:rPr>
          <w:rFonts w:cs="Aparajita"/>
          <w:sz w:val="28"/>
          <w:szCs w:val="28"/>
        </w:rPr>
        <w:t xml:space="preserve"> </w:t>
      </w:r>
    </w:p>
    <w:p w14:paraId="5CE180AF" w14:textId="77777777" w:rsidR="00F962D4" w:rsidRPr="00F962D4" w:rsidRDefault="00F962D4" w:rsidP="00F962D4">
      <w:pPr>
        <w:rPr>
          <w:rFonts w:cs="Aparajita"/>
          <w:sz w:val="28"/>
          <w:szCs w:val="28"/>
        </w:rPr>
      </w:pPr>
      <w:r w:rsidRPr="00F962D4">
        <w:rPr>
          <w:rFonts w:cs="Aparajita"/>
          <w:sz w:val="28"/>
          <w:szCs w:val="28"/>
        </w:rPr>
        <w:t>Individualised Support: Start by offering one-on-one tutorials to students who express the need for support in exploring their gender identity and navigating the transition process. “the act of transitioning has different meanings and implications for each student” (Leia et al, p.10, 2023). A tutorial session may offer the tutor a broader perspective of Angharad's character, considering the inherent diversity among individuals.  This conversation could also help Angharad with their own gender transition identity (Smith, 2022).</w:t>
      </w:r>
    </w:p>
    <w:p w14:paraId="5212936A" w14:textId="7D4E77DB" w:rsidR="00F962D4" w:rsidRPr="00F962D4" w:rsidRDefault="00F962D4" w:rsidP="00F962D4">
      <w:pPr>
        <w:rPr>
          <w:rFonts w:cs="Aparajita"/>
          <w:sz w:val="28"/>
          <w:szCs w:val="28"/>
        </w:rPr>
      </w:pPr>
      <w:r w:rsidRPr="00F962D4">
        <w:rPr>
          <w:rFonts w:cs="Aparajita"/>
          <w:sz w:val="28"/>
          <w:szCs w:val="28"/>
        </w:rPr>
        <w:t xml:space="preserve">Regular Updates on Pronouns, Names and Gender Identity: Implement regular updates on in class settings to create an inclusive environment where all students feel affirmed and respected (Parks &amp; Straka, 2018). Start using ‘Angharad’ as soon as requested, always use correct pronouns and do not use dead name (Rhys). Students should be able to register in their </w:t>
      </w:r>
      <w:r w:rsidR="00FB4E9A">
        <w:rPr>
          <w:rFonts w:cs="Aparajita"/>
          <w:sz w:val="28"/>
          <w:szCs w:val="28"/>
        </w:rPr>
        <w:t>chosen</w:t>
      </w:r>
      <w:r w:rsidRPr="00F962D4">
        <w:rPr>
          <w:rFonts w:cs="Aparajita"/>
          <w:sz w:val="28"/>
          <w:szCs w:val="28"/>
        </w:rPr>
        <w:t xml:space="preserve"> gender</w:t>
      </w:r>
      <w:r w:rsidR="00FB4E9A">
        <w:rPr>
          <w:rFonts w:cs="Aparajita"/>
          <w:sz w:val="28"/>
          <w:szCs w:val="28"/>
        </w:rPr>
        <w:t>/name</w:t>
      </w:r>
      <w:r w:rsidRPr="00F962D4">
        <w:rPr>
          <w:rFonts w:cs="Aparajita"/>
          <w:sz w:val="28"/>
          <w:szCs w:val="28"/>
        </w:rPr>
        <w:t xml:space="preserve"> (Parks &amp; Straka, 2018).</w:t>
      </w:r>
    </w:p>
    <w:p w14:paraId="2DAE1B2E" w14:textId="77777777" w:rsidR="00F962D4" w:rsidRPr="00F962D4" w:rsidRDefault="00F962D4" w:rsidP="00F962D4">
      <w:pPr>
        <w:rPr>
          <w:rFonts w:cs="Aparajita"/>
          <w:sz w:val="28"/>
          <w:szCs w:val="28"/>
        </w:rPr>
      </w:pPr>
      <w:r w:rsidRPr="00F962D4">
        <w:rPr>
          <w:rFonts w:cs="Aparajita"/>
          <w:sz w:val="28"/>
          <w:szCs w:val="28"/>
        </w:rPr>
        <w:t>Access to LGBTQIA+ Resources: Promote awareness of LGBTQIA+ groups both on campus and in the local community. Providing Angharad with access to resources and support networks that can aid her (and rest of the class/group) in understanding identity and acceptance (Leia et al, 2023).</w:t>
      </w:r>
    </w:p>
    <w:p w14:paraId="0B558D1B" w14:textId="68D6B0DE" w:rsidR="00F962D4" w:rsidRPr="00F962D4" w:rsidRDefault="00F962D4" w:rsidP="00F962D4">
      <w:pPr>
        <w:rPr>
          <w:rFonts w:cs="Aparajita"/>
          <w:sz w:val="28"/>
          <w:szCs w:val="28"/>
        </w:rPr>
      </w:pPr>
      <w:r w:rsidRPr="00F962D4">
        <w:rPr>
          <w:rFonts w:cs="Aparajita"/>
          <w:sz w:val="28"/>
          <w:szCs w:val="28"/>
        </w:rPr>
        <w:t>Mental Health Support: Provide access to emotional/mental health support to address the mental health needs of transgender students, recognising the connection between transitioning and mental health (</w:t>
      </w:r>
      <w:r w:rsidR="00E508BB">
        <w:rPr>
          <w:rFonts w:cs="Aparajita"/>
          <w:sz w:val="28"/>
          <w:szCs w:val="28"/>
        </w:rPr>
        <w:t>UWTSD</w:t>
      </w:r>
      <w:r w:rsidRPr="00F962D4">
        <w:rPr>
          <w:rFonts w:cs="Aparajita"/>
          <w:sz w:val="28"/>
          <w:szCs w:val="28"/>
        </w:rPr>
        <w:t xml:space="preserve"> Counselling, referring and signposting </w:t>
      </w:r>
      <w:r w:rsidR="001555E9">
        <w:rPr>
          <w:rFonts w:cs="Aparajita"/>
          <w:sz w:val="28"/>
          <w:szCs w:val="28"/>
        </w:rPr>
        <w:t>to specialists</w:t>
      </w:r>
      <w:r w:rsidRPr="00F962D4">
        <w:rPr>
          <w:rFonts w:cs="Aparajita"/>
          <w:sz w:val="28"/>
          <w:szCs w:val="28"/>
        </w:rPr>
        <w:t xml:space="preserve"> (GenderGP, 2024)</w:t>
      </w:r>
      <w:r w:rsidR="001555E9">
        <w:rPr>
          <w:rFonts w:cs="Aparajita"/>
          <w:sz w:val="28"/>
          <w:szCs w:val="28"/>
        </w:rPr>
        <w:t>).</w:t>
      </w:r>
    </w:p>
    <w:p w14:paraId="6C12ECAB" w14:textId="7008A31F" w:rsidR="00F962D4" w:rsidRPr="00F962D4" w:rsidRDefault="00F962D4" w:rsidP="00F962D4">
      <w:pPr>
        <w:rPr>
          <w:rFonts w:cs="Aparajita"/>
          <w:sz w:val="28"/>
          <w:szCs w:val="28"/>
        </w:rPr>
      </w:pPr>
      <w:r w:rsidRPr="00F962D4">
        <w:rPr>
          <w:rFonts w:cs="Aparajita"/>
          <w:sz w:val="28"/>
          <w:szCs w:val="28"/>
        </w:rPr>
        <w:t>Policy and Practice Review: Review university policies and practices to ensure they are inclusive</w:t>
      </w:r>
      <w:r w:rsidR="007B5703">
        <w:rPr>
          <w:rFonts w:cs="Aparajita"/>
          <w:sz w:val="28"/>
          <w:szCs w:val="28"/>
        </w:rPr>
        <w:t xml:space="preserve">, </w:t>
      </w:r>
      <w:r w:rsidRPr="00F962D4">
        <w:rPr>
          <w:rFonts w:cs="Aparajita"/>
          <w:sz w:val="28"/>
          <w:szCs w:val="28"/>
        </w:rPr>
        <w:t>supportive</w:t>
      </w:r>
      <w:r w:rsidR="007B5703">
        <w:rPr>
          <w:rFonts w:cs="Aparajita"/>
          <w:sz w:val="28"/>
          <w:szCs w:val="28"/>
        </w:rPr>
        <w:t xml:space="preserve"> and updated</w:t>
      </w:r>
      <w:r w:rsidRPr="00F962D4">
        <w:rPr>
          <w:rFonts w:cs="Aparajita"/>
          <w:sz w:val="28"/>
          <w:szCs w:val="28"/>
        </w:rPr>
        <w:t xml:space="preserve"> of transgender students, including implementing a 'transitioning' option on all applications (Conn &amp; Davis, 2024).</w:t>
      </w:r>
    </w:p>
    <w:p w14:paraId="7EB5B576" w14:textId="2EA9B4AC" w:rsidR="00774D14" w:rsidRDefault="00F962D4" w:rsidP="00F962D4">
      <w:pPr>
        <w:rPr>
          <w:rFonts w:cs="Aparajita"/>
          <w:sz w:val="28"/>
          <w:szCs w:val="28"/>
        </w:rPr>
      </w:pPr>
      <w:r w:rsidRPr="00F962D4">
        <w:rPr>
          <w:rFonts w:cs="Aparajita"/>
          <w:sz w:val="28"/>
          <w:szCs w:val="28"/>
        </w:rPr>
        <w:t>Trans-Affirming Spaces: Create on-campus trans-affirming spaces</w:t>
      </w:r>
      <w:r w:rsidR="003D32EB">
        <w:rPr>
          <w:rFonts w:cs="Aparajita"/>
          <w:sz w:val="28"/>
          <w:szCs w:val="28"/>
        </w:rPr>
        <w:t xml:space="preserve">, </w:t>
      </w:r>
      <w:r w:rsidRPr="00F962D4">
        <w:rPr>
          <w:rFonts w:cs="Aparajita"/>
          <w:sz w:val="28"/>
          <w:szCs w:val="28"/>
        </w:rPr>
        <w:t>including gender-neutral bathrooms</w:t>
      </w:r>
      <w:r w:rsidR="003D32EB">
        <w:rPr>
          <w:rFonts w:cs="Aparajita"/>
          <w:sz w:val="28"/>
          <w:szCs w:val="28"/>
        </w:rPr>
        <w:t xml:space="preserve">, </w:t>
      </w:r>
      <w:r w:rsidRPr="00F962D4">
        <w:rPr>
          <w:rFonts w:cs="Aparajita"/>
          <w:sz w:val="28"/>
          <w:szCs w:val="28"/>
        </w:rPr>
        <w:t>transgender individuals</w:t>
      </w:r>
      <w:r w:rsidR="00774D14">
        <w:rPr>
          <w:rFonts w:cs="Aparajita"/>
          <w:sz w:val="28"/>
          <w:szCs w:val="28"/>
        </w:rPr>
        <w:t xml:space="preserve"> should</w:t>
      </w:r>
      <w:r w:rsidRPr="00F962D4">
        <w:rPr>
          <w:rFonts w:cs="Aparajita"/>
          <w:sz w:val="28"/>
          <w:szCs w:val="28"/>
        </w:rPr>
        <w:t xml:space="preserve"> feel safe and supported (Glynn, 2016).  </w:t>
      </w:r>
      <w:r w:rsidR="00774D14">
        <w:rPr>
          <w:rFonts w:cs="Aparajita"/>
          <w:sz w:val="28"/>
          <w:szCs w:val="28"/>
        </w:rPr>
        <w:t xml:space="preserve">Take </w:t>
      </w:r>
      <w:r w:rsidRPr="00F962D4">
        <w:rPr>
          <w:rFonts w:cs="Aparajita"/>
          <w:sz w:val="28"/>
          <w:szCs w:val="28"/>
        </w:rPr>
        <w:t>trans related complaints of transphobia, discrimination, sexual assault, seriously. The Equality and Human Rights Commission, (2022, p.19) says there is a duty to make reasonable adjustments for students</w:t>
      </w:r>
      <w:r w:rsidR="00774D14">
        <w:rPr>
          <w:rFonts w:cs="Aparajita"/>
          <w:sz w:val="28"/>
          <w:szCs w:val="28"/>
        </w:rPr>
        <w:t>;</w:t>
      </w:r>
    </w:p>
    <w:p w14:paraId="2D0E4E3D" w14:textId="0C8FAB92" w:rsidR="00F962D4" w:rsidRPr="00F962D4" w:rsidRDefault="00F962D4" w:rsidP="00F962D4">
      <w:pPr>
        <w:rPr>
          <w:rFonts w:cs="Aparajita"/>
          <w:sz w:val="28"/>
          <w:szCs w:val="28"/>
        </w:rPr>
      </w:pPr>
      <w:r w:rsidRPr="00F962D4">
        <w:rPr>
          <w:rFonts w:cs="Aparajita"/>
          <w:sz w:val="28"/>
          <w:szCs w:val="28"/>
        </w:rPr>
        <w:t xml:space="preserve">“You can use positive action measures to alleviate disadvantage experienced by people sharing a protected characteristic, reduce their under-representation in relation to particular activities or meet their particular needs.” </w:t>
      </w:r>
    </w:p>
    <w:p w14:paraId="18DC4637" w14:textId="4DEDFD14" w:rsidR="00F962D4" w:rsidRPr="00F962D4" w:rsidRDefault="00F962D4" w:rsidP="00F962D4">
      <w:pPr>
        <w:rPr>
          <w:rFonts w:cs="Aparajita"/>
          <w:sz w:val="28"/>
          <w:szCs w:val="28"/>
        </w:rPr>
      </w:pPr>
      <w:r w:rsidRPr="00F962D4">
        <w:rPr>
          <w:rFonts w:cs="Aparajita"/>
          <w:sz w:val="28"/>
          <w:szCs w:val="28"/>
        </w:rPr>
        <w:t xml:space="preserve">Representation in Course Materials: Ensure that transgender individuals are represented in course materials, to reflect the diversity of our student body and provide opportunities for transgender students to see themselves reflected in everyday narratives (whilst being accurate and authentically portrayed </w:t>
      </w:r>
      <w:r w:rsidR="00FB30A3">
        <w:rPr>
          <w:rFonts w:cs="Aparajita"/>
          <w:sz w:val="28"/>
          <w:szCs w:val="28"/>
        </w:rPr>
        <w:t>and</w:t>
      </w:r>
      <w:r w:rsidRPr="00F962D4">
        <w:rPr>
          <w:rFonts w:cs="Aparajita"/>
          <w:sz w:val="28"/>
          <w:szCs w:val="28"/>
        </w:rPr>
        <w:t xml:space="preserve"> never ‘othering’ (Knight, 2022)).  Opening students up to queer literature (Butler, 2008, Wilchins 2017) will be valuable knowledge for all (Leia et al, p.11, 2023). </w:t>
      </w:r>
      <w:r w:rsidR="003D32EB">
        <w:rPr>
          <w:rFonts w:cs="Aparajita"/>
          <w:sz w:val="28"/>
          <w:szCs w:val="28"/>
        </w:rPr>
        <w:t>Accessible degrees at</w:t>
      </w:r>
      <w:r w:rsidRPr="00F962D4">
        <w:rPr>
          <w:rFonts w:cs="Aparajita"/>
          <w:sz w:val="28"/>
          <w:szCs w:val="28"/>
        </w:rPr>
        <w:t xml:space="preserve"> UWTSD</w:t>
      </w:r>
      <w:r w:rsidR="003D32EB">
        <w:rPr>
          <w:rFonts w:cs="Aparajita"/>
          <w:sz w:val="28"/>
          <w:szCs w:val="28"/>
        </w:rPr>
        <w:t xml:space="preserve"> include</w:t>
      </w:r>
      <w:r w:rsidRPr="00F962D4">
        <w:rPr>
          <w:rFonts w:cs="Aparajita"/>
          <w:sz w:val="28"/>
          <w:szCs w:val="28"/>
        </w:rPr>
        <w:t xml:space="preserve"> ‘MA in Equity &amp; Diversity’</w:t>
      </w:r>
      <w:r w:rsidR="003D32EB">
        <w:rPr>
          <w:rFonts w:cs="Aparajita"/>
          <w:sz w:val="28"/>
          <w:szCs w:val="28"/>
        </w:rPr>
        <w:t>, social justice and inclusion modules.</w:t>
      </w:r>
    </w:p>
    <w:p w14:paraId="557E6D78" w14:textId="0E26F279" w:rsidR="00F962D4" w:rsidRPr="00F962D4" w:rsidRDefault="00F962D4" w:rsidP="00F962D4">
      <w:pPr>
        <w:rPr>
          <w:rFonts w:cs="Aparajita"/>
          <w:sz w:val="28"/>
          <w:szCs w:val="28"/>
        </w:rPr>
      </w:pPr>
      <w:r w:rsidRPr="00F962D4">
        <w:rPr>
          <w:rFonts w:cs="Aparajita"/>
          <w:sz w:val="28"/>
          <w:szCs w:val="28"/>
        </w:rPr>
        <w:t xml:space="preserve">Financial Support: Recognize the financial burden of transitioning and </w:t>
      </w:r>
      <w:r w:rsidR="000E3383">
        <w:rPr>
          <w:rFonts w:cs="Aparajita"/>
          <w:sz w:val="28"/>
          <w:szCs w:val="28"/>
        </w:rPr>
        <w:t>study</w:t>
      </w:r>
      <w:r w:rsidRPr="00F962D4">
        <w:rPr>
          <w:rFonts w:cs="Aparajita"/>
          <w:sz w:val="28"/>
          <w:szCs w:val="28"/>
        </w:rPr>
        <w:t xml:space="preserve"> by offering financial support and resources.  The UWTSD have a £250 bursary for all students who identify at transgender and non-binary.  This is for incurred wellbeing costs such as appointments, travel, prescription</w:t>
      </w:r>
      <w:r w:rsidR="00FB30A3">
        <w:rPr>
          <w:rFonts w:cs="Aparajita"/>
          <w:sz w:val="28"/>
          <w:szCs w:val="28"/>
        </w:rPr>
        <w:t xml:space="preserve"> etc </w:t>
      </w:r>
      <w:r w:rsidRPr="00F962D4">
        <w:rPr>
          <w:rFonts w:cs="Aparajita"/>
          <w:sz w:val="28"/>
          <w:szCs w:val="28"/>
        </w:rPr>
        <w:t xml:space="preserve">(UWTSD, 2024). </w:t>
      </w:r>
    </w:p>
    <w:p w14:paraId="6E3A64FD" w14:textId="77777777" w:rsidR="00F962D4" w:rsidRPr="00F962D4" w:rsidRDefault="00F962D4" w:rsidP="00F962D4">
      <w:pPr>
        <w:rPr>
          <w:rFonts w:cs="Aparajita"/>
          <w:sz w:val="28"/>
          <w:szCs w:val="28"/>
        </w:rPr>
      </w:pPr>
      <w:r w:rsidRPr="00F962D4">
        <w:rPr>
          <w:rFonts w:cs="Aparajita"/>
          <w:sz w:val="28"/>
          <w:szCs w:val="28"/>
        </w:rPr>
        <w:t>Community Engagement and Forums: Develop forums for universities where transgender students can access reliable knowledge, connect with others, and express themselves freely in a safe online environment.  Whilst being aware of campus housing and potential discrimination (Brown, 2018). Trans-supportive living environments, breaking leases if in a transphobic household, unsafe &amp; released from leases (Thompson, 2018).</w:t>
      </w:r>
    </w:p>
    <w:p w14:paraId="51413A4A" w14:textId="644304AB" w:rsidR="00F962D4" w:rsidRPr="00F962D4" w:rsidRDefault="00F962D4" w:rsidP="00F962D4">
      <w:pPr>
        <w:rPr>
          <w:rFonts w:cs="Aparajita"/>
          <w:sz w:val="28"/>
          <w:szCs w:val="28"/>
        </w:rPr>
      </w:pPr>
      <w:r w:rsidRPr="00F962D4">
        <w:rPr>
          <w:rFonts w:cs="Aparajita"/>
          <w:sz w:val="28"/>
          <w:szCs w:val="28"/>
        </w:rPr>
        <w:t>Cultural Shift and Feedback Mechanisms: Foster a culture of respect for transgender students continuously improving</w:t>
      </w:r>
      <w:r w:rsidR="000E3383">
        <w:rPr>
          <w:rFonts w:cs="Aparajita"/>
          <w:sz w:val="28"/>
          <w:szCs w:val="28"/>
        </w:rPr>
        <w:t xml:space="preserve"> best</w:t>
      </w:r>
      <w:r w:rsidRPr="00F962D4">
        <w:rPr>
          <w:rFonts w:cs="Aparajita"/>
          <w:sz w:val="28"/>
          <w:szCs w:val="28"/>
        </w:rPr>
        <w:t xml:space="preserve"> practice based on the specific needs and circumstances of transgender individuals (Savage, 2021).  Rem</w:t>
      </w:r>
      <w:r>
        <w:rPr>
          <w:rFonts w:cs="Aparajita"/>
          <w:sz w:val="28"/>
          <w:szCs w:val="28"/>
        </w:rPr>
        <w:t>ain</w:t>
      </w:r>
      <w:r w:rsidRPr="00F962D4">
        <w:rPr>
          <w:rFonts w:cs="Aparajita"/>
          <w:sz w:val="28"/>
          <w:szCs w:val="28"/>
        </w:rPr>
        <w:t xml:space="preserve"> open to feedback and strive to create an environment where every student feels valued, respected, and empowered to thrive (Thompson, 2018). </w:t>
      </w:r>
    </w:p>
    <w:p w14:paraId="0A98AC38" w14:textId="7326B4AB" w:rsidR="0071476B" w:rsidRPr="0071476B" w:rsidRDefault="00FE7E69" w:rsidP="0071476B">
      <w:pPr>
        <w:rPr>
          <w:rFonts w:cs="Aparajita"/>
          <w:sz w:val="28"/>
          <w:szCs w:val="28"/>
        </w:rPr>
      </w:pPr>
      <w:r>
        <w:rPr>
          <w:rFonts w:cs="Aparajita"/>
          <w:sz w:val="28"/>
          <w:szCs w:val="28"/>
        </w:rPr>
        <w:t>(</w:t>
      </w:r>
      <w:r w:rsidR="0012202D">
        <w:rPr>
          <w:rFonts w:cs="Aparajita"/>
          <w:sz w:val="28"/>
          <w:szCs w:val="28"/>
        </w:rPr>
        <w:t>2</w:t>
      </w:r>
      <w:r>
        <w:rPr>
          <w:rFonts w:cs="Aparajita"/>
          <w:sz w:val="28"/>
          <w:szCs w:val="28"/>
        </w:rPr>
        <w:t xml:space="preserve">749 words) </w:t>
      </w:r>
    </w:p>
    <w:p w14:paraId="1E139C10" w14:textId="77777777" w:rsidR="0071476B" w:rsidRPr="0071476B" w:rsidRDefault="0071476B" w:rsidP="0071476B">
      <w:pPr>
        <w:rPr>
          <w:rFonts w:cs="Aparajita"/>
          <w:sz w:val="28"/>
          <w:szCs w:val="28"/>
        </w:rPr>
      </w:pPr>
    </w:p>
    <w:p w14:paraId="2688F041" w14:textId="77777777" w:rsidR="007D0C81" w:rsidRPr="00943891" w:rsidRDefault="007D0C81" w:rsidP="007D0C81">
      <w:pPr>
        <w:rPr>
          <w:rFonts w:cs="Aparajita"/>
          <w:sz w:val="28"/>
          <w:szCs w:val="28"/>
        </w:rPr>
      </w:pPr>
    </w:p>
    <w:p w14:paraId="0F5BBC33" w14:textId="77777777" w:rsidR="00FD5F57" w:rsidRPr="00FD5F57" w:rsidRDefault="00FD5F57" w:rsidP="00F23155">
      <w:pPr>
        <w:jc w:val="center"/>
        <w:rPr>
          <w:rFonts w:cs="Aparajita"/>
          <w:sz w:val="28"/>
          <w:szCs w:val="28"/>
        </w:rPr>
      </w:pPr>
      <w:r w:rsidRPr="00FD5F57">
        <w:rPr>
          <w:rFonts w:cs="Aparajita"/>
          <w:i/>
          <w:iCs/>
          <w:sz w:val="28"/>
          <w:szCs w:val="28"/>
        </w:rPr>
        <w:t>“Few outside the disability community ever consider the consequences of their perceptions and limited understanding of disability, and many whose views are shaped by unsound and dangerous ideas continue to perpetuate ableism without ever having their privilege challenged and examined. Disability exists because we are largely complacent in allowing ourselves and our society to perpetuate a world where disabled people are marginalised and oppressed by attitudinal and systemic barriers to access.</w:t>
      </w:r>
      <w:r w:rsidRPr="00FD5F57">
        <w:rPr>
          <w:rFonts w:cs="Aparajita"/>
          <w:sz w:val="28"/>
          <w:szCs w:val="28"/>
        </w:rPr>
        <w:t>” (Brown, 2014, p.44)</w:t>
      </w:r>
    </w:p>
    <w:p w14:paraId="34CB1D56" w14:textId="77777777" w:rsidR="007D0C81" w:rsidRDefault="007D0C81" w:rsidP="007D0C81">
      <w:pPr>
        <w:rPr>
          <w:sz w:val="28"/>
          <w:szCs w:val="28"/>
        </w:rPr>
      </w:pPr>
    </w:p>
    <w:p w14:paraId="4C9490C1" w14:textId="77777777" w:rsidR="007D0C81" w:rsidRDefault="007D0C81" w:rsidP="007D0C81">
      <w:pPr>
        <w:rPr>
          <w:sz w:val="28"/>
          <w:szCs w:val="28"/>
        </w:rPr>
      </w:pPr>
    </w:p>
    <w:p w14:paraId="6C0F7D9F" w14:textId="77777777" w:rsidR="007D0C81" w:rsidRDefault="007D0C81" w:rsidP="007D0C81">
      <w:pPr>
        <w:rPr>
          <w:sz w:val="28"/>
          <w:szCs w:val="28"/>
        </w:rPr>
      </w:pPr>
    </w:p>
    <w:p w14:paraId="751DD21A" w14:textId="77777777" w:rsidR="007D0C81" w:rsidRDefault="007D0C81" w:rsidP="007D0C81">
      <w:pPr>
        <w:rPr>
          <w:sz w:val="28"/>
          <w:szCs w:val="28"/>
        </w:rPr>
      </w:pPr>
    </w:p>
    <w:p w14:paraId="1634023A" w14:textId="77777777" w:rsidR="007D0C81" w:rsidRDefault="007D0C81" w:rsidP="007D0C81">
      <w:pPr>
        <w:rPr>
          <w:sz w:val="28"/>
          <w:szCs w:val="28"/>
        </w:rPr>
      </w:pPr>
    </w:p>
    <w:p w14:paraId="740E3000" w14:textId="77777777" w:rsidR="007D0C81" w:rsidRDefault="007D0C81" w:rsidP="007D0C81">
      <w:pPr>
        <w:rPr>
          <w:sz w:val="28"/>
          <w:szCs w:val="28"/>
        </w:rPr>
      </w:pPr>
    </w:p>
    <w:p w14:paraId="4164DA79" w14:textId="77777777" w:rsidR="007D0C81" w:rsidRDefault="007D0C81" w:rsidP="007D0C81">
      <w:pPr>
        <w:rPr>
          <w:sz w:val="28"/>
          <w:szCs w:val="28"/>
        </w:rPr>
      </w:pPr>
    </w:p>
    <w:p w14:paraId="0284D4A3" w14:textId="77777777" w:rsidR="007D0C81" w:rsidRDefault="007D0C81" w:rsidP="007D0C81">
      <w:pPr>
        <w:rPr>
          <w:sz w:val="28"/>
          <w:szCs w:val="28"/>
        </w:rPr>
      </w:pPr>
    </w:p>
    <w:p w14:paraId="32773D5D" w14:textId="77777777" w:rsidR="007D0C81" w:rsidRDefault="007D0C81" w:rsidP="007D0C81">
      <w:pPr>
        <w:rPr>
          <w:sz w:val="28"/>
          <w:szCs w:val="28"/>
        </w:rPr>
      </w:pPr>
    </w:p>
    <w:p w14:paraId="7C4B3458" w14:textId="77777777" w:rsidR="0012202D" w:rsidRDefault="0012202D" w:rsidP="007D0C81">
      <w:pPr>
        <w:rPr>
          <w:sz w:val="28"/>
          <w:szCs w:val="28"/>
        </w:rPr>
      </w:pPr>
    </w:p>
    <w:p w14:paraId="3E7755B2" w14:textId="77777777" w:rsidR="0012202D" w:rsidRDefault="0012202D" w:rsidP="007D0C81">
      <w:pPr>
        <w:rPr>
          <w:sz w:val="28"/>
          <w:szCs w:val="28"/>
        </w:rPr>
      </w:pPr>
    </w:p>
    <w:p w14:paraId="664897BE" w14:textId="77777777" w:rsidR="0012202D" w:rsidRDefault="0012202D" w:rsidP="007D0C81">
      <w:pPr>
        <w:rPr>
          <w:sz w:val="28"/>
          <w:szCs w:val="28"/>
        </w:rPr>
      </w:pPr>
    </w:p>
    <w:p w14:paraId="125681C6" w14:textId="77777777" w:rsidR="00DC5151" w:rsidRDefault="00DC5151" w:rsidP="007D0C81">
      <w:pPr>
        <w:rPr>
          <w:sz w:val="28"/>
          <w:szCs w:val="28"/>
        </w:rPr>
      </w:pPr>
    </w:p>
    <w:p w14:paraId="49B4260F" w14:textId="77777777" w:rsidR="00DC5151" w:rsidRDefault="00DC5151" w:rsidP="007D0C81">
      <w:pPr>
        <w:rPr>
          <w:sz w:val="28"/>
          <w:szCs w:val="28"/>
        </w:rPr>
      </w:pPr>
    </w:p>
    <w:p w14:paraId="15331A45" w14:textId="452C3653" w:rsidR="007D0C81" w:rsidRDefault="007D0C81" w:rsidP="007D0C81">
      <w:pPr>
        <w:rPr>
          <w:sz w:val="28"/>
          <w:szCs w:val="28"/>
          <w:u w:val="single"/>
        </w:rPr>
      </w:pPr>
      <w:r w:rsidRPr="00D25FED">
        <w:rPr>
          <w:sz w:val="28"/>
          <w:szCs w:val="28"/>
          <w:u w:val="single"/>
        </w:rPr>
        <w:t>References</w:t>
      </w:r>
      <w:r w:rsidR="00D25FED" w:rsidRPr="00D25FED">
        <w:rPr>
          <w:sz w:val="28"/>
          <w:szCs w:val="28"/>
          <w:u w:val="single"/>
        </w:rPr>
        <w:t xml:space="preserve"> </w:t>
      </w:r>
    </w:p>
    <w:p w14:paraId="434134E4" w14:textId="77777777" w:rsidR="003F2055" w:rsidRPr="003F2055" w:rsidRDefault="003F2055" w:rsidP="007D0C81">
      <w:pPr>
        <w:rPr>
          <w:sz w:val="28"/>
          <w:szCs w:val="28"/>
        </w:rPr>
      </w:pPr>
      <w:r w:rsidRPr="003F2055">
        <w:rPr>
          <w:sz w:val="28"/>
          <w:szCs w:val="28"/>
        </w:rPr>
        <w:t>Ajjawi, R. (ed.) (2023) </w:t>
      </w:r>
      <w:r w:rsidRPr="003F2055">
        <w:rPr>
          <w:i/>
          <w:iCs/>
          <w:sz w:val="28"/>
          <w:szCs w:val="28"/>
        </w:rPr>
        <w:t>Assessment for inclusion in higher education</w:t>
      </w:r>
      <w:r w:rsidRPr="003F2055">
        <w:rPr>
          <w:rFonts w:ascii="Arial" w:hAnsi="Arial" w:cs="Arial"/>
          <w:i/>
          <w:iCs/>
          <w:sz w:val="28"/>
          <w:szCs w:val="28"/>
        </w:rPr>
        <w:t> </w:t>
      </w:r>
      <w:r w:rsidRPr="003F2055">
        <w:rPr>
          <w:i/>
          <w:iCs/>
          <w:sz w:val="28"/>
          <w:szCs w:val="28"/>
        </w:rPr>
        <w:t>: promoting equity and social justice in assessment</w:t>
      </w:r>
      <w:r w:rsidRPr="003F2055">
        <w:rPr>
          <w:sz w:val="28"/>
          <w:szCs w:val="28"/>
        </w:rPr>
        <w:t>. Abingdon, Oxon</w:t>
      </w:r>
      <w:r w:rsidRPr="003F2055">
        <w:rPr>
          <w:rFonts w:ascii="Arial" w:hAnsi="Arial" w:cs="Arial"/>
          <w:sz w:val="28"/>
          <w:szCs w:val="28"/>
        </w:rPr>
        <w:t> </w:t>
      </w:r>
      <w:r w:rsidRPr="003F2055">
        <w:rPr>
          <w:sz w:val="28"/>
          <w:szCs w:val="28"/>
        </w:rPr>
        <w:t>; New York, NY.</w:t>
      </w:r>
    </w:p>
    <w:p w14:paraId="3796D8C8" w14:textId="77777777" w:rsidR="003F2055" w:rsidRPr="003F2055" w:rsidRDefault="003F2055" w:rsidP="007D0C81">
      <w:pPr>
        <w:rPr>
          <w:sz w:val="28"/>
          <w:szCs w:val="28"/>
        </w:rPr>
      </w:pPr>
      <w:r w:rsidRPr="003F2055">
        <w:rPr>
          <w:sz w:val="28"/>
          <w:szCs w:val="28"/>
        </w:rPr>
        <w:t>Barden, N. and Caleb, R. (eds) (2019) </w:t>
      </w:r>
      <w:r w:rsidRPr="003F2055">
        <w:rPr>
          <w:i/>
          <w:iCs/>
          <w:sz w:val="28"/>
          <w:szCs w:val="28"/>
        </w:rPr>
        <w:t>Student mental health and wellbeing in higher education</w:t>
      </w:r>
      <w:r w:rsidRPr="003F2055">
        <w:rPr>
          <w:rFonts w:ascii="Arial" w:hAnsi="Arial" w:cs="Arial"/>
          <w:i/>
          <w:iCs/>
          <w:sz w:val="28"/>
          <w:szCs w:val="28"/>
        </w:rPr>
        <w:t> </w:t>
      </w:r>
      <w:r w:rsidRPr="003F2055">
        <w:rPr>
          <w:i/>
          <w:iCs/>
          <w:sz w:val="28"/>
          <w:szCs w:val="28"/>
        </w:rPr>
        <w:t>: a practical guide</w:t>
      </w:r>
      <w:r w:rsidRPr="003F2055">
        <w:rPr>
          <w:sz w:val="28"/>
          <w:szCs w:val="28"/>
        </w:rPr>
        <w:t>. 1st ed. Los Angeles: SAGE Publications, Ltd.</w:t>
      </w:r>
    </w:p>
    <w:p w14:paraId="31075536" w14:textId="77777777" w:rsidR="003F2055" w:rsidRPr="003F2055" w:rsidRDefault="003F2055" w:rsidP="00AA52AD">
      <w:pPr>
        <w:rPr>
          <w:sz w:val="28"/>
          <w:szCs w:val="28"/>
        </w:rPr>
      </w:pPr>
      <w:r w:rsidRPr="003F2055">
        <w:rPr>
          <w:sz w:val="28"/>
          <w:szCs w:val="28"/>
        </w:rPr>
        <w:t>Benn, A. (2020). The big gap in discrimination law: class and the Equality Act 2010. </w:t>
      </w:r>
      <w:r w:rsidRPr="003F2055">
        <w:rPr>
          <w:i/>
          <w:iCs/>
          <w:sz w:val="28"/>
          <w:szCs w:val="28"/>
        </w:rPr>
        <w:t>U. Oxford Hum. Rts. Hub J.</w:t>
      </w:r>
      <w:r w:rsidRPr="003F2055">
        <w:rPr>
          <w:sz w:val="28"/>
          <w:szCs w:val="28"/>
        </w:rPr>
        <w:t>, 30.</w:t>
      </w:r>
    </w:p>
    <w:p w14:paraId="015CC952" w14:textId="77777777" w:rsidR="003F2055" w:rsidRPr="003F2055" w:rsidRDefault="003F2055">
      <w:pPr>
        <w:rPr>
          <w:sz w:val="28"/>
          <w:szCs w:val="28"/>
        </w:rPr>
      </w:pPr>
      <w:r w:rsidRPr="003F2055">
        <w:rPr>
          <w:sz w:val="28"/>
          <w:szCs w:val="28"/>
        </w:rPr>
        <w:t>Brown, L. X. Z. (2014), ‘Disability in an ableist world’, in C. Wood (ed.), Criptiques (San Bernardino, CA: May Day Publishing), 37–46.</w:t>
      </w:r>
    </w:p>
    <w:p w14:paraId="5FA3F3F4" w14:textId="77777777" w:rsidR="003F2055" w:rsidRPr="003F2055" w:rsidRDefault="003F2055" w:rsidP="00AA52AD">
      <w:pPr>
        <w:rPr>
          <w:sz w:val="28"/>
          <w:szCs w:val="28"/>
        </w:rPr>
      </w:pPr>
      <w:r w:rsidRPr="003F2055">
        <w:rPr>
          <w:sz w:val="28"/>
          <w:szCs w:val="28"/>
        </w:rPr>
        <w:t>Brown, R. (2018) “Higher education and inequality,” </w:t>
      </w:r>
      <w:r w:rsidRPr="003F2055">
        <w:rPr>
          <w:i/>
          <w:iCs/>
          <w:sz w:val="28"/>
          <w:szCs w:val="28"/>
        </w:rPr>
        <w:t>Perspectives (Association of University Administrators (U.K.))</w:t>
      </w:r>
      <w:r w:rsidRPr="003F2055">
        <w:rPr>
          <w:sz w:val="28"/>
          <w:szCs w:val="28"/>
        </w:rPr>
        <w:t xml:space="preserve">, 22(2), pp. 37–43. Available at: </w:t>
      </w:r>
      <w:hyperlink r:id="rId13" w:history="1">
        <w:r w:rsidRPr="003F2055">
          <w:rPr>
            <w:rStyle w:val="Hyperlink"/>
            <w:sz w:val="28"/>
            <w:szCs w:val="28"/>
            <w:u w:val="none"/>
          </w:rPr>
          <w:t>https://doi.org/10.1080/13603108.2017.1375442</w:t>
        </w:r>
      </w:hyperlink>
      <w:r w:rsidRPr="003F2055">
        <w:rPr>
          <w:sz w:val="28"/>
          <w:szCs w:val="28"/>
        </w:rPr>
        <w:t>.</w:t>
      </w:r>
    </w:p>
    <w:p w14:paraId="2FD2B514" w14:textId="77777777" w:rsidR="003F2055" w:rsidRPr="003F2055" w:rsidRDefault="003F2055" w:rsidP="0006036F">
      <w:pPr>
        <w:rPr>
          <w:sz w:val="28"/>
          <w:szCs w:val="28"/>
        </w:rPr>
      </w:pPr>
      <w:r w:rsidRPr="003F2055">
        <w:rPr>
          <w:sz w:val="28"/>
          <w:szCs w:val="28"/>
        </w:rPr>
        <w:t>Conn, C., &amp; Davis, S. (2024). Policy implications of collective agency for inclusion: evidence from the Welsh context. </w:t>
      </w:r>
      <w:r w:rsidRPr="003F2055">
        <w:rPr>
          <w:i/>
          <w:iCs/>
          <w:sz w:val="28"/>
          <w:szCs w:val="28"/>
        </w:rPr>
        <w:t>Journal of Education Policy</w:t>
      </w:r>
      <w:r w:rsidRPr="003F2055">
        <w:rPr>
          <w:sz w:val="28"/>
          <w:szCs w:val="28"/>
        </w:rPr>
        <w:t>, </w:t>
      </w:r>
      <w:r w:rsidRPr="003F2055">
        <w:rPr>
          <w:i/>
          <w:iCs/>
          <w:sz w:val="28"/>
          <w:szCs w:val="28"/>
        </w:rPr>
        <w:t>39</w:t>
      </w:r>
      <w:r w:rsidRPr="003F2055">
        <w:rPr>
          <w:sz w:val="28"/>
          <w:szCs w:val="28"/>
        </w:rPr>
        <w:t xml:space="preserve">(1), 127–148. </w:t>
      </w:r>
      <w:hyperlink r:id="rId14" w:history="1">
        <w:r w:rsidRPr="003F2055">
          <w:rPr>
            <w:rStyle w:val="Hyperlink"/>
            <w:sz w:val="28"/>
            <w:szCs w:val="28"/>
            <w:u w:val="none"/>
          </w:rPr>
          <w:t>https://doi.org/10.1080/02680939.2023.2222372</w:t>
        </w:r>
      </w:hyperlink>
    </w:p>
    <w:p w14:paraId="4179929D" w14:textId="77777777" w:rsidR="003F2055" w:rsidRPr="003F2055" w:rsidRDefault="003F2055" w:rsidP="007D0C81">
      <w:pPr>
        <w:rPr>
          <w:sz w:val="28"/>
          <w:szCs w:val="28"/>
        </w:rPr>
      </w:pPr>
      <w:r w:rsidRPr="003F2055">
        <w:rPr>
          <w:sz w:val="28"/>
          <w:szCs w:val="28"/>
        </w:rPr>
        <w:t xml:space="preserve">Cymraeg 2050 (2017) Welsh Language strategy. Available at </w:t>
      </w:r>
      <w:hyperlink r:id="rId15" w:history="1">
        <w:r w:rsidRPr="003F2055">
          <w:rPr>
            <w:rStyle w:val="Hyperlink"/>
            <w:sz w:val="28"/>
            <w:szCs w:val="28"/>
            <w:u w:val="none"/>
          </w:rPr>
          <w:t>Cymraeg 2050: Welsh language strategy | GOV.WALES</w:t>
        </w:r>
      </w:hyperlink>
    </w:p>
    <w:p w14:paraId="6FFA5C69" w14:textId="77777777" w:rsidR="003F2055" w:rsidRPr="003F2055" w:rsidRDefault="003F2055" w:rsidP="00AA52AD">
      <w:pPr>
        <w:rPr>
          <w:sz w:val="28"/>
          <w:szCs w:val="28"/>
        </w:rPr>
      </w:pPr>
      <w:r w:rsidRPr="003F2055">
        <w:rPr>
          <w:sz w:val="28"/>
          <w:szCs w:val="28"/>
        </w:rPr>
        <w:t>Equality and Human Rights Commission (EHRC) (2014) What equality law means for you as an education provider – further and higher education.  Available at https://www.equalityhumanrights.com/sites/default/files/what_equality_law_means_for_you_as_an_education_provide_further_and_higher_education.pdf (Accessed 16/03/2024)</w:t>
      </w:r>
    </w:p>
    <w:p w14:paraId="72B81E01" w14:textId="77777777" w:rsidR="003F2055" w:rsidRPr="003F2055" w:rsidRDefault="003F2055" w:rsidP="00AA52AD">
      <w:pPr>
        <w:rPr>
          <w:sz w:val="28"/>
          <w:szCs w:val="28"/>
        </w:rPr>
      </w:pPr>
      <w:r w:rsidRPr="003F2055">
        <w:rPr>
          <w:sz w:val="28"/>
          <w:szCs w:val="28"/>
        </w:rPr>
        <w:t xml:space="preserve">Equality and Human Rights Commission (EHRC) (2022) What Equality Law means for you as an education provider in Wales; Updated version available at </w:t>
      </w:r>
      <w:hyperlink r:id="rId16" w:history="1">
        <w:r w:rsidRPr="003F2055">
          <w:rPr>
            <w:rStyle w:val="Hyperlink"/>
            <w:sz w:val="28"/>
            <w:szCs w:val="28"/>
            <w:u w:val="none"/>
          </w:rPr>
          <w:t>https://view.officeapps.live.com/op/view.aspx?src=https%3A%2F%2Fwww.equalityhumanrights.com%2Fsites%2Fdefault%2Ffiles%2F2022%2Fwhat-equality-law-means-for-you-education-provider-in-wales-schools.docx&amp;wdOrigin=BROWSELINK</w:t>
        </w:r>
      </w:hyperlink>
      <w:r w:rsidRPr="003F2055">
        <w:rPr>
          <w:sz w:val="28"/>
          <w:szCs w:val="28"/>
        </w:rPr>
        <w:t xml:space="preserve"> Accesssed (17/03/2024) </w:t>
      </w:r>
    </w:p>
    <w:p w14:paraId="1C6401EE" w14:textId="77777777" w:rsidR="003F2055" w:rsidRPr="003F2055" w:rsidRDefault="003F2055" w:rsidP="007D0C81">
      <w:pPr>
        <w:rPr>
          <w:sz w:val="28"/>
          <w:szCs w:val="28"/>
        </w:rPr>
      </w:pPr>
      <w:r w:rsidRPr="003F2055">
        <w:rPr>
          <w:sz w:val="28"/>
          <w:szCs w:val="28"/>
        </w:rPr>
        <w:t>Frey, L.M. and Fulginiti, A. (2017) “Talking about suicide may not be enough: family reaction as a mediator between disclosure and interpersonal needs,” </w:t>
      </w:r>
      <w:r w:rsidRPr="003F2055">
        <w:rPr>
          <w:i/>
          <w:iCs/>
          <w:sz w:val="28"/>
          <w:szCs w:val="28"/>
        </w:rPr>
        <w:t>Journal of mental health (Abingdon, England)</w:t>
      </w:r>
      <w:r w:rsidRPr="003F2055">
        <w:rPr>
          <w:sz w:val="28"/>
          <w:szCs w:val="28"/>
        </w:rPr>
        <w:t>, 26(4), pp. 366–372. Available at: https://doi.org/10.1080/09638237.2017.1340592.</w:t>
      </w:r>
    </w:p>
    <w:p w14:paraId="43AABAC9" w14:textId="77777777" w:rsidR="003F2055" w:rsidRPr="003F2055" w:rsidRDefault="003F2055" w:rsidP="004E7801">
      <w:pPr>
        <w:rPr>
          <w:sz w:val="28"/>
          <w:szCs w:val="28"/>
        </w:rPr>
      </w:pPr>
      <w:r w:rsidRPr="003F2055">
        <w:rPr>
          <w:sz w:val="28"/>
          <w:szCs w:val="28"/>
        </w:rPr>
        <w:t xml:space="preserve">Gender GP (2024) Gender GP. Available at </w:t>
      </w:r>
      <w:hyperlink r:id="rId17" w:history="1">
        <w:r w:rsidRPr="003F2055">
          <w:rPr>
            <w:rStyle w:val="Hyperlink"/>
            <w:sz w:val="28"/>
            <w:szCs w:val="28"/>
            <w:u w:val="none"/>
          </w:rPr>
          <w:t>https://www.gendergp.com/</w:t>
        </w:r>
      </w:hyperlink>
      <w:r w:rsidRPr="003F2055">
        <w:rPr>
          <w:sz w:val="28"/>
          <w:szCs w:val="28"/>
        </w:rPr>
        <w:t xml:space="preserve"> (Accessed 27/03/2024) </w:t>
      </w:r>
    </w:p>
    <w:p w14:paraId="07CC9B1F" w14:textId="77777777" w:rsidR="003F2055" w:rsidRPr="003F2055" w:rsidRDefault="003F2055" w:rsidP="0006036F">
      <w:pPr>
        <w:rPr>
          <w:sz w:val="28"/>
          <w:szCs w:val="28"/>
        </w:rPr>
      </w:pPr>
      <w:r w:rsidRPr="003F2055">
        <w:rPr>
          <w:sz w:val="28"/>
          <w:szCs w:val="28"/>
        </w:rPr>
        <w:t xml:space="preserve">Glean (2024) Glean. Available at </w:t>
      </w:r>
      <w:hyperlink r:id="rId18" w:history="1">
        <w:r w:rsidRPr="003F2055">
          <w:rPr>
            <w:rStyle w:val="Hyperlink"/>
            <w:color w:val="auto"/>
            <w:sz w:val="28"/>
            <w:szCs w:val="28"/>
            <w:u w:val="none"/>
          </w:rPr>
          <w:t>https://glean.co/</w:t>
        </w:r>
      </w:hyperlink>
      <w:r w:rsidRPr="003F2055">
        <w:rPr>
          <w:rStyle w:val="Hyperlink"/>
          <w:color w:val="auto"/>
          <w:sz w:val="28"/>
          <w:szCs w:val="28"/>
          <w:u w:val="none"/>
        </w:rPr>
        <w:t xml:space="preserve">  (Accessed 27/03/2024)</w:t>
      </w:r>
    </w:p>
    <w:p w14:paraId="4F67AF88" w14:textId="77777777" w:rsidR="003F2055" w:rsidRPr="00F32FDA" w:rsidRDefault="003F2055" w:rsidP="00F32FDA">
      <w:pPr>
        <w:rPr>
          <w:sz w:val="28"/>
          <w:szCs w:val="28"/>
        </w:rPr>
      </w:pPr>
      <w:r w:rsidRPr="00F32FDA">
        <w:rPr>
          <w:sz w:val="28"/>
          <w:szCs w:val="28"/>
        </w:rPr>
        <w:t>Glynn, T.R. </w:t>
      </w:r>
      <w:r w:rsidRPr="00F32FDA">
        <w:rPr>
          <w:i/>
          <w:iCs/>
          <w:sz w:val="28"/>
          <w:szCs w:val="28"/>
        </w:rPr>
        <w:t>et al.</w:t>
      </w:r>
      <w:r w:rsidRPr="00F32FDA">
        <w:rPr>
          <w:sz w:val="28"/>
          <w:szCs w:val="28"/>
        </w:rPr>
        <w:t> (2016) “The Role of Gender Affirmation in Psychological Well-Being Among Transgender Women,” </w:t>
      </w:r>
      <w:r w:rsidRPr="00F32FDA">
        <w:rPr>
          <w:i/>
          <w:iCs/>
          <w:sz w:val="28"/>
          <w:szCs w:val="28"/>
        </w:rPr>
        <w:t>Psychology of sexual orientation and gender diversity</w:t>
      </w:r>
      <w:r w:rsidRPr="00F32FDA">
        <w:rPr>
          <w:sz w:val="28"/>
          <w:szCs w:val="28"/>
        </w:rPr>
        <w:t xml:space="preserve">, 3(3), pp. 336–344. Available at: </w:t>
      </w:r>
      <w:hyperlink r:id="rId19" w:history="1">
        <w:r w:rsidRPr="00F32FDA">
          <w:rPr>
            <w:rStyle w:val="Hyperlink"/>
            <w:color w:val="auto"/>
            <w:sz w:val="28"/>
            <w:szCs w:val="28"/>
            <w:u w:val="none"/>
          </w:rPr>
          <w:t>https://doi.org/10.1037/sgd0000171</w:t>
        </w:r>
      </w:hyperlink>
      <w:r w:rsidRPr="00F32FDA">
        <w:rPr>
          <w:sz w:val="28"/>
          <w:szCs w:val="28"/>
        </w:rPr>
        <w:t>.</w:t>
      </w:r>
    </w:p>
    <w:p w14:paraId="57C5C1E2" w14:textId="77777777" w:rsidR="003F2055" w:rsidRPr="003F2055" w:rsidRDefault="003F2055" w:rsidP="007D0C81">
      <w:pPr>
        <w:rPr>
          <w:sz w:val="28"/>
          <w:szCs w:val="28"/>
        </w:rPr>
      </w:pPr>
      <w:r w:rsidRPr="003F2055">
        <w:rPr>
          <w:sz w:val="28"/>
          <w:szCs w:val="28"/>
        </w:rPr>
        <w:t xml:space="preserve">Gov (2024) Disabled Students Allowance Available at </w:t>
      </w:r>
      <w:hyperlink r:id="rId20" w:history="1">
        <w:r w:rsidRPr="003F2055">
          <w:rPr>
            <w:rStyle w:val="Hyperlink"/>
            <w:color w:val="auto"/>
            <w:sz w:val="28"/>
            <w:szCs w:val="28"/>
            <w:u w:val="none"/>
          </w:rPr>
          <w:t xml:space="preserve"> https://www.gov.uk/disabled-students-allowance-dsaOV.UK (www.gov.uk)</w:t>
        </w:r>
      </w:hyperlink>
      <w:r w:rsidRPr="003F2055">
        <w:rPr>
          <w:sz w:val="28"/>
          <w:szCs w:val="28"/>
        </w:rPr>
        <w:t xml:space="preserve"> (accessed 17/03/2024) </w:t>
      </w:r>
    </w:p>
    <w:p w14:paraId="58ABCDE5" w14:textId="77777777" w:rsidR="003F2055" w:rsidRPr="003F2055" w:rsidRDefault="003F2055" w:rsidP="007D0C81">
      <w:pPr>
        <w:rPr>
          <w:sz w:val="28"/>
          <w:szCs w:val="28"/>
        </w:rPr>
      </w:pPr>
      <w:r w:rsidRPr="003F2055">
        <w:rPr>
          <w:rStyle w:val="Hyperlink"/>
          <w:color w:val="auto"/>
          <w:sz w:val="28"/>
          <w:szCs w:val="28"/>
          <w:u w:val="none"/>
        </w:rPr>
        <w:t xml:space="preserve">Gov UK (2024) Student Finance. Available at </w:t>
      </w:r>
      <w:hyperlink r:id="rId21" w:history="1">
        <w:r w:rsidRPr="003F2055">
          <w:rPr>
            <w:rStyle w:val="Hyperlink"/>
            <w:sz w:val="28"/>
            <w:szCs w:val="28"/>
            <w:u w:val="none"/>
          </w:rPr>
          <w:t>https://www.gov.uk/student-finance/extra-help</w:t>
        </w:r>
      </w:hyperlink>
      <w:r w:rsidRPr="003F2055">
        <w:rPr>
          <w:rStyle w:val="Hyperlink"/>
          <w:color w:val="auto"/>
          <w:sz w:val="28"/>
          <w:szCs w:val="28"/>
          <w:u w:val="none"/>
        </w:rPr>
        <w:t xml:space="preserve"> (Access 27/03/2024)</w:t>
      </w:r>
    </w:p>
    <w:p w14:paraId="5206BF61" w14:textId="77777777" w:rsidR="003F2055" w:rsidRPr="003F2055" w:rsidRDefault="003F2055" w:rsidP="00AA52AD">
      <w:pPr>
        <w:rPr>
          <w:rStyle w:val="Hyperlink"/>
          <w:color w:val="auto"/>
          <w:sz w:val="28"/>
          <w:szCs w:val="28"/>
          <w:u w:val="none"/>
        </w:rPr>
      </w:pPr>
      <w:r w:rsidRPr="003F2055">
        <w:rPr>
          <w:sz w:val="28"/>
          <w:szCs w:val="28"/>
        </w:rPr>
        <w:t xml:space="preserve">Gov Wales (2024) Relative Income Poverty Available at </w:t>
      </w:r>
      <w:hyperlink r:id="rId22" w:anchor=":~:text=Between%20financial%20year%20ending%20%28FYE%29%202020%20and%20FYE,in%20Wales%20were%20living%20in%20relative%20income%20poverty." w:history="1">
        <w:r w:rsidRPr="003F2055">
          <w:rPr>
            <w:rStyle w:val="Hyperlink"/>
            <w:sz w:val="28"/>
            <w:szCs w:val="28"/>
            <w:u w:val="none"/>
          </w:rPr>
          <w:t>Relative income poverty: April 2021 to March 2022 | GOV.WALES</w:t>
        </w:r>
      </w:hyperlink>
      <w:r w:rsidRPr="003F2055">
        <w:rPr>
          <w:sz w:val="28"/>
          <w:szCs w:val="28"/>
        </w:rPr>
        <w:t xml:space="preserve"> (Accessed 27/03/2024)</w:t>
      </w:r>
    </w:p>
    <w:p w14:paraId="67E8C95F" w14:textId="77777777" w:rsidR="003F2055" w:rsidRPr="003F2055" w:rsidRDefault="003F2055" w:rsidP="007D0C81">
      <w:pPr>
        <w:rPr>
          <w:sz w:val="28"/>
          <w:szCs w:val="28"/>
        </w:rPr>
      </w:pPr>
      <w:r w:rsidRPr="003F2055">
        <w:rPr>
          <w:sz w:val="28"/>
          <w:szCs w:val="28"/>
        </w:rPr>
        <w:t xml:space="preserve">Hazelkorn, E (2016) Towards 2030; A framework for building a world-class post-compulsory education system for Wales. Available at </w:t>
      </w:r>
      <w:hyperlink r:id="rId23" w:history="1">
        <w:r w:rsidRPr="003F2055">
          <w:rPr>
            <w:rStyle w:val="Hyperlink"/>
            <w:sz w:val="28"/>
            <w:szCs w:val="28"/>
            <w:u w:val="none"/>
          </w:rPr>
          <w:t>towards-2030-a-framew https://www.gov.wales/sites/default/files/publications/2018-02/towards-2030-a-framework-for-building-a-world-class-post-compulsory-education-system-for-wales.pdf ork-for-building-a-world-class-post-compulsory-education-system-for-wales.pdf (gov.wales)</w:t>
        </w:r>
      </w:hyperlink>
      <w:r w:rsidRPr="003F2055">
        <w:rPr>
          <w:sz w:val="28"/>
          <w:szCs w:val="28"/>
        </w:rPr>
        <w:t xml:space="preserve"> (Accessed 17/03/2024) </w:t>
      </w:r>
    </w:p>
    <w:p w14:paraId="6882393F" w14:textId="77777777" w:rsidR="003F2055" w:rsidRPr="003F2055" w:rsidRDefault="003F2055" w:rsidP="0006036F">
      <w:pPr>
        <w:rPr>
          <w:sz w:val="28"/>
          <w:szCs w:val="28"/>
        </w:rPr>
      </w:pPr>
      <w:r w:rsidRPr="003F2055">
        <w:rPr>
          <w:sz w:val="28"/>
          <w:szCs w:val="28"/>
        </w:rPr>
        <w:t>https://www.gov.uk/disabled-students-allowance-dsa/eligibility</w:t>
      </w:r>
    </w:p>
    <w:p w14:paraId="66DB09C4" w14:textId="77777777" w:rsidR="003F2055" w:rsidRPr="003F2055" w:rsidRDefault="003F2055" w:rsidP="007D0C81">
      <w:pPr>
        <w:rPr>
          <w:vanish/>
          <w:sz w:val="28"/>
          <w:szCs w:val="28"/>
        </w:rPr>
      </w:pPr>
      <w:r w:rsidRPr="003F2055">
        <w:rPr>
          <w:sz w:val="28"/>
          <w:szCs w:val="28"/>
        </w:rPr>
        <w:t>Inclusive Teaching and Learning in Higher Education as a route to Excellence (2017) available at https://assets.publishing.service.gov.uk/media/5a802f43e5274a2e8ab4ead7/Inclusive_Teaching_and_Learning_in_Higher_Education_as_a_route_to-excellence.pdf</w:t>
      </w:r>
    </w:p>
    <w:p w14:paraId="7C1282E9" w14:textId="77777777" w:rsidR="003F2055" w:rsidRPr="003F2055" w:rsidRDefault="003F2055" w:rsidP="007D0C81">
      <w:pPr>
        <w:rPr>
          <w:sz w:val="28"/>
          <w:szCs w:val="28"/>
        </w:rPr>
      </w:pPr>
      <w:r w:rsidRPr="003F2055">
        <w:rPr>
          <w:sz w:val="28"/>
          <w:szCs w:val="28"/>
        </w:rPr>
        <w:t xml:space="preserve">Kelley, M. (2023) Adult Autism Support Guide. Amazon. </w:t>
      </w:r>
    </w:p>
    <w:p w14:paraId="6D351542" w14:textId="77777777" w:rsidR="003F2055" w:rsidRPr="003F2055" w:rsidRDefault="003F2055" w:rsidP="0006036F">
      <w:pPr>
        <w:rPr>
          <w:sz w:val="28"/>
          <w:szCs w:val="28"/>
        </w:rPr>
      </w:pPr>
      <w:r w:rsidRPr="003F2055">
        <w:rPr>
          <w:sz w:val="28"/>
          <w:szCs w:val="28"/>
        </w:rPr>
        <w:t>Knight, C., &amp; Crick, T. (2022). Inclusive Education in Wales: Interpreting Discourses of Values and Practice Using Critical Policy Analysis. </w:t>
      </w:r>
      <w:r w:rsidRPr="003F2055">
        <w:rPr>
          <w:i/>
          <w:iCs/>
          <w:sz w:val="28"/>
          <w:szCs w:val="28"/>
        </w:rPr>
        <w:t>ECNU Review of Education (Online)</w:t>
      </w:r>
      <w:r w:rsidRPr="003F2055">
        <w:rPr>
          <w:sz w:val="28"/>
          <w:szCs w:val="28"/>
        </w:rPr>
        <w:t>, </w:t>
      </w:r>
      <w:r w:rsidRPr="003F2055">
        <w:rPr>
          <w:i/>
          <w:iCs/>
          <w:sz w:val="28"/>
          <w:szCs w:val="28"/>
        </w:rPr>
        <w:t>5</w:t>
      </w:r>
      <w:r w:rsidRPr="003F2055">
        <w:rPr>
          <w:sz w:val="28"/>
          <w:szCs w:val="28"/>
        </w:rPr>
        <w:t xml:space="preserve">(2), 258–283. </w:t>
      </w:r>
      <w:hyperlink r:id="rId24" w:history="1">
        <w:r w:rsidRPr="003F2055">
          <w:rPr>
            <w:rStyle w:val="Hyperlink"/>
            <w:sz w:val="28"/>
            <w:szCs w:val="28"/>
            <w:u w:val="none"/>
          </w:rPr>
          <w:t>https://doi.org/10.1177/20965311211039858</w:t>
        </w:r>
      </w:hyperlink>
    </w:p>
    <w:p w14:paraId="287D857B" w14:textId="77777777" w:rsidR="003F2055" w:rsidRPr="003F2055" w:rsidRDefault="003F2055" w:rsidP="0006036F">
      <w:pPr>
        <w:rPr>
          <w:i/>
          <w:iCs/>
          <w:sz w:val="28"/>
          <w:szCs w:val="28"/>
        </w:rPr>
      </w:pPr>
      <w:r w:rsidRPr="003F2055">
        <w:rPr>
          <w:sz w:val="28"/>
          <w:szCs w:val="28"/>
        </w:rPr>
        <w:t>Knight, C., Clegg, Z., Conn, C., Hutt, M., &amp; Crick, T. (2022). Aspiring to include versus implicit ‘othering’: teachers’ perceptions of inclusive education in Wales. </w:t>
      </w:r>
      <w:r w:rsidRPr="003F2055">
        <w:rPr>
          <w:i/>
          <w:iCs/>
          <w:sz w:val="28"/>
          <w:szCs w:val="28"/>
        </w:rPr>
        <w:t>British Journal of Special Education</w:t>
      </w:r>
      <w:r w:rsidRPr="003F2055">
        <w:rPr>
          <w:sz w:val="28"/>
          <w:szCs w:val="28"/>
        </w:rPr>
        <w:t>, </w:t>
      </w:r>
      <w:r w:rsidRPr="003F2055">
        <w:rPr>
          <w:i/>
          <w:iCs/>
          <w:sz w:val="28"/>
          <w:szCs w:val="28"/>
        </w:rPr>
        <w:t>49</w:t>
      </w:r>
      <w:r w:rsidRPr="003F2055">
        <w:rPr>
          <w:sz w:val="28"/>
          <w:szCs w:val="28"/>
        </w:rPr>
        <w:t>(1), 6–23. https://doi.org/10.1111/1467-8578.12394</w:t>
      </w:r>
    </w:p>
    <w:p w14:paraId="727686F0" w14:textId="77777777" w:rsidR="003F2055" w:rsidRPr="003F2055" w:rsidRDefault="003F2055" w:rsidP="00AA52AD">
      <w:pPr>
        <w:rPr>
          <w:sz w:val="28"/>
          <w:szCs w:val="28"/>
        </w:rPr>
      </w:pPr>
      <w:r w:rsidRPr="003F2055">
        <w:rPr>
          <w:sz w:val="28"/>
          <w:szCs w:val="28"/>
        </w:rPr>
        <w:t>Koutsouris, G., Stentiford, L. and Norwich, B. (2022) “A critical exploration of inclusion policies of elite UK universities,” </w:t>
      </w:r>
      <w:r w:rsidRPr="003F2055">
        <w:rPr>
          <w:i/>
          <w:iCs/>
          <w:sz w:val="28"/>
          <w:szCs w:val="28"/>
        </w:rPr>
        <w:t>British educational research journal</w:t>
      </w:r>
      <w:r w:rsidRPr="003F2055">
        <w:rPr>
          <w:sz w:val="28"/>
          <w:szCs w:val="28"/>
        </w:rPr>
        <w:t>, 48(5), pp. 878–895. Available at: https://doi.org/10.1002/berj.3799.</w:t>
      </w:r>
    </w:p>
    <w:p w14:paraId="48239B6D" w14:textId="77777777" w:rsidR="003F2055" w:rsidRPr="003F2055" w:rsidRDefault="003F2055" w:rsidP="007D0C81">
      <w:pPr>
        <w:rPr>
          <w:sz w:val="28"/>
          <w:szCs w:val="28"/>
        </w:rPr>
      </w:pPr>
      <w:r w:rsidRPr="003F2055">
        <w:rPr>
          <w:sz w:val="28"/>
          <w:szCs w:val="28"/>
        </w:rPr>
        <w:t>Lainy, R. (ed.) (2023) </w:t>
      </w:r>
      <w:r w:rsidRPr="003F2055">
        <w:rPr>
          <w:i/>
          <w:iCs/>
          <w:sz w:val="28"/>
          <w:szCs w:val="28"/>
        </w:rPr>
        <w:t>Disability, diversity and inclusive education in Haiti</w:t>
      </w:r>
      <w:r w:rsidRPr="003F2055">
        <w:rPr>
          <w:rFonts w:ascii="Arial" w:hAnsi="Arial" w:cs="Arial"/>
          <w:i/>
          <w:iCs/>
          <w:sz w:val="28"/>
          <w:szCs w:val="28"/>
        </w:rPr>
        <w:t> </w:t>
      </w:r>
      <w:r w:rsidRPr="003F2055">
        <w:rPr>
          <w:i/>
          <w:iCs/>
          <w:sz w:val="28"/>
          <w:szCs w:val="28"/>
        </w:rPr>
        <w:t>: learning, exclusion and educational relationships in the context of crises</w:t>
      </w:r>
      <w:r w:rsidRPr="003F2055">
        <w:rPr>
          <w:sz w:val="28"/>
          <w:szCs w:val="28"/>
        </w:rPr>
        <w:t>. New York, New York</w:t>
      </w:r>
      <w:r w:rsidRPr="003F2055">
        <w:rPr>
          <w:rFonts w:ascii="Arial" w:hAnsi="Arial" w:cs="Arial"/>
          <w:sz w:val="28"/>
          <w:szCs w:val="28"/>
        </w:rPr>
        <w:t> </w:t>
      </w:r>
      <w:r w:rsidRPr="003F2055">
        <w:rPr>
          <w:sz w:val="28"/>
          <w:szCs w:val="28"/>
        </w:rPr>
        <w:t>; Routledge.</w:t>
      </w:r>
    </w:p>
    <w:p w14:paraId="190E705A" w14:textId="77777777" w:rsidR="003F2055" w:rsidRPr="00F32FDA" w:rsidRDefault="003F2055" w:rsidP="00F32FDA">
      <w:pPr>
        <w:rPr>
          <w:sz w:val="28"/>
          <w:szCs w:val="28"/>
        </w:rPr>
      </w:pPr>
      <w:r w:rsidRPr="00F32FDA">
        <w:rPr>
          <w:sz w:val="28"/>
          <w:szCs w:val="28"/>
        </w:rPr>
        <w:t>Leia</w:t>
      </w:r>
      <w:r w:rsidRPr="003F2055">
        <w:rPr>
          <w:sz w:val="28"/>
          <w:szCs w:val="28"/>
        </w:rPr>
        <w:t xml:space="preserve"> </w:t>
      </w:r>
      <w:r w:rsidRPr="00F32FDA">
        <w:rPr>
          <w:sz w:val="28"/>
          <w:szCs w:val="28"/>
        </w:rPr>
        <w:t>K</w:t>
      </w:r>
      <w:r w:rsidRPr="003F2055">
        <w:rPr>
          <w:sz w:val="28"/>
          <w:szCs w:val="28"/>
        </w:rPr>
        <w:t xml:space="preserve">, et al  </w:t>
      </w:r>
      <w:r w:rsidRPr="00F32FDA">
        <w:rPr>
          <w:sz w:val="28"/>
          <w:szCs w:val="28"/>
        </w:rPr>
        <w:t>(2023) Examining trans student narratives of transitioning while in college, International Journal of Qualitative Studies in Education, DOI: </w:t>
      </w:r>
      <w:hyperlink r:id="rId25" w:history="1">
        <w:r w:rsidRPr="00F32FDA">
          <w:rPr>
            <w:rStyle w:val="Hyperlink"/>
            <w:sz w:val="28"/>
            <w:szCs w:val="28"/>
            <w:u w:val="none"/>
          </w:rPr>
          <w:t>10.1080/09518398.2023.2181422</w:t>
        </w:r>
      </w:hyperlink>
      <w:r w:rsidRPr="003F2055">
        <w:rPr>
          <w:sz w:val="28"/>
          <w:szCs w:val="28"/>
        </w:rPr>
        <w:t xml:space="preserve"> (Accessed 27/03/2024)</w:t>
      </w:r>
    </w:p>
    <w:p w14:paraId="59F8F8AC" w14:textId="77777777" w:rsidR="003F2055" w:rsidRPr="003F2055" w:rsidRDefault="003F2055" w:rsidP="007D0C81">
      <w:pPr>
        <w:rPr>
          <w:sz w:val="28"/>
          <w:szCs w:val="28"/>
        </w:rPr>
      </w:pPr>
      <w:r w:rsidRPr="003F2055">
        <w:rPr>
          <w:sz w:val="28"/>
          <w:szCs w:val="28"/>
        </w:rPr>
        <w:t>McNay, I. (2022) “Academic capitalism, competition and competence: the impact on student recruitment and research assessment,” </w:t>
      </w:r>
      <w:r w:rsidRPr="003F2055">
        <w:rPr>
          <w:i/>
          <w:iCs/>
          <w:sz w:val="28"/>
          <w:szCs w:val="28"/>
        </w:rPr>
        <w:t>Journal of further and higher education</w:t>
      </w:r>
      <w:r w:rsidRPr="003F2055">
        <w:rPr>
          <w:sz w:val="28"/>
          <w:szCs w:val="28"/>
        </w:rPr>
        <w:t xml:space="preserve">, 46(6), pp. 780–792. Available at: </w:t>
      </w:r>
      <w:hyperlink r:id="rId26" w:history="1">
        <w:r w:rsidRPr="003F2055">
          <w:rPr>
            <w:rStyle w:val="Hyperlink"/>
            <w:sz w:val="28"/>
            <w:szCs w:val="28"/>
            <w:u w:val="none"/>
          </w:rPr>
          <w:t>https://doi.org/10.1080/0309877X.2021.2003307</w:t>
        </w:r>
      </w:hyperlink>
      <w:r w:rsidRPr="003F2055">
        <w:rPr>
          <w:sz w:val="28"/>
          <w:szCs w:val="28"/>
        </w:rPr>
        <w:t>. (Accessed 27/03/2024)</w:t>
      </w:r>
    </w:p>
    <w:p w14:paraId="3F68BF5E" w14:textId="77777777" w:rsidR="003F2055" w:rsidRPr="003F2055" w:rsidRDefault="003F2055" w:rsidP="0006036F">
      <w:pPr>
        <w:rPr>
          <w:sz w:val="28"/>
          <w:szCs w:val="28"/>
        </w:rPr>
      </w:pPr>
      <w:r w:rsidRPr="003F2055">
        <w:rPr>
          <w:sz w:val="28"/>
          <w:szCs w:val="28"/>
        </w:rPr>
        <w:t xml:space="preserve">NMH roles (2023) Department for Education mandatory qualification and professional body membership requirements to deliver Disabled Students’ Allowance (DSA) fundable Non-Medical Help (NMH) roles. Version 3 Revised July 2023 Available at </w:t>
      </w:r>
      <w:hyperlink r:id="rId27" w:history="1">
        <w:r w:rsidRPr="003F2055">
          <w:rPr>
            <w:rStyle w:val="Hyperlink"/>
            <w:sz w:val="28"/>
            <w:szCs w:val="28"/>
            <w:u w:val="none"/>
          </w:rPr>
          <w:t>https://www.practitioners.slc.co.uk/media/1991/nmh-qualifications-matrix-july2023-updated-sept-23.pdf</w:t>
        </w:r>
      </w:hyperlink>
      <w:r w:rsidRPr="003F2055">
        <w:rPr>
          <w:sz w:val="28"/>
          <w:szCs w:val="28"/>
        </w:rPr>
        <w:t xml:space="preserve"> (Accessed 27/03/2024)</w:t>
      </w:r>
    </w:p>
    <w:p w14:paraId="30824DAB" w14:textId="77777777" w:rsidR="003F2055" w:rsidRPr="003F2055" w:rsidRDefault="003F2055" w:rsidP="007D0C81">
      <w:pPr>
        <w:rPr>
          <w:sz w:val="28"/>
          <w:szCs w:val="28"/>
        </w:rPr>
      </w:pPr>
      <w:r w:rsidRPr="003F2055">
        <w:rPr>
          <w:sz w:val="28"/>
          <w:szCs w:val="28"/>
        </w:rPr>
        <w:t xml:space="preserve">Papyrus (2024) Prevention of young suicide. Available at </w:t>
      </w:r>
      <w:hyperlink r:id="rId28" w:history="1">
        <w:r w:rsidRPr="003F2055">
          <w:rPr>
            <w:rStyle w:val="Hyperlink"/>
            <w:sz w:val="28"/>
            <w:szCs w:val="28"/>
            <w:u w:val="none"/>
          </w:rPr>
          <w:t>https://www.papyrus-uk.org/asist/</w:t>
        </w:r>
      </w:hyperlink>
      <w:r w:rsidRPr="003F2055">
        <w:rPr>
          <w:sz w:val="28"/>
          <w:szCs w:val="28"/>
        </w:rPr>
        <w:t xml:space="preserve"> Accessed 27/03/2024</w:t>
      </w:r>
    </w:p>
    <w:p w14:paraId="11EA6EC4" w14:textId="77777777" w:rsidR="003F2055" w:rsidRPr="00F32FDA" w:rsidRDefault="003F2055" w:rsidP="00F32FDA">
      <w:pPr>
        <w:rPr>
          <w:sz w:val="28"/>
          <w:szCs w:val="28"/>
        </w:rPr>
      </w:pPr>
      <w:r w:rsidRPr="00F32FDA">
        <w:rPr>
          <w:sz w:val="28"/>
          <w:szCs w:val="28"/>
        </w:rPr>
        <w:t>Parks, R. and Straka, R. (2018) “GENDER PRONOUNS TO SUPPORT IDENTITY: CREATING A CAMPUS OF DIFFERENCE: As campus populations of transgender and gender-nonconforming students increase, universities must adjust systems to reinforce and convey acceptance of all student identities. Transitioning can be a challenging and sensitive process. Each interaction in a new setting, such as arriving at college, becomes vital to students’ healthy development,” </w:t>
      </w:r>
      <w:r w:rsidRPr="00F32FDA">
        <w:rPr>
          <w:i/>
          <w:iCs/>
          <w:sz w:val="28"/>
          <w:szCs w:val="28"/>
        </w:rPr>
        <w:t>Phi Kappa Phi forum</w:t>
      </w:r>
      <w:r w:rsidRPr="00F32FDA">
        <w:rPr>
          <w:sz w:val="28"/>
          <w:szCs w:val="28"/>
        </w:rPr>
        <w:t>, 98(3), pp. 8-.</w:t>
      </w:r>
      <w:r w:rsidRPr="003F2055">
        <w:rPr>
          <w:sz w:val="28"/>
          <w:szCs w:val="28"/>
        </w:rPr>
        <w:t xml:space="preserve"> (Accessed 27/03/2024)</w:t>
      </w:r>
    </w:p>
    <w:p w14:paraId="69A82047" w14:textId="77777777" w:rsidR="003F2055" w:rsidRPr="003F2055" w:rsidRDefault="003F2055" w:rsidP="00BE4C0D">
      <w:pPr>
        <w:rPr>
          <w:sz w:val="28"/>
          <w:szCs w:val="28"/>
        </w:rPr>
      </w:pPr>
      <w:r w:rsidRPr="003F2055">
        <w:rPr>
          <w:sz w:val="28"/>
          <w:szCs w:val="28"/>
        </w:rPr>
        <w:t>Pickard, B. (2021) “How Is Disability Portrayed through Welsh Universities’ Disability Service Web Pages? A Critical Disability Studies Perspective,” </w:t>
      </w:r>
      <w:r w:rsidRPr="003F2055">
        <w:rPr>
          <w:i/>
          <w:iCs/>
          <w:sz w:val="28"/>
          <w:szCs w:val="28"/>
        </w:rPr>
        <w:t>Learning and teaching</w:t>
      </w:r>
      <w:r w:rsidRPr="003F2055">
        <w:rPr>
          <w:sz w:val="28"/>
          <w:szCs w:val="28"/>
        </w:rPr>
        <w:t>, 14(1), pp. 1–34. Available at: https://doi.org/10.3167/latiss.2021.140102.</w:t>
      </w:r>
    </w:p>
    <w:p w14:paraId="71EB4424" w14:textId="77777777" w:rsidR="003F2055" w:rsidRPr="003F2055" w:rsidRDefault="003F2055" w:rsidP="0006036F">
      <w:pPr>
        <w:rPr>
          <w:i/>
          <w:iCs/>
          <w:color w:val="467886" w:themeColor="hyperlink"/>
          <w:sz w:val="28"/>
          <w:szCs w:val="28"/>
        </w:rPr>
      </w:pPr>
      <w:r w:rsidRPr="003F2055">
        <w:rPr>
          <w:i/>
          <w:iCs/>
          <w:sz w:val="28"/>
          <w:szCs w:val="28"/>
        </w:rPr>
        <w:t xml:space="preserve">Pickard, B. (2021). How Is Disability Portrayed through Welsh Universities’ Disability Service Web Pages? A Critical Disability Studies Perspective. Learning and Teaching, 14(1), 1–34. </w:t>
      </w:r>
      <w:hyperlink r:id="rId29" w:history="1">
        <w:r w:rsidRPr="003F2055">
          <w:rPr>
            <w:rStyle w:val="Hyperlink"/>
            <w:i/>
            <w:iCs/>
            <w:sz w:val="28"/>
            <w:szCs w:val="28"/>
            <w:u w:val="none"/>
          </w:rPr>
          <w:t>https://doi.org/10.3167/latiss.2021.140102</w:t>
        </w:r>
      </w:hyperlink>
      <w:r w:rsidRPr="003F2055">
        <w:rPr>
          <w:rStyle w:val="Hyperlink"/>
          <w:i/>
          <w:iCs/>
          <w:sz w:val="28"/>
          <w:szCs w:val="28"/>
          <w:u w:val="none"/>
        </w:rPr>
        <w:t xml:space="preserve"> </w:t>
      </w:r>
      <w:r w:rsidRPr="003F2055">
        <w:rPr>
          <w:i/>
          <w:iCs/>
          <w:color w:val="467886" w:themeColor="hyperlink"/>
          <w:sz w:val="28"/>
          <w:szCs w:val="28"/>
        </w:rPr>
        <w:t>(Accessed 27/03/2024)</w:t>
      </w:r>
    </w:p>
    <w:p w14:paraId="69A21F0C" w14:textId="77777777" w:rsidR="003F2055" w:rsidRPr="003F2055" w:rsidRDefault="003F2055" w:rsidP="007D0C81">
      <w:pPr>
        <w:rPr>
          <w:sz w:val="28"/>
          <w:szCs w:val="28"/>
        </w:rPr>
      </w:pPr>
      <w:r w:rsidRPr="003F2055">
        <w:rPr>
          <w:sz w:val="28"/>
          <w:szCs w:val="28"/>
        </w:rPr>
        <w:t xml:space="preserve">Professional Standards for FE WBL (2017) Professional standards for further education teachers, work-based learning practitioners and adult learning practitioners inWales; Welsh Government. Available at  </w:t>
      </w:r>
      <w:hyperlink r:id="rId30" w:history="1">
        <w:r w:rsidRPr="003F2055">
          <w:rPr>
            <w:rStyle w:val="Hyperlink"/>
            <w:sz w:val="28"/>
            <w:szCs w:val="28"/>
            <w:u w:val="none"/>
          </w:rPr>
          <w:t>Professional standards for FE WBL ahttps://educators.wales/sites/default/files/2023-07/Professional%20standards%20for%20FE%20%20WBL%20and%20ACL%20Practitioners%20-%20June%202023.pdfnd ACL Practitioners - June 2023.pdf (educators.wales)</w:t>
        </w:r>
      </w:hyperlink>
      <w:r w:rsidRPr="003F2055">
        <w:rPr>
          <w:sz w:val="28"/>
          <w:szCs w:val="28"/>
        </w:rPr>
        <w:t xml:space="preserve"> (Accessed 17/03/2024)</w:t>
      </w:r>
    </w:p>
    <w:p w14:paraId="0B8E06E0" w14:textId="77777777" w:rsidR="003F2055" w:rsidRPr="003F2055" w:rsidRDefault="003F2055" w:rsidP="007D0C81">
      <w:pPr>
        <w:rPr>
          <w:sz w:val="28"/>
          <w:szCs w:val="28"/>
        </w:rPr>
      </w:pPr>
      <w:r w:rsidRPr="003F2055">
        <w:rPr>
          <w:sz w:val="28"/>
          <w:szCs w:val="28"/>
        </w:rPr>
        <w:t>Savage, M. (2021) </w:t>
      </w:r>
      <w:r w:rsidRPr="003F2055">
        <w:rPr>
          <w:i/>
          <w:iCs/>
          <w:sz w:val="28"/>
          <w:szCs w:val="28"/>
        </w:rPr>
        <w:t>The return of inequality</w:t>
      </w:r>
      <w:r w:rsidRPr="003F2055">
        <w:rPr>
          <w:rFonts w:ascii="Arial" w:hAnsi="Arial" w:cs="Arial"/>
          <w:i/>
          <w:iCs/>
          <w:sz w:val="28"/>
          <w:szCs w:val="28"/>
        </w:rPr>
        <w:t> </w:t>
      </w:r>
      <w:r w:rsidRPr="003F2055">
        <w:rPr>
          <w:i/>
          <w:iCs/>
          <w:sz w:val="28"/>
          <w:szCs w:val="28"/>
        </w:rPr>
        <w:t>: social change and the weight of the past</w:t>
      </w:r>
      <w:r w:rsidRPr="003F2055">
        <w:rPr>
          <w:sz w:val="28"/>
          <w:szCs w:val="28"/>
        </w:rPr>
        <w:t>. Cambridge, Massachusetts: Harvard University Press. Available at: https://doi.org/10.4159/9780674259652.</w:t>
      </w:r>
    </w:p>
    <w:p w14:paraId="62AA67FC" w14:textId="77777777" w:rsidR="003F2055" w:rsidRPr="003F2055" w:rsidRDefault="003F2055" w:rsidP="007D0C81">
      <w:pPr>
        <w:rPr>
          <w:sz w:val="28"/>
          <w:szCs w:val="28"/>
        </w:rPr>
      </w:pPr>
      <w:r w:rsidRPr="003F2055">
        <w:rPr>
          <w:sz w:val="28"/>
          <w:szCs w:val="28"/>
        </w:rPr>
        <w:t>Schuelka, M.J. (2018). Implementing inclusive education. K4D Helpdesk Report. Brighton, UK: Institute of Development Studies.</w:t>
      </w:r>
    </w:p>
    <w:p w14:paraId="3E64199F" w14:textId="2BAB1664" w:rsidR="003F2055" w:rsidRPr="003F2055" w:rsidRDefault="003F2055" w:rsidP="0006036F">
      <w:pPr>
        <w:rPr>
          <w:i/>
          <w:iCs/>
          <w:sz w:val="28"/>
          <w:szCs w:val="28"/>
        </w:rPr>
      </w:pPr>
      <w:r w:rsidRPr="003F2055">
        <w:rPr>
          <w:i/>
          <w:iCs/>
          <w:sz w:val="28"/>
          <w:szCs w:val="28"/>
        </w:rPr>
        <w:t>Smith, J., Robinson, S., &amp; Khan, R. (2022). Transgender and non-binary students’ experiences at UK universities: A rapid evidence</w:t>
      </w:r>
      <w:r w:rsidR="0012202D">
        <w:rPr>
          <w:i/>
          <w:iCs/>
          <w:sz w:val="28"/>
          <w:szCs w:val="28"/>
        </w:rPr>
        <w:t xml:space="preserve"> </w:t>
      </w:r>
      <w:r w:rsidRPr="003F2055">
        <w:rPr>
          <w:i/>
          <w:iCs/>
          <w:sz w:val="28"/>
          <w:szCs w:val="28"/>
        </w:rPr>
        <w:t>assessment. Equity in Education &amp; Society, 1(1), 18–31. https://doi.org/10.1177/27526461211068518</w:t>
      </w:r>
    </w:p>
    <w:p w14:paraId="2137B1E5" w14:textId="77777777" w:rsidR="003F2055" w:rsidRPr="003F2055" w:rsidRDefault="003F2055" w:rsidP="00AA52AD">
      <w:pPr>
        <w:rPr>
          <w:sz w:val="28"/>
          <w:szCs w:val="28"/>
        </w:rPr>
      </w:pPr>
      <w:r w:rsidRPr="003F2055">
        <w:rPr>
          <w:sz w:val="28"/>
          <w:szCs w:val="28"/>
        </w:rPr>
        <w:t>The Equality Act (2010) Available at https://www.legislation.gov.uk/ukpga/2010/15/contents (Accessed 17/03/2024)</w:t>
      </w:r>
    </w:p>
    <w:p w14:paraId="70B05C74" w14:textId="77777777" w:rsidR="003F2055" w:rsidRPr="003F2055" w:rsidRDefault="003F2055" w:rsidP="007D0C81">
      <w:pPr>
        <w:rPr>
          <w:sz w:val="28"/>
          <w:szCs w:val="28"/>
        </w:rPr>
      </w:pPr>
      <w:r w:rsidRPr="003F2055">
        <w:rPr>
          <w:sz w:val="28"/>
          <w:szCs w:val="28"/>
        </w:rPr>
        <w:t xml:space="preserve">The Well-being of future generations Wales Act (2015). Available at </w:t>
      </w:r>
      <w:hyperlink r:id="rId31" w:history="1">
        <w:r w:rsidRPr="003F2055">
          <w:rPr>
            <w:rStyle w:val="Hyperlink"/>
            <w:sz w:val="28"/>
            <w:szCs w:val="28"/>
            <w:u w:val="none"/>
          </w:rPr>
          <w:t>https://www.gov.wales/well-being-future-generations-act-essentials-html</w:t>
        </w:r>
      </w:hyperlink>
      <w:r w:rsidRPr="003F2055">
        <w:rPr>
          <w:sz w:val="28"/>
          <w:szCs w:val="28"/>
        </w:rPr>
        <w:t xml:space="preserve"> (accessed 27/03/2024)</w:t>
      </w:r>
    </w:p>
    <w:p w14:paraId="38D7CC2C" w14:textId="77777777" w:rsidR="003F2055" w:rsidRPr="003F2055" w:rsidRDefault="003F2055" w:rsidP="007D0C81">
      <w:pPr>
        <w:rPr>
          <w:sz w:val="28"/>
          <w:szCs w:val="28"/>
        </w:rPr>
      </w:pPr>
      <w:r w:rsidRPr="003F2055">
        <w:rPr>
          <w:sz w:val="28"/>
          <w:szCs w:val="28"/>
        </w:rPr>
        <w:t>Thompson, N. (2018) </w:t>
      </w:r>
      <w:r w:rsidRPr="003F2055">
        <w:rPr>
          <w:i/>
          <w:iCs/>
          <w:sz w:val="28"/>
          <w:szCs w:val="28"/>
        </w:rPr>
        <w:t>Promoting equality</w:t>
      </w:r>
      <w:r w:rsidRPr="003F2055">
        <w:rPr>
          <w:rFonts w:ascii="Arial" w:hAnsi="Arial" w:cs="Arial"/>
          <w:i/>
          <w:iCs/>
          <w:sz w:val="28"/>
          <w:szCs w:val="28"/>
        </w:rPr>
        <w:t> </w:t>
      </w:r>
      <w:r w:rsidRPr="003F2055">
        <w:rPr>
          <w:i/>
          <w:iCs/>
          <w:sz w:val="28"/>
          <w:szCs w:val="28"/>
        </w:rPr>
        <w:t>: working with diversity and difference</w:t>
      </w:r>
      <w:r w:rsidRPr="003F2055">
        <w:rPr>
          <w:sz w:val="28"/>
          <w:szCs w:val="28"/>
        </w:rPr>
        <w:t>. Fourth edition. London, England: Red Globe Press.</w:t>
      </w:r>
    </w:p>
    <w:p w14:paraId="49C07B8A" w14:textId="77777777" w:rsidR="003F2055" w:rsidRPr="003F2055" w:rsidRDefault="003F2055" w:rsidP="007D0C81">
      <w:pPr>
        <w:rPr>
          <w:sz w:val="28"/>
          <w:szCs w:val="28"/>
        </w:rPr>
      </w:pPr>
      <w:r w:rsidRPr="003F2055">
        <w:rPr>
          <w:sz w:val="28"/>
          <w:szCs w:val="28"/>
        </w:rPr>
        <w:t>Tint, A. and Weiss, J.A. (2018) “A qualitative study of the service experiences of women with autism spectrum disorder,” </w:t>
      </w:r>
      <w:r w:rsidRPr="003F2055">
        <w:rPr>
          <w:i/>
          <w:iCs/>
          <w:sz w:val="28"/>
          <w:szCs w:val="28"/>
        </w:rPr>
        <w:t>Autism</w:t>
      </w:r>
      <w:r w:rsidRPr="003F2055">
        <w:rPr>
          <w:rFonts w:ascii="Arial" w:hAnsi="Arial" w:cs="Arial"/>
          <w:i/>
          <w:iCs/>
          <w:sz w:val="28"/>
          <w:szCs w:val="28"/>
        </w:rPr>
        <w:t> </w:t>
      </w:r>
      <w:r w:rsidRPr="003F2055">
        <w:rPr>
          <w:i/>
          <w:iCs/>
          <w:sz w:val="28"/>
          <w:szCs w:val="28"/>
        </w:rPr>
        <w:t>: the international journal of research and practice</w:t>
      </w:r>
      <w:r w:rsidRPr="003F2055">
        <w:rPr>
          <w:sz w:val="28"/>
          <w:szCs w:val="28"/>
        </w:rPr>
        <w:t>, 22(8), pp. 928–937. Available at: https://doi.org/10.1177/1362361317702561.</w:t>
      </w:r>
    </w:p>
    <w:p w14:paraId="785048E0" w14:textId="77777777" w:rsidR="003F2055" w:rsidRPr="003F2055" w:rsidRDefault="003F2055" w:rsidP="007D0C81">
      <w:pPr>
        <w:rPr>
          <w:color w:val="467886" w:themeColor="hyperlink"/>
          <w:sz w:val="28"/>
          <w:szCs w:val="28"/>
        </w:rPr>
      </w:pPr>
      <w:r w:rsidRPr="003F2055">
        <w:rPr>
          <w:sz w:val="28"/>
          <w:szCs w:val="28"/>
        </w:rPr>
        <w:t xml:space="preserve">UWTSD (2023) Teachers given insight ALN and wellbeing. Available at </w:t>
      </w:r>
      <w:hyperlink r:id="rId32" w:history="1">
        <w:r w:rsidRPr="003F2055">
          <w:rPr>
            <w:sz w:val="28"/>
            <w:szCs w:val="28"/>
          </w:rPr>
          <w:t xml:space="preserve"> </w:t>
        </w:r>
        <w:r w:rsidRPr="003F2055">
          <w:rPr>
            <w:rStyle w:val="Hyperlink"/>
            <w:sz w:val="28"/>
            <w:szCs w:val="28"/>
            <w:u w:val="none"/>
          </w:rPr>
          <w:t xml:space="preserve">https://www.uwtsd.ac.uk/news/student-teachers-given-insight-additional-learning-needs-and-wellbeingsity </w:t>
        </w:r>
      </w:hyperlink>
      <w:r w:rsidRPr="003F2055">
        <w:rPr>
          <w:color w:val="467886" w:themeColor="hyperlink"/>
          <w:sz w:val="28"/>
          <w:szCs w:val="28"/>
        </w:rPr>
        <w:t>(Accessed 27/03/2024)</w:t>
      </w:r>
    </w:p>
    <w:p w14:paraId="3B08C138" w14:textId="77777777" w:rsidR="003F2055" w:rsidRPr="003F2055" w:rsidRDefault="003F2055" w:rsidP="007D0C81">
      <w:pPr>
        <w:rPr>
          <w:rStyle w:val="Hyperlink"/>
          <w:color w:val="auto"/>
          <w:sz w:val="28"/>
          <w:szCs w:val="28"/>
          <w:u w:val="none"/>
        </w:rPr>
      </w:pPr>
      <w:r w:rsidRPr="003F2055">
        <w:rPr>
          <w:sz w:val="28"/>
          <w:szCs w:val="28"/>
        </w:rPr>
        <w:t>UWTSD (2024) Disability Support Available at uwtsd.ac.uk (Accessed 27/03/2024)</w:t>
      </w:r>
    </w:p>
    <w:p w14:paraId="59E96752" w14:textId="77777777" w:rsidR="003F2055" w:rsidRPr="003F2055" w:rsidRDefault="003F2055" w:rsidP="007D0C81">
      <w:pPr>
        <w:rPr>
          <w:sz w:val="28"/>
          <w:szCs w:val="28"/>
        </w:rPr>
      </w:pPr>
      <w:r w:rsidRPr="003F2055">
        <w:rPr>
          <w:sz w:val="28"/>
          <w:szCs w:val="28"/>
        </w:rPr>
        <w:t xml:space="preserve">UWTSD (2024) Equality and Diversity Annual Report. Available at </w:t>
      </w:r>
      <w:hyperlink r:id="rId33" w:history="1">
        <w:r w:rsidRPr="003F2055">
          <w:rPr>
            <w:rStyle w:val="Hyperlink"/>
            <w:sz w:val="28"/>
            <w:szCs w:val="28"/>
            <w:u w:val="none"/>
          </w:rPr>
          <w:t>Equality and Diversity Annual Report 2021 22_0 (1).pdf</w:t>
        </w:r>
      </w:hyperlink>
      <w:r w:rsidRPr="003F2055">
        <w:rPr>
          <w:sz w:val="28"/>
          <w:szCs w:val="28"/>
        </w:rPr>
        <w:t xml:space="preserve"> (Accessed 27/03/2024)</w:t>
      </w:r>
    </w:p>
    <w:p w14:paraId="6A2D96CB" w14:textId="77777777" w:rsidR="003F2055" w:rsidRPr="003F2055" w:rsidRDefault="003F2055" w:rsidP="007D0C81">
      <w:pPr>
        <w:rPr>
          <w:sz w:val="28"/>
          <w:szCs w:val="28"/>
        </w:rPr>
      </w:pPr>
      <w:r w:rsidRPr="003F2055">
        <w:rPr>
          <w:sz w:val="28"/>
          <w:szCs w:val="28"/>
        </w:rPr>
        <w:t xml:space="preserve">Welsh Government (2016) Higher Education Wales Act 2015.  Available at </w:t>
      </w:r>
      <w:hyperlink r:id="rId34" w:history="1">
        <w:r w:rsidRPr="003F2055">
          <w:rPr>
            <w:rStyle w:val="Hyperlink"/>
            <w:sz w:val="28"/>
            <w:szCs w:val="28"/>
            <w:u w:val="none"/>
          </w:rPr>
          <w:t>Higher Education (Wales) Act 201 https://business.senedd.wales/mgIssueHistoryHome.aspx?IId=97225 (senedd.wales)</w:t>
        </w:r>
      </w:hyperlink>
      <w:r w:rsidRPr="003F2055">
        <w:rPr>
          <w:sz w:val="28"/>
          <w:szCs w:val="28"/>
        </w:rPr>
        <w:t xml:space="preserve"> Accessed 17/03/2024</w:t>
      </w:r>
    </w:p>
    <w:p w14:paraId="71FEDA10" w14:textId="77777777" w:rsidR="003F2055" w:rsidRPr="003F2055" w:rsidRDefault="003F2055" w:rsidP="007D0C81">
      <w:pPr>
        <w:rPr>
          <w:sz w:val="28"/>
          <w:szCs w:val="28"/>
        </w:rPr>
      </w:pPr>
      <w:r w:rsidRPr="003F2055">
        <w:rPr>
          <w:sz w:val="28"/>
          <w:szCs w:val="28"/>
        </w:rPr>
        <w:t xml:space="preserve">Welsh Government (2024) Equity and Excellence further and higher education. Available at </w:t>
      </w:r>
      <w:hyperlink r:id="rId35" w:history="1">
        <w:r w:rsidRPr="003F2055">
          <w:rPr>
            <w:rStyle w:val="Hyperlink"/>
            <w:sz w:val="28"/>
            <w:szCs w:val="28"/>
            <w:u w:val="none"/>
          </w:rPr>
          <w:t>https://www.gov.wales/equity-and-excellence-further-and-higher-education-national-mission-report-html</w:t>
        </w:r>
      </w:hyperlink>
      <w:r w:rsidRPr="003F2055">
        <w:rPr>
          <w:sz w:val="28"/>
          <w:szCs w:val="28"/>
        </w:rPr>
        <w:t xml:space="preserve"> (Accessed 27/03/2024) </w:t>
      </w:r>
    </w:p>
    <w:sectPr w:rsidR="003F2055" w:rsidRPr="003F2055">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AE34CE" w14:textId="77777777" w:rsidR="00586320" w:rsidRDefault="00586320" w:rsidP="00586320">
      <w:pPr>
        <w:spacing w:after="0" w:line="240" w:lineRule="auto"/>
      </w:pPr>
      <w:r>
        <w:separator/>
      </w:r>
    </w:p>
  </w:endnote>
  <w:endnote w:type="continuationSeparator" w:id="0">
    <w:p w14:paraId="72289F3A" w14:textId="77777777" w:rsidR="00586320" w:rsidRDefault="00586320" w:rsidP="00586320">
      <w:pPr>
        <w:spacing w:after="0" w:line="240" w:lineRule="auto"/>
      </w:pPr>
      <w:r>
        <w:continuationSeparator/>
      </w:r>
    </w:p>
  </w:endnote>
  <w:endnote w:type="continuationNotice" w:id="1">
    <w:p w14:paraId="305ECBFC" w14:textId="77777777" w:rsidR="00BF3A53" w:rsidRDefault="00BF3A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15F5B6" w14:textId="77777777" w:rsidR="00547C3D" w:rsidRDefault="00547C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46341C" w14:textId="77777777" w:rsidR="00547C3D" w:rsidRDefault="00547C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CAAC0A" w14:textId="77777777" w:rsidR="00547C3D" w:rsidRDefault="00547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869C1" w14:textId="77777777" w:rsidR="00586320" w:rsidRDefault="00586320" w:rsidP="00586320">
      <w:pPr>
        <w:spacing w:after="0" w:line="240" w:lineRule="auto"/>
      </w:pPr>
      <w:r>
        <w:separator/>
      </w:r>
    </w:p>
  </w:footnote>
  <w:footnote w:type="continuationSeparator" w:id="0">
    <w:p w14:paraId="73418BA0" w14:textId="77777777" w:rsidR="00586320" w:rsidRDefault="00586320" w:rsidP="00586320">
      <w:pPr>
        <w:spacing w:after="0" w:line="240" w:lineRule="auto"/>
      </w:pPr>
      <w:r>
        <w:continuationSeparator/>
      </w:r>
    </w:p>
  </w:footnote>
  <w:footnote w:type="continuationNotice" w:id="1">
    <w:p w14:paraId="036B9C7F" w14:textId="77777777" w:rsidR="00BF3A53" w:rsidRDefault="00BF3A5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02520" w14:textId="77777777" w:rsidR="00547C3D" w:rsidRDefault="00547C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67582C" w14:textId="74209CD6" w:rsidR="00547C3D" w:rsidRDefault="00547C3D">
    <w:pPr>
      <w:pStyle w:val="Header"/>
    </w:pPr>
    <w:r>
      <w:t xml:space="preserve">1601618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C4F892" w14:textId="77777777" w:rsidR="00547C3D" w:rsidRDefault="00547C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D5583"/>
    <w:multiLevelType w:val="multilevel"/>
    <w:tmpl w:val="73F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DF38BC"/>
    <w:multiLevelType w:val="multilevel"/>
    <w:tmpl w:val="A5147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7C0762"/>
    <w:multiLevelType w:val="multilevel"/>
    <w:tmpl w:val="DF4AB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A73222"/>
    <w:multiLevelType w:val="multilevel"/>
    <w:tmpl w:val="FF226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7196971"/>
    <w:multiLevelType w:val="multilevel"/>
    <w:tmpl w:val="A8101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6733489">
    <w:abstractNumId w:val="0"/>
  </w:num>
  <w:num w:numId="2" w16cid:durableId="185871085">
    <w:abstractNumId w:val="4"/>
  </w:num>
  <w:num w:numId="3" w16cid:durableId="1439105788">
    <w:abstractNumId w:val="1"/>
  </w:num>
  <w:num w:numId="4" w16cid:durableId="972708955">
    <w:abstractNumId w:val="3"/>
  </w:num>
  <w:num w:numId="5" w16cid:durableId="491125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2AD"/>
    <w:rsid w:val="00006664"/>
    <w:rsid w:val="00012140"/>
    <w:rsid w:val="0001768D"/>
    <w:rsid w:val="0002151F"/>
    <w:rsid w:val="000244D6"/>
    <w:rsid w:val="00032F1E"/>
    <w:rsid w:val="000353DA"/>
    <w:rsid w:val="00046E09"/>
    <w:rsid w:val="00054C90"/>
    <w:rsid w:val="0006036F"/>
    <w:rsid w:val="00072F33"/>
    <w:rsid w:val="00082186"/>
    <w:rsid w:val="00091679"/>
    <w:rsid w:val="0009265D"/>
    <w:rsid w:val="00094989"/>
    <w:rsid w:val="0009788F"/>
    <w:rsid w:val="000B17C1"/>
    <w:rsid w:val="000B1FEE"/>
    <w:rsid w:val="000B45F0"/>
    <w:rsid w:val="000B76BA"/>
    <w:rsid w:val="000C3720"/>
    <w:rsid w:val="000D26A3"/>
    <w:rsid w:val="000D492D"/>
    <w:rsid w:val="000D55B7"/>
    <w:rsid w:val="000D7880"/>
    <w:rsid w:val="000E23F2"/>
    <w:rsid w:val="000E3383"/>
    <w:rsid w:val="000F5064"/>
    <w:rsid w:val="001051E7"/>
    <w:rsid w:val="00110CB5"/>
    <w:rsid w:val="0012202D"/>
    <w:rsid w:val="00125ED9"/>
    <w:rsid w:val="00126960"/>
    <w:rsid w:val="001304CB"/>
    <w:rsid w:val="001345F3"/>
    <w:rsid w:val="00136ED7"/>
    <w:rsid w:val="001401CB"/>
    <w:rsid w:val="0014116C"/>
    <w:rsid w:val="00145C01"/>
    <w:rsid w:val="00152ECE"/>
    <w:rsid w:val="001555E9"/>
    <w:rsid w:val="001615E2"/>
    <w:rsid w:val="0016273A"/>
    <w:rsid w:val="001633C8"/>
    <w:rsid w:val="00163E8C"/>
    <w:rsid w:val="00164100"/>
    <w:rsid w:val="001743CC"/>
    <w:rsid w:val="001835EE"/>
    <w:rsid w:val="00185210"/>
    <w:rsid w:val="00191377"/>
    <w:rsid w:val="001A36E0"/>
    <w:rsid w:val="001A6E58"/>
    <w:rsid w:val="001C2D4C"/>
    <w:rsid w:val="001C3B74"/>
    <w:rsid w:val="001C3D2F"/>
    <w:rsid w:val="001C55F4"/>
    <w:rsid w:val="001D1755"/>
    <w:rsid w:val="001D5FA8"/>
    <w:rsid w:val="001E5B5F"/>
    <w:rsid w:val="001F10E8"/>
    <w:rsid w:val="001F4F48"/>
    <w:rsid w:val="00201634"/>
    <w:rsid w:val="002018D8"/>
    <w:rsid w:val="0020479E"/>
    <w:rsid w:val="0021007E"/>
    <w:rsid w:val="00213E51"/>
    <w:rsid w:val="00214DE8"/>
    <w:rsid w:val="00215D9B"/>
    <w:rsid w:val="002422EE"/>
    <w:rsid w:val="00242D39"/>
    <w:rsid w:val="00253C9A"/>
    <w:rsid w:val="002543CC"/>
    <w:rsid w:val="00256C43"/>
    <w:rsid w:val="00262B81"/>
    <w:rsid w:val="00276934"/>
    <w:rsid w:val="0028166C"/>
    <w:rsid w:val="00292ED4"/>
    <w:rsid w:val="00294C32"/>
    <w:rsid w:val="002A0D61"/>
    <w:rsid w:val="002A402E"/>
    <w:rsid w:val="002B6F88"/>
    <w:rsid w:val="002D34C6"/>
    <w:rsid w:val="002D4221"/>
    <w:rsid w:val="002D6F5A"/>
    <w:rsid w:val="002E4EE2"/>
    <w:rsid w:val="002E76B6"/>
    <w:rsid w:val="002F0FDC"/>
    <w:rsid w:val="002F2EA9"/>
    <w:rsid w:val="00313121"/>
    <w:rsid w:val="00314E49"/>
    <w:rsid w:val="003173C9"/>
    <w:rsid w:val="003177B2"/>
    <w:rsid w:val="0031789E"/>
    <w:rsid w:val="003329EC"/>
    <w:rsid w:val="00344497"/>
    <w:rsid w:val="00361BD4"/>
    <w:rsid w:val="003666BD"/>
    <w:rsid w:val="00370B00"/>
    <w:rsid w:val="0038168F"/>
    <w:rsid w:val="00391C0B"/>
    <w:rsid w:val="00391F28"/>
    <w:rsid w:val="00393F18"/>
    <w:rsid w:val="00394B06"/>
    <w:rsid w:val="00397A51"/>
    <w:rsid w:val="003A4CBE"/>
    <w:rsid w:val="003A4F13"/>
    <w:rsid w:val="003B156C"/>
    <w:rsid w:val="003B5F1C"/>
    <w:rsid w:val="003C036D"/>
    <w:rsid w:val="003C039B"/>
    <w:rsid w:val="003C08EB"/>
    <w:rsid w:val="003C5409"/>
    <w:rsid w:val="003C5AB9"/>
    <w:rsid w:val="003D0521"/>
    <w:rsid w:val="003D31CF"/>
    <w:rsid w:val="003D32EB"/>
    <w:rsid w:val="003E7FA2"/>
    <w:rsid w:val="003F1CE2"/>
    <w:rsid w:val="003F2055"/>
    <w:rsid w:val="003F29C2"/>
    <w:rsid w:val="003F3C2A"/>
    <w:rsid w:val="003F5D23"/>
    <w:rsid w:val="004033F0"/>
    <w:rsid w:val="0041426B"/>
    <w:rsid w:val="004163B5"/>
    <w:rsid w:val="0043255E"/>
    <w:rsid w:val="00434003"/>
    <w:rsid w:val="00434421"/>
    <w:rsid w:val="00453F15"/>
    <w:rsid w:val="00457A1A"/>
    <w:rsid w:val="0046037E"/>
    <w:rsid w:val="00461AAD"/>
    <w:rsid w:val="0048121B"/>
    <w:rsid w:val="0049481D"/>
    <w:rsid w:val="00496AF0"/>
    <w:rsid w:val="004B15D3"/>
    <w:rsid w:val="004B4E12"/>
    <w:rsid w:val="004D1DD3"/>
    <w:rsid w:val="004D2765"/>
    <w:rsid w:val="004E7801"/>
    <w:rsid w:val="00504049"/>
    <w:rsid w:val="00507319"/>
    <w:rsid w:val="00516D5F"/>
    <w:rsid w:val="005237B9"/>
    <w:rsid w:val="00536E56"/>
    <w:rsid w:val="00541DE7"/>
    <w:rsid w:val="0054520F"/>
    <w:rsid w:val="00545E4B"/>
    <w:rsid w:val="00547C3D"/>
    <w:rsid w:val="00554174"/>
    <w:rsid w:val="00560178"/>
    <w:rsid w:val="0056428F"/>
    <w:rsid w:val="0056643A"/>
    <w:rsid w:val="00573973"/>
    <w:rsid w:val="00573CA0"/>
    <w:rsid w:val="005837BA"/>
    <w:rsid w:val="00583E8D"/>
    <w:rsid w:val="00586320"/>
    <w:rsid w:val="00597CEB"/>
    <w:rsid w:val="005A7456"/>
    <w:rsid w:val="005D0090"/>
    <w:rsid w:val="005D289E"/>
    <w:rsid w:val="005D33C8"/>
    <w:rsid w:val="005D46FE"/>
    <w:rsid w:val="005D5F56"/>
    <w:rsid w:val="005E4DCE"/>
    <w:rsid w:val="005E5045"/>
    <w:rsid w:val="005F1B51"/>
    <w:rsid w:val="005F78FD"/>
    <w:rsid w:val="00606A67"/>
    <w:rsid w:val="006120F4"/>
    <w:rsid w:val="00612897"/>
    <w:rsid w:val="00614917"/>
    <w:rsid w:val="00615084"/>
    <w:rsid w:val="0061753E"/>
    <w:rsid w:val="00620AD4"/>
    <w:rsid w:val="006256CC"/>
    <w:rsid w:val="006267B8"/>
    <w:rsid w:val="0063295B"/>
    <w:rsid w:val="00634EEE"/>
    <w:rsid w:val="006451A9"/>
    <w:rsid w:val="00645328"/>
    <w:rsid w:val="0064746F"/>
    <w:rsid w:val="00651366"/>
    <w:rsid w:val="00654E0C"/>
    <w:rsid w:val="00662601"/>
    <w:rsid w:val="00665D64"/>
    <w:rsid w:val="00674E72"/>
    <w:rsid w:val="00676188"/>
    <w:rsid w:val="00692C3C"/>
    <w:rsid w:val="006A4122"/>
    <w:rsid w:val="006A4DE8"/>
    <w:rsid w:val="006B0B91"/>
    <w:rsid w:val="006B2D9B"/>
    <w:rsid w:val="006B3F4F"/>
    <w:rsid w:val="006B6245"/>
    <w:rsid w:val="006C4B1E"/>
    <w:rsid w:val="006C5839"/>
    <w:rsid w:val="006D761D"/>
    <w:rsid w:val="006D77E8"/>
    <w:rsid w:val="006D7846"/>
    <w:rsid w:val="006D7FC4"/>
    <w:rsid w:val="006E0267"/>
    <w:rsid w:val="006E18D2"/>
    <w:rsid w:val="006E2DDA"/>
    <w:rsid w:val="006E4A74"/>
    <w:rsid w:val="006F1D3C"/>
    <w:rsid w:val="006F2EC9"/>
    <w:rsid w:val="0070180D"/>
    <w:rsid w:val="007055F3"/>
    <w:rsid w:val="0071476B"/>
    <w:rsid w:val="00717385"/>
    <w:rsid w:val="00721002"/>
    <w:rsid w:val="00727830"/>
    <w:rsid w:val="00730BA1"/>
    <w:rsid w:val="00735F8E"/>
    <w:rsid w:val="00740D76"/>
    <w:rsid w:val="00741ED8"/>
    <w:rsid w:val="00743182"/>
    <w:rsid w:val="00766A58"/>
    <w:rsid w:val="00774D14"/>
    <w:rsid w:val="00783D56"/>
    <w:rsid w:val="00794182"/>
    <w:rsid w:val="007A43F0"/>
    <w:rsid w:val="007B165D"/>
    <w:rsid w:val="007B5703"/>
    <w:rsid w:val="007C2803"/>
    <w:rsid w:val="007C2E05"/>
    <w:rsid w:val="007D0C81"/>
    <w:rsid w:val="007E032C"/>
    <w:rsid w:val="007E1962"/>
    <w:rsid w:val="007E43A6"/>
    <w:rsid w:val="007E76D6"/>
    <w:rsid w:val="007F34BB"/>
    <w:rsid w:val="007F71D8"/>
    <w:rsid w:val="0081036B"/>
    <w:rsid w:val="00816F55"/>
    <w:rsid w:val="0082373D"/>
    <w:rsid w:val="00823D22"/>
    <w:rsid w:val="0082767F"/>
    <w:rsid w:val="00834400"/>
    <w:rsid w:val="00840676"/>
    <w:rsid w:val="008444B7"/>
    <w:rsid w:val="00855C8A"/>
    <w:rsid w:val="008620BC"/>
    <w:rsid w:val="008656DF"/>
    <w:rsid w:val="008678D3"/>
    <w:rsid w:val="0087126E"/>
    <w:rsid w:val="00875A8B"/>
    <w:rsid w:val="00877054"/>
    <w:rsid w:val="00882651"/>
    <w:rsid w:val="00883B47"/>
    <w:rsid w:val="00885191"/>
    <w:rsid w:val="00895D6D"/>
    <w:rsid w:val="00896CF3"/>
    <w:rsid w:val="00897195"/>
    <w:rsid w:val="008A6EEC"/>
    <w:rsid w:val="008B1A79"/>
    <w:rsid w:val="008B20E9"/>
    <w:rsid w:val="008C75DC"/>
    <w:rsid w:val="008D560E"/>
    <w:rsid w:val="008E5BEC"/>
    <w:rsid w:val="008E629B"/>
    <w:rsid w:val="008E62BA"/>
    <w:rsid w:val="008F241E"/>
    <w:rsid w:val="008F5D3A"/>
    <w:rsid w:val="00900FA3"/>
    <w:rsid w:val="009027FB"/>
    <w:rsid w:val="00912531"/>
    <w:rsid w:val="00923444"/>
    <w:rsid w:val="009241B3"/>
    <w:rsid w:val="00926516"/>
    <w:rsid w:val="00926E11"/>
    <w:rsid w:val="00943891"/>
    <w:rsid w:val="00951585"/>
    <w:rsid w:val="00956C6D"/>
    <w:rsid w:val="00963246"/>
    <w:rsid w:val="00965257"/>
    <w:rsid w:val="0097711A"/>
    <w:rsid w:val="009779ED"/>
    <w:rsid w:val="009818D2"/>
    <w:rsid w:val="00985A17"/>
    <w:rsid w:val="009903F3"/>
    <w:rsid w:val="009A589A"/>
    <w:rsid w:val="009B19B7"/>
    <w:rsid w:val="009B6020"/>
    <w:rsid w:val="009B6267"/>
    <w:rsid w:val="009C10C6"/>
    <w:rsid w:val="009C61B4"/>
    <w:rsid w:val="009C7154"/>
    <w:rsid w:val="009D2DC2"/>
    <w:rsid w:val="009E04BC"/>
    <w:rsid w:val="009E2FC3"/>
    <w:rsid w:val="009E45E0"/>
    <w:rsid w:val="00A00BD3"/>
    <w:rsid w:val="00A0530E"/>
    <w:rsid w:val="00A30A89"/>
    <w:rsid w:val="00A326B6"/>
    <w:rsid w:val="00A35701"/>
    <w:rsid w:val="00A361DF"/>
    <w:rsid w:val="00A46577"/>
    <w:rsid w:val="00A52B4C"/>
    <w:rsid w:val="00A55024"/>
    <w:rsid w:val="00A6460E"/>
    <w:rsid w:val="00A66A8E"/>
    <w:rsid w:val="00A71760"/>
    <w:rsid w:val="00A71B4F"/>
    <w:rsid w:val="00A72493"/>
    <w:rsid w:val="00A77374"/>
    <w:rsid w:val="00A90862"/>
    <w:rsid w:val="00A90C38"/>
    <w:rsid w:val="00A92E56"/>
    <w:rsid w:val="00AA2B12"/>
    <w:rsid w:val="00AA3EA0"/>
    <w:rsid w:val="00AA52AD"/>
    <w:rsid w:val="00AA5E52"/>
    <w:rsid w:val="00AB0700"/>
    <w:rsid w:val="00AB1204"/>
    <w:rsid w:val="00AC414D"/>
    <w:rsid w:val="00AC7599"/>
    <w:rsid w:val="00AD47F4"/>
    <w:rsid w:val="00AE43B2"/>
    <w:rsid w:val="00AE5254"/>
    <w:rsid w:val="00B06371"/>
    <w:rsid w:val="00B102A6"/>
    <w:rsid w:val="00B115F9"/>
    <w:rsid w:val="00B11696"/>
    <w:rsid w:val="00B250DF"/>
    <w:rsid w:val="00B2756A"/>
    <w:rsid w:val="00B325D7"/>
    <w:rsid w:val="00B455CE"/>
    <w:rsid w:val="00B5054F"/>
    <w:rsid w:val="00B52684"/>
    <w:rsid w:val="00B608AF"/>
    <w:rsid w:val="00B80A0C"/>
    <w:rsid w:val="00B812CF"/>
    <w:rsid w:val="00B951CF"/>
    <w:rsid w:val="00BD477F"/>
    <w:rsid w:val="00BE4C0D"/>
    <w:rsid w:val="00BE5B3A"/>
    <w:rsid w:val="00BE6DCE"/>
    <w:rsid w:val="00BE779E"/>
    <w:rsid w:val="00BF3A53"/>
    <w:rsid w:val="00C14AFB"/>
    <w:rsid w:val="00C259C3"/>
    <w:rsid w:val="00C27F7E"/>
    <w:rsid w:val="00C31FF0"/>
    <w:rsid w:val="00C32366"/>
    <w:rsid w:val="00C35AB9"/>
    <w:rsid w:val="00C40E90"/>
    <w:rsid w:val="00C461FF"/>
    <w:rsid w:val="00C4728F"/>
    <w:rsid w:val="00C523B9"/>
    <w:rsid w:val="00C52E6B"/>
    <w:rsid w:val="00C605E2"/>
    <w:rsid w:val="00C663FB"/>
    <w:rsid w:val="00C67860"/>
    <w:rsid w:val="00C769E2"/>
    <w:rsid w:val="00C80255"/>
    <w:rsid w:val="00C913DE"/>
    <w:rsid w:val="00C9225C"/>
    <w:rsid w:val="00CA5D66"/>
    <w:rsid w:val="00CA6496"/>
    <w:rsid w:val="00CD0F27"/>
    <w:rsid w:val="00CD31B2"/>
    <w:rsid w:val="00CD6BCF"/>
    <w:rsid w:val="00CE1980"/>
    <w:rsid w:val="00D025ED"/>
    <w:rsid w:val="00D05440"/>
    <w:rsid w:val="00D062EB"/>
    <w:rsid w:val="00D237E6"/>
    <w:rsid w:val="00D25FED"/>
    <w:rsid w:val="00D40ED6"/>
    <w:rsid w:val="00D510C4"/>
    <w:rsid w:val="00D51C49"/>
    <w:rsid w:val="00D554F2"/>
    <w:rsid w:val="00D56DBE"/>
    <w:rsid w:val="00D66607"/>
    <w:rsid w:val="00D67A34"/>
    <w:rsid w:val="00D71622"/>
    <w:rsid w:val="00D73CBF"/>
    <w:rsid w:val="00D76F6F"/>
    <w:rsid w:val="00D866A8"/>
    <w:rsid w:val="00D95C35"/>
    <w:rsid w:val="00D97A03"/>
    <w:rsid w:val="00DB1648"/>
    <w:rsid w:val="00DB4AC6"/>
    <w:rsid w:val="00DC0B66"/>
    <w:rsid w:val="00DC3930"/>
    <w:rsid w:val="00DC5151"/>
    <w:rsid w:val="00DD408C"/>
    <w:rsid w:val="00DD5494"/>
    <w:rsid w:val="00DE09B7"/>
    <w:rsid w:val="00DE6F8C"/>
    <w:rsid w:val="00DF1114"/>
    <w:rsid w:val="00DF1976"/>
    <w:rsid w:val="00DF3B5A"/>
    <w:rsid w:val="00DF3D6A"/>
    <w:rsid w:val="00DF5E3B"/>
    <w:rsid w:val="00E10C25"/>
    <w:rsid w:val="00E10C89"/>
    <w:rsid w:val="00E21236"/>
    <w:rsid w:val="00E330BD"/>
    <w:rsid w:val="00E370D3"/>
    <w:rsid w:val="00E508BB"/>
    <w:rsid w:val="00E526AE"/>
    <w:rsid w:val="00E55DEE"/>
    <w:rsid w:val="00E63E2D"/>
    <w:rsid w:val="00E75CE5"/>
    <w:rsid w:val="00E75E54"/>
    <w:rsid w:val="00E825EE"/>
    <w:rsid w:val="00E83E79"/>
    <w:rsid w:val="00E91AB8"/>
    <w:rsid w:val="00E9358D"/>
    <w:rsid w:val="00EA4131"/>
    <w:rsid w:val="00EA4542"/>
    <w:rsid w:val="00EB0BB5"/>
    <w:rsid w:val="00EB1E34"/>
    <w:rsid w:val="00EB2CCF"/>
    <w:rsid w:val="00EB4A4C"/>
    <w:rsid w:val="00EB5C39"/>
    <w:rsid w:val="00EB616E"/>
    <w:rsid w:val="00EB6929"/>
    <w:rsid w:val="00EC00F5"/>
    <w:rsid w:val="00EC3E82"/>
    <w:rsid w:val="00EC65B0"/>
    <w:rsid w:val="00ED7C40"/>
    <w:rsid w:val="00EE6A24"/>
    <w:rsid w:val="00EF3E23"/>
    <w:rsid w:val="00EF6977"/>
    <w:rsid w:val="00F073D3"/>
    <w:rsid w:val="00F13B75"/>
    <w:rsid w:val="00F1604C"/>
    <w:rsid w:val="00F22AF8"/>
    <w:rsid w:val="00F23155"/>
    <w:rsid w:val="00F238DB"/>
    <w:rsid w:val="00F318FC"/>
    <w:rsid w:val="00F3248D"/>
    <w:rsid w:val="00F32971"/>
    <w:rsid w:val="00F32FDA"/>
    <w:rsid w:val="00F4012B"/>
    <w:rsid w:val="00F4264C"/>
    <w:rsid w:val="00F429EB"/>
    <w:rsid w:val="00F50303"/>
    <w:rsid w:val="00F50A6C"/>
    <w:rsid w:val="00F63ADB"/>
    <w:rsid w:val="00F63DAD"/>
    <w:rsid w:val="00F64A8E"/>
    <w:rsid w:val="00F651DA"/>
    <w:rsid w:val="00F750D4"/>
    <w:rsid w:val="00F762C0"/>
    <w:rsid w:val="00F93B49"/>
    <w:rsid w:val="00F9614A"/>
    <w:rsid w:val="00F962D4"/>
    <w:rsid w:val="00FA0BEB"/>
    <w:rsid w:val="00FA0EC2"/>
    <w:rsid w:val="00FA1FE4"/>
    <w:rsid w:val="00FA549C"/>
    <w:rsid w:val="00FB0797"/>
    <w:rsid w:val="00FB30A3"/>
    <w:rsid w:val="00FB4E9A"/>
    <w:rsid w:val="00FB6CFB"/>
    <w:rsid w:val="00FC09D3"/>
    <w:rsid w:val="00FC1DB9"/>
    <w:rsid w:val="00FD5F57"/>
    <w:rsid w:val="00FE4129"/>
    <w:rsid w:val="00FE7E69"/>
    <w:rsid w:val="00FF546D"/>
    <w:rsid w:val="00FF7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A8CEF"/>
  <w15:chartTrackingRefBased/>
  <w15:docId w15:val="{D4155FAE-A3FB-4BD4-9911-8BA60B0A8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2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2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2AD"/>
    <w:rPr>
      <w:rFonts w:eastAsiaTheme="majorEastAsia" w:cstheme="majorBidi"/>
      <w:color w:val="272727" w:themeColor="text1" w:themeTint="D8"/>
    </w:rPr>
  </w:style>
  <w:style w:type="paragraph" w:styleId="Title">
    <w:name w:val="Title"/>
    <w:basedOn w:val="Normal"/>
    <w:next w:val="Normal"/>
    <w:link w:val="TitleChar"/>
    <w:uiPriority w:val="10"/>
    <w:qFormat/>
    <w:rsid w:val="00AA5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2AD"/>
    <w:pPr>
      <w:spacing w:before="160"/>
      <w:jc w:val="center"/>
    </w:pPr>
    <w:rPr>
      <w:i/>
      <w:iCs/>
      <w:color w:val="404040" w:themeColor="text1" w:themeTint="BF"/>
    </w:rPr>
  </w:style>
  <w:style w:type="character" w:customStyle="1" w:styleId="QuoteChar">
    <w:name w:val="Quote Char"/>
    <w:basedOn w:val="DefaultParagraphFont"/>
    <w:link w:val="Quote"/>
    <w:uiPriority w:val="29"/>
    <w:rsid w:val="00AA52AD"/>
    <w:rPr>
      <w:i/>
      <w:iCs/>
      <w:color w:val="404040" w:themeColor="text1" w:themeTint="BF"/>
    </w:rPr>
  </w:style>
  <w:style w:type="paragraph" w:styleId="ListParagraph">
    <w:name w:val="List Paragraph"/>
    <w:basedOn w:val="Normal"/>
    <w:uiPriority w:val="34"/>
    <w:qFormat/>
    <w:rsid w:val="00AA52AD"/>
    <w:pPr>
      <w:ind w:left="720"/>
      <w:contextualSpacing/>
    </w:pPr>
  </w:style>
  <w:style w:type="character" w:styleId="IntenseEmphasis">
    <w:name w:val="Intense Emphasis"/>
    <w:basedOn w:val="DefaultParagraphFont"/>
    <w:uiPriority w:val="21"/>
    <w:qFormat/>
    <w:rsid w:val="00AA52AD"/>
    <w:rPr>
      <w:i/>
      <w:iCs/>
      <w:color w:val="0F4761" w:themeColor="accent1" w:themeShade="BF"/>
    </w:rPr>
  </w:style>
  <w:style w:type="paragraph" w:styleId="IntenseQuote">
    <w:name w:val="Intense Quote"/>
    <w:basedOn w:val="Normal"/>
    <w:next w:val="Normal"/>
    <w:link w:val="IntenseQuoteChar"/>
    <w:uiPriority w:val="30"/>
    <w:qFormat/>
    <w:rsid w:val="00AA5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2AD"/>
    <w:rPr>
      <w:i/>
      <w:iCs/>
      <w:color w:val="0F4761" w:themeColor="accent1" w:themeShade="BF"/>
    </w:rPr>
  </w:style>
  <w:style w:type="character" w:styleId="IntenseReference">
    <w:name w:val="Intense Reference"/>
    <w:basedOn w:val="DefaultParagraphFont"/>
    <w:uiPriority w:val="32"/>
    <w:qFormat/>
    <w:rsid w:val="00AA52AD"/>
    <w:rPr>
      <w:b/>
      <w:bCs/>
      <w:smallCaps/>
      <w:color w:val="0F4761" w:themeColor="accent1" w:themeShade="BF"/>
      <w:spacing w:val="5"/>
    </w:rPr>
  </w:style>
  <w:style w:type="character" w:styleId="Hyperlink">
    <w:name w:val="Hyperlink"/>
    <w:basedOn w:val="DefaultParagraphFont"/>
    <w:uiPriority w:val="99"/>
    <w:unhideWhenUsed/>
    <w:rsid w:val="00AA52AD"/>
    <w:rPr>
      <w:color w:val="467886" w:themeColor="hyperlink"/>
      <w:u w:val="single"/>
    </w:rPr>
  </w:style>
  <w:style w:type="character" w:styleId="UnresolvedMention">
    <w:name w:val="Unresolved Mention"/>
    <w:basedOn w:val="DefaultParagraphFont"/>
    <w:uiPriority w:val="99"/>
    <w:semiHidden/>
    <w:unhideWhenUsed/>
    <w:rsid w:val="00AA52AD"/>
    <w:rPr>
      <w:color w:val="605E5C"/>
      <w:shd w:val="clear" w:color="auto" w:fill="E1DFDD"/>
    </w:rPr>
  </w:style>
  <w:style w:type="paragraph" w:styleId="NoSpacing">
    <w:name w:val="No Spacing"/>
    <w:uiPriority w:val="1"/>
    <w:qFormat/>
    <w:rsid w:val="001C3D2F"/>
    <w:pPr>
      <w:spacing w:after="0" w:line="240" w:lineRule="auto"/>
    </w:pPr>
  </w:style>
  <w:style w:type="paragraph" w:styleId="Header">
    <w:name w:val="header"/>
    <w:basedOn w:val="Normal"/>
    <w:link w:val="HeaderChar"/>
    <w:uiPriority w:val="99"/>
    <w:unhideWhenUsed/>
    <w:rsid w:val="00586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320"/>
  </w:style>
  <w:style w:type="paragraph" w:styleId="Footer">
    <w:name w:val="footer"/>
    <w:basedOn w:val="Normal"/>
    <w:link w:val="FooterChar"/>
    <w:uiPriority w:val="99"/>
    <w:unhideWhenUsed/>
    <w:rsid w:val="00586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141024">
      <w:bodyDiv w:val="1"/>
      <w:marLeft w:val="0"/>
      <w:marRight w:val="0"/>
      <w:marTop w:val="0"/>
      <w:marBottom w:val="0"/>
      <w:divBdr>
        <w:top w:val="none" w:sz="0" w:space="0" w:color="auto"/>
        <w:left w:val="none" w:sz="0" w:space="0" w:color="auto"/>
        <w:bottom w:val="none" w:sz="0" w:space="0" w:color="auto"/>
        <w:right w:val="none" w:sz="0" w:space="0" w:color="auto"/>
      </w:divBdr>
      <w:divsChild>
        <w:div w:id="662970071">
          <w:marLeft w:val="0"/>
          <w:marRight w:val="0"/>
          <w:marTop w:val="0"/>
          <w:marBottom w:val="0"/>
          <w:divBdr>
            <w:top w:val="single" w:sz="2" w:space="0" w:color="E3E3E3"/>
            <w:left w:val="single" w:sz="2" w:space="0" w:color="E3E3E3"/>
            <w:bottom w:val="single" w:sz="2" w:space="0" w:color="E3E3E3"/>
            <w:right w:val="single" w:sz="2" w:space="0" w:color="E3E3E3"/>
          </w:divBdr>
          <w:divsChild>
            <w:div w:id="451362761">
              <w:marLeft w:val="0"/>
              <w:marRight w:val="0"/>
              <w:marTop w:val="0"/>
              <w:marBottom w:val="0"/>
              <w:divBdr>
                <w:top w:val="single" w:sz="2" w:space="0" w:color="E3E3E3"/>
                <w:left w:val="single" w:sz="2" w:space="0" w:color="E3E3E3"/>
                <w:bottom w:val="single" w:sz="2" w:space="0" w:color="E3E3E3"/>
                <w:right w:val="single" w:sz="2" w:space="0" w:color="E3E3E3"/>
              </w:divBdr>
              <w:divsChild>
                <w:div w:id="1318923281">
                  <w:marLeft w:val="0"/>
                  <w:marRight w:val="0"/>
                  <w:marTop w:val="0"/>
                  <w:marBottom w:val="0"/>
                  <w:divBdr>
                    <w:top w:val="single" w:sz="2" w:space="0" w:color="E3E3E3"/>
                    <w:left w:val="single" w:sz="2" w:space="0" w:color="E3E3E3"/>
                    <w:bottom w:val="single" w:sz="2" w:space="0" w:color="E3E3E3"/>
                    <w:right w:val="single" w:sz="2" w:space="0" w:color="E3E3E3"/>
                  </w:divBdr>
                  <w:divsChild>
                    <w:div w:id="1855219998">
                      <w:marLeft w:val="0"/>
                      <w:marRight w:val="0"/>
                      <w:marTop w:val="0"/>
                      <w:marBottom w:val="0"/>
                      <w:divBdr>
                        <w:top w:val="single" w:sz="2" w:space="0" w:color="E3E3E3"/>
                        <w:left w:val="single" w:sz="2" w:space="0" w:color="E3E3E3"/>
                        <w:bottom w:val="single" w:sz="2" w:space="0" w:color="E3E3E3"/>
                        <w:right w:val="single" w:sz="2" w:space="0" w:color="E3E3E3"/>
                      </w:divBdr>
                      <w:divsChild>
                        <w:div w:id="717172415">
                          <w:marLeft w:val="0"/>
                          <w:marRight w:val="0"/>
                          <w:marTop w:val="0"/>
                          <w:marBottom w:val="0"/>
                          <w:divBdr>
                            <w:top w:val="single" w:sz="2" w:space="0" w:color="E3E3E3"/>
                            <w:left w:val="single" w:sz="2" w:space="0" w:color="E3E3E3"/>
                            <w:bottom w:val="single" w:sz="2" w:space="0" w:color="E3E3E3"/>
                            <w:right w:val="single" w:sz="2" w:space="0" w:color="E3E3E3"/>
                          </w:divBdr>
                          <w:divsChild>
                            <w:div w:id="1003777910">
                              <w:marLeft w:val="0"/>
                              <w:marRight w:val="0"/>
                              <w:marTop w:val="100"/>
                              <w:marBottom w:val="100"/>
                              <w:divBdr>
                                <w:top w:val="single" w:sz="2" w:space="0" w:color="E3E3E3"/>
                                <w:left w:val="single" w:sz="2" w:space="0" w:color="E3E3E3"/>
                                <w:bottom w:val="single" w:sz="2" w:space="0" w:color="E3E3E3"/>
                                <w:right w:val="single" w:sz="2" w:space="0" w:color="E3E3E3"/>
                              </w:divBdr>
                              <w:divsChild>
                                <w:div w:id="197163228">
                                  <w:marLeft w:val="0"/>
                                  <w:marRight w:val="0"/>
                                  <w:marTop w:val="0"/>
                                  <w:marBottom w:val="0"/>
                                  <w:divBdr>
                                    <w:top w:val="single" w:sz="2" w:space="0" w:color="E3E3E3"/>
                                    <w:left w:val="single" w:sz="2" w:space="0" w:color="E3E3E3"/>
                                    <w:bottom w:val="single" w:sz="2" w:space="0" w:color="E3E3E3"/>
                                    <w:right w:val="single" w:sz="2" w:space="0" w:color="E3E3E3"/>
                                  </w:divBdr>
                                  <w:divsChild>
                                    <w:div w:id="208147551">
                                      <w:marLeft w:val="0"/>
                                      <w:marRight w:val="0"/>
                                      <w:marTop w:val="0"/>
                                      <w:marBottom w:val="0"/>
                                      <w:divBdr>
                                        <w:top w:val="single" w:sz="2" w:space="0" w:color="E3E3E3"/>
                                        <w:left w:val="single" w:sz="2" w:space="0" w:color="E3E3E3"/>
                                        <w:bottom w:val="single" w:sz="2" w:space="0" w:color="E3E3E3"/>
                                        <w:right w:val="single" w:sz="2" w:space="0" w:color="E3E3E3"/>
                                      </w:divBdr>
                                      <w:divsChild>
                                        <w:div w:id="1034699100">
                                          <w:marLeft w:val="0"/>
                                          <w:marRight w:val="0"/>
                                          <w:marTop w:val="0"/>
                                          <w:marBottom w:val="0"/>
                                          <w:divBdr>
                                            <w:top w:val="single" w:sz="2" w:space="0" w:color="E3E3E3"/>
                                            <w:left w:val="single" w:sz="2" w:space="0" w:color="E3E3E3"/>
                                            <w:bottom w:val="single" w:sz="2" w:space="0" w:color="E3E3E3"/>
                                            <w:right w:val="single" w:sz="2" w:space="0" w:color="E3E3E3"/>
                                          </w:divBdr>
                                          <w:divsChild>
                                            <w:div w:id="258343124">
                                              <w:marLeft w:val="0"/>
                                              <w:marRight w:val="0"/>
                                              <w:marTop w:val="0"/>
                                              <w:marBottom w:val="0"/>
                                              <w:divBdr>
                                                <w:top w:val="single" w:sz="2" w:space="0" w:color="E3E3E3"/>
                                                <w:left w:val="single" w:sz="2" w:space="0" w:color="E3E3E3"/>
                                                <w:bottom w:val="single" w:sz="2" w:space="0" w:color="E3E3E3"/>
                                                <w:right w:val="single" w:sz="2" w:space="0" w:color="E3E3E3"/>
                                              </w:divBdr>
                                              <w:divsChild>
                                                <w:div w:id="1991516993">
                                                  <w:marLeft w:val="0"/>
                                                  <w:marRight w:val="0"/>
                                                  <w:marTop w:val="0"/>
                                                  <w:marBottom w:val="0"/>
                                                  <w:divBdr>
                                                    <w:top w:val="single" w:sz="2" w:space="0" w:color="E3E3E3"/>
                                                    <w:left w:val="single" w:sz="2" w:space="0" w:color="E3E3E3"/>
                                                    <w:bottom w:val="single" w:sz="2" w:space="0" w:color="E3E3E3"/>
                                                    <w:right w:val="single" w:sz="2" w:space="0" w:color="E3E3E3"/>
                                                  </w:divBdr>
                                                  <w:divsChild>
                                                    <w:div w:id="5728540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99342897">
          <w:marLeft w:val="0"/>
          <w:marRight w:val="0"/>
          <w:marTop w:val="0"/>
          <w:marBottom w:val="0"/>
          <w:divBdr>
            <w:top w:val="none" w:sz="0" w:space="0" w:color="auto"/>
            <w:left w:val="none" w:sz="0" w:space="0" w:color="auto"/>
            <w:bottom w:val="none" w:sz="0" w:space="0" w:color="auto"/>
            <w:right w:val="none" w:sz="0" w:space="0" w:color="auto"/>
          </w:divBdr>
        </w:div>
      </w:divsChild>
    </w:div>
    <w:div w:id="122358352">
      <w:bodyDiv w:val="1"/>
      <w:marLeft w:val="0"/>
      <w:marRight w:val="0"/>
      <w:marTop w:val="0"/>
      <w:marBottom w:val="0"/>
      <w:divBdr>
        <w:top w:val="none" w:sz="0" w:space="0" w:color="auto"/>
        <w:left w:val="none" w:sz="0" w:space="0" w:color="auto"/>
        <w:bottom w:val="none" w:sz="0" w:space="0" w:color="auto"/>
        <w:right w:val="none" w:sz="0" w:space="0" w:color="auto"/>
      </w:divBdr>
      <w:divsChild>
        <w:div w:id="1281765784">
          <w:marLeft w:val="0"/>
          <w:marRight w:val="0"/>
          <w:marTop w:val="0"/>
          <w:marBottom w:val="0"/>
          <w:divBdr>
            <w:top w:val="single" w:sz="2" w:space="0" w:color="E3E3E3"/>
            <w:left w:val="single" w:sz="2" w:space="0" w:color="E3E3E3"/>
            <w:bottom w:val="single" w:sz="2" w:space="0" w:color="E3E3E3"/>
            <w:right w:val="single" w:sz="2" w:space="0" w:color="E3E3E3"/>
          </w:divBdr>
          <w:divsChild>
            <w:div w:id="1391534204">
              <w:marLeft w:val="0"/>
              <w:marRight w:val="0"/>
              <w:marTop w:val="0"/>
              <w:marBottom w:val="0"/>
              <w:divBdr>
                <w:top w:val="single" w:sz="2" w:space="0" w:color="E3E3E3"/>
                <w:left w:val="single" w:sz="2" w:space="0" w:color="E3E3E3"/>
                <w:bottom w:val="single" w:sz="2" w:space="0" w:color="E3E3E3"/>
                <w:right w:val="single" w:sz="2" w:space="0" w:color="E3E3E3"/>
              </w:divBdr>
              <w:divsChild>
                <w:div w:id="1661233225">
                  <w:marLeft w:val="0"/>
                  <w:marRight w:val="0"/>
                  <w:marTop w:val="0"/>
                  <w:marBottom w:val="0"/>
                  <w:divBdr>
                    <w:top w:val="single" w:sz="2" w:space="0" w:color="E3E3E3"/>
                    <w:left w:val="single" w:sz="2" w:space="0" w:color="E3E3E3"/>
                    <w:bottom w:val="single" w:sz="2" w:space="0" w:color="E3E3E3"/>
                    <w:right w:val="single" w:sz="2" w:space="0" w:color="E3E3E3"/>
                  </w:divBdr>
                  <w:divsChild>
                    <w:div w:id="1876234991">
                      <w:marLeft w:val="0"/>
                      <w:marRight w:val="0"/>
                      <w:marTop w:val="0"/>
                      <w:marBottom w:val="0"/>
                      <w:divBdr>
                        <w:top w:val="single" w:sz="2" w:space="0" w:color="E3E3E3"/>
                        <w:left w:val="single" w:sz="2" w:space="0" w:color="E3E3E3"/>
                        <w:bottom w:val="single" w:sz="2" w:space="0" w:color="E3E3E3"/>
                        <w:right w:val="single" w:sz="2" w:space="0" w:color="E3E3E3"/>
                      </w:divBdr>
                      <w:divsChild>
                        <w:div w:id="1191261774">
                          <w:marLeft w:val="0"/>
                          <w:marRight w:val="0"/>
                          <w:marTop w:val="0"/>
                          <w:marBottom w:val="0"/>
                          <w:divBdr>
                            <w:top w:val="single" w:sz="2" w:space="0" w:color="E3E3E3"/>
                            <w:left w:val="single" w:sz="2" w:space="0" w:color="E3E3E3"/>
                            <w:bottom w:val="single" w:sz="2" w:space="0" w:color="E3E3E3"/>
                            <w:right w:val="single" w:sz="2" w:space="0" w:color="E3E3E3"/>
                          </w:divBdr>
                          <w:divsChild>
                            <w:div w:id="5368155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06227541">
                                  <w:marLeft w:val="0"/>
                                  <w:marRight w:val="0"/>
                                  <w:marTop w:val="0"/>
                                  <w:marBottom w:val="0"/>
                                  <w:divBdr>
                                    <w:top w:val="single" w:sz="2" w:space="0" w:color="E3E3E3"/>
                                    <w:left w:val="single" w:sz="2" w:space="0" w:color="E3E3E3"/>
                                    <w:bottom w:val="single" w:sz="2" w:space="0" w:color="E3E3E3"/>
                                    <w:right w:val="single" w:sz="2" w:space="0" w:color="E3E3E3"/>
                                  </w:divBdr>
                                  <w:divsChild>
                                    <w:div w:id="1526287168">
                                      <w:marLeft w:val="0"/>
                                      <w:marRight w:val="0"/>
                                      <w:marTop w:val="0"/>
                                      <w:marBottom w:val="0"/>
                                      <w:divBdr>
                                        <w:top w:val="single" w:sz="2" w:space="0" w:color="E3E3E3"/>
                                        <w:left w:val="single" w:sz="2" w:space="0" w:color="E3E3E3"/>
                                        <w:bottom w:val="single" w:sz="2" w:space="0" w:color="E3E3E3"/>
                                        <w:right w:val="single" w:sz="2" w:space="0" w:color="E3E3E3"/>
                                      </w:divBdr>
                                      <w:divsChild>
                                        <w:div w:id="775710379">
                                          <w:marLeft w:val="0"/>
                                          <w:marRight w:val="0"/>
                                          <w:marTop w:val="0"/>
                                          <w:marBottom w:val="0"/>
                                          <w:divBdr>
                                            <w:top w:val="single" w:sz="2" w:space="0" w:color="E3E3E3"/>
                                            <w:left w:val="single" w:sz="2" w:space="0" w:color="E3E3E3"/>
                                            <w:bottom w:val="single" w:sz="2" w:space="0" w:color="E3E3E3"/>
                                            <w:right w:val="single" w:sz="2" w:space="0" w:color="E3E3E3"/>
                                          </w:divBdr>
                                          <w:divsChild>
                                            <w:div w:id="1601644528">
                                              <w:marLeft w:val="0"/>
                                              <w:marRight w:val="0"/>
                                              <w:marTop w:val="0"/>
                                              <w:marBottom w:val="0"/>
                                              <w:divBdr>
                                                <w:top w:val="single" w:sz="2" w:space="0" w:color="E3E3E3"/>
                                                <w:left w:val="single" w:sz="2" w:space="0" w:color="E3E3E3"/>
                                                <w:bottom w:val="single" w:sz="2" w:space="0" w:color="E3E3E3"/>
                                                <w:right w:val="single" w:sz="2" w:space="0" w:color="E3E3E3"/>
                                              </w:divBdr>
                                              <w:divsChild>
                                                <w:div w:id="803235362">
                                                  <w:marLeft w:val="0"/>
                                                  <w:marRight w:val="0"/>
                                                  <w:marTop w:val="0"/>
                                                  <w:marBottom w:val="0"/>
                                                  <w:divBdr>
                                                    <w:top w:val="single" w:sz="2" w:space="0" w:color="E3E3E3"/>
                                                    <w:left w:val="single" w:sz="2" w:space="0" w:color="E3E3E3"/>
                                                    <w:bottom w:val="single" w:sz="2" w:space="0" w:color="E3E3E3"/>
                                                    <w:right w:val="single" w:sz="2" w:space="0" w:color="E3E3E3"/>
                                                  </w:divBdr>
                                                  <w:divsChild>
                                                    <w:div w:id="1938975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9569539">
          <w:marLeft w:val="0"/>
          <w:marRight w:val="0"/>
          <w:marTop w:val="0"/>
          <w:marBottom w:val="0"/>
          <w:divBdr>
            <w:top w:val="none" w:sz="0" w:space="0" w:color="auto"/>
            <w:left w:val="none" w:sz="0" w:space="0" w:color="auto"/>
            <w:bottom w:val="none" w:sz="0" w:space="0" w:color="auto"/>
            <w:right w:val="none" w:sz="0" w:space="0" w:color="auto"/>
          </w:divBdr>
        </w:div>
      </w:divsChild>
    </w:div>
    <w:div w:id="226888207">
      <w:bodyDiv w:val="1"/>
      <w:marLeft w:val="0"/>
      <w:marRight w:val="0"/>
      <w:marTop w:val="0"/>
      <w:marBottom w:val="0"/>
      <w:divBdr>
        <w:top w:val="none" w:sz="0" w:space="0" w:color="auto"/>
        <w:left w:val="none" w:sz="0" w:space="0" w:color="auto"/>
        <w:bottom w:val="none" w:sz="0" w:space="0" w:color="auto"/>
        <w:right w:val="none" w:sz="0" w:space="0" w:color="auto"/>
      </w:divBdr>
    </w:div>
    <w:div w:id="634481808">
      <w:bodyDiv w:val="1"/>
      <w:marLeft w:val="0"/>
      <w:marRight w:val="0"/>
      <w:marTop w:val="0"/>
      <w:marBottom w:val="0"/>
      <w:divBdr>
        <w:top w:val="none" w:sz="0" w:space="0" w:color="auto"/>
        <w:left w:val="none" w:sz="0" w:space="0" w:color="auto"/>
        <w:bottom w:val="none" w:sz="0" w:space="0" w:color="auto"/>
        <w:right w:val="none" w:sz="0" w:space="0" w:color="auto"/>
      </w:divBdr>
    </w:div>
    <w:div w:id="828133001">
      <w:bodyDiv w:val="1"/>
      <w:marLeft w:val="0"/>
      <w:marRight w:val="0"/>
      <w:marTop w:val="0"/>
      <w:marBottom w:val="0"/>
      <w:divBdr>
        <w:top w:val="none" w:sz="0" w:space="0" w:color="auto"/>
        <w:left w:val="none" w:sz="0" w:space="0" w:color="auto"/>
        <w:bottom w:val="none" w:sz="0" w:space="0" w:color="auto"/>
        <w:right w:val="none" w:sz="0" w:space="0" w:color="auto"/>
      </w:divBdr>
    </w:div>
    <w:div w:id="1087267344">
      <w:bodyDiv w:val="1"/>
      <w:marLeft w:val="0"/>
      <w:marRight w:val="0"/>
      <w:marTop w:val="0"/>
      <w:marBottom w:val="0"/>
      <w:divBdr>
        <w:top w:val="none" w:sz="0" w:space="0" w:color="auto"/>
        <w:left w:val="none" w:sz="0" w:space="0" w:color="auto"/>
        <w:bottom w:val="none" w:sz="0" w:space="0" w:color="auto"/>
        <w:right w:val="none" w:sz="0" w:space="0" w:color="auto"/>
      </w:divBdr>
    </w:div>
    <w:div w:id="1300182514">
      <w:bodyDiv w:val="1"/>
      <w:marLeft w:val="0"/>
      <w:marRight w:val="0"/>
      <w:marTop w:val="0"/>
      <w:marBottom w:val="0"/>
      <w:divBdr>
        <w:top w:val="none" w:sz="0" w:space="0" w:color="auto"/>
        <w:left w:val="none" w:sz="0" w:space="0" w:color="auto"/>
        <w:bottom w:val="none" w:sz="0" w:space="0" w:color="auto"/>
        <w:right w:val="none" w:sz="0" w:space="0" w:color="auto"/>
      </w:divBdr>
    </w:div>
    <w:div w:id="1604067921">
      <w:bodyDiv w:val="1"/>
      <w:marLeft w:val="0"/>
      <w:marRight w:val="0"/>
      <w:marTop w:val="0"/>
      <w:marBottom w:val="0"/>
      <w:divBdr>
        <w:top w:val="none" w:sz="0" w:space="0" w:color="auto"/>
        <w:left w:val="none" w:sz="0" w:space="0" w:color="auto"/>
        <w:bottom w:val="none" w:sz="0" w:space="0" w:color="auto"/>
        <w:right w:val="none" w:sz="0" w:space="0" w:color="auto"/>
      </w:divBdr>
    </w:div>
    <w:div w:id="1779256662">
      <w:bodyDiv w:val="1"/>
      <w:marLeft w:val="0"/>
      <w:marRight w:val="0"/>
      <w:marTop w:val="0"/>
      <w:marBottom w:val="0"/>
      <w:divBdr>
        <w:top w:val="none" w:sz="0" w:space="0" w:color="auto"/>
        <w:left w:val="none" w:sz="0" w:space="0" w:color="auto"/>
        <w:bottom w:val="none" w:sz="0" w:space="0" w:color="auto"/>
        <w:right w:val="none" w:sz="0" w:space="0" w:color="auto"/>
      </w:divBdr>
      <w:divsChild>
        <w:div w:id="253707501">
          <w:marLeft w:val="0"/>
          <w:marRight w:val="0"/>
          <w:marTop w:val="0"/>
          <w:marBottom w:val="0"/>
          <w:divBdr>
            <w:top w:val="none" w:sz="0" w:space="0" w:color="auto"/>
            <w:left w:val="none" w:sz="0" w:space="0" w:color="auto"/>
            <w:bottom w:val="none" w:sz="0" w:space="0" w:color="auto"/>
            <w:right w:val="none" w:sz="0" w:space="0" w:color="auto"/>
          </w:divBdr>
          <w:divsChild>
            <w:div w:id="1190335543">
              <w:marLeft w:val="0"/>
              <w:marRight w:val="0"/>
              <w:marTop w:val="0"/>
              <w:marBottom w:val="0"/>
              <w:divBdr>
                <w:top w:val="none" w:sz="0" w:space="0" w:color="auto"/>
                <w:left w:val="none" w:sz="0" w:space="0" w:color="auto"/>
                <w:bottom w:val="none" w:sz="0" w:space="0" w:color="auto"/>
                <w:right w:val="none" w:sz="0" w:space="0" w:color="auto"/>
              </w:divBdr>
            </w:div>
          </w:divsChild>
        </w:div>
        <w:div w:id="1453479541">
          <w:marLeft w:val="0"/>
          <w:marRight w:val="0"/>
          <w:marTop w:val="0"/>
          <w:marBottom w:val="0"/>
          <w:divBdr>
            <w:top w:val="none" w:sz="0" w:space="0" w:color="auto"/>
            <w:left w:val="none" w:sz="0" w:space="0" w:color="auto"/>
            <w:bottom w:val="none" w:sz="0" w:space="0" w:color="auto"/>
            <w:right w:val="none" w:sz="0" w:space="0" w:color="auto"/>
          </w:divBdr>
          <w:divsChild>
            <w:div w:id="11309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583682">
      <w:bodyDiv w:val="1"/>
      <w:marLeft w:val="0"/>
      <w:marRight w:val="0"/>
      <w:marTop w:val="0"/>
      <w:marBottom w:val="0"/>
      <w:divBdr>
        <w:top w:val="none" w:sz="0" w:space="0" w:color="auto"/>
        <w:left w:val="none" w:sz="0" w:space="0" w:color="auto"/>
        <w:bottom w:val="none" w:sz="0" w:space="0" w:color="auto"/>
        <w:right w:val="none" w:sz="0" w:space="0" w:color="auto"/>
      </w:divBdr>
    </w:div>
    <w:div w:id="1793280204">
      <w:bodyDiv w:val="1"/>
      <w:marLeft w:val="0"/>
      <w:marRight w:val="0"/>
      <w:marTop w:val="0"/>
      <w:marBottom w:val="0"/>
      <w:divBdr>
        <w:top w:val="none" w:sz="0" w:space="0" w:color="auto"/>
        <w:left w:val="none" w:sz="0" w:space="0" w:color="auto"/>
        <w:bottom w:val="none" w:sz="0" w:space="0" w:color="auto"/>
        <w:right w:val="none" w:sz="0" w:space="0" w:color="auto"/>
      </w:divBdr>
    </w:div>
    <w:div w:id="1832066696">
      <w:bodyDiv w:val="1"/>
      <w:marLeft w:val="0"/>
      <w:marRight w:val="0"/>
      <w:marTop w:val="0"/>
      <w:marBottom w:val="0"/>
      <w:divBdr>
        <w:top w:val="none" w:sz="0" w:space="0" w:color="auto"/>
        <w:left w:val="none" w:sz="0" w:space="0" w:color="auto"/>
        <w:bottom w:val="none" w:sz="0" w:space="0" w:color="auto"/>
        <w:right w:val="none" w:sz="0" w:space="0" w:color="auto"/>
      </w:divBdr>
    </w:div>
    <w:div w:id="1909802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603108.2017.1375442" TargetMode="External"/><Relationship Id="rId18" Type="http://schemas.openxmlformats.org/officeDocument/2006/relationships/hyperlink" Target="https://glean.co/" TargetMode="External"/><Relationship Id="rId26" Type="http://schemas.openxmlformats.org/officeDocument/2006/relationships/hyperlink" Target="https://doi.org/10.1080/0309877X.2021.2003307" TargetMode="External"/><Relationship Id="rId39" Type="http://schemas.openxmlformats.org/officeDocument/2006/relationships/footer" Target="footer2.xml"/><Relationship Id="rId21" Type="http://schemas.openxmlformats.org/officeDocument/2006/relationships/hyperlink" Target="https://www.gov.uk/student-finance/extra-help" TargetMode="External"/><Relationship Id="rId34" Type="http://schemas.openxmlformats.org/officeDocument/2006/relationships/hyperlink" Target="https://business.senedd.wales/mgIssueHistoryHome.aspx?IId=9722" TargetMode="External"/><Relationship Id="rId42" Type="http://schemas.openxmlformats.org/officeDocument/2006/relationships/fontTable" Target="fontTable.xm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hyperlink" Target="https://view.officeapps.live.com/op/view.aspx?src=https%3A%2F%2Fwww.equalityhumanrights.com%2Fsites%2Fdefault%2Ffiles%2F2022%2Fwhat-equality-law-means-for-you-education-provider-in-wales-schools.docx&amp;wdOrigin=BROWSELINK" TargetMode="External"/><Relationship Id="rId20" Type="http://schemas.openxmlformats.org/officeDocument/2006/relationships/hyperlink" Target="%20https://www.gov.uk/disabled-students-allowance-dsaOV.UK%20(www.gov.uk)" TargetMode="External"/><Relationship Id="rId29" Type="http://schemas.openxmlformats.org/officeDocument/2006/relationships/hyperlink" Target="https://doi.org/10.3167/latiss.2021.140102"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doi.org/10.1177/20965311211039858" TargetMode="External"/><Relationship Id="rId32" Type="http://schemas.openxmlformats.org/officeDocument/2006/relationships/hyperlink" Target="https://www.uwtsd.ac.uk/news/student-teachers-given-insight-additional-learning-needs-and-wellbeing"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gov.wales/cymraeg-2050-welsh-language-strategy" TargetMode="External"/><Relationship Id="rId23" Type="http://schemas.openxmlformats.org/officeDocument/2006/relationships/hyperlink" Target="towards-2030-a-framew%20https://www.gov.wales/sites/default/files/publications/2018-02/towards-2030-a-framework-for-building-a-world-class-post-compulsory-education-system-for-wales.pdf%20ork-for-building-a-world-class-post-compulsory-education-system-for-wales.pdf%20(gov.wales)" TargetMode="External"/><Relationship Id="rId28" Type="http://schemas.openxmlformats.org/officeDocument/2006/relationships/hyperlink" Target="https://www.papyrus-uk.org/asist/" TargetMode="External"/><Relationship Id="rId36" Type="http://schemas.openxmlformats.org/officeDocument/2006/relationships/header" Target="header1.xml"/><Relationship Id="rId10" Type="http://schemas.openxmlformats.org/officeDocument/2006/relationships/diagramColors" Target="diagrams/colors1.xml"/><Relationship Id="rId19" Type="http://schemas.openxmlformats.org/officeDocument/2006/relationships/hyperlink" Target="https://doi.org/10.1037/sgd0000171" TargetMode="External"/><Relationship Id="rId31" Type="http://schemas.openxmlformats.org/officeDocument/2006/relationships/hyperlink" Target="https://www.gov.wales/well-being-future-generations-act-essentials-html"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doi.org/10.1080/02680939.2023.2222372" TargetMode="External"/><Relationship Id="rId22" Type="http://schemas.openxmlformats.org/officeDocument/2006/relationships/hyperlink" Target="https://www.gov.wales/relative-income-poverty-april-2021-march-2022-html" TargetMode="External"/><Relationship Id="rId27" Type="http://schemas.openxmlformats.org/officeDocument/2006/relationships/hyperlink" Target="https://www.practitioners.slc.co.uk/media/1991/nmh-qualifications-matrix-july2023-updated-sept-23.pdf" TargetMode="External"/><Relationship Id="rId30" Type="http://schemas.openxmlformats.org/officeDocument/2006/relationships/hyperlink" Target="https://educators.wales/sites/default/files/2023-07/Professional%20standards%20for%20FE%20%20WBL%20and%20ACL%20Practitioners%20-%20June%202023.pdf" TargetMode="External"/><Relationship Id="rId35" Type="http://schemas.openxmlformats.org/officeDocument/2006/relationships/hyperlink" Target="https://www.gov.wales/equity-and-excellence-further-and-higher-education-national-mission-report-html" TargetMode="External"/><Relationship Id="rId43" Type="http://schemas.openxmlformats.org/officeDocument/2006/relationships/theme" Target="theme/theme1.xml"/><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gendergp.com/" TargetMode="External"/><Relationship Id="rId25" Type="http://schemas.openxmlformats.org/officeDocument/2006/relationships/hyperlink" Target="https://doi-org.ezproxy.uwtsd.ac.uk/10.1080/09518398.2023.2181422" TargetMode="External"/><Relationship Id="rId33" Type="http://schemas.openxmlformats.org/officeDocument/2006/relationships/hyperlink" Target="file:///C:\Users\taram\Downloads\Equality%20and%20Diversity%20Annual%20Report%202021%2022_0%20(1).pdf" TargetMode="Externa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387B91-A210-46F4-B2E0-FE7DEA4E003C}"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38CA7417-EB61-4900-AE57-B185768589E0}">
      <dgm:prSet phldrT="[Text]"/>
      <dgm:spPr>
        <a:xfrm>
          <a:off x="0" y="1947"/>
          <a:ext cx="2581351" cy="2031563"/>
        </a:xfrm>
        <a:prstGeom prst="roundRect">
          <a:avLst/>
        </a:prstGeom>
        <a:solidFill>
          <a:srgbClr val="E8E8E8">
            <a:lumMod val="1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UK Government </a:t>
          </a:r>
        </a:p>
      </dgm:t>
    </dgm:pt>
    <dgm:pt modelId="{5A812664-0A1B-494F-9423-A86649AAE3DF}" type="parTrans" cxnId="{187010CB-DFF8-484E-8ADF-1A8E49FE7B69}">
      <dgm:prSet/>
      <dgm:spPr/>
      <dgm:t>
        <a:bodyPr/>
        <a:lstStyle/>
        <a:p>
          <a:endParaRPr lang="en-GB"/>
        </a:p>
      </dgm:t>
    </dgm:pt>
    <dgm:pt modelId="{0413CD23-32C6-465F-B1CD-2585BCC012CB}" type="sibTrans" cxnId="{187010CB-DFF8-484E-8ADF-1A8E49FE7B69}">
      <dgm:prSet/>
      <dgm:spPr/>
      <dgm:t>
        <a:bodyPr/>
        <a:lstStyle/>
        <a:p>
          <a:endParaRPr lang="en-GB"/>
        </a:p>
      </dgm:t>
    </dgm:pt>
    <dgm:pt modelId="{958BCCCE-33EA-4397-854D-56C1BC7EE98A}">
      <dgm:prSet phldrT="[Text]" custT="1"/>
      <dgm:spPr>
        <a:xfrm rot="5400000">
          <a:off x="4063260" y="-1276804"/>
          <a:ext cx="1625250" cy="4589068"/>
        </a:xfrm>
        <a:prstGeom prst="round2SameRect">
          <a:avLst/>
        </a:prstGeo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Forming the cornerstone of legal obligations for higher education institutions &amp; post-16 educatoin providers. </a:t>
          </a:r>
        </a:p>
      </dgm:t>
    </dgm:pt>
    <dgm:pt modelId="{E87BFD16-AFBB-4D02-8D23-BFE36D03720F}" type="parTrans" cxnId="{3DA5FA0C-9A4B-4679-B4FC-FBB4C7FE3E93}">
      <dgm:prSet/>
      <dgm:spPr/>
      <dgm:t>
        <a:bodyPr/>
        <a:lstStyle/>
        <a:p>
          <a:endParaRPr lang="en-GB"/>
        </a:p>
      </dgm:t>
    </dgm:pt>
    <dgm:pt modelId="{550E1EEC-C168-4331-A52A-554CC6BAA8E8}" type="sibTrans" cxnId="{3DA5FA0C-9A4B-4679-B4FC-FBB4C7FE3E93}">
      <dgm:prSet/>
      <dgm:spPr/>
      <dgm:t>
        <a:bodyPr/>
        <a:lstStyle/>
        <a:p>
          <a:endParaRPr lang="en-GB"/>
        </a:p>
      </dgm:t>
    </dgm:pt>
    <dgm:pt modelId="{275B1325-572B-43C1-887C-18C12A2011A7}">
      <dgm:prSet phldrT="[Text]"/>
      <dgm:spPr>
        <a:xfrm>
          <a:off x="0" y="2295875"/>
          <a:ext cx="2578830" cy="2031563"/>
        </a:xfrm>
        <a:prstGeom prst="roundRect">
          <a:avLst/>
        </a:prstGeom>
        <a:solidFill>
          <a:srgbClr val="E8E8E8">
            <a:lumMod val="25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Welsh Government </a:t>
          </a:r>
        </a:p>
      </dgm:t>
    </dgm:pt>
    <dgm:pt modelId="{8989032B-4272-40A5-992C-1610614EA1EC}" type="parTrans" cxnId="{B1CCE182-C2B3-4098-A2CE-238661C398F7}">
      <dgm:prSet/>
      <dgm:spPr/>
      <dgm:t>
        <a:bodyPr/>
        <a:lstStyle/>
        <a:p>
          <a:endParaRPr lang="en-GB"/>
        </a:p>
      </dgm:t>
    </dgm:pt>
    <dgm:pt modelId="{DA889A3C-7C97-495D-B797-1CB29318AED9}" type="sibTrans" cxnId="{B1CCE182-C2B3-4098-A2CE-238661C398F7}">
      <dgm:prSet/>
      <dgm:spPr/>
      <dgm:t>
        <a:bodyPr/>
        <a:lstStyle/>
        <a:p>
          <a:endParaRPr lang="en-GB"/>
        </a:p>
      </dgm:t>
    </dgm:pt>
    <dgm:pt modelId="{BF0E3776-F59D-468D-9801-07E8779FB14F}">
      <dgm:prSet phldrT="[Text]"/>
      <dgm:spPr>
        <a:xfrm>
          <a:off x="0" y="4814055"/>
          <a:ext cx="2578830" cy="2031563"/>
        </a:xfrm>
        <a:prstGeom prst="roundRect">
          <a:avLst/>
        </a:prstGeom>
        <a:solidFill>
          <a:srgbClr val="E8E8E8">
            <a:lumMod val="50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Swansea Council Institutional Policies and Procedures</a:t>
          </a:r>
        </a:p>
      </dgm:t>
    </dgm:pt>
    <dgm:pt modelId="{8EE700ED-DF27-499B-ACD0-3AE4D0648EBD}" type="parTrans" cxnId="{28F44382-C27E-417C-84D0-1C5E1134B235}">
      <dgm:prSet/>
      <dgm:spPr/>
      <dgm:t>
        <a:bodyPr/>
        <a:lstStyle/>
        <a:p>
          <a:endParaRPr lang="en-GB"/>
        </a:p>
      </dgm:t>
    </dgm:pt>
    <dgm:pt modelId="{E03477A9-D31E-4D7F-B4C5-9463564C4357}" type="sibTrans" cxnId="{28F44382-C27E-417C-84D0-1C5E1134B235}">
      <dgm:prSet/>
      <dgm:spPr/>
      <dgm:t>
        <a:bodyPr/>
        <a:lstStyle/>
        <a:p>
          <a:endParaRPr lang="en-GB"/>
        </a:p>
      </dgm:t>
    </dgm:pt>
    <dgm:pt modelId="{E1114A6D-FBE2-4976-8166-7F5890EE1D04}">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Equality and Diversity Policies: Institutions establish their commitment to equality and diversity and outline procedures for handling complaints of discrimination or harassment.</a:t>
          </a:r>
        </a:p>
      </dgm:t>
    </dgm:pt>
    <dgm:pt modelId="{2300863C-A8F4-4D57-8C6B-39FE0155C47A}" type="parTrans" cxnId="{024088B2-BF3F-42A2-B8F3-7B786CC80B6E}">
      <dgm:prSet/>
      <dgm:spPr/>
      <dgm:t>
        <a:bodyPr/>
        <a:lstStyle/>
        <a:p>
          <a:endParaRPr lang="en-GB"/>
        </a:p>
      </dgm:t>
    </dgm:pt>
    <dgm:pt modelId="{EE5C0A12-0A97-48DB-B906-F043D563CCFD}" type="sibTrans" cxnId="{024088B2-BF3F-42A2-B8F3-7B786CC80B6E}">
      <dgm:prSet/>
      <dgm:spPr/>
      <dgm:t>
        <a:bodyPr/>
        <a:lstStyle/>
        <a:p>
          <a:endParaRPr lang="en-GB"/>
        </a:p>
      </dgm:t>
    </dgm:pt>
    <dgm:pt modelId="{78E5E9E2-E922-49C3-8F6D-D907C9EDBF22}">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Disability Support Services: Institutions provide support services for students with disabilities, including reasonable adjustments, accessibility accommodations, and disability advice and guidance.</a:t>
          </a:r>
        </a:p>
      </dgm:t>
    </dgm:pt>
    <dgm:pt modelId="{534019B8-7113-4323-8F8C-42FCD53A90E7}" type="parTrans" cxnId="{C7E850E7-9632-49E8-8CBC-D1D06B37861D}">
      <dgm:prSet/>
      <dgm:spPr/>
      <dgm:t>
        <a:bodyPr/>
        <a:lstStyle/>
        <a:p>
          <a:endParaRPr lang="en-GB"/>
        </a:p>
      </dgm:t>
    </dgm:pt>
    <dgm:pt modelId="{63B0697D-611B-4F33-9F65-E51224B3B937}" type="sibTrans" cxnId="{C7E850E7-9632-49E8-8CBC-D1D06B37861D}">
      <dgm:prSet/>
      <dgm:spPr/>
      <dgm:t>
        <a:bodyPr/>
        <a:lstStyle/>
        <a:p>
          <a:endParaRPr lang="en-GB"/>
        </a:p>
      </dgm:t>
    </dgm:pt>
    <dgm:pt modelId="{F33413F3-A226-425C-8D92-C4474B3C2A24}">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Student Support Services: Institutions offer a range of support services to promote student well-being and ensure that all students have equal opportunities to succeed academically and personally.</a:t>
          </a:r>
        </a:p>
      </dgm:t>
    </dgm:pt>
    <dgm:pt modelId="{36BBD951-6F77-4FFF-A047-1F8133052C99}" type="parTrans" cxnId="{4CC3A0BA-576C-4AFB-BD9E-0980FC097131}">
      <dgm:prSet/>
      <dgm:spPr/>
      <dgm:t>
        <a:bodyPr/>
        <a:lstStyle/>
        <a:p>
          <a:endParaRPr lang="en-GB"/>
        </a:p>
      </dgm:t>
    </dgm:pt>
    <dgm:pt modelId="{09B90129-6563-4E18-9B57-9A2C9B48216D}" type="sibTrans" cxnId="{4CC3A0BA-576C-4AFB-BD9E-0980FC097131}">
      <dgm:prSet/>
      <dgm:spPr/>
      <dgm:t>
        <a:bodyPr/>
        <a:lstStyle/>
        <a:p>
          <a:endParaRPr lang="en-GB"/>
        </a:p>
      </dgm:t>
    </dgm:pt>
    <dgm:pt modelId="{522C4CA0-273B-4151-A261-91E7FB915EFF}">
      <dgm:prSet phldrT="[Text]" custT="1"/>
      <dgm:spPr>
        <a:xfrm rot="5400000">
          <a:off x="3631090" y="3537543"/>
          <a:ext cx="2480067" cy="4584587"/>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Teaching and Learning Practices: Institutions promote inclusive teaching and learning practices that accommodate diverse student needs and learning styles, ensuring that all students can engage effectively with their studies.</a:t>
          </a:r>
        </a:p>
      </dgm:t>
    </dgm:pt>
    <dgm:pt modelId="{8E4F9C69-406E-4726-9E78-00A20C7ED3FB}" type="parTrans" cxnId="{DDF2EFAC-89E6-4582-B887-662F401AFE1C}">
      <dgm:prSet/>
      <dgm:spPr/>
      <dgm:t>
        <a:bodyPr/>
        <a:lstStyle/>
        <a:p>
          <a:endParaRPr lang="en-GB"/>
        </a:p>
      </dgm:t>
    </dgm:pt>
    <dgm:pt modelId="{60988B9E-36BD-46F6-B301-00FE26F994B4}" type="sibTrans" cxnId="{DDF2EFAC-89E6-4582-B887-662F401AFE1C}">
      <dgm:prSet/>
      <dgm:spPr/>
      <dgm:t>
        <a:bodyPr/>
        <a:lstStyle/>
        <a:p>
          <a:endParaRPr lang="en-GB"/>
        </a:p>
      </dgm:t>
    </dgm:pt>
    <dgm:pt modelId="{C011B900-3A6D-4B2F-8508-E66A6F38D93F}">
      <dgm:prSet/>
      <dgm:spPr>
        <a:xfrm>
          <a:off x="0" y="7171448"/>
          <a:ext cx="2581351" cy="2031563"/>
        </a:xfrm>
        <a:prstGeom prst="roundRect">
          <a:avLst/>
        </a:prstGeom>
        <a:solidFill>
          <a:srgbClr val="E8E8E8">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Operational Practices</a:t>
          </a:r>
        </a:p>
        <a:p>
          <a:pPr>
            <a:buNone/>
          </a:pPr>
          <a:r>
            <a:rPr lang="en-GB">
              <a:solidFill>
                <a:sysClr val="window" lastClr="FFFFFF"/>
              </a:solidFill>
              <a:latin typeface="Aptos" panose="02110004020202020204"/>
              <a:ea typeface="+mn-ea"/>
              <a:cs typeface="+mn-cs"/>
            </a:rPr>
            <a:t>UWSTD</a:t>
          </a:r>
        </a:p>
      </dgm:t>
    </dgm:pt>
    <dgm:pt modelId="{9CACD6C4-17EC-417D-9B9F-B58431469F4A}" type="parTrans" cxnId="{4831E3E5-E641-495D-85AF-48FA73D3A0E9}">
      <dgm:prSet/>
      <dgm:spPr/>
      <dgm:t>
        <a:bodyPr/>
        <a:lstStyle/>
        <a:p>
          <a:endParaRPr lang="en-GB"/>
        </a:p>
      </dgm:t>
    </dgm:pt>
    <dgm:pt modelId="{E54C1263-04AD-44E0-AAB5-45BE1D544E25}" type="sibTrans" cxnId="{4831E3E5-E641-495D-85AF-48FA73D3A0E9}">
      <dgm:prSet/>
      <dgm:spPr/>
      <dgm:t>
        <a:bodyPr/>
        <a:lstStyle/>
        <a:p>
          <a:endParaRPr lang="en-GB"/>
        </a:p>
      </dgm:t>
    </dgm:pt>
    <dgm:pt modelId="{061801FD-F739-49F4-AEBC-6ABAE9A2C45D}">
      <dgm:prSet/>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None/>
          </a:pPr>
          <a:endParaRPr lang="en-GB" sz="800">
            <a:solidFill>
              <a:sysClr val="windowText" lastClr="000000">
                <a:hueOff val="0"/>
                <a:satOff val="0"/>
                <a:lumOff val="0"/>
                <a:alphaOff val="0"/>
              </a:sysClr>
            </a:solidFill>
            <a:latin typeface="Aptos" panose="02110004020202020204"/>
            <a:ea typeface="+mn-ea"/>
            <a:cs typeface="+mn-cs"/>
          </a:endParaRPr>
        </a:p>
      </dgm:t>
    </dgm:pt>
    <dgm:pt modelId="{22F5FAA7-C65F-40FC-879F-2B109F99E952}" type="parTrans" cxnId="{1A01A683-5E19-4430-94CE-A969E1031694}">
      <dgm:prSet/>
      <dgm:spPr/>
      <dgm:t>
        <a:bodyPr/>
        <a:lstStyle/>
        <a:p>
          <a:endParaRPr lang="en-GB"/>
        </a:p>
      </dgm:t>
    </dgm:pt>
    <dgm:pt modelId="{398C419B-C494-4675-8F5A-00F6B7252BFD}" type="sibTrans" cxnId="{1A01A683-5E19-4430-94CE-A969E1031694}">
      <dgm:prSet/>
      <dgm:spPr/>
      <dgm:t>
        <a:bodyPr/>
        <a:lstStyle/>
        <a:p>
          <a:endParaRPr lang="en-GB"/>
        </a:p>
      </dgm:t>
    </dgm:pt>
    <dgm:pt modelId="{8213B726-DC3C-430C-AB77-823344FA1DC5}">
      <dgm:prSet custT="1"/>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Providing disability support services, such as assistive technology, accessible learning materials, and exam accommodations</a:t>
          </a:r>
        </a:p>
      </dgm:t>
    </dgm:pt>
    <dgm:pt modelId="{C7979525-7504-4E34-AB77-174758F711F9}" type="parTrans" cxnId="{E81AD9AE-129E-4758-98DA-EA37FB21BB08}">
      <dgm:prSet/>
      <dgm:spPr/>
      <dgm:t>
        <a:bodyPr/>
        <a:lstStyle/>
        <a:p>
          <a:endParaRPr lang="en-GB"/>
        </a:p>
      </dgm:t>
    </dgm:pt>
    <dgm:pt modelId="{6C66620D-675B-40E9-A157-1D8FA3E1094E}" type="sibTrans" cxnId="{E81AD9AE-129E-4758-98DA-EA37FB21BB08}">
      <dgm:prSet/>
      <dgm:spPr/>
      <dgm:t>
        <a:bodyPr/>
        <a:lstStyle/>
        <a:p>
          <a:endParaRPr lang="en-GB"/>
        </a:p>
      </dgm:t>
    </dgm:pt>
    <dgm:pt modelId="{352AD294-E2B8-4AB3-93FB-8BEB55D4D10A}">
      <dgm:prSet custT="1"/>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 Delivering diversity and inclusion training for staff to raise awareness of equality issues and promote inclusive practices.</a:t>
          </a:r>
        </a:p>
      </dgm:t>
    </dgm:pt>
    <dgm:pt modelId="{367BB0AA-F8E5-4C47-BF2F-935E1D048D94}" type="parTrans" cxnId="{4A31593A-87D6-4294-9758-2D35FDAA398F}">
      <dgm:prSet/>
      <dgm:spPr/>
      <dgm:t>
        <a:bodyPr/>
        <a:lstStyle/>
        <a:p>
          <a:endParaRPr lang="en-GB"/>
        </a:p>
      </dgm:t>
    </dgm:pt>
    <dgm:pt modelId="{E32A9144-B65F-440F-A92B-80DA87A62E7B}" type="sibTrans" cxnId="{4A31593A-87D6-4294-9758-2D35FDAA398F}">
      <dgm:prSet/>
      <dgm:spPr/>
      <dgm:t>
        <a:bodyPr/>
        <a:lstStyle/>
        <a:p>
          <a:endParaRPr lang="en-GB"/>
        </a:p>
      </dgm:t>
    </dgm:pt>
    <dgm:pt modelId="{72F34272-5A9C-40EE-B401-237D6FE42B2E}">
      <dgm:prSet custT="1"/>
      <dgm:spPr>
        <a:xfrm rot="5400000">
          <a:off x="4063260" y="5892696"/>
          <a:ext cx="1625250" cy="4589068"/>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Monitoring and evaluating student outcomes and experiences to identify and address any disparities or barriers to participation and success.</a:t>
          </a:r>
        </a:p>
      </dgm:t>
    </dgm:pt>
    <dgm:pt modelId="{188B5486-3F4A-47A1-8F0D-1DC3D0EBAEC3}" type="parTrans" cxnId="{5B48689C-88AE-44A7-862E-05498D755B6F}">
      <dgm:prSet/>
      <dgm:spPr/>
      <dgm:t>
        <a:bodyPr/>
        <a:lstStyle/>
        <a:p>
          <a:endParaRPr lang="en-GB"/>
        </a:p>
      </dgm:t>
    </dgm:pt>
    <dgm:pt modelId="{A448E47D-081F-47E4-9C17-FEC769400138}" type="sibTrans" cxnId="{5B48689C-88AE-44A7-862E-05498D755B6F}">
      <dgm:prSet/>
      <dgm:spPr/>
      <dgm:t>
        <a:bodyPr/>
        <a:lstStyle/>
        <a:p>
          <a:endParaRPr lang="en-GB"/>
        </a:p>
      </dgm:t>
    </dgm:pt>
    <dgm:pt modelId="{9712F848-2507-40B4-A9E1-17D27127BF39}">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Tackle Discrimination arising from disability: Combat discrimination and prejudice by having knowledge of disability and ‘difference’. </a:t>
          </a:r>
          <a:r>
            <a:rPr lang="en-GB" sz="1000">
              <a:solidFill>
                <a:sysClr val="windowText" lastClr="000000">
                  <a:hueOff val="0"/>
                  <a:satOff val="0"/>
                  <a:lumOff val="0"/>
                  <a:alphaOff val="0"/>
                </a:sysClr>
              </a:solidFill>
              <a:latin typeface="Aptos" panose="02110004020202020204"/>
              <a:ea typeface="+mn-ea"/>
              <a:cs typeface="+mn-cs"/>
            </a:rPr>
            <a:t>Responding promptly and effectively to any instances of discrimination or harassment reported by students or staff, and taking appropriate action to address and prevent recurrence.</a:t>
          </a:r>
        </a:p>
      </dgm:t>
    </dgm:pt>
    <dgm:pt modelId="{3A8BE762-E4AD-4DDB-A6EF-406A3BD464CB}" type="parTrans" cxnId="{9E004591-FE53-47AF-A6AB-402DB7769C61}">
      <dgm:prSet/>
      <dgm:spPr/>
      <dgm:t>
        <a:bodyPr/>
        <a:lstStyle/>
        <a:p>
          <a:endParaRPr lang="en-GB"/>
        </a:p>
      </dgm:t>
    </dgm:pt>
    <dgm:pt modelId="{FF8F3242-20A7-48A1-8B5E-26F06006A0CD}" type="sibTrans" cxnId="{9E004591-FE53-47AF-A6AB-402DB7769C61}">
      <dgm:prSet/>
      <dgm:spPr/>
      <dgm:t>
        <a:bodyPr/>
        <a:lstStyle/>
        <a:p>
          <a:endParaRPr lang="en-GB"/>
        </a:p>
      </dgm:t>
    </dgm:pt>
    <dgm:pt modelId="{EC8476AF-3710-4CEE-9BFC-7DFD2D34BA18}">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The Social Model  of disability </a:t>
          </a:r>
          <a:endParaRPr lang="en-GB" sz="1000">
            <a:solidFill>
              <a:sysClr val="windowText" lastClr="000000">
                <a:hueOff val="0"/>
                <a:satOff val="0"/>
                <a:lumOff val="0"/>
                <a:alphaOff val="0"/>
              </a:sysClr>
            </a:solidFill>
            <a:latin typeface="Aptos" panose="02110004020202020204"/>
            <a:ea typeface="+mn-ea"/>
            <a:cs typeface="+mn-cs"/>
          </a:endParaRPr>
        </a:p>
      </dgm:t>
    </dgm:pt>
    <dgm:pt modelId="{54C9BC83-B4DC-473B-B9DB-195A96A714F6}" type="parTrans" cxnId="{7D73685E-FE73-4709-B861-4AFB39317423}">
      <dgm:prSet/>
      <dgm:spPr/>
      <dgm:t>
        <a:bodyPr/>
        <a:lstStyle/>
        <a:p>
          <a:endParaRPr lang="en-GB"/>
        </a:p>
      </dgm:t>
    </dgm:pt>
    <dgm:pt modelId="{434E8113-B4AC-4AF7-A564-89A6D4F4387D}" type="sibTrans" cxnId="{7D73685E-FE73-4709-B861-4AFB39317423}">
      <dgm:prSet/>
      <dgm:spPr/>
      <dgm:t>
        <a:bodyPr/>
        <a:lstStyle/>
        <a:p>
          <a:endParaRPr lang="en-GB"/>
        </a:p>
      </dgm:t>
    </dgm:pt>
    <dgm:pt modelId="{7C00AF5B-BA2C-4B45-A939-9853DAF82AED}">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endParaRPr lang="en-GB" sz="1000">
            <a:solidFill>
              <a:sysClr val="windowText" lastClr="000000">
                <a:hueOff val="0"/>
                <a:satOff val="0"/>
                <a:lumOff val="0"/>
                <a:alphaOff val="0"/>
              </a:sysClr>
            </a:solidFill>
            <a:latin typeface="Aptos" panose="02110004020202020204"/>
            <a:ea typeface="+mn-ea"/>
            <a:cs typeface="+mn-cs"/>
          </a:endParaRPr>
        </a:p>
      </dgm:t>
    </dgm:pt>
    <dgm:pt modelId="{99819B31-B28B-4701-8712-80CDED8FA52D}" type="parTrans" cxnId="{98BEE4BD-C068-4C5C-8CAB-ECE79C93F63F}">
      <dgm:prSet/>
      <dgm:spPr/>
      <dgm:t>
        <a:bodyPr/>
        <a:lstStyle/>
        <a:p>
          <a:endParaRPr lang="en-GB"/>
        </a:p>
      </dgm:t>
    </dgm:pt>
    <dgm:pt modelId="{E16A77F8-9035-4740-A4D3-A36205408AE8}" type="sibTrans" cxnId="{98BEE4BD-C068-4C5C-8CAB-ECE79C93F63F}">
      <dgm:prSet/>
      <dgm:spPr/>
      <dgm:t>
        <a:bodyPr/>
        <a:lstStyle/>
        <a:p>
          <a:endParaRPr lang="en-GB"/>
        </a:p>
      </dgm:t>
    </dgm:pt>
    <dgm:pt modelId="{E7869479-4427-423C-8A08-6F9E57456233}">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Implamantation of Disabled Students Allowance (DSA) Speclist Mentoring Mental health/Autism</a:t>
          </a:r>
        </a:p>
      </dgm:t>
    </dgm:pt>
    <dgm:pt modelId="{ECF09416-29B2-4FE8-B7A7-FAFB74CDDD4E}" type="parTrans" cxnId="{619DDA33-76AD-45A7-A1B1-1C79FAA34C0E}">
      <dgm:prSet/>
      <dgm:spPr/>
      <dgm:t>
        <a:bodyPr/>
        <a:lstStyle/>
        <a:p>
          <a:endParaRPr lang="en-GB"/>
        </a:p>
      </dgm:t>
    </dgm:pt>
    <dgm:pt modelId="{6D0D4787-39E3-4A52-82CA-3BA9730ECCAD}" type="sibTrans" cxnId="{619DDA33-76AD-45A7-A1B1-1C79FAA34C0E}">
      <dgm:prSet/>
      <dgm:spPr/>
      <dgm:t>
        <a:bodyPr/>
        <a:lstStyle/>
        <a:p>
          <a:endParaRPr lang="en-GB"/>
        </a:p>
      </dgm:t>
    </dgm:pt>
    <dgm:pt modelId="{9FA052C8-8AF4-4E05-BCAB-8469EE108C7D}">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endParaRPr lang="en-GB" sz="1000">
            <a:solidFill>
              <a:sysClr val="windowText" lastClr="000000">
                <a:hueOff val="0"/>
                <a:satOff val="0"/>
                <a:lumOff val="0"/>
                <a:alphaOff val="0"/>
              </a:sysClr>
            </a:solidFill>
            <a:latin typeface="Aptos" panose="02110004020202020204"/>
            <a:ea typeface="+mn-ea"/>
            <a:cs typeface="+mn-cs"/>
          </a:endParaRPr>
        </a:p>
      </dgm:t>
    </dgm:pt>
    <dgm:pt modelId="{730D0642-E229-4E4F-B539-F21EC466A52F}" type="parTrans" cxnId="{378D5AAD-B9D0-4122-9299-F95FC5EB86D3}">
      <dgm:prSet/>
      <dgm:spPr/>
      <dgm:t>
        <a:bodyPr/>
        <a:lstStyle/>
        <a:p>
          <a:endParaRPr lang="en-GB"/>
        </a:p>
      </dgm:t>
    </dgm:pt>
    <dgm:pt modelId="{8920FB24-5D00-4592-B62C-AE10D337C64F}" type="sibTrans" cxnId="{378D5AAD-B9D0-4122-9299-F95FC5EB86D3}">
      <dgm:prSet/>
      <dgm:spPr/>
      <dgm:t>
        <a:bodyPr/>
        <a:lstStyle/>
        <a:p>
          <a:endParaRPr lang="en-GB"/>
        </a:p>
      </dgm:t>
    </dgm:pt>
    <dgm:pt modelId="{75B727FF-A255-42F6-A416-5935A02E3AA7}">
      <dgm:prSet phldrT="[Text]" custT="1"/>
      <dgm:spPr>
        <a:xfrm rot="5400000">
          <a:off x="3631090" y="3537543"/>
          <a:ext cx="2480067" cy="4584587"/>
        </a:xfr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Stepchange Mentally Healthy Universities (2020) Disability Support Policies: Institutions must have policies and procedures in place to support students with disabilities and ensure that they have equal access to education, facilities, and services.</a:t>
          </a:r>
        </a:p>
      </dgm:t>
    </dgm:pt>
    <dgm:pt modelId="{C1C538BA-1884-4ED0-9405-DAB3D94B632D}" type="parTrans" cxnId="{31AA7A78-A43C-4A26-98DF-AEE899518F0A}">
      <dgm:prSet/>
      <dgm:spPr/>
      <dgm:t>
        <a:bodyPr/>
        <a:lstStyle/>
        <a:p>
          <a:endParaRPr lang="en-GB"/>
        </a:p>
      </dgm:t>
    </dgm:pt>
    <dgm:pt modelId="{0DDB7474-EE64-49A0-9EB1-CA99942B813F}" type="sibTrans" cxnId="{31AA7A78-A43C-4A26-98DF-AEE899518F0A}">
      <dgm:prSet/>
      <dgm:spPr/>
      <dgm:t>
        <a:bodyPr/>
        <a:lstStyle/>
        <a:p>
          <a:endParaRPr lang="en-GB"/>
        </a:p>
      </dgm:t>
    </dgm:pt>
    <dgm:pt modelId="{7E16A3CB-D3A5-4FAA-A3C2-8B815748AA22}">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The Equality Act (2010): mandates that these institutions must non discriminate against students (or staff) based on protected characteristics of age, disability, gender reassignment, marriage or civil partnership, pregnancy &amp; maternity, race, religion or belief, sex and sexual orientation. </a:t>
          </a:r>
        </a:p>
      </dgm:t>
    </dgm:pt>
    <dgm:pt modelId="{85AEB812-DF18-48E7-B8D6-56AD4796AD5F}" type="parTrans" cxnId="{1EF593D3-3D74-4A04-B9DD-524FC521117E}">
      <dgm:prSet/>
      <dgm:spPr/>
      <dgm:t>
        <a:bodyPr/>
        <a:lstStyle/>
        <a:p>
          <a:endParaRPr lang="en-GB"/>
        </a:p>
      </dgm:t>
    </dgm:pt>
    <dgm:pt modelId="{675B45EC-2BD0-40AC-9F61-2965DE7CCC75}" type="sibTrans" cxnId="{1EF593D3-3D74-4A04-B9DD-524FC521117E}">
      <dgm:prSet/>
      <dgm:spPr/>
      <dgm:t>
        <a:bodyPr/>
        <a:lstStyle/>
        <a:p>
          <a:endParaRPr lang="en-GB"/>
        </a:p>
      </dgm:t>
    </dgm:pt>
    <dgm:pt modelId="{CDB7C4F0-003F-434F-BF4D-2BD1BBB4C1DD}">
      <dgm:prSet phldrT="[Text]" custT="1"/>
      <dgm:spPr>
        <a:xfrm rot="5400000">
          <a:off x="3686948" y="864720"/>
          <a:ext cx="2353135" cy="4584587"/>
        </a:xfrm>
        <a:prstGeom prst="round2SameRect">
          <a:avLst/>
        </a:prstGeo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Well-being of Future Generations (Wales) Act 2015</a:t>
          </a:r>
        </a:p>
      </dgm:t>
    </dgm:pt>
    <dgm:pt modelId="{DE8E0772-D529-4FC0-923E-359B9D4E6F89}" type="sibTrans" cxnId="{02BB2B2D-5891-42E1-B8A4-575DB54ADF60}">
      <dgm:prSet/>
      <dgm:spPr/>
      <dgm:t>
        <a:bodyPr/>
        <a:lstStyle/>
        <a:p>
          <a:endParaRPr lang="en-GB"/>
        </a:p>
      </dgm:t>
    </dgm:pt>
    <dgm:pt modelId="{E2B08579-80BE-4ABC-85A8-3F265B552342}" type="parTrans" cxnId="{02BB2B2D-5891-42E1-B8A4-575DB54ADF60}">
      <dgm:prSet/>
      <dgm:spPr/>
      <dgm:t>
        <a:bodyPr/>
        <a:lstStyle/>
        <a:p>
          <a:endParaRPr lang="en-GB"/>
        </a:p>
      </dgm:t>
    </dgm:pt>
    <dgm:pt modelId="{D94EC98E-FAE9-452C-BA3B-30314436AB14}">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The Higher Education (Wales) Bill </a:t>
          </a:r>
          <a:endParaRPr lang="en-GB" sz="1000">
            <a:solidFill>
              <a:sysClr val="windowText" lastClr="000000">
                <a:hueOff val="0"/>
                <a:satOff val="0"/>
                <a:lumOff val="0"/>
                <a:alphaOff val="0"/>
              </a:sysClr>
            </a:solidFill>
            <a:latin typeface="Aptos" panose="02110004020202020204"/>
            <a:ea typeface="+mn-ea"/>
            <a:cs typeface="+mn-cs"/>
          </a:endParaRPr>
        </a:p>
      </dgm:t>
    </dgm:pt>
    <dgm:pt modelId="{F2247A63-633C-4924-BBE0-B26580611BF8}" type="sibTrans" cxnId="{440D0FC2-81D1-4643-9003-C1DC13C6AD64}">
      <dgm:prSet/>
      <dgm:spPr/>
      <dgm:t>
        <a:bodyPr/>
        <a:lstStyle/>
        <a:p>
          <a:endParaRPr lang="en-GB"/>
        </a:p>
      </dgm:t>
    </dgm:pt>
    <dgm:pt modelId="{8C739F2C-0D28-459A-BAD8-AD74FCFBE745}" type="parTrans" cxnId="{440D0FC2-81D1-4643-9003-C1DC13C6AD64}">
      <dgm:prSet/>
      <dgm:spPr/>
      <dgm:t>
        <a:bodyPr/>
        <a:lstStyle/>
        <a:p>
          <a:endParaRPr lang="en-GB"/>
        </a:p>
      </dgm:t>
    </dgm:pt>
    <dgm:pt modelId="{8EAB2112-CA40-4CD5-95F1-B5C524BFDCCA}">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 HEFCW's Wellbeing and Health in higher Education Policy Statement (2019)</a:t>
          </a:r>
        </a:p>
      </dgm:t>
    </dgm:pt>
    <dgm:pt modelId="{DF382424-3AF2-43D6-AC88-61AFF0D0BC95}" type="sibTrans" cxnId="{D3E77473-1D00-4FAC-87BE-E2B253140EE9}">
      <dgm:prSet/>
      <dgm:spPr/>
      <dgm:t>
        <a:bodyPr/>
        <a:lstStyle/>
        <a:p>
          <a:endParaRPr lang="en-GB"/>
        </a:p>
      </dgm:t>
    </dgm:pt>
    <dgm:pt modelId="{79927128-B41C-4A0A-AC9C-38AA681FA813}" type="parTrans" cxnId="{D3E77473-1D00-4FAC-87BE-E2B253140EE9}">
      <dgm:prSet/>
      <dgm:spPr/>
      <dgm:t>
        <a:bodyPr/>
        <a:lstStyle/>
        <a:p>
          <a:endParaRPr lang="en-GB"/>
        </a:p>
      </dgm:t>
    </dgm:pt>
    <dgm:pt modelId="{01582B33-C247-4E81-BC4B-FF0CACEE2F85}">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t>Towards 2030 framework; The post-16 education and skills system in Wales is presently undergoing substantial restructuring, characterized by shifts in funding mechanisms, governance structures, enhanced leadership, and a dedication to lifelong learning. This reform initiative seeks to foster closer collaboration and coordination among post-16 education providers, with the potential to serve as a model for other constituent nations within the United Kingdom.</a:t>
          </a:r>
          <a:endParaRPr lang="en-GB" sz="1000">
            <a:solidFill>
              <a:sysClr val="windowText" lastClr="000000">
                <a:hueOff val="0"/>
                <a:satOff val="0"/>
                <a:lumOff val="0"/>
                <a:alphaOff val="0"/>
              </a:sysClr>
            </a:solidFill>
            <a:latin typeface="Aptos" panose="02110004020202020204"/>
            <a:ea typeface="+mn-ea"/>
            <a:cs typeface="+mn-cs"/>
          </a:endParaRPr>
        </a:p>
      </dgm:t>
    </dgm:pt>
    <dgm:pt modelId="{89DDB594-C0FA-45B5-9049-75FF3FC464BD}" type="sibTrans" cxnId="{8BCE2F4E-DE23-45CD-997B-95D28E0209FA}">
      <dgm:prSet/>
      <dgm:spPr/>
      <dgm:t>
        <a:bodyPr/>
        <a:lstStyle/>
        <a:p>
          <a:endParaRPr lang="en-GB"/>
        </a:p>
      </dgm:t>
    </dgm:pt>
    <dgm:pt modelId="{BAC5102F-D4B4-4928-B373-6EBFC8E0860F}" type="parTrans" cxnId="{8BCE2F4E-DE23-45CD-997B-95D28E0209FA}">
      <dgm:prSet/>
      <dgm:spPr/>
      <dgm:t>
        <a:bodyPr/>
        <a:lstStyle/>
        <a:p>
          <a:endParaRPr lang="en-GB"/>
        </a:p>
      </dgm:t>
    </dgm:pt>
    <dgm:pt modelId="{72C2B888-2AC2-45FE-8138-099AAF377750}">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Department for Education(DfE)</a:t>
          </a:r>
        </a:p>
      </dgm:t>
    </dgm:pt>
    <dgm:pt modelId="{CBD92904-79C9-4708-A4AF-4634F75EC15B}" type="parTrans" cxnId="{7AA8E5D7-38FC-4A83-9184-72362783B8FD}">
      <dgm:prSet/>
      <dgm:spPr/>
      <dgm:t>
        <a:bodyPr/>
        <a:lstStyle/>
        <a:p>
          <a:endParaRPr lang="en-GB"/>
        </a:p>
      </dgm:t>
    </dgm:pt>
    <dgm:pt modelId="{E918801D-5639-4E58-8244-17C3EC9E65F4}" type="sibTrans" cxnId="{7AA8E5D7-38FC-4A83-9184-72362783B8FD}">
      <dgm:prSet/>
      <dgm:spPr/>
      <dgm:t>
        <a:bodyPr/>
        <a:lstStyle/>
        <a:p>
          <a:endParaRPr lang="en-GB"/>
        </a:p>
      </dgm:t>
    </dgm:pt>
    <dgm:pt modelId="{E30D24B7-D6BA-479B-954D-E1DC38DA0A15}">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ptos" panose="02110004020202020204"/>
              <a:ea typeface="+mn-ea"/>
              <a:cs typeface="+mn-cs"/>
            </a:rPr>
            <a:t>Office for Students (OfS) in the UK</a:t>
          </a:r>
        </a:p>
      </dgm:t>
    </dgm:pt>
    <dgm:pt modelId="{5F524661-62C8-44EC-946D-F0E8DD7109DD}" type="parTrans" cxnId="{02FF5EB8-2759-4EAF-8EC3-D4B3BB902727}">
      <dgm:prSet/>
      <dgm:spPr/>
      <dgm:t>
        <a:bodyPr/>
        <a:lstStyle/>
        <a:p>
          <a:endParaRPr lang="en-GB"/>
        </a:p>
      </dgm:t>
    </dgm:pt>
    <dgm:pt modelId="{7C751051-5679-4202-B6B8-D5A33E41D680}" type="sibTrans" cxnId="{02FF5EB8-2759-4EAF-8EC3-D4B3BB902727}">
      <dgm:prSet/>
      <dgm:spPr/>
      <dgm:t>
        <a:bodyPr/>
        <a:lstStyle/>
        <a:p>
          <a:endParaRPr lang="en-GB"/>
        </a:p>
      </dgm:t>
    </dgm:pt>
    <dgm:pt modelId="{2F3A56C9-DBC1-41D3-85EA-CE891A21A9EC}">
      <dgm:prSet phldrT="[Text]" custT="1"/>
      <dgm:spPr>
        <a:xfrm rot="5400000">
          <a:off x="4063260" y="-1276804"/>
          <a:ext cx="1625250" cy="4589068"/>
        </a:xfr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200"/>
            <a:t>The Public Sector Equality Duty 2011</a:t>
          </a:r>
          <a:endParaRPr lang="en-GB" sz="1200">
            <a:solidFill>
              <a:sysClr val="windowText" lastClr="000000">
                <a:hueOff val="0"/>
                <a:satOff val="0"/>
                <a:lumOff val="0"/>
                <a:alphaOff val="0"/>
              </a:sysClr>
            </a:solidFill>
            <a:latin typeface="Aptos" panose="02110004020202020204"/>
            <a:ea typeface="+mn-ea"/>
            <a:cs typeface="+mn-cs"/>
          </a:endParaRPr>
        </a:p>
      </dgm:t>
    </dgm:pt>
    <dgm:pt modelId="{EAC6FC64-A564-40E8-85CA-910F663B0061}" type="parTrans" cxnId="{301E89D9-C49E-4666-97D1-6B362C3AB715}">
      <dgm:prSet/>
      <dgm:spPr/>
      <dgm:t>
        <a:bodyPr/>
        <a:lstStyle/>
        <a:p>
          <a:endParaRPr lang="en-GB"/>
        </a:p>
      </dgm:t>
    </dgm:pt>
    <dgm:pt modelId="{7FE36148-BC81-4772-8E81-F4EC774EFA63}" type="sibTrans" cxnId="{301E89D9-C49E-4666-97D1-6B362C3AB715}">
      <dgm:prSet/>
      <dgm:spPr/>
      <dgm:t>
        <a:bodyPr/>
        <a:lstStyle/>
        <a:p>
          <a:endParaRPr lang="en-GB"/>
        </a:p>
      </dgm:t>
    </dgm:pt>
    <dgm:pt modelId="{F83F8759-B710-4707-8355-63A7B0D19BD8}">
      <dgm:prSet custT="1"/>
      <dgm:spPr/>
      <dgm:t>
        <a:bodyPr/>
        <a:lstStyle/>
        <a:p>
          <a:r>
            <a:rPr lang="en-GB" sz="1000">
              <a:solidFill>
                <a:sysClr val="windowText" lastClr="000000">
                  <a:hueOff val="0"/>
                  <a:satOff val="0"/>
                  <a:lumOff val="0"/>
                  <a:alphaOff val="0"/>
                </a:sysClr>
              </a:solidFill>
              <a:latin typeface="Aptos" panose="02110004020202020204"/>
              <a:ea typeface="+mn-ea"/>
              <a:cs typeface="+mn-cs"/>
            </a:rPr>
            <a:t> Admissions Policies: Institutions develop admissions policies that are fair, transparent, and non-discriminatory, ensuring equal opportunities for all applicant</a:t>
          </a:r>
        </a:p>
      </dgm:t>
    </dgm:pt>
    <dgm:pt modelId="{2565B2DD-88B8-476D-B072-7CBD5AE8C529}" type="parTrans" cxnId="{0BE88A1C-D8E0-477C-9184-A57052BF125D}">
      <dgm:prSet/>
      <dgm:spPr/>
      <dgm:t>
        <a:bodyPr/>
        <a:lstStyle/>
        <a:p>
          <a:endParaRPr lang="en-GB"/>
        </a:p>
      </dgm:t>
    </dgm:pt>
    <dgm:pt modelId="{0B563A32-3AEB-481C-8E46-6C8936E6E5A6}" type="sibTrans" cxnId="{0BE88A1C-D8E0-477C-9184-A57052BF125D}">
      <dgm:prSet/>
      <dgm:spPr/>
      <dgm:t>
        <a:bodyPr/>
        <a:lstStyle/>
        <a:p>
          <a:endParaRPr lang="en-GB"/>
        </a:p>
      </dgm:t>
    </dgm:pt>
    <dgm:pt modelId="{CAECDA0E-8942-44CB-8EBF-691B17D3F195}">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The Additional Learning Needs Code for Wales (2021)</a:t>
          </a:r>
        </a:p>
      </dgm:t>
    </dgm:pt>
    <dgm:pt modelId="{7D678866-3CDA-428E-892B-73B588840B17}" type="parTrans" cxnId="{384C443E-2155-4EAC-AB6B-2499FC796044}">
      <dgm:prSet/>
      <dgm:spPr/>
      <dgm:t>
        <a:bodyPr/>
        <a:lstStyle/>
        <a:p>
          <a:endParaRPr lang="en-GB"/>
        </a:p>
      </dgm:t>
    </dgm:pt>
    <dgm:pt modelId="{6CE80ACB-D431-4DD5-B98D-D37FA0DB25A4}" type="sibTrans" cxnId="{384C443E-2155-4EAC-AB6B-2499FC796044}">
      <dgm:prSet/>
      <dgm:spPr/>
      <dgm:t>
        <a:bodyPr/>
        <a:lstStyle/>
        <a:p>
          <a:endParaRPr lang="en-GB"/>
        </a:p>
      </dgm:t>
    </dgm:pt>
    <dgm:pt modelId="{B773270C-7A57-4D52-A0B8-EADD86A0B773}">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Curriculum and Assessment (Wales) Act (2021)</a:t>
          </a:r>
        </a:p>
      </dgm:t>
    </dgm:pt>
    <dgm:pt modelId="{DECF457E-E844-41EA-930F-B5A0A1ACB69F}" type="parTrans" cxnId="{B447783E-1486-492B-8167-BAE96184AD24}">
      <dgm:prSet/>
      <dgm:spPr/>
      <dgm:t>
        <a:bodyPr/>
        <a:lstStyle/>
        <a:p>
          <a:endParaRPr lang="en-GB"/>
        </a:p>
      </dgm:t>
    </dgm:pt>
    <dgm:pt modelId="{6D151129-7855-4398-94CC-2EF929F43826}" type="sibTrans" cxnId="{B447783E-1486-492B-8167-BAE96184AD24}">
      <dgm:prSet/>
      <dgm:spPr/>
      <dgm:t>
        <a:bodyPr/>
        <a:lstStyle/>
        <a:p>
          <a:endParaRPr lang="en-GB"/>
        </a:p>
      </dgm:t>
    </dgm:pt>
    <dgm:pt modelId="{36B6D52E-BB76-429F-A0D3-5C4619A5B8B8}">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Professional Standards for Teaching and Leadership</a:t>
          </a:r>
        </a:p>
      </dgm:t>
    </dgm:pt>
    <dgm:pt modelId="{B95EC395-19CF-44AE-8D81-85CE4B8771D3}" type="parTrans" cxnId="{395D9B85-8250-46CC-AE1E-749F62B1C4E1}">
      <dgm:prSet/>
      <dgm:spPr/>
      <dgm:t>
        <a:bodyPr/>
        <a:lstStyle/>
        <a:p>
          <a:endParaRPr lang="en-GB"/>
        </a:p>
      </dgm:t>
    </dgm:pt>
    <dgm:pt modelId="{CB6B8373-1626-4DB0-8515-F8BB124D6F72}" type="sibTrans" cxnId="{395D9B85-8250-46CC-AE1E-749F62B1C4E1}">
      <dgm:prSet/>
      <dgm:spPr/>
      <dgm:t>
        <a:bodyPr/>
        <a:lstStyle/>
        <a:p>
          <a:endParaRPr lang="en-GB"/>
        </a:p>
      </dgm:t>
    </dgm:pt>
    <dgm:pt modelId="{684EA6B2-A65A-4BB5-A493-3661E43A417A}">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Ways of Supporting Learners with Vision: Impairment; Hearing Impairment; Multi-Sensory Impairment; Attention Deficit Hyperactivity Disorder; Autistic Spectrum Disorder (2019a, 2019b, 2019c, 2019d, 2019e)</a:t>
          </a:r>
        </a:p>
      </dgm:t>
    </dgm:pt>
    <dgm:pt modelId="{DF4A5E45-862D-4224-8AF4-A0254952438D}" type="parTrans" cxnId="{BCD06247-F262-4FDE-9417-7A0B096E445F}">
      <dgm:prSet/>
      <dgm:spPr/>
      <dgm:t>
        <a:bodyPr/>
        <a:lstStyle/>
        <a:p>
          <a:endParaRPr lang="en-GB"/>
        </a:p>
      </dgm:t>
    </dgm:pt>
    <dgm:pt modelId="{8C305761-CFBC-4F02-88D8-1F6B3355F93C}" type="sibTrans" cxnId="{BCD06247-F262-4FDE-9417-7A0B096E445F}">
      <dgm:prSet/>
      <dgm:spPr/>
      <dgm:t>
        <a:bodyPr/>
        <a:lstStyle/>
        <a:p>
          <a:endParaRPr lang="en-GB"/>
        </a:p>
      </dgm:t>
    </dgm:pt>
    <dgm:pt modelId="{EDFE652C-7175-47E8-BCB6-F69078E9FAF4}">
      <dgm:prSet phldrT="[Text]" custT="1"/>
      <dgm:spPr>
        <a:xfrm rot="5400000">
          <a:off x="3686948" y="864720"/>
          <a:ext cx="2353135" cy="4584587"/>
        </a:xfr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Fair Access by Design: Guidance for Awarding Organisations on designing High-Quality and Inclusive Qualifications. </a:t>
          </a:r>
        </a:p>
      </dgm:t>
    </dgm:pt>
    <dgm:pt modelId="{3A3982FF-B837-4494-AA83-15848A3DE000}" type="parTrans" cxnId="{9CDBBC7B-D9A6-409A-9BCC-4A969D3E910E}">
      <dgm:prSet/>
      <dgm:spPr/>
      <dgm:t>
        <a:bodyPr/>
        <a:lstStyle/>
        <a:p>
          <a:endParaRPr lang="en-GB"/>
        </a:p>
      </dgm:t>
    </dgm:pt>
    <dgm:pt modelId="{4C74237C-21EE-4268-995A-05F60E15A829}" type="sibTrans" cxnId="{9CDBBC7B-D9A6-409A-9BCC-4A969D3E910E}">
      <dgm:prSet/>
      <dgm:spPr/>
      <dgm:t>
        <a:bodyPr/>
        <a:lstStyle/>
        <a:p>
          <a:endParaRPr lang="en-GB"/>
        </a:p>
      </dgm:t>
    </dgm:pt>
    <dgm:pt modelId="{F38E9F63-D744-4C18-AF07-5174FDD5E155}">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a:solidFill>
                <a:sysClr val="windowText" lastClr="000000">
                  <a:hueOff val="0"/>
                  <a:satOff val="0"/>
                  <a:lumOff val="0"/>
                  <a:alphaOff val="0"/>
                </a:sysClr>
              </a:solidFill>
              <a:latin typeface="Aptos" panose="02110004020202020204"/>
              <a:ea typeface="+mn-ea"/>
              <a:cs typeface="+mn-cs"/>
            </a:rPr>
            <a:t>Professioncal Standards</a:t>
          </a:r>
        </a:p>
      </dgm:t>
    </dgm:pt>
    <dgm:pt modelId="{E6DAF53C-11E8-4FCF-9F35-032A52266742}" type="parTrans" cxnId="{FF57CF9F-8EC1-4E20-AD2E-5013CAF5CB23}">
      <dgm:prSet/>
      <dgm:spPr/>
      <dgm:t>
        <a:bodyPr/>
        <a:lstStyle/>
        <a:p>
          <a:endParaRPr lang="en-GB"/>
        </a:p>
      </dgm:t>
    </dgm:pt>
    <dgm:pt modelId="{E2AE86B7-2A99-4EB5-9270-9313A3C33D78}" type="sibTrans" cxnId="{FF57CF9F-8EC1-4E20-AD2E-5013CAF5CB23}">
      <dgm:prSet/>
      <dgm:spPr/>
      <dgm:t>
        <a:bodyPr/>
        <a:lstStyle/>
        <a:p>
          <a:endParaRPr lang="en-GB"/>
        </a:p>
      </dgm:t>
    </dgm:pt>
    <dgm:pt modelId="{E2089256-0B98-4DCA-858F-01E225650870}">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pPr>
            <a:buChar char="•"/>
          </a:pPr>
          <a:r>
            <a:rPr lang="en-GB" sz="1000">
              <a:solidFill>
                <a:sysClr val="windowText" lastClr="000000">
                  <a:hueOff val="0"/>
                  <a:satOff val="0"/>
                  <a:lumOff val="0"/>
                  <a:alphaOff val="0"/>
                </a:sysClr>
              </a:solidFill>
              <a:latin typeface="Aptos" panose="02110004020202020204"/>
              <a:ea typeface="+mn-ea"/>
              <a:cs typeface="+mn-cs"/>
            </a:rPr>
            <a:t>'Cause for Concer' Proceedure.</a:t>
          </a:r>
        </a:p>
      </dgm:t>
    </dgm:pt>
    <dgm:pt modelId="{76451A11-2564-4726-A812-474811A4B8FA}" type="parTrans" cxnId="{8E500983-B240-47B4-A955-D071705E015B}">
      <dgm:prSet/>
      <dgm:spPr/>
      <dgm:t>
        <a:bodyPr/>
        <a:lstStyle/>
        <a:p>
          <a:endParaRPr lang="en-GB"/>
        </a:p>
      </dgm:t>
    </dgm:pt>
    <dgm:pt modelId="{820A2DFF-3B2B-451D-8712-6A8E2ABDB074}" type="sibTrans" cxnId="{8E500983-B240-47B4-A955-D071705E015B}">
      <dgm:prSet/>
      <dgm:spPr/>
      <dgm:t>
        <a:bodyPr/>
        <a:lstStyle/>
        <a:p>
          <a:endParaRPr lang="en-GB"/>
        </a:p>
      </dgm:t>
    </dgm:pt>
    <dgm:pt modelId="{59A754EA-7509-4E07-B13D-F7B617C5249C}">
      <dgm:prSet custT="1"/>
      <dgm:spPr>
        <a:xfrm rot="5400000">
          <a:off x="4063260" y="5892696"/>
          <a:ext cx="1625250" cy="4589068"/>
        </a:xfr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gm:spPr>
      <dgm:t>
        <a:bodyPr/>
        <a:lstStyle/>
        <a:p>
          <a:r>
            <a:rPr lang="en-GB" sz="1000" b="0" i="0"/>
            <a:t>Access to assessment and diagnosis for Specific Learning Difference (SpLD)</a:t>
          </a:r>
          <a:endParaRPr lang="en-GB" sz="1000">
            <a:solidFill>
              <a:sysClr val="windowText" lastClr="000000">
                <a:hueOff val="0"/>
                <a:satOff val="0"/>
                <a:lumOff val="0"/>
                <a:alphaOff val="0"/>
              </a:sysClr>
            </a:solidFill>
            <a:latin typeface="Aptos" panose="02110004020202020204"/>
            <a:ea typeface="+mn-ea"/>
            <a:cs typeface="+mn-cs"/>
          </a:endParaRPr>
        </a:p>
      </dgm:t>
    </dgm:pt>
    <dgm:pt modelId="{C03C2565-0C90-45EB-906C-515D99FDC63E}" type="parTrans" cxnId="{29B15294-719C-43BE-ABBE-A611B75756B6}">
      <dgm:prSet/>
      <dgm:spPr/>
      <dgm:t>
        <a:bodyPr/>
        <a:lstStyle/>
        <a:p>
          <a:endParaRPr lang="en-GB"/>
        </a:p>
      </dgm:t>
    </dgm:pt>
    <dgm:pt modelId="{EC967C8E-F7CA-4BC8-A939-B3014678FC51}" type="sibTrans" cxnId="{29B15294-719C-43BE-ABBE-A611B75756B6}">
      <dgm:prSet/>
      <dgm:spPr/>
      <dgm:t>
        <a:bodyPr/>
        <a:lstStyle/>
        <a:p>
          <a:endParaRPr lang="en-GB"/>
        </a:p>
      </dgm:t>
    </dgm:pt>
    <dgm:pt modelId="{129B15AB-E9DB-4EE8-8308-AD29E1479575}" type="pres">
      <dgm:prSet presAssocID="{4E387B91-A210-46F4-B2E0-FE7DEA4E003C}" presName="Name0" presStyleCnt="0">
        <dgm:presLayoutVars>
          <dgm:dir/>
          <dgm:animLvl val="lvl"/>
          <dgm:resizeHandles val="exact"/>
        </dgm:presLayoutVars>
      </dgm:prSet>
      <dgm:spPr/>
    </dgm:pt>
    <dgm:pt modelId="{B91FCB62-A55B-45FF-BCFF-070CD64BC683}" type="pres">
      <dgm:prSet presAssocID="{38CA7417-EB61-4900-AE57-B185768589E0}" presName="linNode" presStyleCnt="0"/>
      <dgm:spPr/>
    </dgm:pt>
    <dgm:pt modelId="{1EEAF0B9-4A39-4579-B543-4681B788C81D}" type="pres">
      <dgm:prSet presAssocID="{38CA7417-EB61-4900-AE57-B185768589E0}" presName="parentText" presStyleLbl="node1" presStyleIdx="0" presStyleCnt="4" custScaleX="52494" custScaleY="59433">
        <dgm:presLayoutVars>
          <dgm:chMax val="1"/>
          <dgm:bulletEnabled val="1"/>
        </dgm:presLayoutVars>
      </dgm:prSet>
      <dgm:spPr/>
    </dgm:pt>
    <dgm:pt modelId="{B2CC3513-DBA0-4EA3-85BD-211434DFD523}" type="pres">
      <dgm:prSet presAssocID="{38CA7417-EB61-4900-AE57-B185768589E0}" presName="descendantText" presStyleLbl="alignAccFollowNode1" presStyleIdx="0" presStyleCnt="4" custScaleX="125447" custScaleY="80631">
        <dgm:presLayoutVars>
          <dgm:bulletEnabled val="1"/>
        </dgm:presLayoutVars>
      </dgm:prSet>
      <dgm:spPr>
        <a:prstGeom prst="round2SameRect">
          <a:avLst/>
        </a:prstGeom>
      </dgm:spPr>
    </dgm:pt>
    <dgm:pt modelId="{03558DD0-2EB0-4F49-869F-A2892F45BF72}" type="pres">
      <dgm:prSet presAssocID="{0413CD23-32C6-465F-B1CD-2585BCC012CB}" presName="sp" presStyleCnt="0"/>
      <dgm:spPr/>
    </dgm:pt>
    <dgm:pt modelId="{7B862728-A59B-4D38-B647-99F3D8E57F13}" type="pres">
      <dgm:prSet presAssocID="{275B1325-572B-43C1-887C-18C12A2011A7}" presName="linNode" presStyleCnt="0"/>
      <dgm:spPr/>
    </dgm:pt>
    <dgm:pt modelId="{57D6835E-159F-467A-B542-34578388A0C5}" type="pres">
      <dgm:prSet presAssocID="{275B1325-572B-43C1-887C-18C12A2011A7}" presName="parentText" presStyleLbl="node1" presStyleIdx="1" presStyleCnt="4" custScaleX="53175" custScaleY="67135">
        <dgm:presLayoutVars>
          <dgm:chMax val="1"/>
          <dgm:bulletEnabled val="1"/>
        </dgm:presLayoutVars>
      </dgm:prSet>
      <dgm:spPr/>
    </dgm:pt>
    <dgm:pt modelId="{4A316384-0383-4B5C-B865-27E50C4BCDBF}" type="pres">
      <dgm:prSet presAssocID="{275B1325-572B-43C1-887C-18C12A2011A7}" presName="descendantText" presStyleLbl="alignAccFollowNode1" presStyleIdx="1" presStyleCnt="4" custScaleX="124258" custScaleY="125111" custLinFactNeighborX="556" custLinFactNeighborY="-4610">
        <dgm:presLayoutVars>
          <dgm:bulletEnabled val="1"/>
        </dgm:presLayoutVars>
      </dgm:prSet>
      <dgm:spPr>
        <a:prstGeom prst="round2SameRect">
          <a:avLst/>
        </a:prstGeom>
      </dgm:spPr>
    </dgm:pt>
    <dgm:pt modelId="{FB23EE9A-292C-4C13-A045-11EA96BFD974}" type="pres">
      <dgm:prSet presAssocID="{DA889A3C-7C97-495D-B797-1CB29318AED9}" presName="sp" presStyleCnt="0"/>
      <dgm:spPr/>
    </dgm:pt>
    <dgm:pt modelId="{4B79495E-0FDE-447D-AEC1-7CF29B84BCB6}" type="pres">
      <dgm:prSet presAssocID="{BF0E3776-F59D-468D-9801-07E8779FB14F}" presName="linNode" presStyleCnt="0"/>
      <dgm:spPr/>
    </dgm:pt>
    <dgm:pt modelId="{2A84FC29-213F-4EFD-8C4C-AB528900829C}" type="pres">
      <dgm:prSet presAssocID="{BF0E3776-F59D-468D-9801-07E8779FB14F}" presName="parentText" presStyleLbl="node1" presStyleIdx="2" presStyleCnt="4" custScaleX="58576" custScaleY="67827">
        <dgm:presLayoutVars>
          <dgm:chMax val="1"/>
          <dgm:bulletEnabled val="1"/>
        </dgm:presLayoutVars>
      </dgm:prSet>
      <dgm:spPr/>
    </dgm:pt>
    <dgm:pt modelId="{C9CA321A-A4DF-4DCC-AD5E-F5C9E622C742}" type="pres">
      <dgm:prSet presAssocID="{BF0E3776-F59D-468D-9801-07E8779FB14F}" presName="descendantText" presStyleLbl="alignAccFollowNode1" presStyleIdx="2" presStyleCnt="4" custScaleX="142053" custScaleY="131498" custLinFactNeighborX="73" custLinFactNeighborY="-8335">
        <dgm:presLayoutVars>
          <dgm:bulletEnabled val="1"/>
        </dgm:presLayoutVars>
      </dgm:prSet>
      <dgm:spPr>
        <a:prstGeom prst="round2SameRect">
          <a:avLst/>
        </a:prstGeom>
      </dgm:spPr>
    </dgm:pt>
    <dgm:pt modelId="{222CA7B4-5AA8-4443-B0B6-89A510D2C109}" type="pres">
      <dgm:prSet presAssocID="{E03477A9-D31E-4D7F-B4C5-9463564C4357}" presName="sp" presStyleCnt="0"/>
      <dgm:spPr/>
    </dgm:pt>
    <dgm:pt modelId="{4E0DA1FA-8966-44B3-AF85-D5DDB707BE1A}" type="pres">
      <dgm:prSet presAssocID="{C011B900-3A6D-4B2F-8508-E66A6F38D93F}" presName="linNode" presStyleCnt="0"/>
      <dgm:spPr/>
    </dgm:pt>
    <dgm:pt modelId="{98CCA28A-D9D6-4EF4-AF4A-8AFBF1CC503E}" type="pres">
      <dgm:prSet presAssocID="{C011B900-3A6D-4B2F-8508-E66A6F38D93F}" presName="parentText" presStyleLbl="node1" presStyleIdx="3" presStyleCnt="4" custScaleX="60998" custScaleY="64148">
        <dgm:presLayoutVars>
          <dgm:chMax val="1"/>
          <dgm:bulletEnabled val="1"/>
        </dgm:presLayoutVars>
      </dgm:prSet>
      <dgm:spPr/>
    </dgm:pt>
    <dgm:pt modelId="{75777C89-0EC5-42DD-B6EC-EDE45BAB67AD}" type="pres">
      <dgm:prSet presAssocID="{C011B900-3A6D-4B2F-8508-E66A6F38D93F}" presName="descendantText" presStyleLbl="alignAccFollowNode1" presStyleIdx="3" presStyleCnt="4" custScaleX="156367" custScaleY="123153" custLinFactNeighborX="1730" custLinFactNeighborY="-14605">
        <dgm:presLayoutVars>
          <dgm:bulletEnabled val="1"/>
        </dgm:presLayoutVars>
      </dgm:prSet>
      <dgm:spPr>
        <a:prstGeom prst="round2SameRect">
          <a:avLst/>
        </a:prstGeom>
      </dgm:spPr>
    </dgm:pt>
  </dgm:ptLst>
  <dgm:cxnLst>
    <dgm:cxn modelId="{74A0CE00-646A-4AEA-9DB6-4DE79A050940}" type="presOf" srcId="{78E5E9E2-E922-49C3-8F6D-D907C9EDBF22}" destId="{C9CA321A-A4DF-4DCC-AD5E-F5C9E622C742}" srcOrd="0" destOrd="2" presId="urn:microsoft.com/office/officeart/2005/8/layout/vList5"/>
    <dgm:cxn modelId="{7636CC02-F25B-4FA9-A946-E3FB3EA1B872}" type="presOf" srcId="{F38E9F63-D744-4C18-AF07-5174FDD5E155}" destId="{75777C89-0EC5-42DD-B6EC-EDE45BAB67AD}" srcOrd="0" destOrd="4" presId="urn:microsoft.com/office/officeart/2005/8/layout/vList5"/>
    <dgm:cxn modelId="{09BC1204-C0DE-4FD2-A488-B6EB67F8C7C6}" type="presOf" srcId="{36B6D52E-BB76-429F-A0D3-5C4619A5B8B8}" destId="{4A316384-0383-4B5C-B865-27E50C4BCDBF}" srcOrd="0" destOrd="6" presId="urn:microsoft.com/office/officeart/2005/8/layout/vList5"/>
    <dgm:cxn modelId="{8386C004-62C8-498E-9918-05CBF282AA69}" type="presOf" srcId="{E1114A6D-FBE2-4976-8166-7F5890EE1D04}" destId="{C9CA321A-A4DF-4DCC-AD5E-F5C9E622C742}" srcOrd="0" destOrd="1" presId="urn:microsoft.com/office/officeart/2005/8/layout/vList5"/>
    <dgm:cxn modelId="{704B0D06-4984-4C1A-9B21-5003793A6948}" type="presOf" srcId="{72C2B888-2AC2-45FE-8138-099AAF377750}" destId="{B2CC3513-DBA0-4EA3-85BD-211434DFD523}" srcOrd="0" destOrd="1" presId="urn:microsoft.com/office/officeart/2005/8/layout/vList5"/>
    <dgm:cxn modelId="{3DA5FA0C-9A4B-4679-B4FC-FBB4C7FE3E93}" srcId="{38CA7417-EB61-4900-AE57-B185768589E0}" destId="{958BCCCE-33EA-4397-854D-56C1BC7EE98A}" srcOrd="3" destOrd="0" parTransId="{E87BFD16-AFBB-4D02-8D23-BFE36D03720F}" sibTransId="{550E1EEC-C168-4331-A52A-554CC6BAA8E8}"/>
    <dgm:cxn modelId="{052E2D16-EF24-47EA-B633-A9A54C2FF812}" type="presOf" srcId="{352AD294-E2B8-4AB3-93FB-8BEB55D4D10A}" destId="{75777C89-0EC5-42DD-B6EC-EDE45BAB67AD}" srcOrd="0" destOrd="6" presId="urn:microsoft.com/office/officeart/2005/8/layout/vList5"/>
    <dgm:cxn modelId="{87348C18-F6A8-48BA-874E-BBFB95B49C86}" type="presOf" srcId="{59A754EA-7509-4E07-B13D-F7B617C5249C}" destId="{75777C89-0EC5-42DD-B6EC-EDE45BAB67AD}" srcOrd="0" destOrd="8" presId="urn:microsoft.com/office/officeart/2005/8/layout/vList5"/>
    <dgm:cxn modelId="{C010EA1A-B3D1-4480-A4D6-3F04702E8DD1}" type="presOf" srcId="{7C00AF5B-BA2C-4B45-A939-9853DAF82AED}" destId="{C9CA321A-A4DF-4DCC-AD5E-F5C9E622C742}" srcOrd="0" destOrd="0" presId="urn:microsoft.com/office/officeart/2005/8/layout/vList5"/>
    <dgm:cxn modelId="{0BE88A1C-D8E0-477C-9184-A57052BF125D}" srcId="{BF0E3776-F59D-468D-9801-07E8779FB14F}" destId="{F83F8759-B710-4707-8355-63A7B0D19BD8}" srcOrd="7" destOrd="0" parTransId="{2565B2DD-88B8-476D-B072-7CBD5AE8C529}" sibTransId="{0B563A32-3AEB-481C-8E46-6C8936E6E5A6}"/>
    <dgm:cxn modelId="{E923D226-1C48-4B7A-B000-5B84F70D106E}" type="presOf" srcId="{C011B900-3A6D-4B2F-8508-E66A6F38D93F}" destId="{98CCA28A-D9D6-4EF4-AF4A-8AFBF1CC503E}" srcOrd="0" destOrd="0" presId="urn:microsoft.com/office/officeart/2005/8/layout/vList5"/>
    <dgm:cxn modelId="{1A78142A-4E9C-4191-A90B-89379097D103}" type="presOf" srcId="{38CA7417-EB61-4900-AE57-B185768589E0}" destId="{1EEAF0B9-4A39-4579-B543-4681B788C81D}" srcOrd="0" destOrd="0" presId="urn:microsoft.com/office/officeart/2005/8/layout/vList5"/>
    <dgm:cxn modelId="{02BB2B2D-5891-42E1-B8A4-575DB54ADF60}" srcId="{275B1325-572B-43C1-887C-18C12A2011A7}" destId="{CDB7C4F0-003F-434F-BF4D-2BD1BBB4C1DD}" srcOrd="0" destOrd="0" parTransId="{E2B08579-80BE-4ABC-85A8-3F265B552342}" sibTransId="{DE8E0772-D529-4FC0-923E-359B9D4E6F89}"/>
    <dgm:cxn modelId="{619DDA33-76AD-45A7-A1B1-1C79FAA34C0E}" srcId="{C011B900-3A6D-4B2F-8508-E66A6F38D93F}" destId="{E7869479-4427-423C-8A08-6F9E57456233}" srcOrd="2" destOrd="0" parTransId="{ECF09416-29B2-4FE8-B7A7-FAFB74CDDD4E}" sibTransId="{6D0D4787-39E3-4A52-82CA-3BA9730ECCAD}"/>
    <dgm:cxn modelId="{0123CF39-BA52-42AC-ADAA-7E7DB61294B0}" type="presOf" srcId="{E7869479-4427-423C-8A08-6F9E57456233}" destId="{75777C89-0EC5-42DD-B6EC-EDE45BAB67AD}" srcOrd="0" destOrd="2" presId="urn:microsoft.com/office/officeart/2005/8/layout/vList5"/>
    <dgm:cxn modelId="{4A31593A-87D6-4294-9758-2D35FDAA398F}" srcId="{C011B900-3A6D-4B2F-8508-E66A6F38D93F}" destId="{352AD294-E2B8-4AB3-93FB-8BEB55D4D10A}" srcOrd="6" destOrd="0" parTransId="{367BB0AA-F8E5-4C47-BF2F-935E1D048D94}" sibTransId="{E32A9144-B65F-440F-A92B-80DA87A62E7B}"/>
    <dgm:cxn modelId="{D305D93A-5387-41BD-8B77-89E302A117AE}" type="presOf" srcId="{061801FD-F739-49F4-AEBC-6ABAE9A2C45D}" destId="{75777C89-0EC5-42DD-B6EC-EDE45BAB67AD}" srcOrd="0" destOrd="0" presId="urn:microsoft.com/office/officeart/2005/8/layout/vList5"/>
    <dgm:cxn modelId="{6924EC3A-040E-48D7-AA6D-E1FB007CB1DF}" type="presOf" srcId="{E2089256-0B98-4DCA-858F-01E225650870}" destId="{75777C89-0EC5-42DD-B6EC-EDE45BAB67AD}" srcOrd="0" destOrd="7" presId="urn:microsoft.com/office/officeart/2005/8/layout/vList5"/>
    <dgm:cxn modelId="{384C443E-2155-4EAC-AB6B-2499FC796044}" srcId="{275B1325-572B-43C1-887C-18C12A2011A7}" destId="{CAECDA0E-8942-44CB-8EBF-691B17D3F195}" srcOrd="4" destOrd="0" parTransId="{7D678866-3CDA-428E-892B-73B588840B17}" sibTransId="{6CE80ACB-D431-4DD5-B98D-D37FA0DB25A4}"/>
    <dgm:cxn modelId="{B447783E-1486-492B-8167-BAE96184AD24}" srcId="{275B1325-572B-43C1-887C-18C12A2011A7}" destId="{B773270C-7A57-4D52-A0B8-EADD86A0B773}" srcOrd="5" destOrd="0" parTransId="{DECF457E-E844-41EA-930F-B5A0A1ACB69F}" sibTransId="{6D151129-7855-4398-94CC-2EF929F43826}"/>
    <dgm:cxn modelId="{A57B785C-D578-4545-A7BB-056E3777D1DE}" type="presOf" srcId="{684EA6B2-A65A-4BB5-A493-3661E43A417A}" destId="{4A316384-0383-4B5C-B865-27E50C4BCDBF}" srcOrd="0" destOrd="7" presId="urn:microsoft.com/office/officeart/2005/8/layout/vList5"/>
    <dgm:cxn modelId="{7D73685E-FE73-4709-B861-4AFB39317423}" srcId="{BF0E3776-F59D-468D-9801-07E8779FB14F}" destId="{EC8476AF-3710-4CEE-9BFC-7DFD2D34BA18}" srcOrd="5" destOrd="0" parTransId="{54C9BC83-B4DC-473B-B9DB-195A96A714F6}" sibTransId="{434E8113-B4AC-4AF7-A564-89A6D4F4387D}"/>
    <dgm:cxn modelId="{D6C72265-2F83-4235-8697-6DBC9444B69F}" type="presOf" srcId="{9712F848-2507-40B4-A9E1-17D27127BF39}" destId="{75777C89-0EC5-42DD-B6EC-EDE45BAB67AD}" srcOrd="0" destOrd="3" presId="urn:microsoft.com/office/officeart/2005/8/layout/vList5"/>
    <dgm:cxn modelId="{BCD06247-F262-4FDE-9417-7A0B096E445F}" srcId="{275B1325-572B-43C1-887C-18C12A2011A7}" destId="{684EA6B2-A65A-4BB5-A493-3661E43A417A}" srcOrd="7" destOrd="0" parTransId="{DF4A5E45-862D-4224-8AF4-A0254952438D}" sibTransId="{8C305761-CFBC-4F02-88D8-1F6B3355F93C}"/>
    <dgm:cxn modelId="{E53F534C-16B7-4830-BBCA-63AEAB23EFF4}" type="presOf" srcId="{2F3A56C9-DBC1-41D3-85EA-CE891A21A9EC}" destId="{B2CC3513-DBA0-4EA3-85BD-211434DFD523}" srcOrd="0" destOrd="4" presId="urn:microsoft.com/office/officeart/2005/8/layout/vList5"/>
    <dgm:cxn modelId="{39EA936C-D2CF-4D65-B427-E0408CE68048}" type="presOf" srcId="{8EAB2112-CA40-4CD5-95F1-B5C524BFDCCA}" destId="{4A316384-0383-4B5C-B865-27E50C4BCDBF}" srcOrd="0" destOrd="2" presId="urn:microsoft.com/office/officeart/2005/8/layout/vList5"/>
    <dgm:cxn modelId="{8BCE2F4E-DE23-45CD-997B-95D28E0209FA}" srcId="{275B1325-572B-43C1-887C-18C12A2011A7}" destId="{01582B33-C247-4E81-BC4B-FF0CACEE2F85}" srcOrd="3" destOrd="0" parTransId="{BAC5102F-D4B4-4928-B373-6EBFC8E0860F}" sibTransId="{89DDB594-C0FA-45B5-9049-75FF3FC464BD}"/>
    <dgm:cxn modelId="{7B18324F-C0F7-4A72-B9ED-B2F92D6BF7AF}" type="presOf" srcId="{EDFE652C-7175-47E8-BCB6-F69078E9FAF4}" destId="{4A316384-0383-4B5C-B865-27E50C4BCDBF}" srcOrd="0" destOrd="8" presId="urn:microsoft.com/office/officeart/2005/8/layout/vList5"/>
    <dgm:cxn modelId="{8F0FA552-C154-47D0-9D6C-40CA47F52E35}" type="presOf" srcId="{522C4CA0-273B-4151-A261-91E7FB915EFF}" destId="{C9CA321A-A4DF-4DCC-AD5E-F5C9E622C742}" srcOrd="0" destOrd="4" presId="urn:microsoft.com/office/officeart/2005/8/layout/vList5"/>
    <dgm:cxn modelId="{D3E77473-1D00-4FAC-87BE-E2B253140EE9}" srcId="{275B1325-572B-43C1-887C-18C12A2011A7}" destId="{8EAB2112-CA40-4CD5-95F1-B5C524BFDCCA}" srcOrd="2" destOrd="0" parTransId="{79927128-B41C-4A0A-AC9C-38AA681FA813}" sibTransId="{DF382424-3AF2-43D6-AC88-61AFF0D0BC95}"/>
    <dgm:cxn modelId="{31AA7A78-A43C-4A26-98DF-AEE899518F0A}" srcId="{BF0E3776-F59D-468D-9801-07E8779FB14F}" destId="{75B727FF-A255-42F6-A416-5935A02E3AA7}" srcOrd="6" destOrd="0" parTransId="{C1C538BA-1884-4ED0-9405-DAB3D94B632D}" sibTransId="{0DDB7474-EE64-49A0-9EB1-CA99942B813F}"/>
    <dgm:cxn modelId="{6D161F79-43DA-43CF-9794-3F5F89D316BD}" type="presOf" srcId="{01582B33-C247-4E81-BC4B-FF0CACEE2F85}" destId="{4A316384-0383-4B5C-B865-27E50C4BCDBF}" srcOrd="0" destOrd="3" presId="urn:microsoft.com/office/officeart/2005/8/layout/vList5"/>
    <dgm:cxn modelId="{DCD7135A-7B87-4AE1-AD1A-4C19A0E1BFC5}" type="presOf" srcId="{F33413F3-A226-425C-8D92-C4474B3C2A24}" destId="{C9CA321A-A4DF-4DCC-AD5E-F5C9E622C742}" srcOrd="0" destOrd="3" presId="urn:microsoft.com/office/officeart/2005/8/layout/vList5"/>
    <dgm:cxn modelId="{A290FE7A-DB83-4A2A-B1A5-7C7C2CA88C5F}" type="presOf" srcId="{D94EC98E-FAE9-452C-BA3B-30314436AB14}" destId="{4A316384-0383-4B5C-B865-27E50C4BCDBF}" srcOrd="0" destOrd="1" presId="urn:microsoft.com/office/officeart/2005/8/layout/vList5"/>
    <dgm:cxn modelId="{9CDBBC7B-D9A6-409A-9BCC-4A969D3E910E}" srcId="{275B1325-572B-43C1-887C-18C12A2011A7}" destId="{EDFE652C-7175-47E8-BCB6-F69078E9FAF4}" srcOrd="8" destOrd="0" parTransId="{3A3982FF-B837-4494-AA83-15848A3DE000}" sibTransId="{4C74237C-21EE-4268-995A-05F60E15A829}"/>
    <dgm:cxn modelId="{28F44382-C27E-417C-84D0-1C5E1134B235}" srcId="{4E387B91-A210-46F4-B2E0-FE7DEA4E003C}" destId="{BF0E3776-F59D-468D-9801-07E8779FB14F}" srcOrd="2" destOrd="0" parTransId="{8EE700ED-DF27-499B-ACD0-3AE4D0648EBD}" sibTransId="{E03477A9-D31E-4D7F-B4C5-9463564C4357}"/>
    <dgm:cxn modelId="{B1CCE182-C2B3-4098-A2CE-238661C398F7}" srcId="{4E387B91-A210-46F4-B2E0-FE7DEA4E003C}" destId="{275B1325-572B-43C1-887C-18C12A2011A7}" srcOrd="1" destOrd="0" parTransId="{8989032B-4272-40A5-992C-1610614EA1EC}" sibTransId="{DA889A3C-7C97-495D-B797-1CB29318AED9}"/>
    <dgm:cxn modelId="{18A2E882-4CA4-4FDF-A80E-0FDC49A629E5}" type="presOf" srcId="{4E387B91-A210-46F4-B2E0-FE7DEA4E003C}" destId="{129B15AB-E9DB-4EE8-8308-AD29E1479575}" srcOrd="0" destOrd="0" presId="urn:microsoft.com/office/officeart/2005/8/layout/vList5"/>
    <dgm:cxn modelId="{8E500983-B240-47B4-A955-D071705E015B}" srcId="{C011B900-3A6D-4B2F-8508-E66A6F38D93F}" destId="{E2089256-0B98-4DCA-858F-01E225650870}" srcOrd="7" destOrd="0" parTransId="{76451A11-2564-4726-A812-474811A4B8FA}" sibTransId="{820A2DFF-3B2B-451D-8712-6A8E2ABDB074}"/>
    <dgm:cxn modelId="{1A01A683-5E19-4430-94CE-A969E1031694}" srcId="{C011B900-3A6D-4B2F-8508-E66A6F38D93F}" destId="{061801FD-F739-49F4-AEBC-6ABAE9A2C45D}" srcOrd="0" destOrd="0" parTransId="{22F5FAA7-C65F-40FC-879F-2B109F99E952}" sibTransId="{398C419B-C494-4675-8F5A-00F6B7252BFD}"/>
    <dgm:cxn modelId="{395D9B85-8250-46CC-AE1E-749F62B1C4E1}" srcId="{275B1325-572B-43C1-887C-18C12A2011A7}" destId="{36B6D52E-BB76-429F-A0D3-5C4619A5B8B8}" srcOrd="6" destOrd="0" parTransId="{B95EC395-19CF-44AE-8D81-85CE4B8771D3}" sibTransId="{CB6B8373-1626-4DB0-8515-F8BB124D6F72}"/>
    <dgm:cxn modelId="{2557D28A-D81D-4D13-AA63-D9BFDC8D9601}" type="presOf" srcId="{F83F8759-B710-4707-8355-63A7B0D19BD8}" destId="{C9CA321A-A4DF-4DCC-AD5E-F5C9E622C742}" srcOrd="0" destOrd="7" presId="urn:microsoft.com/office/officeart/2005/8/layout/vList5"/>
    <dgm:cxn modelId="{0E16688F-A4E3-4CFF-B3A3-5CBDBE09CB82}" type="presOf" srcId="{275B1325-572B-43C1-887C-18C12A2011A7}" destId="{57D6835E-159F-467A-B542-34578388A0C5}" srcOrd="0" destOrd="0" presId="urn:microsoft.com/office/officeart/2005/8/layout/vList5"/>
    <dgm:cxn modelId="{9E004591-FE53-47AF-A6AB-402DB7769C61}" srcId="{C011B900-3A6D-4B2F-8508-E66A6F38D93F}" destId="{9712F848-2507-40B4-A9E1-17D27127BF39}" srcOrd="3" destOrd="0" parTransId="{3A8BE762-E4AD-4DDB-A6EF-406A3BD464CB}" sibTransId="{FF8F3242-20A7-48A1-8B5E-26F06006A0CD}"/>
    <dgm:cxn modelId="{445B5391-ED09-4F0E-8848-E4B74DA8C5FB}" type="presOf" srcId="{7E16A3CB-D3A5-4FAA-A3C2-8B815748AA22}" destId="{B2CC3513-DBA0-4EA3-85BD-211434DFD523}" srcOrd="0" destOrd="0" presId="urn:microsoft.com/office/officeart/2005/8/layout/vList5"/>
    <dgm:cxn modelId="{29B15294-719C-43BE-ABBE-A611B75756B6}" srcId="{C011B900-3A6D-4B2F-8508-E66A6F38D93F}" destId="{59A754EA-7509-4E07-B13D-F7B617C5249C}" srcOrd="8" destOrd="0" parTransId="{C03C2565-0C90-45EB-906C-515D99FDC63E}" sibTransId="{EC967C8E-F7CA-4BC8-A939-B3014678FC51}"/>
    <dgm:cxn modelId="{5B48689C-88AE-44A7-862E-05498D755B6F}" srcId="{C011B900-3A6D-4B2F-8508-E66A6F38D93F}" destId="{72F34272-5A9C-40EE-B401-237D6FE42B2E}" srcOrd="5" destOrd="0" parTransId="{188B5486-3F4A-47A1-8F0D-1DC3D0EBAEC3}" sibTransId="{A448E47D-081F-47E4-9C17-FEC769400138}"/>
    <dgm:cxn modelId="{FF57CF9F-8EC1-4E20-AD2E-5013CAF5CB23}" srcId="{C011B900-3A6D-4B2F-8508-E66A6F38D93F}" destId="{F38E9F63-D744-4C18-AF07-5174FDD5E155}" srcOrd="4" destOrd="0" parTransId="{E6DAF53C-11E8-4FCF-9F35-032A52266742}" sibTransId="{E2AE86B7-2A99-4EB5-9270-9313A3C33D78}"/>
    <dgm:cxn modelId="{0960A7A0-81B7-4E19-A309-ABF4ED19E62D}" type="presOf" srcId="{9FA052C8-8AF4-4E05-BCAB-8469EE108C7D}" destId="{C9CA321A-A4DF-4DCC-AD5E-F5C9E622C742}" srcOrd="0" destOrd="8" presId="urn:microsoft.com/office/officeart/2005/8/layout/vList5"/>
    <dgm:cxn modelId="{7E341EAB-AB44-4378-A9AF-E8534750A0FD}" type="presOf" srcId="{958BCCCE-33EA-4397-854D-56C1BC7EE98A}" destId="{B2CC3513-DBA0-4EA3-85BD-211434DFD523}" srcOrd="0" destOrd="3" presId="urn:microsoft.com/office/officeart/2005/8/layout/vList5"/>
    <dgm:cxn modelId="{DDF2EFAC-89E6-4582-B887-662F401AFE1C}" srcId="{BF0E3776-F59D-468D-9801-07E8779FB14F}" destId="{522C4CA0-273B-4151-A261-91E7FB915EFF}" srcOrd="4" destOrd="0" parTransId="{8E4F9C69-406E-4726-9E78-00A20C7ED3FB}" sibTransId="{60988B9E-36BD-46F6-B301-00FE26F994B4}"/>
    <dgm:cxn modelId="{378D5AAD-B9D0-4122-9299-F95FC5EB86D3}" srcId="{BF0E3776-F59D-468D-9801-07E8779FB14F}" destId="{9FA052C8-8AF4-4E05-BCAB-8469EE108C7D}" srcOrd="8" destOrd="0" parTransId="{730D0642-E229-4E4F-B539-F21EC466A52F}" sibTransId="{8920FB24-5D00-4592-B62C-AE10D337C64F}"/>
    <dgm:cxn modelId="{E81AD9AE-129E-4758-98DA-EA37FB21BB08}" srcId="{C011B900-3A6D-4B2F-8508-E66A6F38D93F}" destId="{8213B726-DC3C-430C-AB77-823344FA1DC5}" srcOrd="1" destOrd="0" parTransId="{C7979525-7504-4E34-AB77-174758F711F9}" sibTransId="{6C66620D-675B-40E9-A157-1D8FA3E1094E}"/>
    <dgm:cxn modelId="{024088B2-BF3F-42A2-B8F3-7B786CC80B6E}" srcId="{BF0E3776-F59D-468D-9801-07E8779FB14F}" destId="{E1114A6D-FBE2-4976-8166-7F5890EE1D04}" srcOrd="1" destOrd="0" parTransId="{2300863C-A8F4-4D57-8C6B-39FE0155C47A}" sibTransId="{EE5C0A12-0A97-48DB-B906-F043D563CCFD}"/>
    <dgm:cxn modelId="{4CAD26B3-8180-4708-8427-F083B9C5FB9A}" type="presOf" srcId="{EC8476AF-3710-4CEE-9BFC-7DFD2D34BA18}" destId="{C9CA321A-A4DF-4DCC-AD5E-F5C9E622C742}" srcOrd="0" destOrd="5" presId="urn:microsoft.com/office/officeart/2005/8/layout/vList5"/>
    <dgm:cxn modelId="{C487FBB6-A762-4784-9DF0-E12C40FF3C81}" type="presOf" srcId="{75B727FF-A255-42F6-A416-5935A02E3AA7}" destId="{C9CA321A-A4DF-4DCC-AD5E-F5C9E622C742}" srcOrd="0" destOrd="6" presId="urn:microsoft.com/office/officeart/2005/8/layout/vList5"/>
    <dgm:cxn modelId="{02FF5EB8-2759-4EAF-8EC3-D4B3BB902727}" srcId="{38CA7417-EB61-4900-AE57-B185768589E0}" destId="{E30D24B7-D6BA-479B-954D-E1DC38DA0A15}" srcOrd="2" destOrd="0" parTransId="{5F524661-62C8-44EC-946D-F0E8DD7109DD}" sibTransId="{7C751051-5679-4202-B6B8-D5A33E41D680}"/>
    <dgm:cxn modelId="{4CC3A0BA-576C-4AFB-BD9E-0980FC097131}" srcId="{BF0E3776-F59D-468D-9801-07E8779FB14F}" destId="{F33413F3-A226-425C-8D92-C4474B3C2A24}" srcOrd="3" destOrd="0" parTransId="{36BBD951-6F77-4FFF-A047-1F8133052C99}" sibTransId="{09B90129-6563-4E18-9B57-9A2C9B48216D}"/>
    <dgm:cxn modelId="{98BEE4BD-C068-4C5C-8CAB-ECE79C93F63F}" srcId="{BF0E3776-F59D-468D-9801-07E8779FB14F}" destId="{7C00AF5B-BA2C-4B45-A939-9853DAF82AED}" srcOrd="0" destOrd="0" parTransId="{99819B31-B28B-4701-8712-80CDED8FA52D}" sibTransId="{E16A77F8-9035-4740-A4D3-A36205408AE8}"/>
    <dgm:cxn modelId="{440D0FC2-81D1-4643-9003-C1DC13C6AD64}" srcId="{275B1325-572B-43C1-887C-18C12A2011A7}" destId="{D94EC98E-FAE9-452C-BA3B-30314436AB14}" srcOrd="1" destOrd="0" parTransId="{8C739F2C-0D28-459A-BAD8-AD74FCFBE745}" sibTransId="{F2247A63-633C-4924-BBE0-B26580611BF8}"/>
    <dgm:cxn modelId="{187010CB-DFF8-484E-8ADF-1A8E49FE7B69}" srcId="{4E387B91-A210-46F4-B2E0-FE7DEA4E003C}" destId="{38CA7417-EB61-4900-AE57-B185768589E0}" srcOrd="0" destOrd="0" parTransId="{5A812664-0A1B-494F-9423-A86649AAE3DF}" sibTransId="{0413CD23-32C6-465F-B1CD-2585BCC012CB}"/>
    <dgm:cxn modelId="{879740D1-A375-407D-A7FD-57E8774A0BAB}" type="presOf" srcId="{CAECDA0E-8942-44CB-8EBF-691B17D3F195}" destId="{4A316384-0383-4B5C-B865-27E50C4BCDBF}" srcOrd="0" destOrd="4" presId="urn:microsoft.com/office/officeart/2005/8/layout/vList5"/>
    <dgm:cxn modelId="{1EF593D3-3D74-4A04-B9DD-524FC521117E}" srcId="{38CA7417-EB61-4900-AE57-B185768589E0}" destId="{7E16A3CB-D3A5-4FAA-A3C2-8B815748AA22}" srcOrd="0" destOrd="0" parTransId="{85AEB812-DF18-48E7-B8D6-56AD4796AD5F}" sibTransId="{675B45EC-2BD0-40AC-9F61-2965DE7CCC75}"/>
    <dgm:cxn modelId="{7AA8E5D7-38FC-4A83-9184-72362783B8FD}" srcId="{38CA7417-EB61-4900-AE57-B185768589E0}" destId="{72C2B888-2AC2-45FE-8138-099AAF377750}" srcOrd="1" destOrd="0" parTransId="{CBD92904-79C9-4708-A4AF-4634F75EC15B}" sibTransId="{E918801D-5639-4E58-8244-17C3EC9E65F4}"/>
    <dgm:cxn modelId="{301E89D9-C49E-4666-97D1-6B362C3AB715}" srcId="{38CA7417-EB61-4900-AE57-B185768589E0}" destId="{2F3A56C9-DBC1-41D3-85EA-CE891A21A9EC}" srcOrd="4" destOrd="0" parTransId="{EAC6FC64-A564-40E8-85CA-910F663B0061}" sibTransId="{7FE36148-BC81-4772-8E81-F4EC774EFA63}"/>
    <dgm:cxn modelId="{2F8149DE-7A22-42F9-BD34-E86377AEEAA8}" type="presOf" srcId="{BF0E3776-F59D-468D-9801-07E8779FB14F}" destId="{2A84FC29-213F-4EFD-8C4C-AB528900829C}" srcOrd="0" destOrd="0" presId="urn:microsoft.com/office/officeart/2005/8/layout/vList5"/>
    <dgm:cxn modelId="{81BEA3E2-9928-44E0-8290-388E96BF4975}" type="presOf" srcId="{B773270C-7A57-4D52-A0B8-EADD86A0B773}" destId="{4A316384-0383-4B5C-B865-27E50C4BCDBF}" srcOrd="0" destOrd="5" presId="urn:microsoft.com/office/officeart/2005/8/layout/vList5"/>
    <dgm:cxn modelId="{4831E3E5-E641-495D-85AF-48FA73D3A0E9}" srcId="{4E387B91-A210-46F4-B2E0-FE7DEA4E003C}" destId="{C011B900-3A6D-4B2F-8508-E66A6F38D93F}" srcOrd="3" destOrd="0" parTransId="{9CACD6C4-17EC-417D-9B9F-B58431469F4A}" sibTransId="{E54C1263-04AD-44E0-AAB5-45BE1D544E25}"/>
    <dgm:cxn modelId="{C7E850E7-9632-49E8-8CBC-D1D06B37861D}" srcId="{BF0E3776-F59D-468D-9801-07E8779FB14F}" destId="{78E5E9E2-E922-49C3-8F6D-D907C9EDBF22}" srcOrd="2" destOrd="0" parTransId="{534019B8-7113-4323-8F8C-42FCD53A90E7}" sibTransId="{63B0697D-611B-4F33-9F65-E51224B3B937}"/>
    <dgm:cxn modelId="{1D1BACF2-B3F8-4724-99D5-7B20D4E4E21D}" type="presOf" srcId="{72F34272-5A9C-40EE-B401-237D6FE42B2E}" destId="{75777C89-0EC5-42DD-B6EC-EDE45BAB67AD}" srcOrd="0" destOrd="5" presId="urn:microsoft.com/office/officeart/2005/8/layout/vList5"/>
    <dgm:cxn modelId="{9EE23EF5-FEC2-464A-9561-E4FA7F192E16}" type="presOf" srcId="{8213B726-DC3C-430C-AB77-823344FA1DC5}" destId="{75777C89-0EC5-42DD-B6EC-EDE45BAB67AD}" srcOrd="0" destOrd="1" presId="urn:microsoft.com/office/officeart/2005/8/layout/vList5"/>
    <dgm:cxn modelId="{059920F9-4693-4B25-8E38-2D4A52FFDE65}" type="presOf" srcId="{E30D24B7-D6BA-479B-954D-E1DC38DA0A15}" destId="{B2CC3513-DBA0-4EA3-85BD-211434DFD523}" srcOrd="0" destOrd="2" presId="urn:microsoft.com/office/officeart/2005/8/layout/vList5"/>
    <dgm:cxn modelId="{3F07E4F9-95F9-4309-AE02-EB9D58131115}" type="presOf" srcId="{CDB7C4F0-003F-434F-BF4D-2BD1BBB4C1DD}" destId="{4A316384-0383-4B5C-B865-27E50C4BCDBF}" srcOrd="0" destOrd="0" presId="urn:microsoft.com/office/officeart/2005/8/layout/vList5"/>
    <dgm:cxn modelId="{354A71AC-9063-4926-AC68-2339F60119E8}" type="presParOf" srcId="{129B15AB-E9DB-4EE8-8308-AD29E1479575}" destId="{B91FCB62-A55B-45FF-BCFF-070CD64BC683}" srcOrd="0" destOrd="0" presId="urn:microsoft.com/office/officeart/2005/8/layout/vList5"/>
    <dgm:cxn modelId="{87F29D2C-DD5E-4178-BAB7-F80CF14BD9E8}" type="presParOf" srcId="{B91FCB62-A55B-45FF-BCFF-070CD64BC683}" destId="{1EEAF0B9-4A39-4579-B543-4681B788C81D}" srcOrd="0" destOrd="0" presId="urn:microsoft.com/office/officeart/2005/8/layout/vList5"/>
    <dgm:cxn modelId="{F98CFC0B-2513-48C5-A096-C761E9419F80}" type="presParOf" srcId="{B91FCB62-A55B-45FF-BCFF-070CD64BC683}" destId="{B2CC3513-DBA0-4EA3-85BD-211434DFD523}" srcOrd="1" destOrd="0" presId="urn:microsoft.com/office/officeart/2005/8/layout/vList5"/>
    <dgm:cxn modelId="{97305FFE-7A5F-48F3-90C4-15FD36416736}" type="presParOf" srcId="{129B15AB-E9DB-4EE8-8308-AD29E1479575}" destId="{03558DD0-2EB0-4F49-869F-A2892F45BF72}" srcOrd="1" destOrd="0" presId="urn:microsoft.com/office/officeart/2005/8/layout/vList5"/>
    <dgm:cxn modelId="{87166723-1B87-46D5-9217-22D1AB03AC1F}" type="presParOf" srcId="{129B15AB-E9DB-4EE8-8308-AD29E1479575}" destId="{7B862728-A59B-4D38-B647-99F3D8E57F13}" srcOrd="2" destOrd="0" presId="urn:microsoft.com/office/officeart/2005/8/layout/vList5"/>
    <dgm:cxn modelId="{039F412D-3D6D-4426-BED8-BFF16B6398BC}" type="presParOf" srcId="{7B862728-A59B-4D38-B647-99F3D8E57F13}" destId="{57D6835E-159F-467A-B542-34578388A0C5}" srcOrd="0" destOrd="0" presId="urn:microsoft.com/office/officeart/2005/8/layout/vList5"/>
    <dgm:cxn modelId="{8D986881-B111-459C-97F8-A7CD316AE4B5}" type="presParOf" srcId="{7B862728-A59B-4D38-B647-99F3D8E57F13}" destId="{4A316384-0383-4B5C-B865-27E50C4BCDBF}" srcOrd="1" destOrd="0" presId="urn:microsoft.com/office/officeart/2005/8/layout/vList5"/>
    <dgm:cxn modelId="{BA46D505-7A02-467D-B903-D41CF9EF59C8}" type="presParOf" srcId="{129B15AB-E9DB-4EE8-8308-AD29E1479575}" destId="{FB23EE9A-292C-4C13-A045-11EA96BFD974}" srcOrd="3" destOrd="0" presId="urn:microsoft.com/office/officeart/2005/8/layout/vList5"/>
    <dgm:cxn modelId="{FDCAFA9B-E7D3-4F29-9274-960501CE793F}" type="presParOf" srcId="{129B15AB-E9DB-4EE8-8308-AD29E1479575}" destId="{4B79495E-0FDE-447D-AEC1-7CF29B84BCB6}" srcOrd="4" destOrd="0" presId="urn:microsoft.com/office/officeart/2005/8/layout/vList5"/>
    <dgm:cxn modelId="{BA785EC8-FD7E-4EEF-BDCC-CB753C86028C}" type="presParOf" srcId="{4B79495E-0FDE-447D-AEC1-7CF29B84BCB6}" destId="{2A84FC29-213F-4EFD-8C4C-AB528900829C}" srcOrd="0" destOrd="0" presId="urn:microsoft.com/office/officeart/2005/8/layout/vList5"/>
    <dgm:cxn modelId="{E46E37BA-EF0D-4B00-B3BC-AC59AE4B8F3C}" type="presParOf" srcId="{4B79495E-0FDE-447D-AEC1-7CF29B84BCB6}" destId="{C9CA321A-A4DF-4DCC-AD5E-F5C9E622C742}" srcOrd="1" destOrd="0" presId="urn:microsoft.com/office/officeart/2005/8/layout/vList5"/>
    <dgm:cxn modelId="{C69B949C-B30F-4FEA-9FC3-19F9407CDDAA}" type="presParOf" srcId="{129B15AB-E9DB-4EE8-8308-AD29E1479575}" destId="{222CA7B4-5AA8-4443-B0B6-89A510D2C109}" srcOrd="5" destOrd="0" presId="urn:microsoft.com/office/officeart/2005/8/layout/vList5"/>
    <dgm:cxn modelId="{E67AB35E-DCFC-48A6-B867-634755FF161A}" type="presParOf" srcId="{129B15AB-E9DB-4EE8-8308-AD29E1479575}" destId="{4E0DA1FA-8966-44B3-AF85-D5DDB707BE1A}" srcOrd="6" destOrd="0" presId="urn:microsoft.com/office/officeart/2005/8/layout/vList5"/>
    <dgm:cxn modelId="{05BA1B6C-5821-4849-9866-D7DA7E160128}" type="presParOf" srcId="{4E0DA1FA-8966-44B3-AF85-D5DDB707BE1A}" destId="{98CCA28A-D9D6-4EF4-AF4A-8AFBF1CC503E}" srcOrd="0" destOrd="0" presId="urn:microsoft.com/office/officeart/2005/8/layout/vList5"/>
    <dgm:cxn modelId="{38C2853B-40F6-4BE6-8F8A-8730DD8F16E5}" type="presParOf" srcId="{4E0DA1FA-8966-44B3-AF85-D5DDB707BE1A}" destId="{75777C89-0EC5-42DD-B6EC-EDE45BAB67AD}" srcOrd="1" destOrd="0" presId="urn:microsoft.com/office/officeart/2005/8/layout/vList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CC3513-DBA0-4EA3-85BD-211434DFD523}">
      <dsp:nvSpPr>
        <dsp:cNvPr id="0" name=""/>
        <dsp:cNvSpPr/>
      </dsp:nvSpPr>
      <dsp:spPr>
        <a:xfrm rot="5400000">
          <a:off x="3568041" y="-2153650"/>
          <a:ext cx="1682763" cy="5995443"/>
        </a:xfrm>
        <a:prstGeom prst="round2SameRect">
          <a:avLst/>
        </a:prstGeom>
        <a:solidFill>
          <a:srgbClr val="0F9ED5">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The Equality Act (2010): mandates that these institutions must non discriminate against students (or staff) based on protected characteristics of age, disability, gender reassignment, marriage or civil partnership, pregnancy &amp; maternity, race, religion or belief, sex and sexual orientation. </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Department for Education(DfE)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Office for Students (OfS) in the UK</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ptos" panose="02110004020202020204"/>
              <a:ea typeface="+mn-ea"/>
              <a:cs typeface="+mn-cs"/>
            </a:rPr>
            <a:t>Forming the cornerstone of legal obligations for higher education institutions &amp; post-16 educatoin providers. </a:t>
          </a:r>
        </a:p>
        <a:p>
          <a:pPr marL="114300" lvl="1" indent="-114300" algn="l" defTabSz="533400">
            <a:lnSpc>
              <a:spcPct val="90000"/>
            </a:lnSpc>
            <a:spcBef>
              <a:spcPct val="0"/>
            </a:spcBef>
            <a:spcAft>
              <a:spcPct val="15000"/>
            </a:spcAft>
            <a:buChar char="•"/>
          </a:pPr>
          <a:r>
            <a:rPr lang="en-GB" sz="1200" kern="1200"/>
            <a:t>The Public Sector Equality Duty 2011</a:t>
          </a:r>
          <a:endParaRPr lang="en-GB" sz="1200" kern="1200">
            <a:solidFill>
              <a:sysClr val="windowText" lastClr="000000">
                <a:hueOff val="0"/>
                <a:satOff val="0"/>
                <a:lumOff val="0"/>
                <a:alphaOff val="0"/>
              </a:sysClr>
            </a:solidFill>
            <a:latin typeface="Aptos" panose="02110004020202020204"/>
            <a:ea typeface="+mn-ea"/>
            <a:cs typeface="+mn-cs"/>
          </a:endParaRPr>
        </a:p>
      </dsp:txBody>
      <dsp:txXfrm rot="-5400000">
        <a:off x="1411701" y="84836"/>
        <a:ext cx="5913297" cy="1518471"/>
      </dsp:txXfrm>
    </dsp:sp>
    <dsp:sp modelId="{1EEAF0B9-4A39-4579-B543-4681B788C81D}">
      <dsp:nvSpPr>
        <dsp:cNvPr id="0" name=""/>
        <dsp:cNvSpPr/>
      </dsp:nvSpPr>
      <dsp:spPr>
        <a:xfrm>
          <a:off x="486" y="68844"/>
          <a:ext cx="1411215" cy="1550453"/>
        </a:xfrm>
        <a:prstGeom prst="roundRect">
          <a:avLst/>
        </a:prstGeom>
        <a:solidFill>
          <a:srgbClr val="E8E8E8">
            <a:lumMod val="1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UK Government </a:t>
          </a:r>
        </a:p>
      </dsp:txBody>
      <dsp:txXfrm>
        <a:off x="69376" y="137734"/>
        <a:ext cx="1273435" cy="1412673"/>
      </dsp:txXfrm>
    </dsp:sp>
    <dsp:sp modelId="{4A316384-0383-4B5C-B865-27E50C4BCDBF}">
      <dsp:nvSpPr>
        <dsp:cNvPr id="0" name=""/>
        <dsp:cNvSpPr/>
      </dsp:nvSpPr>
      <dsp:spPr>
        <a:xfrm rot="5400000">
          <a:off x="3104425" y="58799"/>
          <a:ext cx="2611057" cy="5932818"/>
        </a:xfrm>
        <a:prstGeom prst="round2SameRect">
          <a:avLst/>
        </a:prstGeom>
        <a:solidFill>
          <a:srgbClr val="196B24">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Well-being of Future Generations (Wales) Act 2015</a:t>
          </a:r>
        </a:p>
        <a:p>
          <a:pPr marL="57150" lvl="1" indent="-57150" algn="l" defTabSz="444500">
            <a:lnSpc>
              <a:spcPct val="90000"/>
            </a:lnSpc>
            <a:spcBef>
              <a:spcPct val="0"/>
            </a:spcBef>
            <a:spcAft>
              <a:spcPct val="15000"/>
            </a:spcAft>
            <a:buChar char="•"/>
          </a:pPr>
          <a:r>
            <a:rPr lang="en-GB" sz="1000" kern="1200"/>
            <a:t>The Higher Education (Wales) Bill </a:t>
          </a: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 HEFCW's Wellbeing and Health in higher Education Policy Statement (2019)</a:t>
          </a:r>
        </a:p>
        <a:p>
          <a:pPr marL="57150" lvl="1" indent="-57150" algn="l" defTabSz="444500">
            <a:lnSpc>
              <a:spcPct val="90000"/>
            </a:lnSpc>
            <a:spcBef>
              <a:spcPct val="0"/>
            </a:spcBef>
            <a:spcAft>
              <a:spcPct val="15000"/>
            </a:spcAft>
            <a:buChar char="•"/>
          </a:pPr>
          <a:r>
            <a:rPr lang="en-GB" sz="1000" kern="1200"/>
            <a:t>Towards 2030 framework; The post-16 education and skills system in Wales is presently undergoing substantial restructuring, characterized by shifts in funding mechanisms, governance structures, enhanced leadership, and a dedication to lifelong learning. This reform initiative seeks to foster closer collaboration and coordination among post-16 education providers, with the potential to serve as a model for other constituent nations within the United Kingdom.</a:t>
          </a: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The Additional Learning Needs Code for Wales (2021)</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Curriculum and Assessment (Wales) Act (2021)</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Professional Standards for Teaching and Leadership</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Ways of Supporting Learners with Vision: Impairment; Hearing Impairment; Multi-Sensory Impairment; Attention Deficit Hyperactivity Disorder; Autistic Spectrum Disorder (2019a, 2019b, 2019c, 2019d, 2019e)</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Fair Access by Design: Guidance for Awarding Organisations on designing High-Quality and Inclusive Qualifications. </a:t>
          </a:r>
        </a:p>
      </dsp:txBody>
      <dsp:txXfrm rot="-5400000">
        <a:off x="1443545" y="1847141"/>
        <a:ext cx="5805357" cy="2356135"/>
      </dsp:txXfrm>
    </dsp:sp>
    <dsp:sp modelId="{57D6835E-159F-467A-B542-34578388A0C5}">
      <dsp:nvSpPr>
        <dsp:cNvPr id="0" name=""/>
        <dsp:cNvSpPr/>
      </dsp:nvSpPr>
      <dsp:spPr>
        <a:xfrm>
          <a:off x="486" y="2245729"/>
          <a:ext cx="1428126" cy="1751378"/>
        </a:xfrm>
        <a:prstGeom prst="roundRect">
          <a:avLst/>
        </a:prstGeom>
        <a:solidFill>
          <a:srgbClr val="E8E8E8">
            <a:lumMod val="2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Welsh Government </a:t>
          </a:r>
        </a:p>
      </dsp:txBody>
      <dsp:txXfrm>
        <a:off x="70201" y="2315444"/>
        <a:ext cx="1288696" cy="1611948"/>
      </dsp:txXfrm>
    </dsp:sp>
    <dsp:sp modelId="{C9CA321A-A4DF-4DCC-AD5E-F5C9E622C742}">
      <dsp:nvSpPr>
        <dsp:cNvPr id="0" name=""/>
        <dsp:cNvSpPr/>
      </dsp:nvSpPr>
      <dsp:spPr>
        <a:xfrm rot="5400000">
          <a:off x="3065517" y="2725715"/>
          <a:ext cx="2744354" cy="6059791"/>
        </a:xfrm>
        <a:prstGeom prst="round2SameRect">
          <a:avLst/>
        </a:prstGeom>
        <a:solidFill>
          <a:srgbClr val="A02B93">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Equality and Diversity Policies: Institutions establish their commitment to equality and diversity and outline procedures for handling complaints of discrimination or harassment.</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Disability Support Services: Institutions provide support services for students with disabilities, including reasonable adjustments, accessibility accommodations, and disability advice and guidance.</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Student Support Services: Institutions offer a range of support services to promote student well-being and ensure that all students have equal opportunities to succeed academically and personally.</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Teaching and Learning Practices: Institutions promote inclusive teaching and learning practices that accommodate diverse student needs and learning styles, ensuring that all students can engage effectively with their studies.</a:t>
          </a:r>
        </a:p>
        <a:p>
          <a:pPr marL="57150" lvl="1" indent="-57150" algn="l" defTabSz="444500">
            <a:lnSpc>
              <a:spcPct val="90000"/>
            </a:lnSpc>
            <a:spcBef>
              <a:spcPct val="0"/>
            </a:spcBef>
            <a:spcAft>
              <a:spcPct val="15000"/>
            </a:spcAft>
            <a:buChar char="•"/>
          </a:pPr>
          <a:r>
            <a:rPr lang="en-GB" sz="1000" kern="1200"/>
            <a:t>The Social Model  of disability </a:t>
          </a:r>
          <a:endParaRPr lang="en-GB" sz="10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Stepchange Mentally Healthy Universities (2020) Disability Support Policies: Institutions must have policies and procedures in place to support students with disabilities and ensure that they have equal access to education, facilities, and services.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 Admissions Policies: Institutions develop admissions policies that are fair, transparent, and non-discriminatory, ensuring equal opportunities for all applicant</a:t>
          </a:r>
        </a:p>
        <a:p>
          <a:pPr marL="57150" lvl="1" indent="-57150" algn="l" defTabSz="444500">
            <a:lnSpc>
              <a:spcPct val="90000"/>
            </a:lnSpc>
            <a:spcBef>
              <a:spcPct val="0"/>
            </a:spcBef>
            <a:spcAft>
              <a:spcPct val="15000"/>
            </a:spcAft>
            <a:buChar char="•"/>
          </a:pPr>
          <a:endParaRPr lang="en-GB" sz="1000" kern="1200">
            <a:solidFill>
              <a:sysClr val="windowText" lastClr="000000">
                <a:hueOff val="0"/>
                <a:satOff val="0"/>
                <a:lumOff val="0"/>
                <a:alphaOff val="0"/>
              </a:sysClr>
            </a:solidFill>
            <a:latin typeface="Aptos" panose="02110004020202020204"/>
            <a:ea typeface="+mn-ea"/>
            <a:cs typeface="+mn-cs"/>
          </a:endParaRPr>
        </a:p>
      </dsp:txBody>
      <dsp:txXfrm rot="-5400000">
        <a:off x="1407799" y="4517401"/>
        <a:ext cx="5925823" cy="2476418"/>
      </dsp:txXfrm>
    </dsp:sp>
    <dsp:sp modelId="{2A84FC29-213F-4EFD-8C4C-AB528900829C}">
      <dsp:nvSpPr>
        <dsp:cNvPr id="0" name=""/>
        <dsp:cNvSpPr/>
      </dsp:nvSpPr>
      <dsp:spPr>
        <a:xfrm>
          <a:off x="486" y="5044846"/>
          <a:ext cx="1405560" cy="1769430"/>
        </a:xfrm>
        <a:prstGeom prst="roundRect">
          <a:avLst/>
        </a:prstGeom>
        <a:solidFill>
          <a:srgbClr val="E8E8E8">
            <a:lumMod val="50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Swansea Council Institutional Policies and Procedures</a:t>
          </a:r>
        </a:p>
      </dsp:txBody>
      <dsp:txXfrm>
        <a:off x="69100" y="5113460"/>
        <a:ext cx="1268332" cy="1632202"/>
      </dsp:txXfrm>
    </dsp:sp>
    <dsp:sp modelId="{75777C89-0EC5-42DD-B6EC-EDE45BAB67AD}">
      <dsp:nvSpPr>
        <dsp:cNvPr id="0" name=""/>
        <dsp:cNvSpPr/>
      </dsp:nvSpPr>
      <dsp:spPr>
        <a:xfrm rot="5400000">
          <a:off x="3120975" y="5350940"/>
          <a:ext cx="2570194" cy="6123054"/>
        </a:xfrm>
        <a:prstGeom prst="round2SameRect">
          <a:avLst/>
        </a:prstGeom>
        <a:solidFill>
          <a:srgbClr val="E97132">
            <a:lumMod val="20000"/>
            <a:lumOff val="80000"/>
            <a:alpha val="90000"/>
          </a:srgbClr>
        </a:solidFill>
        <a:ln w="12700" cap="flat" cmpd="sng" algn="ctr">
          <a:solidFill>
            <a:srgbClr val="156082">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55600">
            <a:lnSpc>
              <a:spcPct val="90000"/>
            </a:lnSpc>
            <a:spcBef>
              <a:spcPct val="0"/>
            </a:spcBef>
            <a:spcAft>
              <a:spcPct val="15000"/>
            </a:spcAft>
            <a:buNone/>
          </a:pPr>
          <a:endParaRPr lang="en-GB" sz="800" kern="1200">
            <a:solidFill>
              <a:sysClr val="windowText" lastClr="000000">
                <a:hueOff val="0"/>
                <a:satOff val="0"/>
                <a:lumOff val="0"/>
                <a:alphaOff val="0"/>
              </a:sysClr>
            </a:solidFill>
            <a:latin typeface="Aptos" panose="02110004020202020204"/>
            <a:ea typeface="+mn-ea"/>
            <a:cs typeface="+mn-cs"/>
          </a:endParaRP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Providing disability support services, such as assistive technology, accessible learning materials, and exam accommodations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Implamantation of Disabled Students Allowance (DSA) Speclist Mentoring Mental health/Autism</a:t>
          </a:r>
        </a:p>
        <a:p>
          <a:pPr marL="57150" lvl="1" indent="-57150" algn="l" defTabSz="444500">
            <a:lnSpc>
              <a:spcPct val="90000"/>
            </a:lnSpc>
            <a:spcBef>
              <a:spcPct val="0"/>
            </a:spcBef>
            <a:spcAft>
              <a:spcPct val="15000"/>
            </a:spcAft>
            <a:buChar char="•"/>
          </a:pPr>
          <a:r>
            <a:rPr lang="en-GB" sz="1000" kern="1200"/>
            <a:t>Tackle Discrimination arising from disability: Combat discrimination and prejudice by having knowledge of disability and ‘difference’. </a:t>
          </a:r>
          <a:r>
            <a:rPr lang="en-GB" sz="1000" kern="1200">
              <a:solidFill>
                <a:sysClr val="windowText" lastClr="000000">
                  <a:hueOff val="0"/>
                  <a:satOff val="0"/>
                  <a:lumOff val="0"/>
                  <a:alphaOff val="0"/>
                </a:sysClr>
              </a:solidFill>
              <a:latin typeface="Aptos" panose="02110004020202020204"/>
              <a:ea typeface="+mn-ea"/>
              <a:cs typeface="+mn-cs"/>
            </a:rPr>
            <a:t>Responding promptly and effectively to any instances of discrimination or harassment reported by students or staff, and taking appropriate action to address and prevent recurrence.</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Professioncal Standards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Monitoring and evaluating student outcomes and experiences to identify and address any disparities or barriers to participation and success.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 Delivering diversity and inclusion training for staff to raise awareness of equality issues and promote inclusive practices.</a:t>
          </a:r>
        </a:p>
        <a:p>
          <a:pPr marL="57150" lvl="1" indent="-57150" algn="l" defTabSz="444500">
            <a:lnSpc>
              <a:spcPct val="90000"/>
            </a:lnSpc>
            <a:spcBef>
              <a:spcPct val="0"/>
            </a:spcBef>
            <a:spcAft>
              <a:spcPct val="15000"/>
            </a:spcAft>
            <a:buChar char="•"/>
          </a:pPr>
          <a:r>
            <a:rPr lang="en-GB" sz="1000" kern="1200">
              <a:solidFill>
                <a:sysClr val="windowText" lastClr="000000">
                  <a:hueOff val="0"/>
                  <a:satOff val="0"/>
                  <a:lumOff val="0"/>
                  <a:alphaOff val="0"/>
                </a:sysClr>
              </a:solidFill>
              <a:latin typeface="Aptos" panose="02110004020202020204"/>
              <a:ea typeface="+mn-ea"/>
              <a:cs typeface="+mn-cs"/>
            </a:rPr>
            <a:t>'Cause for Concer' Proceedure.</a:t>
          </a:r>
        </a:p>
        <a:p>
          <a:pPr marL="57150" lvl="1" indent="-57150" algn="l" defTabSz="444500">
            <a:lnSpc>
              <a:spcPct val="90000"/>
            </a:lnSpc>
            <a:spcBef>
              <a:spcPct val="0"/>
            </a:spcBef>
            <a:spcAft>
              <a:spcPct val="15000"/>
            </a:spcAft>
            <a:buChar char="•"/>
          </a:pPr>
          <a:r>
            <a:rPr lang="en-GB" sz="1000" b="0" i="0" kern="1200"/>
            <a:t>Access to assessment and diagnosis for Specific Learning Difference (SpLD)</a:t>
          </a:r>
          <a:endParaRPr lang="en-GB" sz="1000" kern="1200">
            <a:solidFill>
              <a:sysClr val="windowText" lastClr="000000">
                <a:hueOff val="0"/>
                <a:satOff val="0"/>
                <a:lumOff val="0"/>
                <a:alphaOff val="0"/>
              </a:sysClr>
            </a:solidFill>
            <a:latin typeface="Aptos" panose="02110004020202020204"/>
            <a:ea typeface="+mn-ea"/>
            <a:cs typeface="+mn-cs"/>
          </a:endParaRPr>
        </a:p>
      </dsp:txBody>
      <dsp:txXfrm rot="-5400000">
        <a:off x="1344546" y="7252837"/>
        <a:ext cx="5997587" cy="2319260"/>
      </dsp:txXfrm>
    </dsp:sp>
    <dsp:sp modelId="{98CCA28A-D9D6-4EF4-AF4A-8AFBF1CC503E}">
      <dsp:nvSpPr>
        <dsp:cNvPr id="0" name=""/>
        <dsp:cNvSpPr/>
      </dsp:nvSpPr>
      <dsp:spPr>
        <a:xfrm>
          <a:off x="486" y="7880545"/>
          <a:ext cx="1343572" cy="1673455"/>
        </a:xfrm>
        <a:prstGeom prst="roundRect">
          <a:avLst/>
        </a:prstGeom>
        <a:solidFill>
          <a:srgbClr val="E8E8E8">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Operational Practices</a:t>
          </a:r>
        </a:p>
        <a:p>
          <a:pPr marL="0" lvl="0" indent="0" algn="ctr" defTabSz="711200">
            <a:lnSpc>
              <a:spcPct val="90000"/>
            </a:lnSpc>
            <a:spcBef>
              <a:spcPct val="0"/>
            </a:spcBef>
            <a:spcAft>
              <a:spcPct val="35000"/>
            </a:spcAft>
            <a:buNone/>
          </a:pPr>
          <a:r>
            <a:rPr lang="en-GB" sz="1600" kern="1200">
              <a:solidFill>
                <a:sysClr val="window" lastClr="FFFFFF"/>
              </a:solidFill>
              <a:latin typeface="Aptos" panose="02110004020202020204"/>
              <a:ea typeface="+mn-ea"/>
              <a:cs typeface="+mn-cs"/>
            </a:rPr>
            <a:t>UWSTD</a:t>
          </a:r>
        </a:p>
      </dsp:txBody>
      <dsp:txXfrm>
        <a:off x="66074" y="7946133"/>
        <a:ext cx="1212396" cy="1542279"/>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1644</TotalTime>
  <Pages>16</Pages>
  <Words>4623</Words>
  <Characters>26356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Murphy</dc:creator>
  <cp:keywords/>
  <dc:description/>
  <cp:lastModifiedBy>Tara Murphy</cp:lastModifiedBy>
  <cp:revision>446</cp:revision>
  <dcterms:created xsi:type="dcterms:W3CDTF">2024-03-16T18:28:00Z</dcterms:created>
  <dcterms:modified xsi:type="dcterms:W3CDTF">2024-03-27T20:52:00Z</dcterms:modified>
</cp:coreProperties>
</file>