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emf" ContentType="image/emf"/>
  <Default Extension="xlsx" ContentType="application/vnd.openxmlformats-officedocument.spreadsheetml.sheet"/>
  <Override PartName="/word/settings.xml" ContentType="application/vnd.openxmlformats-officedocument.wordprocessingml.settings+xml"/>
  <Override PartName="/word/footer1.xml" ContentType="application/vnd.openxmlformats-officedocument.wordprocessingml.footer+xml"/>
  <Override PartName="/word/charts/chart1.xml" ContentType="application/vnd.openxmlformats-officedocument.drawingml.chart+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before="240"/>
        <w:jc w:val="center"/>
        <w:rPr>
          <w:rFonts w:cs="Arial"/>
          <w:b/>
          <w:bCs/>
          <w:color w:val="000000"/>
          <w:sz w:val="32"/>
          <w:szCs w:val="32"/>
          <w:lang w:val="en-GB"/>
        </w:rPr>
      </w:pPr>
    </w:p>
    <w:p>
      <w:pPr>
        <w:spacing w:before="240"/>
        <w:jc w:val="center"/>
        <w:rPr>
          <w:rFonts w:cs="Arial"/>
          <w:b/>
          <w:bCs/>
          <w:color w:val="000000"/>
          <w:sz w:val="32"/>
          <w:szCs w:val="32"/>
          <w:lang w:val="en-GB"/>
        </w:rPr>
      </w:pPr>
      <w:r>
        <w:rPr>
          <w:rFonts w:cs="Arial"/>
          <w:lang w:val="en-GB"/>
        </w:rPr>
        <w:drawing>
          <wp:inline distT="0" distB="0" distL="0" distR="0">
            <wp:extent cx="2628900" cy="990600"/>
            <wp:effectExtent l="0" t="0" r="0" b="0"/>
            <wp:docPr id="1" name="图片 1"/>
            <wp:cNvGraphicFramePr>
              <a:graphicFrameLocks noChangeAspect="1"/>
            </wp:cNvGraphicFramePr>
            <a:graphic>
              <a:graphicData uri="http://schemas.openxmlformats.org/drawingml/2006/picture">
                <pic:pic>
                  <pic:nvPicPr>
                    <pic:cNvPr id="3" name="图片 3"/>
                    <pic:cNvPicPr/>
                  </pic:nvPicPr>
                  <pic:blipFill>
                    <a:blip r:embed="rId3"/>
                    <a:stretch>
                      <a:fillRect/>
                    </a:stretch>
                  </pic:blipFill>
                  <pic:spPr>
                    <a:xfrm rot="0">
                      <a:off x="0" y="0"/>
                      <a:ext cx="2628900" cy="990600"/>
                    </a:xfrm>
                    <a:prstGeom prst="rect"/>
                    <a:noFill/>
                    <a:ln w="12700" cmpd="sng" cap="flat">
                      <a:noFill/>
                      <a:prstDash val="solid"/>
                      <a:miter/>
                    </a:ln>
                  </pic:spPr>
                </pic:pic>
              </a:graphicData>
            </a:graphic>
          </wp:inline>
        </w:drawing>
      </w:r>
    </w:p>
    <w:p>
      <w:pPr>
        <w:spacing w:before="240"/>
        <w:jc w:val="center"/>
        <w:rPr>
          <w:rFonts w:cs="Arial"/>
          <w:b/>
          <w:bCs/>
          <w:color w:val="000000"/>
          <w:sz w:val="32"/>
          <w:szCs w:val="32"/>
          <w:lang w:val="en-GB"/>
        </w:rPr>
      </w:pPr>
      <w:r>
        <w:rPr>
          <w:rFonts w:cs="Arial"/>
          <w:b/>
          <w:bCs/>
          <w:color w:val="000000"/>
          <w:sz w:val="32"/>
          <w:szCs w:val="32"/>
          <w:lang w:val="en-GB"/>
        </w:rPr>
        <w:t>MASTER OF BUSINESS ADMINISTRATION</w:t>
      </w:r>
    </w:p>
    <w:p>
      <w:pPr>
        <w:spacing w:before="240"/>
        <w:jc w:val="center"/>
        <w:rPr>
          <w:rFonts w:cs="Arial"/>
          <w:b/>
          <w:bCs/>
          <w:color w:val="000000"/>
          <w:sz w:val="32"/>
          <w:szCs w:val="32"/>
          <w:lang w:val="en-GB"/>
        </w:rPr>
      </w:pPr>
      <w:r>
        <w:rPr>
          <w:rFonts w:cs="Arial"/>
          <w:b/>
          <w:bCs/>
          <w:color w:val="000000"/>
          <w:sz w:val="32"/>
          <w:szCs w:val="32"/>
          <w:lang w:val="en-GB"/>
        </w:rPr>
        <w:t xml:space="preserve">MODULE: FINANCIAL MANAGEMENT </w:t>
      </w:r>
    </w:p>
    <w:p>
      <w:pPr>
        <w:spacing w:before="240"/>
        <w:jc w:val="center"/>
        <w:rPr>
          <w:rFonts w:cs="Arial"/>
          <w:b/>
          <w:bCs/>
          <w:color w:val="000000"/>
          <w:sz w:val="32"/>
          <w:szCs w:val="32"/>
          <w:lang w:val="en-GB"/>
        </w:rPr>
      </w:pPr>
      <w:r>
        <w:rPr>
          <w:rFonts w:cs="Arial"/>
          <w:b/>
          <w:bCs/>
          <w:color w:val="000000"/>
          <w:sz w:val="32"/>
          <w:szCs w:val="32"/>
          <w:lang w:val="en-GB"/>
        </w:rPr>
        <w:t>MODULE CODE: LCMB7002</w:t>
      </w:r>
    </w:p>
    <w:p>
      <w:pPr>
        <w:spacing w:before="240"/>
        <w:jc w:val="center"/>
        <w:rPr>
          <w:rFonts w:cs="Arial"/>
          <w:b/>
          <w:bCs/>
          <w:color w:val="000000"/>
          <w:sz w:val="32"/>
          <w:szCs w:val="32"/>
          <w:lang w:val="en-GB"/>
        </w:rPr>
      </w:pPr>
      <w:r>
        <w:rPr>
          <w:rFonts w:cs="Arial"/>
          <w:b/>
          <w:bCs/>
          <w:color w:val="000000"/>
          <w:sz w:val="32"/>
          <w:szCs w:val="32"/>
          <w:lang w:val="en-GB"/>
        </w:rPr>
        <w:t xml:space="preserve">LECTURER: GHULAM MUJHTABA </w:t>
      </w:r>
    </w:p>
    <w:p>
      <w:pPr>
        <w:spacing w:before="240"/>
        <w:jc w:val="center"/>
        <w:rPr>
          <w:rFonts w:cs="Arial"/>
          <w:b/>
          <w:bCs/>
          <w:color w:val="000000"/>
          <w:sz w:val="32"/>
          <w:szCs w:val="32"/>
          <w:lang w:val="en-GB"/>
        </w:rPr>
      </w:pPr>
      <w:r>
        <w:rPr>
          <w:rFonts w:cs="Arial"/>
          <w:b/>
          <w:bCs/>
          <w:color w:val="000000"/>
          <w:sz w:val="32"/>
          <w:szCs w:val="32"/>
          <w:lang w:val="en-GB"/>
        </w:rPr>
        <w:t>ASSESSMENT COMPONENT: FINANCIAL PERFORMANCE AND MANAGEMENT OF MARRIOTT INTERNATIONAL</w:t>
      </w:r>
    </w:p>
    <w:p>
      <w:pPr>
        <w:spacing w:before="240"/>
        <w:jc w:val="center"/>
        <w:rPr>
          <w:rFonts w:cs="Arial"/>
          <w:b/>
          <w:bCs/>
          <w:color w:val="000000"/>
          <w:sz w:val="32"/>
          <w:szCs w:val="32"/>
          <w:lang w:val="en-GB"/>
        </w:rPr>
      </w:pPr>
      <w:r>
        <w:rPr>
          <w:rFonts w:cs="Arial"/>
          <w:b/>
          <w:bCs/>
          <w:color w:val="000000"/>
          <w:sz w:val="32"/>
          <w:szCs w:val="32"/>
          <w:lang w:val="en-GB"/>
        </w:rPr>
        <w:t xml:space="preserve">STUDENT NAME: YASH THAKOR </w:t>
      </w:r>
    </w:p>
    <w:p>
      <w:pPr>
        <w:spacing w:before="240"/>
        <w:jc w:val="center"/>
        <w:rPr>
          <w:rFonts w:cs="Arial"/>
          <w:b/>
          <w:bCs/>
          <w:color w:val="000000"/>
          <w:sz w:val="32"/>
          <w:szCs w:val="32"/>
          <w:lang w:val="en-GB"/>
        </w:rPr>
      </w:pPr>
      <w:r>
        <w:rPr>
          <w:rFonts w:cs="Arial"/>
          <w:b/>
          <w:bCs/>
          <w:color w:val="000000"/>
          <w:sz w:val="32"/>
          <w:szCs w:val="32"/>
          <w:lang w:val="en-GB"/>
        </w:rPr>
        <w:t>STUDENT ID NUMBER: 2436840</w:t>
      </w:r>
      <w:bookmarkStart w:id="0" w:name="_GoBack"/>
      <w:bookmarkEnd w:id="0"/>
    </w:p>
    <w:p>
      <w:pPr>
        <w:spacing w:before="240"/>
        <w:jc w:val="left"/>
        <w:rPr>
          <w:rFonts w:cs="Arial"/>
          <w:b/>
          <w:bCs/>
          <w:color w:val="000000"/>
          <w:sz w:val="32"/>
          <w:szCs w:val="32"/>
          <w:lang w:val="en-GB"/>
        </w:rPr>
      </w:pPr>
      <w:r>
        <w:rPr>
          <w:rFonts w:cs="Arial"/>
          <w:b/>
          <w:bCs/>
          <w:color w:val="000000"/>
          <w:sz w:val="32"/>
          <w:szCs w:val="32"/>
          <w:lang w:val="en-GB"/>
        </w:rPr>
        <w:br w:type="page"/>
      </w:r>
    </w:p>
    <w:p>
      <w:pPr>
        <w:spacing w:before="240"/>
        <w:jc w:val="center"/>
        <w:rPr>
          <w:rFonts w:cs="Arial"/>
          <w:b/>
          <w:bCs/>
          <w:lang w:val="en-GB"/>
        </w:rPr>
      </w:pPr>
      <w:r>
        <w:rPr>
          <w:rFonts w:cs="Arial"/>
          <w:b/>
          <w:bCs/>
          <w:lang w:val="en-GB"/>
        </w:rPr>
        <w:t>Executive summary</w:t>
      </w:r>
    </w:p>
    <w:p>
      <w:pPr>
        <w:spacing w:before="240"/>
        <w:rPr>
          <w:rFonts w:cs="Arial"/>
          <w:lang w:val="en-GB"/>
        </w:rPr>
      </w:pPr>
      <w:r>
        <w:rPr>
          <w:rFonts w:cs="Arial"/>
          <w:lang w:val="en-GB"/>
        </w:rPr>
        <w:t>The report evaluates financial performance of Marriott International using ratios, working capital management and financial restructuring. The findings highlight that the company has maintained strong profitability and improved operational efficiency, although its liquidity position remained weak across the years. The investment appraisals show that Project C is the most financially appropriate investment, as it generates the highest shareholder value. It generated through its excellent profitability, quick capital recovery and positive long term returns, while complying with Marriott's global growth strategy. Improving receivable collection and strong cash management, along with forecasting and budgeting, are essential for Marriott to maintain a strong cash operating cycle. Overall, divestiture, mergers, and equity injections are expected to improve liquidity and reduce financial risk, besides bringing long-term shareholder value.</w:t>
      </w:r>
    </w:p>
    <w:p>
      <w:pPr>
        <w:spacing w:before="240"/>
        <w:rPr>
          <w:rFonts w:eastAsia="Times New Roman" w:cs="Arial"/>
          <w:b/>
          <w:bCs/>
          <w:color w:val="000000"/>
          <w:szCs w:val="24"/>
          <w:lang w:val="en-GB" w:eastAsia="en-IN"/>
        </w:rPr>
      </w:pPr>
      <w:r>
        <w:rPr>
          <w:rFonts w:cs="Arial"/>
          <w:b/>
          <w:bCs/>
          <w:color w:val="000000"/>
          <w:lang w:val="en-GB"/>
        </w:rPr>
        <w:br w:type="page"/>
      </w:r>
    </w:p>
    <w:p>
      <w:pPr>
        <w:pStyle w:val="18"/>
        <w:spacing w:line="360" w:lineRule="auto"/>
        <w:jc w:val="center"/>
        <w:rPr>
          <w:rFonts w:ascii="Arial" w:cs="Arial" w:hAnsi="Arial"/>
          <w:b/>
          <w:bCs/>
          <w:color w:val="000000"/>
          <w:sz w:val="24"/>
          <w:szCs w:val="24"/>
          <w:lang w:val="en-GB"/>
        </w:rPr>
      </w:pPr>
      <w:r>
        <w:rPr>
          <w:rFonts w:ascii="Arial" w:cs="Arial" w:hAnsi="Arial"/>
          <w:b/>
          <w:bCs/>
          <w:color w:val="000000"/>
          <w:sz w:val="24"/>
          <w:szCs w:val="24"/>
          <w:lang w:val="en-GB"/>
        </w:rPr>
        <w:t>Table of Contents</w:t>
      </w:r>
    </w:p>
    <w:p>
      <w:pPr>
        <w:pStyle w:val="19"/>
        <w:tabs>
          <w:tab w:val="right" w:leader="dot" w:pos="9016"/>
        </w:tabs>
        <w:spacing w:before="240"/>
        <w:rPr>
          <w:rFonts w:ascii="Calibri" w:eastAsia="宋体" w:hAnsi="Calibri"/>
          <w:color w:val="auto"/>
          <w:kern w:val="2"/>
          <w:szCs w:val="24"/>
          <w:lang w:val="en-GB" w:eastAsia="zh-CN"/>
        </w:rPr>
      </w:pPr>
      <w:r>
        <w:rPr>
          <w:rFonts w:cs="Arial"/>
          <w:szCs w:val="24"/>
          <w:lang w:val="en-GB"/>
        </w:rPr>
        <w:fldChar w:fldCharType="begin"/>
      </w:r>
      <w:r>
        <w:rPr>
          <w:rFonts w:cs="Arial"/>
          <w:szCs w:val="24"/>
          <w:lang w:val="en-GB"/>
        </w:rPr>
        <w:instrText xml:space="preserve"> TOC \o "1-3" \h \z \u </w:instrText>
      </w:r>
      <w:r>
        <w:rPr>
          <w:rFonts w:cs="Arial"/>
          <w:szCs w:val="24"/>
          <w:lang w:val="en-GB"/>
        </w:rPr>
        <w:fldChar w:fldCharType="separate"/>
      </w:r>
      <w:r>
        <w:fldChar w:fldCharType="begin"/>
      </w:r>
      <w:r>
        <w:instrText>Hyperlink \l "_Toc234435155"</w:instrText>
      </w:r>
      <w:r>
        <w:fldChar w:fldCharType="separate"/>
      </w:r>
      <w:r>
        <w:rPr>
          <w:lang w:val="en-GB"/>
        </w:rPr>
        <w:t>Introduction</w:t>
        <w:tab/>
      </w:r>
      <w:r>
        <w:rPr>
          <w:lang w:val="en-GB"/>
        </w:rPr>
        <w:fldChar w:fldCharType="begin"/>
      </w:r>
      <w:r>
        <w:rPr>
          <w:lang w:val="en-GB"/>
        </w:rPr>
        <w:instrText xml:space="preserve"> PAGEREF _Toc234435155 \h </w:instrText>
      </w:r>
      <w:r>
        <w:rPr>
          <w:lang w:val="en-GB"/>
        </w:rPr>
        <w:fldChar w:fldCharType="separate"/>
      </w:r>
      <w:r>
        <w:rPr>
          <w:lang w:val="en-GB"/>
        </w:rPr>
        <w:t>5</w:t>
      </w:r>
      <w:r>
        <w:rPr>
          <w:lang w:val="en-GB"/>
        </w:rPr>
        <w:fldChar w:fldCharType="end"/>
      </w:r>
      <w:r>
        <w:fldChar w:fldCharType="end"/>
      </w:r>
    </w:p>
    <w:p>
      <w:pPr>
        <w:pStyle w:val="19"/>
        <w:tabs>
          <w:tab w:val="right" w:leader="dot" w:pos="9016"/>
        </w:tabs>
        <w:spacing w:before="240"/>
        <w:rPr>
          <w:rFonts w:ascii="Calibri" w:eastAsia="宋体" w:hAnsi="Calibri"/>
          <w:color w:val="auto"/>
          <w:kern w:val="2"/>
          <w:szCs w:val="24"/>
          <w:lang w:val="en-GB" w:eastAsia="zh-CN"/>
        </w:rPr>
      </w:pPr>
      <w:r>
        <w:fldChar w:fldCharType="begin"/>
      </w:r>
      <w:r>
        <w:instrText>Hyperlink \l "_Toc234435156"</w:instrText>
      </w:r>
      <w:r>
        <w:fldChar w:fldCharType="separate"/>
      </w:r>
      <w:r>
        <w:rPr>
          <w:lang w:val="en-GB"/>
        </w:rPr>
        <w:t>1. Financial Health Check</w:t>
        <w:tab/>
      </w:r>
      <w:r>
        <w:rPr>
          <w:lang w:val="en-GB"/>
        </w:rPr>
        <w:fldChar w:fldCharType="begin"/>
      </w:r>
      <w:r>
        <w:rPr>
          <w:lang w:val="en-GB"/>
        </w:rPr>
        <w:instrText xml:space="preserve"> PAGEREF _Toc234435156 \h </w:instrText>
      </w:r>
      <w:r>
        <w:rPr>
          <w:lang w:val="en-GB"/>
        </w:rPr>
        <w:fldChar w:fldCharType="separate"/>
      </w:r>
      <w:r>
        <w:rPr>
          <w:lang w:val="en-GB"/>
        </w:rPr>
        <w:t>5</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"_Toc234435157"</w:instrText>
      </w:r>
      <w:r>
        <w:fldChar w:fldCharType="separate"/>
      </w:r>
      <w:r>
        <w:rPr>
          <w:rFonts w:cs="Arial"/>
          <w:lang w:val="en-GB"/>
        </w:rPr>
        <w:t>a. Financial statements of Marriott for the last five years</w:t>
      </w:r>
      <w:r>
        <w:rPr>
          <w:lang w:val="en-GB"/>
        </w:rPr>
        <w:tab/>
      </w:r>
      <w:r>
        <w:rPr>
          <w:lang w:val="en-GB"/>
        </w:rPr>
        <w:fldChar w:fldCharType="begin"/>
      </w:r>
      <w:r>
        <w:rPr>
          <w:lang w:val="en-GB"/>
        </w:rPr>
        <w:instrText xml:space="preserve"> PAGEREF _Toc234435157 \h </w:instrText>
      </w:r>
      <w:r>
        <w:rPr>
          <w:lang w:val="en-GB"/>
        </w:rPr>
        <w:fldChar w:fldCharType="separate"/>
      </w:r>
      <w:r>
        <w:rPr>
          <w:lang w:val="en-GB"/>
        </w:rPr>
        <w:t>5</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"_Toc234435158"</w:instrText>
      </w:r>
      <w:r>
        <w:fldChar w:fldCharType="separate"/>
      </w:r>
      <w:r>
        <w:rPr>
          <w:rFonts w:cs="Arial"/>
          <w:lang w:val="en-GB"/>
        </w:rPr>
        <w:t>b. Ratio analysis of Marriott</w:t>
      </w:r>
      <w:r>
        <w:rPr>
          <w:lang w:val="en-GB"/>
        </w:rPr>
        <w:tab/>
      </w:r>
      <w:r>
        <w:rPr>
          <w:lang w:val="en-GB"/>
        </w:rPr>
        <w:fldChar w:fldCharType="begin"/>
      </w:r>
      <w:r>
        <w:rPr>
          <w:lang w:val="en-GB"/>
        </w:rPr>
        <w:instrText xml:space="preserve"> PAGEREF _Toc234435158 \h </w:instrText>
      </w:r>
      <w:r>
        <w:rPr>
          <w:lang w:val="en-GB"/>
        </w:rPr>
        <w:fldChar w:fldCharType="separate"/>
      </w:r>
      <w:r>
        <w:rPr>
          <w:lang w:val="en-GB"/>
        </w:rPr>
        <w:t>6</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"_Toc234435159"</w:instrText>
      </w:r>
      <w:r>
        <w:fldChar w:fldCharType="separate"/>
      </w:r>
      <w:r>
        <w:rPr>
          <w:rFonts w:cs="Arial"/>
          <w:lang w:val="en-GB"/>
        </w:rPr>
        <w:t>c. Evaluating trends, strengths and threats</w:t>
      </w:r>
      <w:r>
        <w:rPr>
          <w:lang w:val="en-GB"/>
        </w:rPr>
        <w:tab/>
      </w:r>
      <w:r>
        <w:rPr>
          <w:lang w:val="en-GB"/>
        </w:rPr>
        <w:fldChar w:fldCharType="begin"/>
      </w:r>
      <w:r>
        <w:rPr>
          <w:lang w:val="en-GB"/>
        </w:rPr>
        <w:instrText xml:space="preserve"> PAGEREF _Toc234435159 \h </w:instrText>
      </w:r>
      <w:r>
        <w:rPr>
          <w:lang w:val="en-GB"/>
        </w:rPr>
        <w:fldChar w:fldCharType="separate"/>
      </w:r>
      <w:r>
        <w:rPr>
          <w:lang w:val="en-GB"/>
        </w:rPr>
        <w:t>10</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"_Toc234435160"</w:instrText>
      </w:r>
      <w:r>
        <w:fldChar w:fldCharType="separate"/>
      </w:r>
      <w:r>
        <w:rPr>
          <w:rFonts w:cs="Arial"/>
          <w:lang w:val="en-GB"/>
        </w:rPr>
        <w:t>d. Comparison with industry benchmarks</w:t>
      </w:r>
      <w:r>
        <w:rPr>
          <w:lang w:val="en-GB"/>
        </w:rPr>
        <w:tab/>
      </w:r>
      <w:r>
        <w:rPr>
          <w:lang w:val="en-GB"/>
        </w:rPr>
        <w:fldChar w:fldCharType="begin"/>
      </w:r>
      <w:r>
        <w:rPr>
          <w:lang w:val="en-GB"/>
        </w:rPr>
        <w:instrText xml:space="preserve"> PAGEREF _Toc234435160 \h </w:instrText>
      </w:r>
      <w:r>
        <w:rPr>
          <w:lang w:val="en-GB"/>
        </w:rPr>
        <w:fldChar w:fldCharType="separate"/>
      </w:r>
      <w:r>
        <w:rPr>
          <w:lang w:val="en-GB"/>
        </w:rPr>
        <w:t>11</w:t>
      </w:r>
      <w:r>
        <w:rPr>
          <w:lang w:val="en-GB"/>
        </w:rPr>
        <w:fldChar w:fldCharType="end"/>
      </w:r>
      <w:r>
        <w:fldChar w:fldCharType="end"/>
      </w:r>
    </w:p>
    <w:p>
      <w:pPr>
        <w:pStyle w:val="19"/>
        <w:tabs>
          <w:tab w:val="right" w:leader="dot" w:pos="9016"/>
        </w:tabs>
        <w:spacing w:before="240"/>
        <w:rPr>
          <w:rFonts w:ascii="Calibri" w:eastAsia="宋体" w:hAnsi="Calibri"/>
          <w:color w:val="auto"/>
          <w:kern w:val="2"/>
          <w:szCs w:val="24"/>
          <w:lang w:val="en-GB" w:eastAsia="zh-CN"/>
        </w:rPr>
      </w:pPr>
      <w:r>
        <w:fldChar w:fldCharType="begin"/>
      </w:r>
      <w:r>
        <w:instrText>Hyperlink \l "_Toc234435161"</w:instrText>
      </w:r>
      <w:r>
        <w:fldChar w:fldCharType="separate"/>
      </w:r>
      <w:r>
        <w:rPr>
          <w:lang w:val="en-GB"/>
        </w:rPr>
        <w:t>2. Working Capital Management Analysis</w:t>
        <w:tab/>
      </w:r>
      <w:r>
        <w:rPr>
          <w:lang w:val="en-GB"/>
        </w:rPr>
        <w:fldChar w:fldCharType="begin"/>
      </w:r>
      <w:r>
        <w:rPr>
          <w:lang w:val="en-GB"/>
        </w:rPr>
        <w:instrText xml:space="preserve"> PAGEREF _Toc234435161 \h </w:instrText>
      </w:r>
      <w:r>
        <w:rPr>
          <w:lang w:val="en-GB"/>
        </w:rPr>
        <w:fldChar w:fldCharType="separate"/>
      </w:r>
      <w:r>
        <w:rPr>
          <w:lang w:val="en-GB"/>
        </w:rPr>
        <w:t>12</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"_Toc234435162"</w:instrText>
      </w:r>
      <w:r>
        <w:fldChar w:fldCharType="separate"/>
      </w:r>
      <w:r>
        <w:rPr>
          <w:rFonts w:cs="Arial"/>
          <w:lang w:val="en-GB"/>
        </w:rPr>
        <w:t>a. Cash operating cycle</w:t>
      </w:r>
      <w:r>
        <w:rPr>
          <w:lang w:val="en-GB"/>
        </w:rPr>
        <w:tab/>
      </w:r>
      <w:r>
        <w:rPr>
          <w:lang w:val="en-GB"/>
        </w:rPr>
        <w:fldChar w:fldCharType="begin"/>
      </w:r>
      <w:r>
        <w:rPr>
          <w:lang w:val="en-GB"/>
        </w:rPr>
        <w:instrText xml:space="preserve"> PAGEREF _Toc234435162 \h </w:instrText>
      </w:r>
      <w:r>
        <w:rPr>
          <w:lang w:val="en-GB"/>
        </w:rPr>
        <w:fldChar w:fldCharType="separate"/>
      </w:r>
      <w:r>
        <w:rPr>
          <w:lang w:val="en-GB"/>
        </w:rPr>
        <w:t>12</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"_Toc234435163"</w:instrText>
      </w:r>
      <w:r>
        <w:fldChar w:fldCharType="separate"/>
      </w:r>
      <w:r>
        <w:rPr>
          <w:rFonts w:cs="Arial"/>
          <w:lang w:val="en-GB"/>
        </w:rPr>
        <w:t>b. Improving business liquidity</w:t>
      </w:r>
      <w:r>
        <w:rPr>
          <w:lang w:val="en-GB"/>
        </w:rPr>
        <w:tab/>
      </w:r>
      <w:r>
        <w:rPr>
          <w:lang w:val="en-GB"/>
        </w:rPr>
        <w:fldChar w:fldCharType="begin"/>
      </w:r>
      <w:r>
        <w:rPr>
          <w:lang w:val="en-GB"/>
        </w:rPr>
        <w:instrText xml:space="preserve"> PAGEREF _Toc234435163 \h </w:instrText>
      </w:r>
      <w:r>
        <w:rPr>
          <w:lang w:val="en-GB"/>
        </w:rPr>
        <w:fldChar w:fldCharType="separate"/>
      </w:r>
      <w:r>
        <w:rPr>
          <w:lang w:val="en-GB"/>
        </w:rPr>
        <w:t>12</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"_Toc234435164"</w:instrText>
      </w:r>
      <w:r>
        <w:fldChar w:fldCharType="separate"/>
      </w:r>
      <w:r>
        <w:rPr>
          <w:rFonts w:cs="Arial"/>
          <w:lang w:val="en-GB"/>
        </w:rPr>
        <w:t>c. Short-term vs long-term financing options</w:t>
      </w:r>
      <w:r>
        <w:rPr>
          <w:lang w:val="en-GB"/>
        </w:rPr>
        <w:tab/>
      </w:r>
      <w:r>
        <w:rPr>
          <w:lang w:val="en-GB"/>
        </w:rPr>
        <w:fldChar w:fldCharType="begin"/>
      </w:r>
      <w:r>
        <w:rPr>
          <w:lang w:val="en-GB"/>
        </w:rPr>
        <w:instrText xml:space="preserve"> PAGEREF _Toc234435164 \h </w:instrText>
      </w:r>
      <w:r>
        <w:rPr>
          <w:lang w:val="en-GB"/>
        </w:rPr>
        <w:fldChar w:fldCharType="separate"/>
      </w:r>
      <w:r>
        <w:rPr>
          <w:lang w:val="en-GB"/>
        </w:rPr>
        <w:t>13</w:t>
      </w:r>
      <w:r>
        <w:rPr>
          <w:lang w:val="en-GB"/>
        </w:rPr>
        <w:fldChar w:fldCharType="end"/>
      </w:r>
      <w:r>
        <w:fldChar w:fldCharType="end"/>
      </w:r>
    </w:p>
    <w:p>
      <w:pPr>
        <w:pStyle w:val="19"/>
        <w:tabs>
          <w:tab w:val="right" w:leader="dot" w:pos="9016"/>
        </w:tabs>
        <w:spacing w:before="240"/>
        <w:rPr>
          <w:rFonts w:ascii="Calibri" w:eastAsia="宋体" w:hAnsi="Calibri"/>
          <w:color w:val="auto"/>
          <w:kern w:val="2"/>
          <w:szCs w:val="24"/>
          <w:lang w:val="en-GB" w:eastAsia="zh-CN"/>
        </w:rPr>
      </w:pPr>
      <w:r>
        <w:fldChar w:fldCharType="begin"/>
      </w:r>
      <w:r>
        <w:instrText>Hyperlink \l "_Toc234435165"</w:instrText>
      </w:r>
      <w:r>
        <w:fldChar w:fldCharType="separate"/>
      </w:r>
      <w:r>
        <w:rPr>
          <w:lang w:val="en-GB"/>
        </w:rPr>
        <w:t>3. Strategic Financial Restructuring Plan</w:t>
        <w:tab/>
      </w:r>
      <w:r>
        <w:rPr>
          <w:lang w:val="en-GB"/>
        </w:rPr>
        <w:fldChar w:fldCharType="begin"/>
      </w:r>
      <w:r>
        <w:rPr>
          <w:lang w:val="en-GB"/>
        </w:rPr>
        <w:instrText xml:space="preserve"> PAGEREF _Toc234435165 \h </w:instrText>
      </w:r>
      <w:r>
        <w:rPr>
          <w:lang w:val="en-GB"/>
        </w:rPr>
        <w:fldChar w:fldCharType="separate"/>
      </w:r>
      <w:r>
        <w:rPr>
          <w:lang w:val="en-GB"/>
        </w:rPr>
        <w:t>14</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"_Toc234435166"</w:instrText>
      </w:r>
      <w:r>
        <w:fldChar w:fldCharType="separate"/>
      </w:r>
      <w:r>
        <w:rPr>
          <w:rFonts w:cs="Arial"/>
          <w:lang w:val="en-GB"/>
        </w:rPr>
        <w:t>a. Recommend financial restructuring options for Marriott</w:t>
      </w:r>
      <w:r>
        <w:rPr>
          <w:lang w:val="en-GB"/>
        </w:rPr>
        <w:tab/>
      </w:r>
      <w:r>
        <w:rPr>
          <w:lang w:val="en-GB"/>
        </w:rPr>
        <w:fldChar w:fldCharType="begin"/>
      </w:r>
      <w:r>
        <w:rPr>
          <w:lang w:val="en-GB"/>
        </w:rPr>
        <w:instrText xml:space="preserve"> PAGEREF _Toc234435166 \h </w:instrText>
      </w:r>
      <w:r>
        <w:rPr>
          <w:lang w:val="en-GB"/>
        </w:rPr>
        <w:fldChar w:fldCharType="separate"/>
      </w:r>
      <w:r>
        <w:rPr>
          <w:lang w:val="en-GB"/>
        </w:rPr>
        <w:t>14</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"_Toc234435167"</w:instrText>
      </w:r>
      <w:r>
        <w:fldChar w:fldCharType="separate"/>
      </w:r>
      <w:r>
        <w:rPr>
          <w:rFonts w:cs="Arial"/>
          <w:lang w:val="en-GB"/>
        </w:rPr>
        <w:t>b. Evaluation of impact on different areas</w:t>
      </w:r>
      <w:r>
        <w:rPr>
          <w:lang w:val="en-GB"/>
        </w:rPr>
        <w:tab/>
      </w:r>
      <w:r>
        <w:rPr>
          <w:lang w:val="en-GB"/>
        </w:rPr>
        <w:fldChar w:fldCharType="begin"/>
      </w:r>
      <w:r>
        <w:rPr>
          <w:lang w:val="en-GB"/>
        </w:rPr>
        <w:instrText xml:space="preserve"> PAGEREF _Toc234435167 \h </w:instrText>
      </w:r>
      <w:r>
        <w:rPr>
          <w:lang w:val="en-GB"/>
        </w:rPr>
        <w:fldChar w:fldCharType="separate"/>
      </w:r>
      <w:r>
        <w:rPr>
          <w:lang w:val="en-GB"/>
        </w:rPr>
        <w:t>15</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"_Toc234435168"</w:instrText>
      </w:r>
      <w:r>
        <w:fldChar w:fldCharType="separate"/>
      </w:r>
      <w:r>
        <w:rPr>
          <w:rFonts w:cs="Arial"/>
          <w:lang w:val="en-GB"/>
        </w:rPr>
        <w:t>c. International and Ethical Considerations</w:t>
      </w:r>
      <w:r>
        <w:rPr>
          <w:lang w:val="en-GB"/>
        </w:rPr>
        <w:tab/>
      </w:r>
      <w:r>
        <w:rPr>
          <w:lang w:val="en-GB"/>
        </w:rPr>
        <w:fldChar w:fldCharType="begin"/>
      </w:r>
      <w:r>
        <w:rPr>
          <w:lang w:val="en-GB"/>
        </w:rPr>
        <w:instrText xml:space="preserve"> PAGEREF _Toc234435168 \h </w:instrText>
      </w:r>
      <w:r>
        <w:rPr>
          <w:lang w:val="en-GB"/>
        </w:rPr>
        <w:fldChar w:fldCharType="separate"/>
      </w:r>
      <w:r>
        <w:rPr>
          <w:lang w:val="en-GB"/>
        </w:rPr>
        <w:t>16</w:t>
      </w:r>
      <w:r>
        <w:rPr>
          <w:lang w:val="en-GB"/>
        </w:rPr>
        <w:fldChar w:fldCharType="end"/>
      </w:r>
      <w:r>
        <w:fldChar w:fldCharType="end"/>
      </w:r>
    </w:p>
    <w:p>
      <w:pPr>
        <w:pStyle w:val="19"/>
        <w:tabs>
          <w:tab w:val="right" w:leader="dot" w:pos="9016"/>
        </w:tabs>
        <w:spacing w:before="240"/>
        <w:rPr>
          <w:rFonts w:ascii="Calibri" w:eastAsia="宋体" w:hAnsi="Calibri"/>
          <w:color w:val="auto"/>
          <w:kern w:val="2"/>
          <w:szCs w:val="24"/>
          <w:lang w:val="en-GB" w:eastAsia="zh-CN"/>
        </w:rPr>
      </w:pPr>
      <w:r>
        <w:fldChar w:fldCharType="begin"/>
      </w:r>
      <w:r>
        <w:instrText>Hyperlink \l "_Toc234435169"</w:instrText>
      </w:r>
      <w:r>
        <w:fldChar w:fldCharType="separate"/>
      </w:r>
      <w:r>
        <w:rPr>
          <w:lang w:val="en-GB"/>
        </w:rPr>
        <w:t>4. Investment Appraisal and Capital Budgeting</w:t>
        <w:tab/>
      </w:r>
      <w:r>
        <w:rPr>
          <w:lang w:val="en-GB"/>
        </w:rPr>
        <w:fldChar w:fldCharType="begin"/>
      </w:r>
      <w:r>
        <w:rPr>
          <w:lang w:val="en-GB"/>
        </w:rPr>
        <w:instrText xml:space="preserve"> PAGEREF _Toc234435169 \h </w:instrText>
      </w:r>
      <w:r>
        <w:rPr>
          <w:lang w:val="en-GB"/>
        </w:rPr>
        <w:fldChar w:fldCharType="separate"/>
      </w:r>
      <w:r>
        <w:rPr>
          <w:lang w:val="en-GB"/>
        </w:rPr>
        <w:t>16</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"_Toc234435170"</w:instrText>
      </w:r>
      <w:r>
        <w:fldChar w:fldCharType="separate"/>
      </w:r>
      <w:r>
        <w:rPr>
          <w:rFonts w:cs="Arial"/>
          <w:lang w:val="en-GB"/>
        </w:rPr>
        <w:t>a. Investment Appraisal Analysis</w:t>
      </w:r>
      <w:r>
        <w:rPr>
          <w:lang w:val="en-GB"/>
        </w:rPr>
        <w:tab/>
      </w:r>
      <w:r>
        <w:rPr>
          <w:lang w:val="en-GB"/>
        </w:rPr>
        <w:fldChar w:fldCharType="begin"/>
      </w:r>
      <w:r>
        <w:rPr>
          <w:lang w:val="en-GB"/>
        </w:rPr>
        <w:instrText xml:space="preserve"> PAGEREF _Toc234435170 \h </w:instrText>
      </w:r>
      <w:r>
        <w:rPr>
          <w:lang w:val="en-GB"/>
        </w:rPr>
        <w:fldChar w:fldCharType="separate"/>
      </w:r>
      <w:r>
        <w:rPr>
          <w:lang w:val="en-GB"/>
        </w:rPr>
        <w:t>16</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"_Toc234435171"</w:instrText>
      </w:r>
      <w:r>
        <w:fldChar w:fldCharType="separate"/>
      </w:r>
      <w:r>
        <w:rPr>
          <w:rFonts w:cs="Arial"/>
          <w:lang w:val="en-GB"/>
        </w:rPr>
        <w:t>b. Recommending Project and Justification</w:t>
      </w:r>
      <w:r>
        <w:rPr>
          <w:lang w:val="en-GB"/>
        </w:rPr>
        <w:tab/>
      </w:r>
      <w:r>
        <w:rPr>
          <w:lang w:val="en-GB"/>
        </w:rPr>
        <w:fldChar w:fldCharType="begin"/>
      </w:r>
      <w:r>
        <w:rPr>
          <w:lang w:val="en-GB"/>
        </w:rPr>
        <w:instrText xml:space="preserve"> PAGEREF _Toc234435171 \h </w:instrText>
      </w:r>
      <w:r>
        <w:rPr>
          <w:lang w:val="en-GB"/>
        </w:rPr>
        <w:fldChar w:fldCharType="separate"/>
      </w:r>
      <w:r>
        <w:rPr>
          <w:lang w:val="en-GB"/>
        </w:rPr>
        <w:t>24</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"_Toc234435172"</w:instrText>
      </w:r>
      <w:r>
        <w:fldChar w:fldCharType="separate"/>
      </w:r>
      <w:r>
        <w:rPr>
          <w:rFonts w:cs="Arial"/>
          <w:lang w:val="en-GB"/>
        </w:rPr>
        <w:t>c. Justifying the Suggestion Assuming a maximum of £100 million Investment using capital rationing</w:t>
      </w:r>
      <w:r>
        <w:rPr>
          <w:lang w:val="en-GB"/>
        </w:rPr>
        <w:tab/>
      </w:r>
      <w:r>
        <w:rPr>
          <w:lang w:val="en-GB"/>
        </w:rPr>
        <w:fldChar w:fldCharType="begin"/>
      </w:r>
      <w:r>
        <w:rPr>
          <w:lang w:val="en-GB"/>
        </w:rPr>
        <w:instrText xml:space="preserve"> PAGEREF _Toc234435172 \h </w:instrText>
      </w:r>
      <w:r>
        <w:rPr>
          <w:lang w:val="en-GB"/>
        </w:rPr>
        <w:fldChar w:fldCharType="separate"/>
      </w:r>
      <w:r>
        <w:rPr>
          <w:lang w:val="en-GB"/>
        </w:rPr>
        <w:t>25</w:t>
      </w:r>
      <w:r>
        <w:rPr>
          <w:lang w:val="en-GB"/>
        </w:rPr>
        <w:fldChar w:fldCharType="end"/>
      </w:r>
      <w:r>
        <w:fldChar w:fldCharType="end"/>
      </w:r>
    </w:p>
    <w:p>
      <w:pPr>
        <w:pStyle w:val="19"/>
        <w:tabs>
          <w:tab w:val="right" w:leader="dot" w:pos="9016"/>
        </w:tabs>
        <w:spacing w:before="240"/>
        <w:rPr>
          <w:rFonts w:ascii="Calibri" w:eastAsia="宋体" w:hAnsi="Calibri"/>
          <w:color w:val="auto"/>
          <w:kern w:val="2"/>
          <w:szCs w:val="24"/>
          <w:lang w:val="en-GB" w:eastAsia="zh-CN"/>
        </w:rPr>
      </w:pPr>
      <w:r>
        <w:fldChar w:fldCharType="begin"/>
      </w:r>
      <w:r>
        <w:instrText>Hyperlink \l "_Toc234435173"</w:instrText>
      </w:r>
      <w:r>
        <w:fldChar w:fldCharType="separate"/>
      </w:r>
      <w:r>
        <w:rPr>
          <w:lang w:val="en-GB"/>
        </w:rPr>
        <w:t>5. Critical Reflection on AI Usage</w:t>
        <w:tab/>
      </w:r>
      <w:r>
        <w:rPr>
          <w:lang w:val="en-GB"/>
        </w:rPr>
        <w:fldChar w:fldCharType="begin"/>
      </w:r>
      <w:r>
        <w:rPr>
          <w:lang w:val="en-GB"/>
        </w:rPr>
        <w:instrText xml:space="preserve"> PAGEREF _Toc234435173 \h </w:instrText>
      </w:r>
      <w:r>
        <w:rPr>
          <w:lang w:val="en-GB"/>
        </w:rPr>
        <w:fldChar w:fldCharType="separate"/>
      </w:r>
      <w:r>
        <w:rPr>
          <w:lang w:val="en-GB"/>
        </w:rPr>
        <w:t>26</w:t>
      </w:r>
      <w:r>
        <w:rPr>
          <w:lang w:val="en-GB"/>
        </w:rPr>
        <w:fldChar w:fldCharType="end"/>
      </w:r>
      <w:r>
        <w:fldChar w:fldCharType="end"/>
      </w:r>
    </w:p>
    <w:p>
      <w:pPr>
        <w:pStyle w:val="19"/>
        <w:tabs>
          <w:tab w:val="right" w:leader="dot" w:pos="9016"/>
        </w:tabs>
        <w:spacing w:before="240"/>
        <w:rPr>
          <w:rFonts w:ascii="Calibri" w:eastAsia="宋体" w:hAnsi="Calibri"/>
          <w:color w:val="auto"/>
          <w:kern w:val="2"/>
          <w:szCs w:val="24"/>
          <w:lang w:val="en-GB" w:eastAsia="zh-CN"/>
        </w:rPr>
      </w:pPr>
      <w:r>
        <w:fldChar w:fldCharType="begin"/>
      </w:r>
      <w:r>
        <w:instrText>Hyperlink \l "_Toc234435174"</w:instrText>
      </w:r>
      <w:r>
        <w:fldChar w:fldCharType="separate"/>
      </w:r>
      <w:r>
        <w:rPr>
          <w:lang w:val="en-GB"/>
        </w:rPr>
        <w:t>Conclusion</w:t>
        <w:tab/>
      </w:r>
      <w:r>
        <w:rPr>
          <w:lang w:val="en-GB"/>
        </w:rPr>
        <w:fldChar w:fldCharType="begin"/>
      </w:r>
      <w:r>
        <w:rPr>
          <w:lang w:val="en-GB"/>
        </w:rPr>
        <w:instrText xml:space="preserve"> PAGEREF _Toc234435174 \h </w:instrText>
      </w:r>
      <w:r>
        <w:rPr>
          <w:lang w:val="en-GB"/>
        </w:rPr>
        <w:fldChar w:fldCharType="separate"/>
      </w:r>
      <w:r>
        <w:rPr>
          <w:lang w:val="en-GB"/>
        </w:rPr>
        <w:t>27</w:t>
      </w:r>
      <w:r>
        <w:rPr>
          <w:lang w:val="en-GB"/>
        </w:rPr>
        <w:fldChar w:fldCharType="end"/>
      </w:r>
      <w:r>
        <w:fldChar w:fldCharType="end"/>
      </w:r>
    </w:p>
    <w:p>
      <w:pPr>
        <w:pStyle w:val="19"/>
        <w:tabs>
          <w:tab w:val="right" w:leader="dot" w:pos="9016"/>
        </w:tabs>
        <w:spacing w:before="240"/>
        <w:rPr>
          <w:rFonts w:ascii="Calibri" w:eastAsia="宋体" w:hAnsi="Calibri"/>
          <w:color w:val="auto"/>
          <w:kern w:val="2"/>
          <w:szCs w:val="24"/>
          <w:lang w:val="en-GB" w:eastAsia="zh-CN"/>
        </w:rPr>
      </w:pPr>
      <w:r>
        <w:fldChar w:fldCharType="begin"/>
      </w:r>
      <w:r>
        <w:instrText>Hyperlink \l "_Toc234435175"</w:instrText>
      </w:r>
      <w:r>
        <w:fldChar w:fldCharType="separate"/>
      </w:r>
      <w:r>
        <w:rPr>
          <w:lang w:val="en-GB"/>
        </w:rPr>
        <w:t>References</w:t>
        <w:tab/>
      </w:r>
      <w:r>
        <w:rPr>
          <w:lang w:val="en-GB"/>
        </w:rPr>
        <w:fldChar w:fldCharType="begin"/>
      </w:r>
      <w:r>
        <w:rPr>
          <w:lang w:val="en-GB"/>
        </w:rPr>
        <w:instrText xml:space="preserve"> PAGEREF _Toc234435175 \h </w:instrText>
      </w:r>
      <w:r>
        <w:rPr>
          <w:lang w:val="en-GB"/>
        </w:rPr>
        <w:fldChar w:fldCharType="separate"/>
      </w:r>
      <w:r>
        <w:rPr>
          <w:lang w:val="en-GB"/>
        </w:rPr>
        <w:t>29</w:t>
      </w:r>
      <w:r>
        <w:rPr>
          <w:lang w:val="en-GB"/>
        </w:rPr>
        <w:fldChar w:fldCharType="end"/>
      </w:r>
      <w:r>
        <w:fldChar w:fldCharType="end"/>
      </w:r>
    </w:p>
    <w:p>
      <w:pPr>
        <w:pStyle w:val="19"/>
        <w:tabs>
          <w:tab w:val="right" w:leader="dot" w:pos="9016"/>
        </w:tabs>
        <w:spacing w:before="240"/>
        <w:rPr>
          <w:rFonts w:ascii="Calibri" w:eastAsia="宋体" w:hAnsi="Calibri"/>
          <w:color w:val="auto"/>
          <w:kern w:val="2"/>
          <w:szCs w:val="24"/>
          <w:lang w:val="en-GB" w:eastAsia="zh-CN"/>
        </w:rPr>
      </w:pPr>
      <w:r>
        <w:fldChar w:fldCharType="begin"/>
      </w:r>
      <w:r>
        <w:instrText>Hyperlink \l "_Toc234435176"</w:instrText>
      </w:r>
      <w:r>
        <w:fldChar w:fldCharType="separate"/>
      </w:r>
      <w:r>
        <w:rPr>
          <w:lang w:val="en-GB"/>
        </w:rPr>
        <w:t>Appendices</w:t>
        <w:tab/>
      </w:r>
      <w:r>
        <w:rPr>
          <w:lang w:val="en-GB"/>
        </w:rPr>
        <w:fldChar w:fldCharType="begin"/>
      </w:r>
      <w:r>
        <w:rPr>
          <w:lang w:val="en-GB"/>
        </w:rPr>
        <w:instrText xml:space="preserve"> PAGEREF _Toc234435176 \h </w:instrText>
      </w:r>
      <w:r>
        <w:rPr>
          <w:lang w:val="en-GB"/>
        </w:rPr>
        <w:fldChar w:fldCharType="separate"/>
      </w:r>
      <w:r>
        <w:rPr>
          <w:lang w:val="en-GB"/>
        </w:rPr>
        <w:t>32</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"_Toc234435177"</w:instrText>
      </w:r>
      <w:r>
        <w:fldChar w:fldCharType="separate"/>
      </w:r>
      <w:r>
        <w:rPr>
          <w:rFonts w:cs="Arial"/>
          <w:lang w:val="en-GB"/>
        </w:rPr>
        <w:t>Appendix 1: Ratios</w:t>
      </w:r>
      <w:r>
        <w:rPr>
          <w:lang w:val="en-GB"/>
        </w:rPr>
        <w:tab/>
      </w:r>
      <w:r>
        <w:rPr>
          <w:lang w:val="en-GB"/>
        </w:rPr>
        <w:fldChar w:fldCharType="begin"/>
      </w:r>
      <w:r>
        <w:rPr>
          <w:lang w:val="en-GB"/>
        </w:rPr>
        <w:instrText xml:space="preserve"> PAGEREF _Toc234435177 \h </w:instrText>
      </w:r>
      <w:r>
        <w:rPr>
          <w:lang w:val="en-GB"/>
        </w:rPr>
        <w:fldChar w:fldCharType="separate"/>
      </w:r>
      <w:r>
        <w:rPr>
          <w:lang w:val="en-GB"/>
        </w:rPr>
        <w:t>32</w:t>
      </w:r>
      <w:r>
        <w:rPr>
          <w:lang w:val="en-GB"/>
        </w:rPr>
        <w:fldChar w:fldCharType="end"/>
      </w:r>
      <w:r>
        <w:fldChar w:fldCharType="end"/>
      </w:r>
    </w:p>
    <w:p>
      <w:pPr>
        <w:pStyle w:val="22"/>
        <w:tabs>
          <w:tab w:val="right" w:leader="dot" w:pos="9016"/>
        </w:tabs>
        <w:spacing w:before="240"/>
        <w:rPr>
          <w:rFonts w:ascii="Calibri" w:eastAsia="宋体" w:hAnsi="Calibri"/>
          <w:color w:val="auto"/>
          <w:kern w:val="2"/>
          <w:szCs w:val="24"/>
          <w:lang w:val="en-GB" w:eastAsia="zh-CN"/>
        </w:rPr>
      </w:pPr>
      <w:r>
        <w:fldChar w:fldCharType="begin"/>
      </w:r>
      <w:r>
        <w:instrText>Hyperlink \l "_Toc234435178"</w:instrText>
      </w:r>
      <w:r>
        <w:fldChar w:fldCharType="separate"/>
      </w:r>
      <w:r>
        <w:rPr>
          <w:lang w:val="en-GB"/>
        </w:rPr>
        <w:t>Appendix 2: Investment Appraisal</w:t>
        <w:tab/>
      </w:r>
      <w:r>
        <w:rPr>
          <w:lang w:val="en-GB"/>
        </w:rPr>
        <w:fldChar w:fldCharType="begin"/>
      </w:r>
      <w:r>
        <w:rPr>
          <w:lang w:val="en-GB"/>
        </w:rPr>
        <w:instrText xml:space="preserve"> PAGEREF _Toc234435178 \h </w:instrText>
      </w:r>
      <w:r>
        <w:rPr>
          <w:lang w:val="en-GB"/>
        </w:rPr>
        <w:fldChar w:fldCharType="separate"/>
      </w:r>
      <w:r>
        <w:rPr>
          <w:lang w:val="en-GB"/>
        </w:rPr>
        <w:t>34</w:t>
      </w:r>
      <w:r>
        <w:rPr>
          <w:lang w:val="en-GB"/>
        </w:rPr>
        <w:fldChar w:fldCharType="end"/>
      </w:r>
      <w:r>
        <w:fldChar w:fldCharType="end"/>
      </w:r>
    </w:p>
    <w:p>
      <w:pPr>
        <w:spacing w:before="240"/>
        <w:rPr>
          <w:rFonts w:cs="Arial"/>
          <w:lang w:val="en-GB"/>
        </w:rPr>
      </w:pPr>
      <w:r>
        <w:rPr>
          <w:rFonts w:cs="Arial"/>
          <w:b/>
          <w:bCs/>
          <w:szCs w:val="24"/>
          <w:lang w:val="en-GB"/>
        </w:rPr>
        <w:fldChar w:fldCharType="end"/>
      </w:r>
    </w:p>
    <w:p>
      <w:pPr>
        <w:spacing w:before="240"/>
        <w:rPr>
          <w:rFonts w:eastAsia="Times New Roman" w:cs="Arial"/>
          <w:b/>
          <w:bCs/>
          <w:color w:val="000000"/>
          <w:szCs w:val="24"/>
          <w:lang w:val="en-GB" w:eastAsia="en-IN"/>
        </w:rPr>
      </w:pPr>
      <w:r>
        <w:rPr>
          <w:rFonts w:cs="Arial"/>
          <w:b/>
          <w:bCs/>
          <w:color w:val="000000"/>
          <w:lang w:val="en-GB"/>
        </w:rPr>
        <w:br w:type="page"/>
      </w:r>
    </w:p>
    <w:p>
      <w:pPr>
        <w:pStyle w:val="1"/>
        <w:spacing w:before="240"/>
        <w:rPr>
          <w:lang w:val="en-GB"/>
        </w:rPr>
      </w:pPr>
      <w:bookmarkStart w:id="1" w:name="_Toc234435155"/>
      <w:r>
        <w:rPr>
          <w:lang w:val="en-GB"/>
        </w:rPr>
        <w:t>Introduction</w:t>
      </w:r>
      <w:bookmarkEnd w:id="1"/>
      <w:r>
        <w:rPr>
          <w:lang w:val="en-GB"/>
        </w:rPr>
        <w:t> </w:t>
      </w:r>
    </w:p>
    <w:p>
      <w:pPr>
        <w:spacing w:before="240"/>
        <w:rPr>
          <w:rFonts w:cs="Arial"/>
          <w:szCs w:val="24"/>
          <w:lang w:val="en-GB"/>
        </w:rPr>
      </w:pPr>
      <w:r>
        <w:rPr>
          <w:rFonts w:cs="Arial"/>
          <w:szCs w:val="24"/>
          <w:lang w:val="en-GB"/>
        </w:rPr>
        <w:t>Financial analysis has a crucial role in business practices by providing important information about the current financial position. Different types of financial statements are used by companies to identify financial opportunities and challenges in terms of losses or high debt positions for an accounting period. The report has been constructed to analyse the financial position of Marriott International over the last five years based on key financial statements and ratios. Working capital management and financial restructure in plan are also taken into consideration to support future growth of Marriott. The report represents important investment appraisal techniques to suggest a suitable project through use of capital rationing. </w:t>
      </w:r>
    </w:p>
    <w:p>
      <w:pPr>
        <w:pStyle w:val="1"/>
        <w:spacing w:before="240"/>
        <w:rPr>
          <w:lang w:val="en-GB"/>
        </w:rPr>
      </w:pPr>
      <w:bookmarkStart w:id="2" w:name="_Toc234435156"/>
      <w:r>
        <w:rPr>
          <w:lang w:val="en-GB"/>
        </w:rPr>
        <w:t>1. Financial Health Check</w:t>
      </w:r>
      <w:bookmarkEnd w:id="2"/>
      <w:r>
        <w:rPr>
          <w:lang w:val="en-GB"/>
        </w:rPr>
        <w:t> </w:t>
      </w:r>
    </w:p>
    <w:p>
      <w:pPr>
        <w:pStyle w:val="2"/>
        <w:spacing w:before="240"/>
        <w:rPr>
          <w:rFonts w:cs="Arial"/>
          <w:szCs w:val="24"/>
          <w:lang w:val="en-GB"/>
        </w:rPr>
      </w:pPr>
      <w:bookmarkStart w:id="3" w:name="_Toc234435157"/>
      <w:r>
        <w:rPr>
          <w:rFonts w:cs="Arial"/>
          <w:szCs w:val="24"/>
          <w:lang w:val="en-GB"/>
        </w:rPr>
        <w:t>a. Financial statements of Marriott for the last five years</w:t>
      </w:r>
      <w:bookmarkEnd w:id="3"/>
      <w:r>
        <w:rPr>
          <w:rFonts w:cs="Arial"/>
          <w:szCs w:val="24"/>
          <w:lang w:val="en-GB"/>
        </w:rPr>
        <w:t> </w:t>
      </w:r>
    </w:p>
    <w:p>
      <w:pPr>
        <w:spacing w:before="240"/>
        <w:rPr>
          <w:rFonts w:cs="Arial"/>
          <w:szCs w:val="24"/>
          <w:lang w:val="en-GB"/>
        </w:rPr>
      </w:pPr>
      <w:r>
        <w:rPr>
          <w:rFonts w:cs="Arial"/>
          <w:b/>
          <w:bCs/>
          <w:i/>
          <w:iCs/>
          <w:szCs w:val="24"/>
          <w:lang w:val="en-GB"/>
        </w:rPr>
        <w:t>Income statement</w:t>
      </w:r>
    </w:p>
    <w:p>
      <w:pPr>
        <w:spacing w:before="240"/>
        <w:rPr>
          <w:rFonts w:cs="Arial"/>
          <w:szCs w:val="24"/>
          <w:lang w:val="en-GB"/>
        </w:rPr>
      </w:pPr>
      <w:r>
        <w:rPr>
          <w:rFonts w:cs="Arial"/>
          <w:szCs w:val="24"/>
          <w:lang w:val="en-GB"/>
        </w:rPr>
        <w:t>Growth in revenue and business profitability has been recorded for Marriott across the selected period. The company has strategically increased its revenue to $20773 million in 2022 from $13857 million in 2021 (Marriott, 2022). Although improvement in revenue is analysed, the company has faced difficulties in managing operating expenses, amounting to $19849 million in 2023 and $22045 million in 2025. Nevertheless, net income increased to $2601 million in 2025 from $2375 million in the previous year, which was $1099 million in 2021. The company has also reported an improvement in earnings per share (EPS) to $7.27 in 2022 and increased to $9.53 in 2025. </w:t>
      </w:r>
    </w:p>
    <w:p>
      <w:pPr>
        <w:spacing w:before="240"/>
        <w:rPr>
          <w:rFonts w:cs="Arial"/>
          <w:szCs w:val="24"/>
          <w:lang w:val="en-GB"/>
        </w:rPr>
      </w:pPr>
      <w:r>
        <w:rPr>
          <w:rFonts w:cs="Arial"/>
          <w:b/>
          <w:bCs/>
          <w:i/>
          <w:iCs/>
          <w:szCs w:val="24"/>
          <w:lang w:val="en-GB"/>
        </w:rPr>
        <w:t>Balance sheet</w:t>
      </w:r>
    </w:p>
    <w:p>
      <w:pPr>
        <w:spacing w:before="240"/>
        <w:rPr>
          <w:rFonts w:cs="Arial"/>
          <w:szCs w:val="24"/>
          <w:lang w:val="en-GB"/>
        </w:rPr>
      </w:pPr>
      <w:r>
        <w:rPr>
          <w:rFonts w:cs="Arial"/>
          <w:szCs w:val="24"/>
          <w:lang w:val="en-GB"/>
        </w:rPr>
        <w:t>Improvement in current assets and fixed assets over the years reflects that Marriott has a key focus on strengthening its financial position. Effectiveness in managing current liabilities has also been recorded for the company, with a small increase, although it has affected business liquidity significantly. In 2025, Marriott’s current assets were valued at $3584 million while its current liabilities were $8398 million (Marriott, 2025). The huge difference between current assets, including cash and current liabilities reflects a gap in maintaining a balanced financial position. Furthermore, accounts receivable increased in 2022 compared to 2021, valued at $2571 million and $1982 million, respectively, which means Marriott has provided huge credit to customers. </w:t>
      </w:r>
    </w:p>
    <w:p>
      <w:pPr>
        <w:spacing w:before="240"/>
        <w:rPr>
          <w:rFonts w:cs="Arial"/>
          <w:szCs w:val="24"/>
          <w:lang w:val="en-GB"/>
        </w:rPr>
      </w:pPr>
      <w:r>
        <w:rPr>
          <w:rFonts w:cs="Arial"/>
          <w:b/>
          <w:bCs/>
          <w:i/>
          <w:iCs/>
          <w:szCs w:val="24"/>
          <w:lang w:val="en-GB"/>
        </w:rPr>
        <w:t>Cash flow statement </w:t>
      </w:r>
    </w:p>
    <w:p>
      <w:pPr>
        <w:spacing w:before="240"/>
        <w:rPr>
          <w:rFonts w:cs="Arial"/>
          <w:szCs w:val="24"/>
          <w:lang w:val="en-GB"/>
        </w:rPr>
      </w:pPr>
      <w:r>
        <w:rPr>
          <w:rFonts w:cs="Arial"/>
          <w:szCs w:val="24"/>
          <w:lang w:val="en-GB"/>
        </w:rPr>
        <w:t>Marriott's cash flow statement represents its ability to enhance its cash position by increasing net cash from operating activities. Operating cash flow in 2022 was valued at $2363 million, which increased to $3170 million in 2023 (Marriott, 2023). On the contrary, Marriott has invested huge financial resources every year for asset acquisition, loan advances and other activities. In 2025, net cash from investing activities was valued at -$948 million, which was -$734 million in 2024 and -$465 million in 2023. Similarly, the company has used -$2864 million for financing activities, including dividend payments of 587 million in 2023. Nevertheless, the cash flow statement represents a positive cash balance for Marriott every year, indicating sufficient cash to run business operations. </w:t>
      </w:r>
    </w:p>
    <w:p>
      <w:pPr>
        <w:pStyle w:val="2"/>
        <w:spacing w:before="240"/>
        <w:rPr>
          <w:rFonts w:cs="Arial"/>
          <w:szCs w:val="24"/>
          <w:lang w:val="en-GB"/>
        </w:rPr>
      </w:pPr>
      <w:bookmarkStart w:id="4" w:name="_Toc234435158"/>
      <w:r>
        <w:rPr>
          <w:rFonts w:cs="Arial"/>
          <w:szCs w:val="24"/>
          <w:lang w:val="en-GB"/>
        </w:rPr>
        <w:t>b. Ratio analysis of Marriott</w:t>
      </w:r>
      <w:bookmarkEnd w:id="4"/>
      <w:r>
        <w:rPr>
          <w:rFonts w:cs="Arial"/>
          <w:szCs w:val="24"/>
          <w:lang w:val="en-GB"/>
        </w:rPr>
        <w:t> </w:t>
      </w:r>
    </w:p>
    <w:tbl>
      <w:tblPr>
        <w:jc w:val="left"/>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
      <w:tblGrid>
        <w:gridCol w:w="4960"/>
        <w:gridCol w:w="782"/>
        <w:gridCol w:w="782"/>
        <w:gridCol w:w="862"/>
        <w:gridCol w:w="782"/>
        <w:gridCol w:w="846"/>
      </w:tblGrid>
      <w:tr>
        <w:trPr>
          <w:trHeight w:val="315"/>
        </w:trPr>
        <w:tc>
          <w:tcPr>
            <w:gridSpan w:val="6"/>
            <w:tcBorders>
              <w:top w:val="single" w:sz="4" w:space="0" w:color="000000"/>
              <w:left w:val="single" w:sz="4" w:space="0" w:color="000000"/>
              <w:bottom w:val="single" w:sz="4" w:space="0" w:color="000000"/>
              <w:right w:val="single" w:sz="4" w:space="0" w:color="000000"/>
            </w:tcBorders>
            <w:shd w:val="clear" w:color="auto" w:fill="E2EFDA"/>
            <w:tcMar>
              <w:top w:w="0" w:type="dxa"/>
              <w:left w:w="100" w:type="dxa"/>
              <w:bottom w:w="0" w:type="dxa"/>
              <w:right w:w="100" w:type="dxa"/>
            </w:tcMar>
            <w:vAlign w:val="bottom"/>
          </w:tcPr>
          <w:p>
            <w:pPr>
              <w:spacing w:before="240"/>
              <w:jc w:val="center"/>
              <w:rPr>
                <w:rFonts w:cs="Arial"/>
                <w:szCs w:val="24"/>
                <w:lang w:val="en-GB"/>
              </w:rPr>
            </w:pPr>
            <w:r>
              <w:rPr>
                <w:rFonts w:cs="Arial"/>
                <w:b/>
                <w:bCs/>
                <w:szCs w:val="24"/>
                <w:lang w:val="en-GB"/>
              </w:rPr>
              <w:t>“Financial Ratio ($ millions)</w:t>
            </w:r>
          </w:p>
        </w:tc>
      </w:tr>
      <w:tr>
        <w:trPr>
          <w:trHeight w:val="315"/>
        </w:trPr>
        <w:tc>
          <w:tcPr>
            <w:gridSpan w:val="6"/>
            <w:tcBorders>
              <w:top w:val="single" w:sz="4" w:space="0" w:color="000000"/>
              <w:left w:val="single" w:sz="4" w:space="0" w:color="000000"/>
              <w:bottom w:val="single" w:sz="4" w:space="0" w:color="000000"/>
              <w:right w:val="single" w:sz="4" w:space="0" w:color="000000"/>
            </w:tcBorders>
            <w:shd w:val="clear" w:color="auto" w:fill="E2EFDA"/>
            <w:tcMar>
              <w:top w:w="0" w:type="dxa"/>
              <w:left w:w="100" w:type="dxa"/>
              <w:bottom w:w="0" w:type="dxa"/>
              <w:right w:w="100" w:type="dxa"/>
            </w:tcMar>
            <w:vAlign w:val="bottom"/>
          </w:tcPr>
          <w:p>
            <w:pPr>
              <w:spacing w:before="240"/>
              <w:jc w:val="center"/>
              <w:rPr>
                <w:rFonts w:cs="Arial"/>
                <w:szCs w:val="24"/>
                <w:lang w:val="en-GB"/>
              </w:rPr>
            </w:pPr>
            <w:r>
              <w:rPr>
                <w:rFonts w:cs="Arial"/>
                <w:b/>
                <w:bCs/>
                <w:szCs w:val="24"/>
                <w:lang w:val="en-GB"/>
              </w:rPr>
              <w:t>Profitability Ratios</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Net Profit Margin</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2021</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Net Profit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2601</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2375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3083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2358</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1099</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Revenue</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26186</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25100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23713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20773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13857</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CCCCCC"/>
            <w:tcMar>
              <w:top w:w="0" w:type="dxa"/>
              <w:left w:w="100" w:type="dxa"/>
              <w:bottom w:w="0" w:type="dxa"/>
              <w:right w:w="100" w:type="dxa"/>
            </w:tcMar>
            <w:vAlign w:val="bottom"/>
          </w:tcPr>
          <w:p>
            <w:pPr>
              <w:spacing w:before="240"/>
              <w:rPr>
                <w:rFonts w:cs="Arial"/>
                <w:szCs w:val="24"/>
                <w:lang w:val="en-GB"/>
              </w:rPr>
            </w:pPr>
            <w:r>
              <w:rPr>
                <w:rFonts w:cs="Arial"/>
                <w:b/>
                <w:bCs/>
                <w:szCs w:val="24"/>
                <w:lang w:val="en-GB"/>
              </w:rPr>
              <w:t>Formula: Net Profit/Revenue*100</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9.93%</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9.46%</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13.00%</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11.35%</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7.93%</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Operating Profit Margin</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2021</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Operating income</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4141</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3767</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3864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17311</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12107</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Net Sales</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26186</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25100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23713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20773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13857</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CCCCCC"/>
            <w:tcMar>
              <w:top w:w="0" w:type="dxa"/>
              <w:left w:w="100" w:type="dxa"/>
              <w:bottom w:w="0" w:type="dxa"/>
              <w:right w:w="100" w:type="dxa"/>
            </w:tcMar>
            <w:vAlign w:val="bottom"/>
          </w:tcPr>
          <w:p>
            <w:pPr>
              <w:spacing w:before="240"/>
              <w:rPr>
                <w:rFonts w:cs="Arial"/>
                <w:szCs w:val="24"/>
                <w:lang w:val="en-GB"/>
              </w:rPr>
            </w:pPr>
            <w:r>
              <w:rPr>
                <w:rFonts w:cs="Arial"/>
                <w:b/>
                <w:bCs/>
                <w:szCs w:val="24"/>
                <w:lang w:val="en-GB"/>
              </w:rPr>
              <w:t>Formula: (Operating income / Net Sales) * 100</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15.81%</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15.01%</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16.29%</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83.33%</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87.37%</w:t>
            </w:r>
          </w:p>
        </w:tc>
      </w:tr>
      <w:tr>
        <w:trPr>
          <w:trHeight w:val="315"/>
        </w:trPr>
        <w:tc>
          <w:tcPr>
            <w:gridSpan w:val="6"/>
            <w:tcBorders>
              <w:top w:val="single" w:sz="4" w:space="0" w:color="000000"/>
              <w:left w:val="single" w:sz="4" w:space="0" w:color="000000"/>
              <w:bottom w:val="single" w:sz="4" w:space="0" w:color="000000"/>
              <w:right w:val="single" w:sz="4" w:space="0" w:color="000000"/>
            </w:tcBorders>
            <w:shd w:val="clear" w:color="auto" w:fill="E2EFDA"/>
            <w:tcMar>
              <w:top w:w="0" w:type="dxa"/>
              <w:left w:w="100" w:type="dxa"/>
              <w:bottom w:w="0" w:type="dxa"/>
              <w:right w:w="100" w:type="dxa"/>
            </w:tcMar>
            <w:vAlign w:val="bottom"/>
          </w:tcPr>
          <w:p>
            <w:pPr>
              <w:spacing w:before="240"/>
              <w:jc w:val="center"/>
              <w:rPr>
                <w:rFonts w:cs="Arial"/>
                <w:szCs w:val="24"/>
                <w:lang w:val="en-GB"/>
              </w:rPr>
            </w:pPr>
            <w:r>
              <w:rPr>
                <w:rFonts w:cs="Arial"/>
                <w:b/>
                <w:bCs/>
                <w:szCs w:val="24"/>
                <w:lang w:val="en-GB"/>
              </w:rPr>
              <w:t>Liquidity Ratios</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Current Ratio</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2021</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Current Assets</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3584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3485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3311</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3313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3626</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Current Liabilities</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8398</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8649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7762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7339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6407</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CCCCCC"/>
            <w:tcMar>
              <w:top w:w="0" w:type="dxa"/>
              <w:left w:w="100" w:type="dxa"/>
              <w:bottom w:w="0" w:type="dxa"/>
              <w:right w:w="100" w:type="dxa"/>
            </w:tcMar>
            <w:vAlign w:val="bottom"/>
          </w:tcPr>
          <w:p>
            <w:pPr>
              <w:spacing w:before="240"/>
              <w:rPr>
                <w:rFonts w:cs="Arial"/>
                <w:szCs w:val="24"/>
                <w:lang w:val="en-GB"/>
              </w:rPr>
            </w:pPr>
            <w:r>
              <w:rPr>
                <w:rFonts w:cs="Arial"/>
                <w:b/>
                <w:bCs/>
                <w:szCs w:val="24"/>
                <w:lang w:val="en-GB"/>
              </w:rPr>
              <w:t>Formula: Current Assets/Current Liabilities</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0.43</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0.40</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0.43</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0.45</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0.57</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Cash Ratio</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2021</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Cash and equivalents</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358</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396</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338</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507</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1393</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Current Liabilities</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8398</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8649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7762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7339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6407</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CCCCCC"/>
            <w:tcMar>
              <w:top w:w="0" w:type="dxa"/>
              <w:left w:w="100" w:type="dxa"/>
              <w:bottom w:w="0" w:type="dxa"/>
              <w:right w:w="100" w:type="dxa"/>
            </w:tcMar>
            <w:vAlign w:val="bottom"/>
          </w:tcPr>
          <w:p>
            <w:pPr>
              <w:spacing w:before="240"/>
              <w:rPr>
                <w:rFonts w:cs="Arial"/>
                <w:szCs w:val="24"/>
                <w:lang w:val="en-GB"/>
              </w:rPr>
            </w:pPr>
            <w:r>
              <w:rPr>
                <w:rFonts w:cs="Arial"/>
                <w:b/>
                <w:bCs/>
                <w:szCs w:val="24"/>
                <w:lang w:val="en-GB"/>
              </w:rPr>
              <w:t>Formula: (Current Assets-Inventories)/Current Liabilities</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0.04</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0.05</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0.04</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0.07</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0.22</w:t>
            </w:r>
          </w:p>
        </w:tc>
      </w:tr>
      <w:tr>
        <w:trPr>
          <w:trHeight w:val="315"/>
        </w:trPr>
        <w:tc>
          <w:tcPr>
            <w:gridSpan w:val="6"/>
            <w:tcBorders>
              <w:top w:val="single" w:sz="4" w:space="0" w:color="000000"/>
              <w:left w:val="single" w:sz="4" w:space="0" w:color="000000"/>
              <w:bottom w:val="single" w:sz="4" w:space="0" w:color="000000"/>
              <w:right w:val="single" w:sz="4" w:space="0" w:color="000000"/>
            </w:tcBorders>
            <w:shd w:val="clear" w:color="auto" w:fill="E2EFDA"/>
            <w:tcMar>
              <w:top w:w="0" w:type="dxa"/>
              <w:left w:w="100" w:type="dxa"/>
              <w:bottom w:w="0" w:type="dxa"/>
              <w:right w:w="100" w:type="dxa"/>
            </w:tcMar>
            <w:vAlign w:val="bottom"/>
          </w:tcPr>
          <w:p>
            <w:pPr>
              <w:spacing w:before="240"/>
              <w:jc w:val="center"/>
              <w:rPr>
                <w:rFonts w:cs="Arial"/>
                <w:szCs w:val="24"/>
                <w:lang w:val="en-GB"/>
              </w:rPr>
            </w:pPr>
            <w:r>
              <w:rPr>
                <w:rFonts w:cs="Arial"/>
                <w:b/>
                <w:bCs/>
                <w:szCs w:val="24"/>
                <w:lang w:val="en-GB"/>
              </w:rPr>
              <w:t>Efficiency Ratios</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Accounts Receivable Turnover</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2021</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Average Accounts Receivable</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2852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2753.5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2641.5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2276.5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1875</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Net Sales</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26186</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25100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23713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20773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13857</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CCCCCC"/>
            <w:tcMar>
              <w:top w:w="0" w:type="dxa"/>
              <w:left w:w="100" w:type="dxa"/>
              <w:bottom w:w="0" w:type="dxa"/>
              <w:right w:w="100" w:type="dxa"/>
            </w:tcMar>
            <w:vAlign w:val="bottom"/>
          </w:tcPr>
          <w:p>
            <w:pPr>
              <w:spacing w:before="240"/>
              <w:rPr>
                <w:rFonts w:cs="Arial"/>
                <w:szCs w:val="24"/>
                <w:lang w:val="en-GB"/>
              </w:rPr>
            </w:pPr>
            <w:r>
              <w:rPr>
                <w:rFonts w:cs="Arial"/>
                <w:b/>
                <w:bCs/>
                <w:szCs w:val="24"/>
                <w:lang w:val="en-GB"/>
              </w:rPr>
              <w:t>Formula: Net sales / Average Accounts Receivable</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9.18</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9.12</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8.98</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9.12</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7.39</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Asset Turnover Ratio</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2021</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 xml:space="preserve"> Average total Assets</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26861</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25928</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25244.5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25184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25127</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 xml:space="preserve"> Net Sales</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26186</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25100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23713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20773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13857</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CCCCCC"/>
            <w:tcMar>
              <w:top w:w="0" w:type="dxa"/>
              <w:left w:w="100" w:type="dxa"/>
              <w:bottom w:w="0" w:type="dxa"/>
              <w:right w:w="100" w:type="dxa"/>
            </w:tcMar>
            <w:vAlign w:val="bottom"/>
          </w:tcPr>
          <w:p>
            <w:pPr>
              <w:spacing w:before="240"/>
              <w:rPr>
                <w:rFonts w:cs="Arial"/>
                <w:szCs w:val="24"/>
                <w:lang w:val="en-GB"/>
              </w:rPr>
            </w:pPr>
            <w:r>
              <w:rPr>
                <w:rFonts w:cs="Arial"/>
                <w:b/>
                <w:bCs/>
                <w:szCs w:val="24"/>
                <w:lang w:val="en-GB"/>
              </w:rPr>
              <w:t xml:space="preserve"> Formula: Net Sales / Average Total Assets</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0.97</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0.97</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0.94</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0.82</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0.55</w:t>
            </w:r>
          </w:p>
        </w:tc>
      </w:tr>
      <w:tr>
        <w:trPr>
          <w:trHeight w:val="315"/>
        </w:trPr>
        <w:tc>
          <w:tcPr>
            <w:gridSpan w:val="6"/>
            <w:tcBorders>
              <w:top w:val="single" w:sz="4" w:space="0" w:color="000000"/>
              <w:left w:val="single" w:sz="4" w:space="0" w:color="000000"/>
              <w:bottom w:val="single" w:sz="4" w:space="0" w:color="000000"/>
              <w:right w:val="single" w:sz="4" w:space="0" w:color="000000"/>
            </w:tcBorders>
            <w:shd w:val="clear" w:color="auto" w:fill="E2EFDA"/>
            <w:tcMar>
              <w:top w:w="0" w:type="dxa"/>
              <w:left w:w="100" w:type="dxa"/>
              <w:bottom w:w="0" w:type="dxa"/>
              <w:right w:w="100" w:type="dxa"/>
            </w:tcMar>
            <w:vAlign w:val="bottom"/>
          </w:tcPr>
          <w:p>
            <w:pPr>
              <w:spacing w:before="240"/>
              <w:jc w:val="center"/>
              <w:rPr>
                <w:rFonts w:cs="Arial"/>
                <w:szCs w:val="24"/>
                <w:lang w:val="en-GB"/>
              </w:rPr>
            </w:pPr>
            <w:r>
              <w:rPr>
                <w:rFonts w:cs="Arial"/>
                <w:b/>
                <w:bCs/>
                <w:szCs w:val="24"/>
                <w:lang w:val="en-GB"/>
              </w:rPr>
              <w:t>Investment Ratios</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Price-to-Earnings (P/E) Ratio</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2021</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Market Price Per Share</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310.24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278.94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225.51</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148.89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165.24</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Earnings Per Share</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9.53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8.36</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10.23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7.27</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3.36</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CCCCCC"/>
            <w:tcMar>
              <w:top w:w="0" w:type="dxa"/>
              <w:left w:w="100" w:type="dxa"/>
              <w:bottom w:w="0" w:type="dxa"/>
              <w:right w:w="100" w:type="dxa"/>
            </w:tcMar>
            <w:vAlign w:val="bottom"/>
          </w:tcPr>
          <w:p>
            <w:pPr>
              <w:spacing w:before="240"/>
              <w:rPr>
                <w:rFonts w:cs="Arial"/>
                <w:szCs w:val="24"/>
                <w:lang w:val="en-GB"/>
              </w:rPr>
            </w:pPr>
            <w:r>
              <w:rPr>
                <w:rFonts w:cs="Arial"/>
                <w:b/>
                <w:bCs/>
                <w:szCs w:val="24"/>
                <w:lang w:val="en-GB"/>
              </w:rPr>
              <w:t>Formula: Share Price/EPS</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32.55</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33.37</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22.04</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20.48</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49.18</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Dividend Yield Ratio</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2021</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Dividend Per Share</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2.64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2.41</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1.96</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1.96</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Share Price</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310.24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278.94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225.51</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148.89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165.24</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CCCCCC"/>
            <w:tcMar>
              <w:top w:w="0" w:type="dxa"/>
              <w:left w:w="100" w:type="dxa"/>
              <w:bottom w:w="0" w:type="dxa"/>
              <w:right w:w="100" w:type="dxa"/>
            </w:tcMar>
            <w:vAlign w:val="bottom"/>
          </w:tcPr>
          <w:p>
            <w:pPr>
              <w:spacing w:before="240"/>
              <w:rPr>
                <w:rFonts w:cs="Arial"/>
                <w:szCs w:val="24"/>
                <w:lang w:val="en-GB"/>
              </w:rPr>
            </w:pPr>
            <w:r>
              <w:rPr>
                <w:rFonts w:cs="Arial"/>
                <w:b/>
                <w:bCs/>
                <w:szCs w:val="24"/>
                <w:lang w:val="en-GB"/>
              </w:rPr>
              <w:t>Formula: DPS/Share Price*100</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0.85%</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0.86%</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0.87%</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1.32%</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0.61%</w:t>
            </w:r>
          </w:p>
        </w:tc>
      </w:tr>
      <w:tr>
        <w:trPr>
          <w:trHeight w:val="315"/>
        </w:trPr>
        <w:tc>
          <w:tcPr>
            <w:gridSpan w:val="6"/>
            <w:tcBorders>
              <w:top w:val="single" w:sz="4" w:space="0" w:color="000000"/>
              <w:left w:val="single" w:sz="4" w:space="0" w:color="000000"/>
              <w:bottom w:val="single" w:sz="4" w:space="0" w:color="000000"/>
              <w:right w:val="single" w:sz="4" w:space="0" w:color="000000"/>
            </w:tcBorders>
            <w:shd w:val="clear" w:color="auto" w:fill="E2EFDA"/>
            <w:tcMar>
              <w:top w:w="0" w:type="dxa"/>
              <w:left w:w="100" w:type="dxa"/>
              <w:bottom w:w="0" w:type="dxa"/>
              <w:right w:w="100" w:type="dxa"/>
            </w:tcMar>
            <w:vAlign w:val="bottom"/>
          </w:tcPr>
          <w:p>
            <w:pPr>
              <w:spacing w:before="240"/>
              <w:jc w:val="center"/>
              <w:rPr>
                <w:rFonts w:cs="Arial"/>
                <w:szCs w:val="24"/>
                <w:lang w:val="en-GB"/>
              </w:rPr>
            </w:pPr>
            <w:r>
              <w:rPr>
                <w:rFonts w:cs="Arial"/>
                <w:b/>
                <w:bCs/>
                <w:szCs w:val="24"/>
                <w:lang w:val="en-GB"/>
              </w:rPr>
              <w:t>Cash Flow Ratios</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Operating Cash Flow Ratio</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2021</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Operating Cash Flow</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3212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2749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3170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2363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1177</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Current Liabilities</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8398</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8649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7762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7339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6407</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CCCCCC"/>
            <w:tcMar>
              <w:top w:w="0" w:type="dxa"/>
              <w:left w:w="100" w:type="dxa"/>
              <w:bottom w:w="0" w:type="dxa"/>
              <w:right w:w="100" w:type="dxa"/>
            </w:tcMar>
            <w:vAlign w:val="bottom"/>
          </w:tcPr>
          <w:p>
            <w:pPr>
              <w:spacing w:before="240"/>
              <w:rPr>
                <w:rFonts w:cs="Arial"/>
                <w:szCs w:val="24"/>
                <w:lang w:val="en-GB"/>
              </w:rPr>
            </w:pPr>
            <w:r>
              <w:rPr>
                <w:rFonts w:cs="Arial"/>
                <w:b/>
                <w:bCs/>
                <w:szCs w:val="24"/>
                <w:lang w:val="en-GB"/>
              </w:rPr>
              <w:t>Formula: (Operating Cash Flow / Current Liabilities)</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0.38</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0.32</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0.41</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0.32</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0.18</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Cash Flow Margin</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2021</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Operating Cash Flow</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3212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2749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3170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2363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1177</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Net Sales</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26186</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25100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23713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20773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13857</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CCCCCC"/>
            <w:tcMar>
              <w:top w:w="0" w:type="dxa"/>
              <w:left w:w="100" w:type="dxa"/>
              <w:bottom w:w="0" w:type="dxa"/>
              <w:right w:w="100" w:type="dxa"/>
            </w:tcMar>
            <w:vAlign w:val="bottom"/>
          </w:tcPr>
          <w:p>
            <w:pPr>
              <w:spacing w:before="240"/>
              <w:rPr>
                <w:rFonts w:cs="Arial"/>
                <w:szCs w:val="24"/>
                <w:lang w:val="en-GB"/>
              </w:rPr>
            </w:pPr>
            <w:r>
              <w:rPr>
                <w:rFonts w:cs="Arial"/>
                <w:b/>
                <w:bCs/>
                <w:szCs w:val="24"/>
                <w:lang w:val="en-GB"/>
              </w:rPr>
              <w:t>Formula: (Operating Cash Flow / net sales)</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0.12</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0.11</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0.13</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0.11</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0.08</w:t>
            </w:r>
          </w:p>
        </w:tc>
      </w:tr>
      <w:tr>
        <w:trPr>
          <w:trHeight w:val="315"/>
        </w:trPr>
        <w:tc>
          <w:tcPr>
            <w:gridSpan w:val="6"/>
            <w:tcBorders>
              <w:top w:val="single" w:sz="4" w:space="0" w:color="000000"/>
              <w:left w:val="single" w:sz="4" w:space="0" w:color="000000"/>
              <w:bottom w:val="single" w:sz="4" w:space="0" w:color="000000"/>
              <w:right w:val="single" w:sz="4" w:space="0" w:color="000000"/>
            </w:tcBorders>
            <w:shd w:val="clear" w:color="auto" w:fill="E2EFDA"/>
            <w:tcMar>
              <w:top w:w="0" w:type="dxa"/>
              <w:left w:w="100" w:type="dxa"/>
              <w:bottom w:w="0" w:type="dxa"/>
              <w:right w:w="100" w:type="dxa"/>
            </w:tcMar>
            <w:vAlign w:val="bottom"/>
          </w:tcPr>
          <w:p>
            <w:pPr>
              <w:spacing w:before="240"/>
              <w:jc w:val="center"/>
              <w:rPr>
                <w:rFonts w:cs="Arial"/>
                <w:szCs w:val="24"/>
                <w:lang w:val="en-GB"/>
              </w:rPr>
            </w:pPr>
            <w:r>
              <w:rPr>
                <w:rFonts w:cs="Arial"/>
                <w:b/>
                <w:bCs/>
                <w:szCs w:val="24"/>
                <w:lang w:val="en-GB"/>
              </w:rPr>
              <w:t>Gearing Ratios</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Debt-to-Equity Ratio</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2021</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Total Debt</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14995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13138</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11320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9380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9333</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Total Equity</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6352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6179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6051</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5965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5892</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CCCCCC"/>
            <w:tcMar>
              <w:top w:w="0" w:type="dxa"/>
              <w:left w:w="100" w:type="dxa"/>
              <w:bottom w:w="0" w:type="dxa"/>
              <w:right w:w="100" w:type="dxa"/>
            </w:tcMar>
            <w:vAlign w:val="bottom"/>
          </w:tcPr>
          <w:p>
            <w:pPr>
              <w:spacing w:before="240"/>
              <w:rPr>
                <w:rFonts w:cs="Arial"/>
                <w:szCs w:val="24"/>
                <w:lang w:val="en-GB"/>
              </w:rPr>
            </w:pPr>
            <w:r>
              <w:rPr>
                <w:rFonts w:cs="Arial"/>
                <w:b/>
                <w:bCs/>
                <w:szCs w:val="24"/>
                <w:lang w:val="en-GB"/>
              </w:rPr>
              <w:t>Formula: (Total Debt / Total Equity)</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2.36</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2.13</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1.87</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1.57</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1.58</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Interest Coverage Ratio</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b/>
                <w:bCs/>
                <w:szCs w:val="24"/>
                <w:lang w:val="en-GB"/>
              </w:rPr>
              <w:t>2021</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Operating Income</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4141</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3767</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3864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17311</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12107</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Interest Expenses</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809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695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565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403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spacing w:before="240"/>
              <w:rPr>
                <w:rFonts w:cs="Arial"/>
                <w:szCs w:val="24"/>
                <w:lang w:val="en-GB"/>
              </w:rPr>
            </w:pPr>
            <w:r>
              <w:rPr>
                <w:rFonts w:cs="Arial"/>
                <w:szCs w:val="24"/>
                <w:lang w:val="en-GB"/>
              </w:rPr>
              <w:t>420</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CCCCCC"/>
            <w:tcMar>
              <w:top w:w="0" w:type="dxa"/>
              <w:left w:w="100" w:type="dxa"/>
              <w:bottom w:w="0" w:type="dxa"/>
              <w:right w:w="100" w:type="dxa"/>
            </w:tcMar>
            <w:vAlign w:val="bottom"/>
          </w:tcPr>
          <w:p>
            <w:pPr>
              <w:spacing w:before="240"/>
              <w:rPr>
                <w:rFonts w:cs="Arial"/>
                <w:szCs w:val="24"/>
                <w:lang w:val="en-GB"/>
              </w:rPr>
            </w:pPr>
            <w:r>
              <w:rPr>
                <w:rFonts w:cs="Arial"/>
                <w:b/>
                <w:bCs/>
                <w:szCs w:val="24"/>
                <w:lang w:val="en-GB"/>
              </w:rPr>
              <w:t>Formula: (Operating Income / Interest Expenses)</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5.12</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5.42</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6.84</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42.96</w:t>
            </w:r>
          </w:p>
        </w:tc>
        <w:tc>
          <w:tcPr>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spacing w:before="240"/>
              <w:rPr>
                <w:rFonts w:cs="Arial"/>
                <w:szCs w:val="24"/>
                <w:lang w:val="en-GB"/>
              </w:rPr>
            </w:pPr>
            <w:r>
              <w:rPr>
                <w:rFonts w:cs="Arial"/>
                <w:b/>
                <w:bCs/>
                <w:szCs w:val="24"/>
                <w:lang w:val="en-GB"/>
              </w:rPr>
              <w:t>28.83”</w:t>
            </w:r>
          </w:p>
        </w:tc>
      </w:tr>
    </w:tbl>
    <w:p>
      <w:pPr>
        <w:spacing w:before="240"/>
        <w:jc w:val="center"/>
        <w:rPr>
          <w:rFonts w:cs="Arial"/>
          <w:szCs w:val="24"/>
          <w:lang w:val="en-GB"/>
        </w:rPr>
      </w:pPr>
      <w:r>
        <w:rPr>
          <w:rFonts w:cs="Arial"/>
          <w:b/>
          <w:bCs/>
          <w:szCs w:val="24"/>
          <w:lang w:val="en-GB"/>
        </w:rPr>
        <w:t>Table 1: Ratios</w:t>
      </w:r>
    </w:p>
    <w:p>
      <w:pPr>
        <w:spacing w:before="240"/>
        <w:jc w:val="center"/>
        <w:rPr>
          <w:rFonts w:cs="Arial"/>
          <w:szCs w:val="24"/>
          <w:lang w:val="en-GB"/>
        </w:rPr>
      </w:pPr>
      <w:r>
        <w:rPr>
          <w:rFonts w:cs="Arial"/>
          <w:szCs w:val="24"/>
          <w:lang w:val="en-GB"/>
        </w:rPr>
        <w:t>(Source: Excel)</w:t>
      </w:r>
    </w:p>
    <w:p>
      <w:pPr>
        <w:pStyle w:val="2"/>
        <w:spacing w:before="240"/>
        <w:rPr>
          <w:rFonts w:cs="Arial"/>
          <w:szCs w:val="24"/>
          <w:lang w:val="en-GB"/>
        </w:rPr>
      </w:pPr>
      <w:bookmarkStart w:id="5" w:name="_Toc234435159"/>
      <w:r>
        <w:rPr>
          <w:rFonts w:cs="Arial"/>
          <w:szCs w:val="24"/>
          <w:lang w:val="en-GB"/>
        </w:rPr>
        <w:t>c. Evaluating trends, strengths and threats</w:t>
      </w:r>
      <w:bookmarkEnd w:id="5"/>
      <w:r>
        <w:rPr>
          <w:rFonts w:cs="Arial"/>
          <w:szCs w:val="24"/>
          <w:lang w:val="en-GB"/>
        </w:rPr>
        <w:t> </w:t>
      </w:r>
    </w:p>
    <w:p>
      <w:pPr>
        <w:spacing w:before="240"/>
        <w:rPr>
          <w:rFonts w:cs="Arial"/>
          <w:szCs w:val="24"/>
          <w:lang w:val="en-GB"/>
        </w:rPr>
      </w:pPr>
      <w:r>
        <w:rPr>
          <w:rFonts w:cs="Arial"/>
          <w:b/>
          <w:bCs/>
          <w:i/>
          <w:iCs/>
          <w:szCs w:val="24"/>
          <w:lang w:val="en-GB"/>
        </w:rPr>
        <w:t>Financial trends </w:t>
      </w:r>
    </w:p>
    <w:p>
      <w:pPr>
        <w:spacing w:before="240"/>
        <w:rPr>
          <w:rFonts w:cs="Arial"/>
          <w:szCs w:val="24"/>
          <w:lang w:val="en-GB"/>
        </w:rPr>
      </w:pPr>
      <w:r>
        <w:rPr>
          <w:rFonts w:cs="Arial"/>
          <w:szCs w:val="24"/>
          <w:lang w:val="en-GB"/>
        </w:rPr>
        <w:t xml:space="preserve">Revenue and net income increased over the five-year period, while net margin improved from 7.93% in 2021 to 9.93% in 2025. According to the viewpoint of Islam </w:t>
      </w:r>
      <w:r>
        <w:rPr>
          <w:rFonts w:cs="Arial"/>
          <w:i/>
          <w:iCs/>
          <w:szCs w:val="24"/>
          <w:lang w:val="en-GB"/>
        </w:rPr>
        <w:t xml:space="preserve">et al. </w:t>
      </w:r>
      <w:r>
        <w:rPr>
          <w:rFonts w:cs="Arial"/>
          <w:szCs w:val="24"/>
          <w:lang w:val="en-GB"/>
        </w:rPr>
        <w:t>(2023), net profit margin measures profitability of an organisation on a per-dollar-of-revenue basis. An increase in asset turnover is also recorded from 0.55 to 0.97, which means Marriott has used its assets effectively to generate revenue. Additionally, better practices to improve the operating cash flow ratio and cash flow margin have also been recorded, showing strong cash generation from operations. Liquidity ratio trend indicates a massive reduction in 2025, with the current ratio 0.43 from 0.45 in 2022. The gearing ratio trend shows the introduction of debt, more than equity, in 2023; with debt-to-equity valued at 1.87, which was 1.58 in 2021. The interest coverage ratio of Marriott fell from 28.83 in 2021 to 5.12 in 2025, which means currently the company has the ability to cover interest expenses, but lower than in 2021. </w:t>
      </w:r>
    </w:p>
    <w:p>
      <w:pPr>
        <w:spacing w:before="240"/>
        <w:rPr>
          <w:rFonts w:cs="Arial"/>
          <w:szCs w:val="24"/>
          <w:lang w:val="en-GB"/>
        </w:rPr>
      </w:pPr>
      <w:r>
        <w:rPr>
          <w:rFonts w:cs="Arial"/>
          <w:b/>
          <w:bCs/>
          <w:i/>
          <w:iCs/>
          <w:szCs w:val="24"/>
          <w:lang w:val="en-GB"/>
        </w:rPr>
        <w:t>Business strengths</w:t>
      </w:r>
    </w:p>
    <w:p>
      <w:pPr>
        <w:spacing w:before="240"/>
        <w:rPr>
          <w:rFonts w:cs="Arial"/>
          <w:szCs w:val="24"/>
          <w:lang w:val="en-GB"/>
        </w:rPr>
      </w:pPr>
      <w:r>
        <w:rPr>
          <w:rFonts w:cs="Arial"/>
          <w:szCs w:val="24"/>
          <w:lang w:val="en-GB"/>
        </w:rPr>
        <w:t>The profitability ratios indicate that Marriott has maintained a positive margin across the years, for both net and operating profit ratios. Additionally, an increase in accounts receivable turnover reflects that customers' payments have been collected quickly, valued at 8.98 in 2023, 9.12 in 2024 and 9.18 in 2025. Operating cash flow ratio and cash flow margin also improved gradually in 2025, amounting to 0.38 and 0.12, respectively. Price-to-earnings ratio remained relatively strong in every year, reflecting that investors continued to have confidence in the company’s future growth. The share price of Marriott increased to $310.24 in 2025, which was $225.51 in 2023 (Yahoo, 2026). Marriott has maintained a dividend yield of 0.85% in 2025, which was 0.61% in 2021. Overall results suggest Marriott has good operational performance, efficient asset management and ability to generate consistent earnings. </w:t>
      </w:r>
    </w:p>
    <w:p>
      <w:pPr>
        <w:spacing w:before="240"/>
        <w:rPr>
          <w:rFonts w:cs="Arial"/>
          <w:szCs w:val="24"/>
          <w:lang w:val="en-GB"/>
        </w:rPr>
      </w:pPr>
      <w:r>
        <w:rPr>
          <w:rFonts w:cs="Arial"/>
          <w:b/>
          <w:bCs/>
          <w:i/>
          <w:iCs/>
          <w:szCs w:val="24"/>
          <w:lang w:val="en-GB"/>
        </w:rPr>
        <w:t>Potential threats </w:t>
      </w:r>
    </w:p>
    <w:p>
      <w:pPr>
        <w:spacing w:before="240"/>
        <w:rPr>
          <w:rFonts w:cs="Arial"/>
          <w:szCs w:val="24"/>
          <w:lang w:val="en-GB"/>
        </w:rPr>
      </w:pPr>
      <w:r>
        <w:rPr>
          <w:rFonts w:cs="Arial"/>
          <w:szCs w:val="24"/>
          <w:lang w:val="en-GB"/>
        </w:rPr>
        <w:t>Ratio analysis highlights several financial threats for Marriott, including a weak liquidity position. The company has faced difficulties meeting the standard current ratio of 2:1, while cash ratio significantly declined in 2025, valued at 0.04. Current ratio represents the relationship between short-term liabilities and short-term assets by highlighting the extent to which current liabilities can be met by using current assets (Mao, 2023). Moreover, debt-to-equity is another important concern because it increased steadily, which means depending on external funding to meet capital requirements. Higher debt increases financial risk, especially if interest rates rise in the upcoming years. The interest coverage ratio also declined over the period, indicating that operating income covered interest expenses by a smaller amount than before. </w:t>
      </w:r>
    </w:p>
    <w:p>
      <w:pPr>
        <w:pStyle w:val="2"/>
        <w:spacing w:before="240"/>
        <w:rPr>
          <w:rFonts w:cs="Arial"/>
          <w:szCs w:val="24"/>
          <w:lang w:val="en-GB"/>
        </w:rPr>
      </w:pPr>
      <w:bookmarkStart w:id="6" w:name="_Toc234435160"/>
      <w:r>
        <w:rPr>
          <w:rFonts w:cs="Arial"/>
          <w:szCs w:val="24"/>
          <w:lang w:val="en-GB"/>
        </w:rPr>
        <w:t>d. Comparison with industry benchmarks</w:t>
      </w:r>
      <w:bookmarkEnd w:id="6"/>
      <w:r>
        <w:rPr>
          <w:rFonts w:cs="Arial"/>
          <w:szCs w:val="24"/>
          <w:lang w:val="en-GB"/>
        </w:rPr>
        <w:t> </w:t>
      </w:r>
    </w:p>
    <w:p>
      <w:pPr>
        <w:spacing w:before="240"/>
        <w:rPr>
          <w:rFonts w:cs="Arial"/>
          <w:szCs w:val="24"/>
          <w:lang w:val="en-GB"/>
        </w:rPr>
      </w:pPr>
      <w:r>
        <w:rPr>
          <w:rFonts w:cs="Arial"/>
          <w:szCs w:val="24"/>
          <w:lang w:val="en-GB"/>
        </w:rPr>
        <w:t>Marriott's business liquidity position remains lower than the industry average, in terms of poor performance or a gap in balancing current assets and current liabilities. The current ratio of industry average is valued at 0.96, which is closer to 1 (Investing, 2026). Marriott has failed to achieve the standard current ratio as well as meet the industry average, indicating huge current liabilities compared to current assets, which can affect business liquidity significantly. Furthermore, Marriott's liquidity condition can affect financial stability by increasing financial burden in terms of paying short-term obligations using current assets, especially cash. </w:t>
      </w:r>
    </w:p>
    <w:p>
      <w:pPr>
        <w:pStyle w:val="1"/>
        <w:spacing w:before="240"/>
        <w:rPr>
          <w:lang w:val="en-GB"/>
        </w:rPr>
      </w:pPr>
      <w:bookmarkStart w:id="7" w:name="_Toc234435161"/>
      <w:r>
        <w:rPr>
          <w:lang w:val="en-GB"/>
        </w:rPr>
        <w:t>2. Working Capital Management Analysis</w:t>
      </w:r>
      <w:bookmarkEnd w:id="7"/>
    </w:p>
    <w:p>
      <w:pPr>
        <w:pStyle w:val="2"/>
        <w:spacing w:before="240"/>
        <w:rPr>
          <w:rFonts w:cs="Arial"/>
          <w:szCs w:val="24"/>
          <w:lang w:val="en-GB"/>
        </w:rPr>
      </w:pPr>
      <w:bookmarkStart w:id="8" w:name="_Toc234435162"/>
      <w:r>
        <w:rPr>
          <w:rFonts w:cs="Arial"/>
          <w:szCs w:val="24"/>
          <w:lang w:val="en-GB"/>
        </w:rPr>
        <w:t>a. Cash operating cycle</w:t>
      </w:r>
      <w:bookmarkEnd w:id="8"/>
      <w:r>
        <w:rPr>
          <w:rFonts w:cs="Arial"/>
          <w:szCs w:val="24"/>
          <w:lang w:val="en-GB"/>
        </w:rPr>
        <w:t> </w:t>
      </w:r>
    </w:p>
    <w:p>
      <w:pPr>
        <w:spacing w:before="240"/>
        <w:rPr>
          <w:rFonts w:cs="Arial"/>
          <w:szCs w:val="24"/>
          <w:lang w:val="en-GB"/>
        </w:rPr>
      </w:pPr>
      <w:r>
        <w:rPr>
          <w:rFonts w:cs="Arial"/>
          <w:szCs w:val="24"/>
          <w:lang w:val="en-GB"/>
        </w:rPr>
        <w:t xml:space="preserve">Marriott operates in the hospitality industry, where the traditional cash operating cycle differs from other industries, like retail and manufacturing. The company does not hold any inventory and has no cost of goods sold, so inventory and accounts payable conversion period are not relevant. Cash cycle is an important indicator of short-term liquidity and helps management to understand how efficiently a business manages sales, customer collection and supplier payments (Karim </w:t>
      </w:r>
      <w:r>
        <w:rPr>
          <w:rFonts w:cs="Arial"/>
          <w:i/>
          <w:iCs/>
          <w:szCs w:val="24"/>
          <w:lang w:val="en-GB"/>
        </w:rPr>
        <w:t xml:space="preserve">et al., </w:t>
      </w:r>
      <w:r>
        <w:rPr>
          <w:rFonts w:cs="Arial"/>
          <w:szCs w:val="24"/>
          <w:lang w:val="en-GB"/>
        </w:rPr>
        <w:t>2024). However, Marriott's cash operating cycle mainly depends on its effectiveness to collect payment form customers quickly and efficiency to manage payment to suppliers. Considering the accounts receivable ratio that is 7.39 times in 2021 and 9.18 10th in 2025 reflects Marriott collected customer payments more quickly over the five-year period. Faster collection has improved cash inflows and reduced the amount of money tied up in outstanding receivables in terms of a better cash operating cycle. Considering the operating cash flow of the company, a value lower than 1 indicates it alone is not sufficient to cover short-term obligations. The improvement in cash flow margin shows a large proportion of revenue was converted into operating cash that is essential for supporting daily operations and reducing dependency on external financing. </w:t>
      </w:r>
    </w:p>
    <w:p>
      <w:pPr>
        <w:pStyle w:val="2"/>
        <w:spacing w:before="240"/>
        <w:rPr>
          <w:rFonts w:cs="Arial"/>
          <w:szCs w:val="24"/>
          <w:lang w:val="en-GB"/>
        </w:rPr>
      </w:pPr>
      <w:bookmarkStart w:id="9" w:name="_Toc234435163"/>
      <w:r>
        <w:rPr>
          <w:rFonts w:cs="Arial"/>
          <w:szCs w:val="24"/>
          <w:lang w:val="en-GB"/>
        </w:rPr>
        <w:t>b. Improving business liquidity</w:t>
      </w:r>
      <w:bookmarkEnd w:id="9"/>
      <w:r>
        <w:rPr>
          <w:rFonts w:cs="Arial"/>
          <w:szCs w:val="24"/>
          <w:lang w:val="en-GB"/>
        </w:rPr>
        <w:t> </w:t>
      </w:r>
    </w:p>
    <w:p>
      <w:pPr>
        <w:spacing w:before="240"/>
        <w:rPr>
          <w:rFonts w:cs="Arial"/>
          <w:szCs w:val="24"/>
          <w:lang w:val="en-GB"/>
        </w:rPr>
      </w:pPr>
      <w:r>
        <w:rPr>
          <w:rFonts w:cs="Arial"/>
          <w:szCs w:val="24"/>
          <w:lang w:val="en-GB"/>
        </w:rPr>
        <w:t>Introducing different working capital management strategies is important for Marriott to improve business liquidity. The company has enhanced operating cash flow and receivable collection, but the current ratio and cash ratio remain low, indicating the importance of further improvements. Strengthening receivable management is the first strategy for the company, which involves encouraging faster customer payment by expanding digital payment systems and early payment discounts.  Based on the views of Amin and Ahmed (2022), digital payments reduce delays and difficulties during transactions by providing customers with faster and more convenient payment options. Quick receivable collection will increase available cash and improve short-term liquidity of Marriott. Additionally, negotiating long-term payment terms with suppliers is also important to extend payment periods without damaging supplier relationships. Cash conversion cycle combines different aspects of working capital into a single measure allows a business to use its capital by managing purchasing, production, supplier payment and customer collection (Potla, 2023). It can allow Marriott to retain cash for a longer period while continuing business operations without any disruption. </w:t>
      </w:r>
    </w:p>
    <w:p>
      <w:pPr>
        <w:spacing w:before="240"/>
        <w:rPr>
          <w:rFonts w:cs="Arial"/>
          <w:szCs w:val="24"/>
          <w:lang w:val="en-GB"/>
        </w:rPr>
      </w:pPr>
      <w:r>
        <w:rPr>
          <w:rFonts w:cs="Arial"/>
          <w:szCs w:val="24"/>
          <w:lang w:val="en-GB"/>
        </w:rPr>
        <w:t>Improving cash forecasting and budgeting is another important strategy for the company because accurate forecasting helps management predict changes in hotel occupancy, customer demand and operating expenses. As opined by Jain and Kulkarni (2023), in recent years, adoption of artificial intelligence has significantly changed financial forecasting and budgeting. Better planning is essential for Marriott to maintain sufficient cash balances during periods of lower revenue, besides reducing the chances of cash shortage. Focusing on operating cash flow improvement by controlling operating expenses as well as increasing revenue can be suggested to Marriott, especially for premium hotel experience and loyalty programme services. More than that, reviewing unnecessary capital spending and projects that do not provide immediate financial benefits is essential for the company to keep more cash available for working capital management. Maintaining an appropriate cash reserve needs to be considered by Marriott's management to ensure protection against unexpected expenses or unpredictable events like reductions in customer demand. </w:t>
      </w:r>
    </w:p>
    <w:p>
      <w:pPr>
        <w:pStyle w:val="2"/>
        <w:spacing w:before="240"/>
        <w:rPr>
          <w:rFonts w:cs="Arial"/>
          <w:szCs w:val="24"/>
          <w:lang w:val="en-GB"/>
        </w:rPr>
      </w:pPr>
      <w:bookmarkStart w:id="10" w:name="_Toc234435164"/>
      <w:r>
        <w:rPr>
          <w:rFonts w:cs="Arial"/>
          <w:szCs w:val="24"/>
          <w:lang w:val="en-GB"/>
        </w:rPr>
        <w:t>c. Short-term vs long-term financing options</w:t>
      </w:r>
      <w:bookmarkEnd w:id="10"/>
      <w:r>
        <w:rPr>
          <w:rFonts w:cs="Arial"/>
          <w:szCs w:val="24"/>
          <w:lang w:val="en-GB"/>
        </w:rPr>
        <w:t> </w:t>
      </w:r>
    </w:p>
    <w:p>
      <w:pPr>
        <w:spacing w:before="240"/>
        <w:rPr>
          <w:rFonts w:cs="Arial"/>
          <w:szCs w:val="24"/>
          <w:lang w:val="en-GB"/>
        </w:rPr>
      </w:pPr>
      <w:r>
        <w:rPr>
          <w:rFonts w:cs="Arial"/>
          <w:szCs w:val="24"/>
          <w:lang w:val="en-GB"/>
        </w:rPr>
        <w:t xml:space="preserve">Short-term financing is used in businesses to support daily activities and working capital requirements and involves bank overdrafts, short-term bank loans, and trade credit. Additionally, these financing options can provide Marriott quick access to funds and help it meet temporary cash shortages caused by delayed customer payments. Bank overdrafts are a common source of financing that provide access to funds and are suitable for businesses experiencing changing finance needs (Accaglobal, 2026). Short-term financing is flexible and easier for the company to arrange, although it is associated with variable interest rates and requires regular repayment. Depending on short-term borrowing can increase refinancing risk and create pressure on Marriott’s business liquidity. On the contrary, long-term financing is used for Major investments like business expansion, hotel development or property renovations. Some common sources of long-term financing are bank loans, corporate bonds, and debt financing that need to be repaid over many years. As mentioned by Gajdosikova </w:t>
      </w:r>
      <w:r>
        <w:rPr>
          <w:rFonts w:cs="Arial"/>
          <w:i/>
          <w:iCs/>
          <w:szCs w:val="24"/>
          <w:lang w:val="en-GB"/>
        </w:rPr>
        <w:t xml:space="preserve">et al. </w:t>
      </w:r>
      <w:r>
        <w:rPr>
          <w:rFonts w:cs="Arial"/>
          <w:szCs w:val="24"/>
          <w:lang w:val="en-GB"/>
        </w:rPr>
        <w:t>(2023), debt financing is less expensive because interest is tax-deductible and companies need to generate sufficient cash flow to make regular interest payments. Compared to short-term financing, long-term borrowing involves higher interest costs over time and may increase the financial burden for Marriott. A balanced financing approach is suitable for the company in terms of using both short-term and long-term financing adequately and can help it to manage financial performance. </w:t>
      </w:r>
    </w:p>
    <w:p>
      <w:pPr>
        <w:pStyle w:val="1"/>
        <w:spacing w:before="240"/>
        <w:rPr>
          <w:lang w:val="en-GB"/>
        </w:rPr>
      </w:pPr>
      <w:bookmarkStart w:id="11" w:name="_Toc234435165"/>
      <w:r>
        <w:rPr>
          <w:lang w:val="en-GB"/>
        </w:rPr>
        <w:t>3. Strategic Financial Restructuring Plan</w:t>
      </w:r>
      <w:bookmarkEnd w:id="11"/>
    </w:p>
    <w:p>
      <w:pPr>
        <w:pStyle w:val="2"/>
        <w:spacing w:before="240"/>
        <w:rPr>
          <w:rFonts w:cs="Arial"/>
          <w:szCs w:val="24"/>
          <w:lang w:val="en-GB"/>
        </w:rPr>
      </w:pPr>
      <w:bookmarkStart w:id="12" w:name="_Toc234435166"/>
      <w:r>
        <w:rPr>
          <w:rFonts w:cs="Arial"/>
          <w:szCs w:val="24"/>
          <w:lang w:val="en-GB"/>
        </w:rPr>
        <w:t>a. Recommend financial restructuring options for Marriott</w:t>
      </w:r>
      <w:bookmarkEnd w:id="12"/>
      <w:r>
        <w:rPr>
          <w:rFonts w:cs="Arial"/>
          <w:szCs w:val="24"/>
          <w:lang w:val="en-GB"/>
        </w:rPr>
        <w:t> </w:t>
      </w:r>
    </w:p>
    <w:p>
      <w:pPr>
        <w:spacing w:before="240"/>
        <w:rPr>
          <w:rFonts w:cs="Arial"/>
          <w:szCs w:val="24"/>
          <w:lang w:val="en-GB"/>
        </w:rPr>
      </w:pPr>
      <w:r>
        <w:rPr>
          <w:rFonts w:cs="Arial"/>
          <w:b/>
          <w:bCs/>
          <w:i/>
          <w:iCs/>
          <w:szCs w:val="24"/>
          <w:lang w:val="en-GB"/>
        </w:rPr>
        <w:t>Divestiture </w:t>
      </w:r>
    </w:p>
    <w:p>
      <w:pPr>
        <w:spacing w:before="240"/>
        <w:rPr>
          <w:rFonts w:cs="Arial"/>
          <w:szCs w:val="24"/>
          <w:lang w:val="en-GB"/>
        </w:rPr>
      </w:pPr>
      <w:r>
        <w:rPr>
          <w:rFonts w:cs="Arial"/>
          <w:szCs w:val="24"/>
          <w:lang w:val="en-GB"/>
        </w:rPr>
        <w:t>Selling underperforming assets to improve financial position can be considered by Marriott in terms of selling hotels or business units that generate low returns. A company needs to consider divesting a business unit if it no longer supports the main business strategy or if selling assets creates greater value by being sold rather than remaining within the business (Wallstreetprep, 2024). This strategy emphasises receiving money from sales to use for different purposes, including repaying debt, increasing cash reserves, or investing in profitable business areas. It can help Marriott to improve liquidity and reduce financial risk, besides allowing management to focus on the strongest hotel brands and markets. Nevertheless, selecting assets carefully to sell is important for the company because profitable assets contribute to future earnings. </w:t>
      </w:r>
    </w:p>
    <w:p>
      <w:pPr>
        <w:spacing w:before="240"/>
        <w:rPr>
          <w:rFonts w:cs="Arial"/>
          <w:szCs w:val="24"/>
          <w:lang w:val="en-GB"/>
        </w:rPr>
      </w:pPr>
      <w:r>
        <w:rPr>
          <w:rFonts w:cs="Arial"/>
          <w:b/>
          <w:bCs/>
          <w:i/>
          <w:iCs/>
          <w:szCs w:val="24"/>
          <w:lang w:val="en-GB"/>
        </w:rPr>
        <w:t>Merger </w:t>
      </w:r>
    </w:p>
    <w:p>
      <w:pPr>
        <w:spacing w:before="240"/>
        <w:rPr>
          <w:rFonts w:cs="Arial"/>
          <w:szCs w:val="24"/>
          <w:lang w:val="en-GB"/>
        </w:rPr>
      </w:pPr>
      <w:r>
        <w:rPr>
          <w:rFonts w:cs="Arial"/>
          <w:szCs w:val="24"/>
          <w:lang w:val="en-GB"/>
        </w:rPr>
        <w:t>Combining business with another profitable business from the same industry can create a strong position for Marriott in the hotel industry. Additionally, merger with a business that operates in a new market can increase revenue as well as expand Marriott's customer base. Based on the views of Celestin (2022), post-merger integration refers to the process of combining the operations, culture and financial system of two companies to achieve long-term success. A successful merger can reduce operating costs by sharing management technology, marketing, and administrative resources, while strengthening Marriott’s competitive position in the global market. During the merger, Marriott mainly faced different problems, including cultural differences, higher operating costs, and system integration, which required proper planning to ensure merger success. </w:t>
      </w:r>
    </w:p>
    <w:p>
      <w:pPr>
        <w:spacing w:before="240"/>
        <w:rPr>
          <w:rFonts w:cs="Arial"/>
          <w:szCs w:val="24"/>
          <w:lang w:val="en-GB"/>
        </w:rPr>
      </w:pPr>
      <w:r>
        <w:rPr>
          <w:rFonts w:cs="Arial"/>
          <w:b/>
          <w:bCs/>
          <w:i/>
          <w:iCs/>
          <w:szCs w:val="24"/>
          <w:lang w:val="en-GB"/>
        </w:rPr>
        <w:t>Equity injection</w:t>
      </w:r>
    </w:p>
    <w:p>
      <w:pPr>
        <w:spacing w:before="240"/>
        <w:rPr>
          <w:rFonts w:cs="Arial"/>
          <w:szCs w:val="24"/>
          <w:lang w:val="en-GB"/>
        </w:rPr>
      </w:pPr>
      <w:r>
        <w:rPr>
          <w:rFonts w:cs="Arial"/>
          <w:szCs w:val="24"/>
          <w:lang w:val="en-GB"/>
        </w:rPr>
        <w:t xml:space="preserve">Raising additional capital by issuing new shares to investors can be suggested to Marriott in terms of reducing existing debt and improving liquidity. A strong equity position can improve Marriott's financial stability and provide flexibility during periods of economic uncertainty. Equity financing agreements include different terms such as liquidation preferences, right of first refusal, and anti-dilution to reduce agency conflicts (Stevenson </w:t>
      </w:r>
      <w:r>
        <w:rPr>
          <w:rFonts w:cs="Arial"/>
          <w:i/>
          <w:iCs/>
          <w:szCs w:val="24"/>
          <w:lang w:val="en-GB"/>
        </w:rPr>
        <w:t xml:space="preserve">et al., </w:t>
      </w:r>
      <w:r>
        <w:rPr>
          <w:rFonts w:cs="Arial"/>
          <w:szCs w:val="24"/>
          <w:lang w:val="en-GB"/>
        </w:rPr>
        <w:t>2022). However, issuing new shares can reduce earnings per share by increasing the total number of shares and diluting ownership of existing shareholders. Despite some issues in injecting equity, it can strengthen capital structure by bringing the opportunity for Marriott to use new funds effectively. </w:t>
      </w:r>
    </w:p>
    <w:p>
      <w:pPr>
        <w:pStyle w:val="2"/>
        <w:spacing w:before="240"/>
        <w:rPr>
          <w:rFonts w:cs="Arial"/>
          <w:szCs w:val="24"/>
          <w:lang w:val="en-GB"/>
        </w:rPr>
      </w:pPr>
      <w:bookmarkStart w:id="13" w:name="_Toc234435167"/>
      <w:r>
        <w:rPr>
          <w:rFonts w:cs="Arial"/>
          <w:szCs w:val="24"/>
          <w:lang w:val="en-GB"/>
        </w:rPr>
        <w:t>b. Evaluation of impact on different areas</w:t>
      </w:r>
      <w:bookmarkEnd w:id="13"/>
    </w:p>
    <w:p>
      <w:pPr>
        <w:spacing w:before="240"/>
        <w:rPr>
          <w:rFonts w:cs="Arial"/>
          <w:szCs w:val="24"/>
          <w:lang w:val="en-GB"/>
        </w:rPr>
      </w:pPr>
      <w:r>
        <w:rPr>
          <w:rFonts w:cs="Arial"/>
          <w:szCs w:val="24"/>
          <w:lang w:val="en-GB"/>
        </w:rPr>
        <w:t xml:space="preserve">The suggested financial restructuring has a positive impact on shareholder value because divestiture can allow Marriott to focus on profitable businesses and improve financial performance. Additionally, a successful merger can increase revenue of the company besides reducing operating expenses and strengthening competitive advantages. Achieving synergies in terms of higher revenue, lower operating costs, and improved efficiency is important to gain full benefits of the merger (García-Nieto </w:t>
      </w:r>
      <w:r>
        <w:rPr>
          <w:rFonts w:cs="Arial"/>
          <w:i/>
          <w:iCs/>
          <w:szCs w:val="24"/>
          <w:lang w:val="en-GB"/>
        </w:rPr>
        <w:t xml:space="preserve">et al., </w:t>
      </w:r>
      <w:r>
        <w:rPr>
          <w:rFonts w:cs="Arial"/>
          <w:szCs w:val="24"/>
          <w:lang w:val="en-GB"/>
        </w:rPr>
        <w:t xml:space="preserve">2024). Furthermore, equity injection provides additional funds that can be used to reduce debt and business expansion, although it can reduce EPS in the short-term. On the contrary, divestiture provides cash to the company and reduces its dependency on external funding/debt, essential to improve debt-to-equity. Lower debt through equity injection can reduce Marriott’s reliance on borrowing, while a merger may help to manage debt easily through high profit. </w:t>
      </w:r>
    </w:p>
    <w:p>
      <w:pPr>
        <w:spacing w:before="240"/>
        <w:rPr>
          <w:rFonts w:cs="Arial"/>
          <w:szCs w:val="24"/>
          <w:lang w:val="en-GB"/>
        </w:rPr>
      </w:pPr>
      <w:r>
        <w:rPr>
          <w:rFonts w:cs="Arial"/>
          <w:szCs w:val="24"/>
          <w:lang w:val="en-GB"/>
        </w:rPr>
        <w:t xml:space="preserve">In the context of operational flexibility, divestiture can enable the company to be more focused on its strongest hotel brands, whereas a merger can provide access to new technology and skilled employees. Equity injection can directly impact operations and flexibility by increasing the availability of funds for hotel renovations and digital transformation. Considering resource-based view theory, operational flexibility is an important resource for an organisation that enables it to adapt to changing market conditions as well as maintain a competitive edge (Li </w:t>
      </w:r>
      <w:r>
        <w:rPr>
          <w:rFonts w:cs="Arial"/>
          <w:i/>
          <w:iCs/>
          <w:szCs w:val="24"/>
          <w:lang w:val="en-GB"/>
        </w:rPr>
        <w:t xml:space="preserve">et al., </w:t>
      </w:r>
      <w:r>
        <w:rPr>
          <w:rFonts w:cs="Arial"/>
          <w:szCs w:val="24"/>
          <w:lang w:val="en-GB"/>
        </w:rPr>
        <w:t>2025). More precisely, stronger financial flexibility through equity injection can allow Marriott to manage unexpected economic challenges more effectively. Overall, these restructuring options give Marriott greater opportunity to invest in business growth and introduce innovation while reducing financial constraints. </w:t>
      </w:r>
    </w:p>
    <w:p>
      <w:pPr>
        <w:pStyle w:val="2"/>
        <w:spacing w:before="240"/>
        <w:rPr>
          <w:rFonts w:cs="Arial"/>
          <w:color w:val="auto"/>
          <w:szCs w:val="24"/>
          <w:lang w:val="en-GB"/>
        </w:rPr>
      </w:pPr>
      <w:bookmarkStart w:id="14" w:name="_Toc234435168"/>
      <w:r>
        <w:rPr>
          <w:rFonts w:cs="Arial"/>
          <w:szCs w:val="24"/>
          <w:lang w:val="en-GB"/>
        </w:rPr>
        <w:t>c. International and Ethical Considerations</w:t>
      </w:r>
      <w:bookmarkEnd w:id="14"/>
    </w:p>
    <w:p>
      <w:pPr>
        <w:pStyle w:val="15"/>
        <w:spacing w:before="240" w:beforeAutospacing="0" w:after="0" w:afterAutospacing="0" w:line="360" w:lineRule="auto"/>
        <w:rPr>
          <w:rFonts w:ascii="Arial" w:cs="Arial" w:hAnsi="Arial"/>
          <w:lang w:val="en-GB"/>
        </w:rPr>
      </w:pPr>
      <w:r>
        <w:rPr>
          <w:rFonts w:ascii="Arial" w:cs="Arial" w:hAnsi="Arial"/>
          <w:color w:val="000000"/>
          <w:lang w:val="en-GB"/>
        </w:rPr>
        <w:t>Forex volatility has an impact on earnings in more than one currency, and therefore, greater use of natural hedging, forwards and currency swaps would decrease the exposure to exchange-rates and stabilise cashflows. Marriott International operates in more than 146 countries and territories, suggesting that the restructuring of finance needs to consider the possibility of financial risk across the globe (Marriott, 2026). Labour, energy and food costs are an inflationary burden, which should be addressed by dynamic pricing, by ties with suppliers on long contracts and technologies that enhance productivity. </w:t>
      </w:r>
    </w:p>
    <w:p>
      <w:pPr>
        <w:pStyle w:val="15"/>
        <w:spacing w:before="240" w:beforeAutospacing="0" w:after="0" w:afterAutospacing="0" w:line="360" w:lineRule="auto"/>
        <w:rPr>
          <w:rFonts w:ascii="Arial" w:cs="Arial" w:hAnsi="Arial"/>
          <w:lang w:val="en-GB"/>
        </w:rPr>
      </w:pPr>
      <w:r>
        <w:rPr>
          <w:rFonts w:ascii="Arial" w:cs="Arial" w:hAnsi="Arial"/>
          <w:color w:val="000000"/>
          <w:lang w:val="en-GB"/>
        </w:rPr>
        <w:t>On the ESG side, Marriott has enhanced its sustainability actions by having their near and long-term reduction targets validated by the “Science Based Targets initiative (SBTi)” in 2024. Marriott International has maintained the ambition towards achieving Net Zero GHG emissions by 2050 (Marriott, 2023).  Furthermore, adherence to OECD's Global Minimum Tax and national tax laws will help to reduce the risk of regulations and reputation and promote clear tax governance. Additionally, Marriott has reduced its greenhouse gas emission intensity across the world from 117.0 kg CO</w:t>
      </w:r>
      <w:r>
        <w:rPr>
          <w:rFonts w:ascii="Cambria Math" w:cs="Cambria Math" w:hAnsi="Cambria Math"/>
          <w:color w:val="000000"/>
          <w:lang w:val="en-GB"/>
        </w:rPr>
        <w:t>₂</w:t>
      </w:r>
      <w:r>
        <w:rPr>
          <w:rFonts w:ascii="Arial" w:cs="Arial" w:hAnsi="Arial"/>
          <w:color w:val="000000"/>
          <w:lang w:val="en-GB"/>
        </w:rPr>
        <w:t>e/m2 (2019 baseline) to 98.6 kg CO</w:t>
      </w:r>
      <w:r>
        <w:rPr>
          <w:rFonts w:ascii="Cambria Math" w:cs="Cambria Math" w:hAnsi="Cambria Math"/>
          <w:color w:val="000000"/>
          <w:lang w:val="en-GB"/>
        </w:rPr>
        <w:t>₂</w:t>
      </w:r>
      <w:r>
        <w:rPr>
          <w:rFonts w:ascii="Arial" w:cs="Arial" w:hAnsi="Arial"/>
          <w:color w:val="000000"/>
          <w:lang w:val="en-GB"/>
        </w:rPr>
        <w:t>e/m2 in 2024 (Marriott, 2025). The financial restructuring and integration of these sustainability programs helps strengthen investor confidence, value creation over multiple time horizons and Marriott's reputation as a responsible global hospitality leader. </w:t>
      </w:r>
    </w:p>
    <w:p>
      <w:pPr>
        <w:pStyle w:val="1"/>
        <w:spacing w:before="240"/>
        <w:rPr>
          <w:lang w:val="en-GB"/>
        </w:rPr>
      </w:pPr>
      <w:bookmarkStart w:id="15" w:name="_Toc234435169"/>
      <w:r>
        <w:rPr>
          <w:lang w:val="en-GB"/>
        </w:rPr>
        <w:t>4. Investment Appraisal and Capital Budgeting</w:t>
      </w:r>
      <w:bookmarkEnd w:id="15"/>
      <w:r>
        <w:rPr>
          <w:lang w:val="en-GB"/>
        </w:rPr>
        <w:t> </w:t>
      </w:r>
    </w:p>
    <w:p>
      <w:pPr>
        <w:pStyle w:val="2"/>
        <w:spacing w:before="240"/>
        <w:rPr>
          <w:rFonts w:cs="Arial"/>
          <w:szCs w:val="24"/>
          <w:lang w:val="en-GB"/>
        </w:rPr>
      </w:pPr>
      <w:bookmarkStart w:id="16" w:name="_Toc234435170"/>
      <w:r>
        <w:rPr>
          <w:rFonts w:cs="Arial"/>
          <w:szCs w:val="24"/>
          <w:lang w:val="en-GB"/>
        </w:rPr>
        <w:t>a. Investment Appraisal Analysis</w:t>
      </w:r>
      <w:bookmarkEnd w:id="16"/>
    </w:p>
    <w:p>
      <w:pPr>
        <w:pStyle w:val="15"/>
        <w:spacing w:before="240" w:beforeAutospacing="0" w:after="0" w:afterAutospacing="0" w:line="360" w:lineRule="auto"/>
        <w:rPr>
          <w:rFonts w:ascii="Arial" w:cs="Arial" w:hAnsi="Arial"/>
          <w:lang w:val="en-GB"/>
        </w:rPr>
      </w:pPr>
      <w:r>
        <w:rPr>
          <w:rFonts w:ascii="Arial" w:cs="Arial" w:hAnsi="Arial"/>
          <w:b/>
          <w:bCs/>
          <w:i/>
          <w:iCs/>
          <w:color w:val="000000"/>
          <w:lang w:val="en-GB"/>
        </w:rPr>
        <w:t>Project A - Calculation of PBP, ARR, NPV, PI, and IRR </w:t>
      </w:r>
    </w:p>
    <w:tbl>
      <w:tblPr>
        <w:jc w:val="center"/>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
      <w:tblGrid>
        <w:gridCol w:w="362"/>
        <w:gridCol w:w="1533"/>
        <w:gridCol w:w="1287"/>
        <w:gridCol w:w="1160"/>
        <w:gridCol w:w="1607"/>
        <w:gridCol w:w="1533"/>
        <w:gridCol w:w="1533"/>
      </w:tblGrid>
      <w:tr>
        <w:trPr>
          <w:trHeight w:val="315"/>
        </w:trPr>
        <w:tc>
          <w:tcPr>
            <w:gridSpan w:val="7"/>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“Project A</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Year</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Cash Flow (m)</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Discount Factor @ 8%</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Present Value (m)</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Cumulative Cash Inflow (m)</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Annual Depreciation (m)</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b/>
                <w:bCs/>
                <w:color w:val="000000"/>
                <w:lang w:val="en-GB"/>
              </w:rPr>
              <w:t xml:space="preserve"> Average annual profit (m)</w:t>
            </w:r>
          </w:p>
        </w:tc>
      </w:tr>
      <w:tr>
        <w:trPr>
          <w:trHeight w:val="300"/>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50.00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1.0000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50.00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50.00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r>
      <w:tr>
        <w:trPr>
          <w:trHeight w:val="300"/>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1</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0.9259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9.26</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40.00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  </w:t>
            </w:r>
          </w:p>
        </w:tc>
      </w:tr>
      <w:tr>
        <w:trPr>
          <w:trHeight w:val="300"/>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                12.00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0.8573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10.29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28.00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2.00</w:t>
            </w:r>
          </w:p>
        </w:tc>
      </w:tr>
      <w:tr>
        <w:trPr>
          <w:trHeight w:val="300"/>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14.00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0.7938</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11.11</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14.00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4.00</w:t>
            </w:r>
          </w:p>
        </w:tc>
      </w:tr>
      <w:tr>
        <w:trPr>
          <w:trHeight w:val="300"/>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0.7350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7.35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4.00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        10.00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  </w:t>
            </w:r>
          </w:p>
        </w:tc>
      </w:tr>
      <w:tr>
        <w:trPr>
          <w:trHeight w:val="300"/>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8.00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0.6806</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5.44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4.00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2.00</w:t>
            </w:r>
          </w:p>
        </w:tc>
      </w:tr>
      <w:tr>
        <w:trPr>
          <w:trHeight w:val="300"/>
        </w:trPr>
        <w:tc>
          <w:tcPr>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Total Present Value</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43.46</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r>
      <w:tr>
        <w:trPr>
          <w:trHeight w:val="315"/>
        </w:trPr>
        <w:tc>
          <w:tcPr>
            <w:gridSpan w:val="2"/>
            <w:tcBorders>
              <w:top w:val="single" w:sz="4" w:space="0" w:color="000000"/>
              <w:left w:val="single" w:sz="4" w:space="0" w:color="000000"/>
              <w:bottom w:val="single" w:sz="4" w:space="0" w:color="000000"/>
              <w:right w:val="single" w:sz="4" w:space="0" w:color="000000"/>
            </w:tcBorders>
            <w:shd w:val="clear" w:color="auto" w:fill="B4C6E7"/>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Net Present Value (NPV)</w:t>
            </w:r>
          </w:p>
        </w:tc>
        <w:tc>
          <w:tcPr>
            <w:gridSpan w:val="5"/>
            <w:tcBorders>
              <w:top w:val="single" w:sz="4" w:space="0" w:color="000000"/>
              <w:left w:val="single" w:sz="4" w:space="0" w:color="000000"/>
              <w:bottom w:val="single" w:sz="4" w:space="0" w:color="000000"/>
              <w:right w:val="single" w:sz="4" w:space="0" w:color="000000"/>
            </w:tcBorders>
            <w:shd w:val="clear" w:color="auto" w:fill="B4C6E7"/>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                                                                                                                                                                                          6.54</w:t>
            </w:r>
          </w:p>
        </w:tc>
      </w:tr>
      <w:tr>
        <w:trPr>
          <w:trHeight w:val="315"/>
        </w:trPr>
        <w:tc>
          <w:tcPr>
            <w:gridSpan w:val="2"/>
            <w:tcBorders>
              <w:top w:val="single" w:sz="4" w:space="0" w:color="000000"/>
              <w:left w:val="single" w:sz="4" w:space="0" w:color="000000"/>
              <w:bottom w:val="single" w:sz="4" w:space="0" w:color="000000"/>
              <w:right w:val="single" w:sz="4" w:space="0" w:color="000000"/>
            </w:tcBorders>
            <w:shd w:val="clear" w:color="auto" w:fill="B4C6E7"/>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Internal Rate of Return (IRR)</w:t>
            </w:r>
          </w:p>
        </w:tc>
        <w:tc>
          <w:tcPr>
            <w:gridSpan w:val="5"/>
            <w:tcBorders>
              <w:top w:val="single" w:sz="4" w:space="0" w:color="000000"/>
              <w:left w:val="single" w:sz="4" w:space="0" w:color="000000"/>
              <w:bottom w:val="single" w:sz="4" w:space="0" w:color="000000"/>
              <w:right w:val="single" w:sz="4" w:space="0" w:color="000000"/>
            </w:tcBorders>
            <w:shd w:val="clear" w:color="auto" w:fill="B4C6E7"/>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2.72%</w:t>
            </w:r>
          </w:p>
        </w:tc>
      </w:tr>
      <w:tr>
        <w:trPr>
          <w:trHeight w:val="315"/>
        </w:trPr>
        <w:tc>
          <w:tcPr>
            <w:gridSpan w:val="2"/>
            <w:tcBorders>
              <w:top w:val="single" w:sz="4" w:space="0" w:color="000000"/>
              <w:left w:val="single" w:sz="4" w:space="0" w:color="000000"/>
              <w:bottom w:val="single" w:sz="4" w:space="0" w:color="000000"/>
              <w:right w:val="single" w:sz="4" w:space="0" w:color="000000"/>
            </w:tcBorders>
            <w:shd w:val="clear" w:color="auto" w:fill="B4C6E7"/>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Payback Period (PBP)</w:t>
            </w:r>
          </w:p>
        </w:tc>
        <w:tc>
          <w:tcPr>
            <w:tcBorders>
              <w:top w:val="single" w:sz="4" w:space="0" w:color="000000"/>
              <w:left w:val="single" w:sz="4" w:space="0" w:color="000000"/>
              <w:bottom w:val="single" w:sz="4" w:space="0" w:color="000000"/>
              <w:right w:val="single" w:sz="4" w:space="0" w:color="000000"/>
            </w:tcBorders>
            <w:shd w:val="clear" w:color="auto" w:fill="B4C6E7"/>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4 years and 6 months</w:t>
            </w:r>
          </w:p>
        </w:tc>
        <w:tc>
          <w:tcPr>
            <w:gridSpan w:val="4"/>
            <w:tcBorders>
              <w:top w:val="single" w:sz="4" w:space="0" w:color="000000"/>
              <w:left w:val="single" w:sz="4" w:space="0" w:color="000000"/>
              <w:bottom w:val="single" w:sz="4" w:space="0" w:color="000000"/>
              <w:right w:val="single" w:sz="4" w:space="0" w:color="000000"/>
            </w:tcBorders>
            <w:shd w:val="clear" w:color="auto" w:fill="B4C6E7"/>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4.5</w:t>
            </w:r>
          </w:p>
        </w:tc>
      </w:tr>
      <w:tr>
        <w:trPr>
          <w:trHeight w:val="300"/>
        </w:trPr>
        <w:tc>
          <w:tcPr>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Total Annual Accounting Profit</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4.00</w:t>
            </w:r>
          </w:p>
        </w:tc>
      </w:tr>
      <w:tr>
        <w:trPr>
          <w:trHeight w:val="300"/>
        </w:trPr>
        <w:tc>
          <w:tcPr>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Average Annual Profit</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0.80</w:t>
            </w:r>
          </w:p>
        </w:tc>
      </w:tr>
      <w:tr>
        <w:trPr>
          <w:trHeight w:val="300"/>
        </w:trPr>
        <w:tc>
          <w:tcPr>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Average Investment</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25.00</w:t>
            </w:r>
          </w:p>
        </w:tc>
      </w:tr>
      <w:tr>
        <w:trPr>
          <w:trHeight w:val="315"/>
        </w:trPr>
        <w:tc>
          <w:tcPr>
            <w:gridSpan w:val="2"/>
            <w:tcBorders>
              <w:top w:val="single" w:sz="4" w:space="0" w:color="000000"/>
              <w:left w:val="single" w:sz="4" w:space="0" w:color="000000"/>
              <w:bottom w:val="single" w:sz="4" w:space="0" w:color="000000"/>
              <w:right w:val="single" w:sz="4" w:space="0" w:color="000000"/>
            </w:tcBorders>
            <w:shd w:val="clear" w:color="auto" w:fill="B4C6E7"/>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Accounting Rate of Return (ARR)</w:t>
            </w:r>
          </w:p>
        </w:tc>
        <w:tc>
          <w:tcPr>
            <w:gridSpan w:val="5"/>
            <w:tcBorders>
              <w:top w:val="single" w:sz="4" w:space="0" w:color="000000"/>
              <w:left w:val="single" w:sz="4" w:space="0" w:color="000000"/>
              <w:bottom w:val="single" w:sz="4" w:space="0" w:color="000000"/>
              <w:right w:val="single" w:sz="4" w:space="0" w:color="000000"/>
            </w:tcBorders>
            <w:shd w:val="clear" w:color="auto" w:fill="B4C6E7"/>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3.20%</w:t>
            </w:r>
          </w:p>
        </w:tc>
      </w:tr>
      <w:tr>
        <w:trPr>
          <w:trHeight w:val="315"/>
        </w:trPr>
        <w:tc>
          <w:tcPr>
            <w:gridSpan w:val="2"/>
            <w:tcBorders>
              <w:top w:val="single" w:sz="4" w:space="0" w:color="000000"/>
              <w:left w:val="single" w:sz="4" w:space="0" w:color="000000"/>
              <w:bottom w:val="single" w:sz="4" w:space="0" w:color="000000"/>
              <w:right w:val="single" w:sz="4" w:space="0" w:color="000000"/>
            </w:tcBorders>
            <w:shd w:val="clear" w:color="auto" w:fill="B4C6E7"/>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Profitability Index (PI)</w:t>
            </w:r>
          </w:p>
        </w:tc>
        <w:tc>
          <w:tcPr>
            <w:gridSpan w:val="5"/>
            <w:tcBorders>
              <w:top w:val="single" w:sz="4" w:space="0" w:color="000000"/>
              <w:left w:val="single" w:sz="4" w:space="0" w:color="000000"/>
              <w:bottom w:val="single" w:sz="4" w:space="0" w:color="000000"/>
              <w:right w:val="single" w:sz="4" w:space="0" w:color="000000"/>
            </w:tcBorders>
            <w:shd w:val="clear" w:color="auto" w:fill="B4C6E7"/>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0.87”</w:t>
            </w:r>
          </w:p>
        </w:tc>
      </w:tr>
    </w:tbl>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Table 2: Calculating Investment Appraisal for Project A</w:t>
      </w:r>
    </w:p>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(Source: Self-Calculated) </w:t>
      </w:r>
    </w:p>
    <w:p>
      <w:pPr>
        <w:pStyle w:val="15"/>
        <w:spacing w:before="240" w:beforeAutospacing="0" w:after="0" w:afterAutospacing="0" w:line="360" w:lineRule="auto"/>
        <w:rPr>
          <w:rFonts w:ascii="Arial" w:cs="Arial" w:hAnsi="Arial"/>
          <w:lang w:val="en-GB"/>
        </w:rPr>
      </w:pPr>
      <w:r>
        <w:rPr>
          <w:rFonts w:ascii="Arial" w:cs="Arial" w:hAnsi="Arial"/>
          <w:color w:val="000000"/>
          <w:lang w:val="en-GB"/>
        </w:rPr>
        <w:t>The financial results of Project A are poor on most of the investment appraisal criteria. The project has an overall cash inflow of £54 million, but the NPV is – £6.54 million, meaning discounted returns do not compensate for the initial investment. The IRR value is 2.72% which is below the required discount rate of 8%, and the ARR value is 3.20% which is not very high. Additionally, the payback time is 4.5 years, so the capital is lost, and the project is not financially viable.</w:t>
      </w:r>
    </w:p>
    <w:p>
      <w:pPr>
        <w:pStyle w:val="15"/>
        <w:spacing w:before="240" w:beforeAutospacing="0" w:after="0" w:afterAutospacing="0" w:line="360" w:lineRule="auto"/>
        <w:rPr>
          <w:rFonts w:ascii="Arial" w:cs="Arial" w:hAnsi="Arial"/>
          <w:lang w:val="en-GB"/>
        </w:rPr>
      </w:pPr>
      <w:r>
        <w:rPr>
          <w:rFonts w:ascii="Arial" w:cs="Arial" w:hAnsi="Arial"/>
          <w:b/>
          <w:bCs/>
          <w:i/>
          <w:iCs/>
          <w:color w:val="000000"/>
          <w:lang w:val="en-GB"/>
        </w:rPr>
        <w:t>Project B - Calculation of PBP, ARR, NPV, PI, and IRR</w:t>
      </w:r>
    </w:p>
    <w:tbl>
      <w:tblPr>
        <w:jc w:val="center"/>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
      <w:tblGrid>
        <w:gridCol w:w="362"/>
        <w:gridCol w:w="1533"/>
        <w:gridCol w:w="1287"/>
        <w:gridCol w:w="1160"/>
        <w:gridCol w:w="1607"/>
        <w:gridCol w:w="1533"/>
        <w:gridCol w:w="1533"/>
      </w:tblGrid>
      <w:tr>
        <w:trPr>
          <w:trHeight w:val="315"/>
        </w:trPr>
        <w:tc>
          <w:tcPr>
            <w:gridSpan w:val="7"/>
            <w:tcBorders>
              <w:top w:val="single" w:sz="4" w:space="0" w:color="000000"/>
              <w:left w:val="single" w:sz="4" w:space="0" w:color="000000"/>
              <w:bottom w:val="single" w:sz="4" w:space="0" w:color="000000"/>
              <w:right w:val="single" w:sz="4" w:space="0" w:color="000000"/>
            </w:tcBorders>
            <w:shd w:val="clear" w:color="auto" w:fill="FFD966"/>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“Project B</w:t>
            </w:r>
          </w:p>
        </w:tc>
      </w:tr>
      <w:tr>
        <w:trPr>
          <w:trHeight w:val="315"/>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Year</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Cash Flow (m)</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Discount Factor @ 8%</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Present Value (m)</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Cumulative Cash Inflow (m)</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Annual Depreciation (m)</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b/>
                <w:bCs/>
                <w:color w:val="000000"/>
                <w:lang w:val="en-GB"/>
              </w:rPr>
              <w:t xml:space="preserve"> Average annual profit (m)</w:t>
            </w:r>
          </w:p>
        </w:tc>
      </w:tr>
      <w:tr>
        <w:trPr>
          <w:trHeight w:val="300"/>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50.00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1.0000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50.00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50.00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r>
      <w:tr>
        <w:trPr>
          <w:trHeight w:val="300"/>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1</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11.00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0.9259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10.19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39.00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w:t>
            </w:r>
          </w:p>
        </w:tc>
      </w:tr>
      <w:tr>
        <w:trPr>
          <w:trHeight w:val="300"/>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            11.00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0.8573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9.43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28.00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w:t>
            </w:r>
          </w:p>
        </w:tc>
      </w:tr>
      <w:tr>
        <w:trPr>
          <w:trHeight w:val="300"/>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11.00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0.7938</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8.73</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17.00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w:t>
            </w:r>
          </w:p>
        </w:tc>
      </w:tr>
      <w:tr>
        <w:trPr>
          <w:trHeight w:val="300"/>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4</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11.00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0.7350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8.09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6.00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      10.00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w:t>
            </w:r>
          </w:p>
        </w:tc>
      </w:tr>
      <w:tr>
        <w:trPr>
          <w:trHeight w:val="300"/>
        </w:trPr>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5</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11.00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0.6806</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7.49</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5.00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w:t>
            </w:r>
          </w:p>
        </w:tc>
      </w:tr>
      <w:tr>
        <w:trPr>
          <w:trHeight w:val="300"/>
        </w:trPr>
        <w:tc>
          <w:tcPr>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Total Present Value</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43.92</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r>
      <w:tr>
        <w:trPr>
          <w:trHeight w:val="315"/>
        </w:trPr>
        <w:tc>
          <w:tcPr>
            <w:gridSpan w:val="2"/>
            <w:tcBorders>
              <w:top w:val="single" w:sz="4" w:space="0" w:color="000000"/>
              <w:left w:val="single" w:sz="4" w:space="0" w:color="000000"/>
              <w:bottom w:val="single" w:sz="4" w:space="0" w:color="000000"/>
              <w:right w:val="single" w:sz="4" w:space="0" w:color="000000"/>
            </w:tcBorders>
            <w:shd w:val="clear" w:color="auto" w:fill="A9D08E"/>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Net Present Value (NPV)</w:t>
            </w:r>
          </w:p>
        </w:tc>
        <w:tc>
          <w:tcPr>
            <w:gridSpan w:val="5"/>
            <w:tcBorders>
              <w:top w:val="single" w:sz="4" w:space="0" w:color="000000"/>
              <w:left w:val="single" w:sz="4" w:space="0" w:color="000000"/>
              <w:bottom w:val="single" w:sz="4" w:space="0" w:color="000000"/>
              <w:right w:val="single" w:sz="4" w:space="0" w:color="000000"/>
            </w:tcBorders>
            <w:shd w:val="clear" w:color="auto" w:fill="A9D08E"/>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                                                                                                                                                                                          6.08</w:t>
            </w:r>
          </w:p>
        </w:tc>
      </w:tr>
      <w:tr>
        <w:trPr>
          <w:trHeight w:val="315"/>
        </w:trPr>
        <w:tc>
          <w:tcPr>
            <w:gridSpan w:val="2"/>
            <w:tcBorders>
              <w:top w:val="single" w:sz="4" w:space="0" w:color="000000"/>
              <w:left w:val="single" w:sz="4" w:space="0" w:color="000000"/>
              <w:bottom w:val="single" w:sz="4" w:space="0" w:color="000000"/>
              <w:right w:val="single" w:sz="4" w:space="0" w:color="000000"/>
            </w:tcBorders>
            <w:shd w:val="clear" w:color="auto" w:fill="A9D08E"/>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Internal Rate of Return (IRR)</w:t>
            </w:r>
          </w:p>
        </w:tc>
        <w:tc>
          <w:tcPr>
            <w:gridSpan w:val="5"/>
            <w:tcBorders>
              <w:top w:val="single" w:sz="4" w:space="0" w:color="000000"/>
              <w:left w:val="single" w:sz="4" w:space="0" w:color="000000"/>
              <w:bottom w:val="single" w:sz="4" w:space="0" w:color="000000"/>
              <w:right w:val="single" w:sz="4" w:space="0" w:color="000000"/>
            </w:tcBorders>
            <w:shd w:val="clear" w:color="auto" w:fill="A9D08E"/>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3.26%</w:t>
            </w:r>
          </w:p>
        </w:tc>
      </w:tr>
      <w:tr>
        <w:trPr>
          <w:trHeight w:val="315"/>
        </w:trPr>
        <w:tc>
          <w:tcPr>
            <w:gridSpan w:val="2"/>
            <w:tcBorders>
              <w:top w:val="single" w:sz="4" w:space="0" w:color="000000"/>
              <w:left w:val="single" w:sz="4" w:space="0" w:color="000000"/>
              <w:bottom w:val="single" w:sz="4" w:space="0" w:color="000000"/>
              <w:right w:val="single" w:sz="4" w:space="0" w:color="000000"/>
            </w:tcBorders>
            <w:shd w:val="clear" w:color="auto" w:fill="A9D08E"/>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Payback Period (PBP)</w:t>
            </w:r>
          </w:p>
        </w:tc>
        <w:tc>
          <w:tcPr>
            <w:tcBorders>
              <w:top w:val="single" w:sz="4" w:space="0" w:color="000000"/>
              <w:left w:val="single" w:sz="4" w:space="0" w:color="000000"/>
              <w:bottom w:val="single" w:sz="4" w:space="0" w:color="000000"/>
              <w:right w:val="single" w:sz="4" w:space="0" w:color="000000"/>
            </w:tcBorders>
            <w:shd w:val="clear" w:color="auto" w:fill="A9D08E"/>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4 years and 7 months</w:t>
            </w:r>
          </w:p>
        </w:tc>
        <w:tc>
          <w:tcPr>
            <w:gridSpan w:val="4"/>
            <w:tcBorders>
              <w:top w:val="single" w:sz="4" w:space="0" w:color="000000"/>
              <w:left w:val="single" w:sz="4" w:space="0" w:color="000000"/>
              <w:bottom w:val="single" w:sz="4" w:space="0" w:color="000000"/>
              <w:right w:val="single" w:sz="4" w:space="0" w:color="000000"/>
            </w:tcBorders>
            <w:shd w:val="clear" w:color="auto" w:fill="A9D08E"/>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4.55</w:t>
            </w:r>
          </w:p>
        </w:tc>
      </w:tr>
      <w:tr>
        <w:trPr>
          <w:trHeight w:val="300"/>
        </w:trPr>
        <w:tc>
          <w:tcPr>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Total Annual Accounting Profit</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5.00</w:t>
            </w:r>
          </w:p>
        </w:tc>
      </w:tr>
      <w:tr>
        <w:trPr>
          <w:trHeight w:val="300"/>
        </w:trPr>
        <w:tc>
          <w:tcPr>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Average Annual Profit</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w:t>
            </w:r>
          </w:p>
        </w:tc>
      </w:tr>
      <w:tr>
        <w:trPr>
          <w:trHeight w:val="300"/>
        </w:trPr>
        <w:tc>
          <w:tcPr>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Average Investment</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25.00</w:t>
            </w:r>
          </w:p>
        </w:tc>
      </w:tr>
      <w:tr>
        <w:trPr>
          <w:trHeight w:val="315"/>
        </w:trPr>
        <w:tc>
          <w:tcPr>
            <w:gridSpan w:val="2"/>
            <w:tcBorders>
              <w:top w:val="single" w:sz="4" w:space="0" w:color="000000"/>
              <w:left w:val="single" w:sz="4" w:space="0" w:color="000000"/>
              <w:bottom w:val="single" w:sz="4" w:space="0" w:color="000000"/>
              <w:right w:val="single" w:sz="4" w:space="0" w:color="000000"/>
            </w:tcBorders>
            <w:shd w:val="clear" w:color="auto" w:fill="A9D08E"/>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Accounting Rate of Return (ARR)</w:t>
            </w:r>
          </w:p>
        </w:tc>
        <w:tc>
          <w:tcPr>
            <w:gridSpan w:val="5"/>
            <w:tcBorders>
              <w:top w:val="single" w:sz="4" w:space="0" w:color="000000"/>
              <w:left w:val="single" w:sz="4" w:space="0" w:color="000000"/>
              <w:bottom w:val="single" w:sz="4" w:space="0" w:color="000000"/>
              <w:right w:val="single" w:sz="4" w:space="0" w:color="000000"/>
            </w:tcBorders>
            <w:shd w:val="clear" w:color="auto" w:fill="A9D08E"/>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4.00%</w:t>
            </w:r>
          </w:p>
        </w:tc>
      </w:tr>
      <w:tr>
        <w:trPr>
          <w:trHeight w:val="315"/>
        </w:trPr>
        <w:tc>
          <w:tcPr>
            <w:gridSpan w:val="2"/>
            <w:tcBorders>
              <w:top w:val="single" w:sz="4" w:space="0" w:color="000000"/>
              <w:left w:val="single" w:sz="4" w:space="0" w:color="000000"/>
              <w:bottom w:val="single" w:sz="4" w:space="0" w:color="000000"/>
              <w:right w:val="single" w:sz="4" w:space="0" w:color="000000"/>
            </w:tcBorders>
            <w:shd w:val="clear" w:color="auto" w:fill="A9D08E"/>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Profitability Index (PI)</w:t>
            </w:r>
          </w:p>
        </w:tc>
        <w:tc>
          <w:tcPr>
            <w:gridSpan w:val="5"/>
            <w:tcBorders>
              <w:top w:val="single" w:sz="4" w:space="0" w:color="000000"/>
              <w:left w:val="single" w:sz="4" w:space="0" w:color="000000"/>
              <w:bottom w:val="single" w:sz="4" w:space="0" w:color="000000"/>
              <w:right w:val="single" w:sz="4" w:space="0" w:color="000000"/>
            </w:tcBorders>
            <w:shd w:val="clear" w:color="auto" w:fill="A9D08E"/>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0.88”</w:t>
            </w:r>
          </w:p>
        </w:tc>
      </w:tr>
    </w:tbl>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Table 3: Calculating Investment Appraisal for Project B</w:t>
      </w:r>
    </w:p>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(Source: Self-Calculated)</w:t>
      </w:r>
    </w:p>
    <w:p>
      <w:pPr>
        <w:pStyle w:val="15"/>
        <w:spacing w:before="240" w:beforeAutospacing="0" w:after="0" w:afterAutospacing="0" w:line="360" w:lineRule="auto"/>
        <w:rPr>
          <w:rFonts w:ascii="Arial" w:cs="Arial" w:hAnsi="Arial"/>
          <w:lang w:val="en-GB"/>
        </w:rPr>
      </w:pPr>
      <w:r>
        <w:rPr>
          <w:rFonts w:ascii="Arial" w:cs="Arial" w:hAnsi="Arial"/>
          <w:color w:val="000000"/>
          <w:lang w:val="en-GB"/>
        </w:rPr>
        <w:t>Project B generates cash every year and is likely to generate predictable cash flow of £11 million. However, its financial results are still poor, with an NPV of -£6.08 million and an IRR of 3.26%, both of which are lower than the required return of Marriott at 11%. The payback period is 4.55 years and the period of internal rate of return is 3.26%. This means that the project would not generate shareholder value or meet the investment expectations despite the marginal improvement of the ARR of 4.00% and 0.88 PI compared to Project A.</w:t>
      </w:r>
    </w:p>
    <w:p>
      <w:pPr>
        <w:pStyle w:val="15"/>
        <w:spacing w:before="240" w:beforeAutospacing="0" w:after="0" w:afterAutospacing="0" w:line="360" w:lineRule="auto"/>
        <w:rPr>
          <w:rFonts w:ascii="Arial" w:cs="Arial" w:hAnsi="Arial"/>
          <w:lang w:val="en-GB"/>
        </w:rPr>
      </w:pPr>
      <w:r>
        <w:rPr>
          <w:rFonts w:ascii="Arial" w:cs="Arial" w:hAnsi="Arial"/>
          <w:b/>
          <w:bCs/>
          <w:i/>
          <w:iCs/>
          <w:color w:val="000000"/>
          <w:lang w:val="en-GB"/>
        </w:rPr>
        <w:t>Project C - Calculation of PBP, ARR, NPV, PI, and IRR</w:t>
      </w:r>
    </w:p>
    <w:tbl>
      <w:tblPr>
        <w:jc w:val="center"/>
        <w:tblW w:w="5000" w:type="pct"/>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
      <w:tblGrid>
        <w:gridCol w:w="469"/>
        <w:gridCol w:w="1282"/>
        <w:gridCol w:w="1212"/>
        <w:gridCol w:w="1248"/>
        <w:gridCol w:w="1619"/>
        <w:gridCol w:w="1536"/>
        <w:gridCol w:w="1652"/>
      </w:tblGrid>
      <w:tr>
        <w:trPr>
          <w:trHeight w:val="315"/>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F4B084"/>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“Project C</w:t>
            </w:r>
          </w:p>
        </w:tc>
      </w:tr>
      <w:tr>
        <w:trPr>
          <w:trHeight w:val="315"/>
        </w:trPr>
        <w:tc>
          <w:tcPr>
            <w:tcW w:w="26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Year</w:t>
            </w:r>
          </w:p>
        </w:tc>
        <w:tc>
          <w:tcPr>
            <w:tcW w:w="71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Cash Flow (m)</w:t>
            </w:r>
          </w:p>
        </w:tc>
        <w:tc>
          <w:tcPr>
            <w:tcW w:w="67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Discount Factor @ 8%</w:t>
            </w:r>
          </w:p>
        </w:tc>
        <w:tc>
          <w:tcPr>
            <w:tcW w:w="69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Present Value (m)</w:t>
            </w:r>
          </w:p>
        </w:tc>
        <w:tc>
          <w:tcPr>
            <w:tcW w:w="898"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Cumulative Cash Inflow (m)</w:t>
            </w:r>
          </w:p>
        </w:tc>
        <w:tc>
          <w:tcPr>
            <w:tcW w:w="85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Annual Depreciation (m)</w:t>
            </w:r>
          </w:p>
        </w:tc>
        <w:tc>
          <w:tcPr>
            <w:tcW w:w="91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b/>
                <w:bCs/>
                <w:color w:val="000000"/>
                <w:lang w:val="en-GB"/>
              </w:rPr>
              <w:t xml:space="preserve"> Average annual profit (m)</w:t>
            </w:r>
          </w:p>
        </w:tc>
      </w:tr>
      <w:tr>
        <w:trPr>
          <w:trHeight w:val="300"/>
        </w:trPr>
        <w:tc>
          <w:tcPr>
            <w:tcW w:w="26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0</w:t>
            </w:r>
          </w:p>
        </w:tc>
        <w:tc>
          <w:tcPr>
            <w:tcW w:w="71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50.00</w:t>
            </w:r>
          </w:p>
        </w:tc>
        <w:tc>
          <w:tcPr>
            <w:tcW w:w="67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1.0000</w:t>
            </w:r>
          </w:p>
        </w:tc>
        <w:tc>
          <w:tcPr>
            <w:tcW w:w="69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50.00</w:t>
            </w:r>
          </w:p>
        </w:tc>
        <w:tc>
          <w:tcPr>
            <w:tcW w:w="898"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50.00</w:t>
            </w:r>
          </w:p>
        </w:tc>
        <w:tc>
          <w:tcPr>
            <w:tcW w:w="85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91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r>
      <w:tr>
        <w:trPr>
          <w:trHeight w:val="300"/>
        </w:trPr>
        <w:tc>
          <w:tcPr>
            <w:tcW w:w="26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1</w:t>
            </w:r>
          </w:p>
        </w:tc>
        <w:tc>
          <w:tcPr>
            <w:tcW w:w="71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5.00</w:t>
            </w:r>
          </w:p>
        </w:tc>
        <w:tc>
          <w:tcPr>
            <w:tcW w:w="67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0.9259</w:t>
            </w:r>
          </w:p>
        </w:tc>
        <w:tc>
          <w:tcPr>
            <w:tcW w:w="69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4.63</w:t>
            </w:r>
          </w:p>
        </w:tc>
        <w:tc>
          <w:tcPr>
            <w:tcW w:w="898"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45.00</w:t>
            </w:r>
          </w:p>
        </w:tc>
        <w:tc>
          <w:tcPr>
            <w:tcW w:w="85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W w:w="91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5.00</w:t>
            </w:r>
          </w:p>
        </w:tc>
      </w:tr>
      <w:tr>
        <w:trPr>
          <w:trHeight w:val="300"/>
        </w:trPr>
        <w:tc>
          <w:tcPr>
            <w:tcW w:w="26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2</w:t>
            </w:r>
          </w:p>
        </w:tc>
        <w:tc>
          <w:tcPr>
            <w:tcW w:w="71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              10.00</w:t>
            </w:r>
          </w:p>
        </w:tc>
        <w:tc>
          <w:tcPr>
            <w:tcW w:w="67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0.8573</w:t>
            </w:r>
          </w:p>
        </w:tc>
        <w:tc>
          <w:tcPr>
            <w:tcW w:w="69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8.57</w:t>
            </w:r>
          </w:p>
        </w:tc>
        <w:tc>
          <w:tcPr>
            <w:tcW w:w="898"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35.00</w:t>
            </w:r>
          </w:p>
        </w:tc>
        <w:tc>
          <w:tcPr>
            <w:tcW w:w="85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W w:w="91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  </w:t>
            </w:r>
          </w:p>
        </w:tc>
      </w:tr>
      <w:tr>
        <w:trPr>
          <w:trHeight w:val="300"/>
        </w:trPr>
        <w:tc>
          <w:tcPr>
            <w:tcW w:w="26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3</w:t>
            </w:r>
          </w:p>
        </w:tc>
        <w:tc>
          <w:tcPr>
            <w:tcW w:w="71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20.00</w:t>
            </w:r>
          </w:p>
        </w:tc>
        <w:tc>
          <w:tcPr>
            <w:tcW w:w="67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0.7938</w:t>
            </w:r>
          </w:p>
        </w:tc>
        <w:tc>
          <w:tcPr>
            <w:tcW w:w="69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15.88</w:t>
            </w:r>
          </w:p>
        </w:tc>
        <w:tc>
          <w:tcPr>
            <w:tcW w:w="898"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15.00</w:t>
            </w:r>
          </w:p>
        </w:tc>
        <w:tc>
          <w:tcPr>
            <w:tcW w:w="85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W w:w="91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r>
      <w:tr>
        <w:trPr>
          <w:trHeight w:val="300"/>
        </w:trPr>
        <w:tc>
          <w:tcPr>
            <w:tcW w:w="26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4</w:t>
            </w:r>
          </w:p>
        </w:tc>
        <w:tc>
          <w:tcPr>
            <w:tcW w:w="71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25.00</w:t>
            </w:r>
          </w:p>
        </w:tc>
        <w:tc>
          <w:tcPr>
            <w:tcW w:w="67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0.7350</w:t>
            </w:r>
          </w:p>
        </w:tc>
        <w:tc>
          <w:tcPr>
            <w:tcW w:w="69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18.38</w:t>
            </w:r>
          </w:p>
        </w:tc>
        <w:tc>
          <w:tcPr>
            <w:tcW w:w="898"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W w:w="85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 xml:space="preserve">       10.00</w:t>
            </w:r>
          </w:p>
        </w:tc>
        <w:tc>
          <w:tcPr>
            <w:tcW w:w="91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15.00</w:t>
            </w:r>
          </w:p>
        </w:tc>
      </w:tr>
      <w:tr>
        <w:trPr>
          <w:trHeight w:val="300"/>
        </w:trPr>
        <w:tc>
          <w:tcPr>
            <w:tcW w:w="26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5</w:t>
            </w:r>
          </w:p>
        </w:tc>
        <w:tc>
          <w:tcPr>
            <w:tcW w:w="71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5.00</w:t>
            </w:r>
          </w:p>
        </w:tc>
        <w:tc>
          <w:tcPr>
            <w:tcW w:w="67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right"/>
              <w:rPr>
                <w:rFonts w:ascii="Arial" w:cs="Arial" w:hAnsi="Arial"/>
                <w:lang w:val="en-GB"/>
              </w:rPr>
            </w:pPr>
            <w:r>
              <w:rPr>
                <w:rFonts w:ascii="Arial" w:cs="Arial" w:hAnsi="Arial"/>
                <w:color w:val="000000"/>
                <w:lang w:val="en-GB"/>
              </w:rPr>
              <w:t>0.6806</w:t>
            </w:r>
          </w:p>
        </w:tc>
        <w:tc>
          <w:tcPr>
            <w:tcW w:w="69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3.40</w:t>
            </w:r>
          </w:p>
        </w:tc>
        <w:tc>
          <w:tcPr>
            <w:tcW w:w="898"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15.00</w:t>
            </w:r>
          </w:p>
        </w:tc>
        <w:tc>
          <w:tcPr>
            <w:tcW w:w="85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10.00</w:t>
            </w:r>
          </w:p>
        </w:tc>
        <w:tc>
          <w:tcPr>
            <w:tcW w:w="91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w:t>
            </w:r>
            <w:r>
              <w:rPr>
                <w:rStyle w:val="25"/>
                <w:rFonts w:ascii="Arial" w:cs="Arial" w:hAnsi="Arial"/>
                <w:color w:val="000000"/>
                <w:lang w:val="en-GB"/>
              </w:rPr>
              <w:tab/>
            </w:r>
            <w:r>
              <w:rPr>
                <w:rFonts w:ascii="Arial" w:cs="Arial" w:hAnsi="Arial"/>
                <w:color w:val="000000"/>
                <w:lang w:val="en-GB"/>
              </w:rPr>
              <w:t>5.00</w:t>
            </w:r>
          </w:p>
        </w:tc>
      </w:tr>
      <w:tr>
        <w:trPr>
          <w:trHeight w:val="300"/>
        </w:trPr>
        <w:tc>
          <w:tcPr>
            <w:tcW w:w="970" w:type="pct"/>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Total Present Value</w:t>
            </w:r>
          </w:p>
        </w:tc>
        <w:tc>
          <w:tcPr>
            <w:tcW w:w="67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69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50.86</w:t>
            </w:r>
          </w:p>
        </w:tc>
        <w:tc>
          <w:tcPr>
            <w:tcW w:w="898"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85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91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r>
      <w:tr>
        <w:trPr>
          <w:trHeight w:val="315"/>
        </w:trPr>
        <w:tc>
          <w:tcPr>
            <w:tcW w:w="970" w:type="pct"/>
            <w:gridSpan w:val="2"/>
            <w:tcBorders>
              <w:top w:val="single" w:sz="4" w:space="0" w:color="000000"/>
              <w:left w:val="single" w:sz="4" w:space="0" w:color="000000"/>
              <w:bottom w:val="single" w:sz="4" w:space="0" w:color="000000"/>
              <w:right w:val="single" w:sz="4" w:space="0" w:color="000000"/>
            </w:tcBorders>
            <w:shd w:val="clear" w:color="auto" w:fill="FFE699"/>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Net Present Value (NPV)</w:t>
            </w:r>
          </w:p>
        </w:tc>
        <w:tc>
          <w:tcPr>
            <w:tcW w:w="4030" w:type="pct"/>
            <w:gridSpan w:val="5"/>
            <w:tcBorders>
              <w:top w:val="single" w:sz="4" w:space="0" w:color="000000"/>
              <w:left w:val="single" w:sz="4" w:space="0" w:color="000000"/>
              <w:bottom w:val="single" w:sz="4" w:space="0" w:color="000000"/>
              <w:right w:val="single" w:sz="4" w:space="0" w:color="000000"/>
            </w:tcBorders>
            <w:shd w:val="clear" w:color="auto" w:fill="FFE699"/>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 xml:space="preserve"> £                                                                                                                                                                                          0.86</w:t>
            </w:r>
          </w:p>
        </w:tc>
      </w:tr>
      <w:tr>
        <w:trPr>
          <w:trHeight w:val="315"/>
        </w:trPr>
        <w:tc>
          <w:tcPr>
            <w:tcW w:w="970" w:type="pct"/>
            <w:gridSpan w:val="2"/>
            <w:tcBorders>
              <w:top w:val="single" w:sz="4" w:space="0" w:color="000000"/>
              <w:left w:val="single" w:sz="4" w:space="0" w:color="000000"/>
              <w:bottom w:val="single" w:sz="4" w:space="0" w:color="000000"/>
              <w:right w:val="single" w:sz="4" w:space="0" w:color="000000"/>
            </w:tcBorders>
            <w:shd w:val="clear" w:color="auto" w:fill="FFE699"/>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Internal Rate of Return (IRR)</w:t>
            </w:r>
          </w:p>
        </w:tc>
        <w:tc>
          <w:tcPr>
            <w:tcW w:w="4030" w:type="pct"/>
            <w:gridSpan w:val="5"/>
            <w:tcBorders>
              <w:top w:val="single" w:sz="4" w:space="0" w:color="000000"/>
              <w:left w:val="single" w:sz="4" w:space="0" w:color="000000"/>
              <w:bottom w:val="single" w:sz="4" w:space="0" w:color="000000"/>
              <w:right w:val="single" w:sz="4" w:space="0" w:color="000000"/>
            </w:tcBorders>
            <w:shd w:val="clear" w:color="auto" w:fill="FFE699"/>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8.59%</w:t>
            </w:r>
          </w:p>
        </w:tc>
      </w:tr>
      <w:tr>
        <w:trPr>
          <w:trHeight w:val="315"/>
        </w:trPr>
        <w:tc>
          <w:tcPr>
            <w:tcW w:w="970" w:type="pct"/>
            <w:gridSpan w:val="2"/>
            <w:tcBorders>
              <w:top w:val="single" w:sz="4" w:space="0" w:color="000000"/>
              <w:left w:val="single" w:sz="4" w:space="0" w:color="000000"/>
              <w:bottom w:val="single" w:sz="4" w:space="0" w:color="000000"/>
              <w:right w:val="single" w:sz="4" w:space="0" w:color="000000"/>
            </w:tcBorders>
            <w:shd w:val="clear" w:color="auto" w:fill="FFE699"/>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Payback Period (PBP)</w:t>
            </w:r>
          </w:p>
        </w:tc>
        <w:tc>
          <w:tcPr>
            <w:tcW w:w="672" w:type="pct"/>
            <w:tcBorders>
              <w:top w:val="single" w:sz="4" w:space="0" w:color="000000"/>
              <w:left w:val="single" w:sz="4" w:space="0" w:color="000000"/>
              <w:bottom w:val="single" w:sz="4" w:space="0" w:color="000000"/>
              <w:right w:val="single" w:sz="4" w:space="0" w:color="000000"/>
            </w:tcBorders>
            <w:shd w:val="clear" w:color="auto" w:fill="FFE699"/>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3 years and 7 months</w:t>
            </w:r>
          </w:p>
        </w:tc>
        <w:tc>
          <w:tcPr>
            <w:tcW w:w="3357" w:type="pct"/>
            <w:gridSpan w:val="4"/>
            <w:tcBorders>
              <w:top w:val="single" w:sz="4" w:space="0" w:color="000000"/>
              <w:left w:val="single" w:sz="4" w:space="0" w:color="000000"/>
              <w:bottom w:val="single" w:sz="4" w:space="0" w:color="000000"/>
              <w:right w:val="single" w:sz="4" w:space="0" w:color="000000"/>
            </w:tcBorders>
            <w:shd w:val="clear" w:color="auto" w:fill="FFE699"/>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3.60</w:t>
            </w:r>
          </w:p>
        </w:tc>
      </w:tr>
      <w:tr>
        <w:trPr>
          <w:trHeight w:val="300"/>
        </w:trPr>
        <w:tc>
          <w:tcPr>
            <w:tcW w:w="970" w:type="pct"/>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Total Annual Accounting Profit</w:t>
            </w:r>
          </w:p>
        </w:tc>
        <w:tc>
          <w:tcPr>
            <w:tcW w:w="67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69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898"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85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91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15.00</w:t>
            </w:r>
          </w:p>
        </w:tc>
      </w:tr>
      <w:tr>
        <w:trPr>
          <w:trHeight w:val="300"/>
        </w:trPr>
        <w:tc>
          <w:tcPr>
            <w:tcW w:w="970" w:type="pct"/>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Average Annual Profit</w:t>
            </w:r>
          </w:p>
        </w:tc>
        <w:tc>
          <w:tcPr>
            <w:tcW w:w="67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69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898"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85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91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3.00</w:t>
            </w:r>
          </w:p>
        </w:tc>
      </w:tr>
      <w:tr>
        <w:trPr>
          <w:trHeight w:val="300"/>
        </w:trPr>
        <w:tc>
          <w:tcPr>
            <w:tcW w:w="970" w:type="pct"/>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Average Investment</w:t>
            </w:r>
          </w:p>
        </w:tc>
        <w:tc>
          <w:tcPr>
            <w:tcW w:w="67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69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898"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85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w:t>
            </w:r>
          </w:p>
        </w:tc>
        <w:tc>
          <w:tcPr>
            <w:tcW w:w="91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 xml:space="preserve"> £                         </w:t>
            </w:r>
            <w:r>
              <w:rPr>
                <w:rStyle w:val="25"/>
                <w:rFonts w:ascii="Arial" w:cs="Arial" w:hAnsi="Arial"/>
                <w:color w:val="000000"/>
                <w:lang w:val="en-GB"/>
              </w:rPr>
              <w:tab/>
            </w:r>
            <w:r>
              <w:rPr>
                <w:rFonts w:ascii="Arial" w:cs="Arial" w:hAnsi="Arial"/>
                <w:color w:val="000000"/>
                <w:lang w:val="en-GB"/>
              </w:rPr>
              <w:t>25.00</w:t>
            </w:r>
          </w:p>
        </w:tc>
      </w:tr>
      <w:tr>
        <w:trPr>
          <w:trHeight w:val="315"/>
        </w:trPr>
        <w:tc>
          <w:tcPr>
            <w:tcW w:w="970" w:type="pct"/>
            <w:gridSpan w:val="2"/>
            <w:tcBorders>
              <w:top w:val="single" w:sz="4" w:space="0" w:color="000000"/>
              <w:left w:val="single" w:sz="4" w:space="0" w:color="000000"/>
              <w:bottom w:val="single" w:sz="4" w:space="0" w:color="000000"/>
              <w:right w:val="single" w:sz="4" w:space="0" w:color="000000"/>
            </w:tcBorders>
            <w:shd w:val="clear" w:color="auto" w:fill="FFE699"/>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Accounting Rate of Return (ARR)</w:t>
            </w:r>
          </w:p>
        </w:tc>
        <w:tc>
          <w:tcPr>
            <w:tcW w:w="4030" w:type="pct"/>
            <w:gridSpan w:val="5"/>
            <w:tcBorders>
              <w:top w:val="single" w:sz="4" w:space="0" w:color="000000"/>
              <w:left w:val="single" w:sz="4" w:space="0" w:color="000000"/>
              <w:bottom w:val="single" w:sz="4" w:space="0" w:color="000000"/>
              <w:right w:val="single" w:sz="4" w:space="0" w:color="000000"/>
            </w:tcBorders>
            <w:shd w:val="clear" w:color="auto" w:fill="FFE699"/>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12.00%</w:t>
            </w:r>
          </w:p>
        </w:tc>
      </w:tr>
      <w:tr>
        <w:trPr>
          <w:trHeight w:val="315"/>
        </w:trPr>
        <w:tc>
          <w:tcPr>
            <w:tcW w:w="970" w:type="pct"/>
            <w:gridSpan w:val="2"/>
            <w:tcBorders>
              <w:top w:val="single" w:sz="4" w:space="0" w:color="000000"/>
              <w:left w:val="single" w:sz="4" w:space="0" w:color="000000"/>
              <w:bottom w:val="single" w:sz="4" w:space="0" w:color="000000"/>
              <w:right w:val="single" w:sz="4" w:space="0" w:color="000000"/>
            </w:tcBorders>
            <w:shd w:val="clear" w:color="auto" w:fill="FFE699"/>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Profitability Index (PI)</w:t>
            </w:r>
          </w:p>
        </w:tc>
        <w:tc>
          <w:tcPr>
            <w:tcW w:w="4030" w:type="pct"/>
            <w:gridSpan w:val="5"/>
            <w:tcBorders>
              <w:top w:val="single" w:sz="4" w:space="0" w:color="000000"/>
              <w:left w:val="single" w:sz="4" w:space="0" w:color="000000"/>
              <w:bottom w:val="single" w:sz="4" w:space="0" w:color="000000"/>
              <w:right w:val="single" w:sz="4" w:space="0" w:color="000000"/>
            </w:tcBorders>
            <w:shd w:val="clear" w:color="auto" w:fill="FFE699"/>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1.02”</w:t>
            </w:r>
          </w:p>
        </w:tc>
      </w:tr>
    </w:tbl>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Table 4: Calculating Investment Appraisal for Project C</w:t>
      </w:r>
    </w:p>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(Source: Self-Calculated)</w:t>
      </w:r>
    </w:p>
    <w:p>
      <w:pPr>
        <w:pStyle w:val="15"/>
        <w:spacing w:before="240" w:beforeAutospacing="0" w:after="0" w:afterAutospacing="0" w:line="360" w:lineRule="auto"/>
        <w:rPr>
          <w:rFonts w:ascii="Arial" w:cs="Arial" w:hAnsi="Arial"/>
          <w:lang w:val="en-GB"/>
        </w:rPr>
      </w:pPr>
      <w:r>
        <w:rPr>
          <w:rFonts w:ascii="Arial" w:cs="Arial" w:hAnsi="Arial"/>
          <w:color w:val="000000"/>
          <w:lang w:val="en-GB"/>
        </w:rPr>
        <w:t>Project C is the best project option from the investment perspectives of all the appraisal techniques. It has one of the shortest payback times of 3.6 years, meaning that the initial investment is recovered quicker. The project has the best ARR of 12.00%, a positive NPV of £0.86 million and a PI of 1.02 with the project reflecting value creation. Moreover, the IRR of the project is 8.59% which is higher than the minimum requirement of 8% for a discount rate. Therefore, suggesting that the Project C is financially viable and can indeed create wealth for the investors of the project. </w:t>
      </w:r>
    </w:p>
    <w:p>
      <w:pPr>
        <w:pStyle w:val="2"/>
        <w:spacing w:before="240"/>
        <w:rPr>
          <w:rFonts w:cs="Arial"/>
          <w:szCs w:val="24"/>
          <w:lang w:val="en-GB"/>
        </w:rPr>
      </w:pPr>
      <w:bookmarkStart w:id="17" w:name="_Toc234435171"/>
      <w:r>
        <w:rPr>
          <w:rFonts w:cs="Arial"/>
          <w:szCs w:val="24"/>
          <w:lang w:val="en-GB"/>
        </w:rPr>
        <w:t>b. Recommending Project and Justification</w:t>
      </w:r>
      <w:bookmarkEnd w:id="17"/>
      <w:r>
        <w:rPr>
          <w:rFonts w:cs="Arial"/>
          <w:szCs w:val="24"/>
          <w:lang w:val="en-GB"/>
        </w:rPr>
        <w:t> </w:t>
      </w:r>
    </w:p>
    <w:p>
      <w:pPr>
        <w:pStyle w:val="15"/>
        <w:spacing w:before="240" w:beforeAutospacing="0" w:after="0" w:afterAutospacing="0" w:line="360" w:lineRule="auto"/>
        <w:rPr>
          <w:rFonts w:ascii="Arial" w:cs="Arial" w:hAnsi="Arial"/>
          <w:lang w:val="en-GB"/>
        </w:rPr>
      </w:pPr>
      <w:r>
        <w:rPr>
          <w:rFonts w:ascii="Arial" w:cs="Arial" w:hAnsi="Arial"/>
          <w:b/>
          <w:bCs/>
          <w:i/>
          <w:iCs/>
          <w:color w:val="000000"/>
          <w:lang w:val="en-GB"/>
        </w:rPr>
        <w:t>Recommendation of the Preferred Project </w:t>
      </w:r>
    </w:p>
    <w:p>
      <w:pPr>
        <w:pStyle w:val="15"/>
        <w:spacing w:before="240" w:beforeAutospacing="0" w:after="0" w:afterAutospacing="0" w:line="360" w:lineRule="auto"/>
        <w:rPr>
          <w:rFonts w:ascii="Arial" w:cs="Arial" w:hAnsi="Arial"/>
          <w:lang w:val="en-GB"/>
        </w:rPr>
      </w:pPr>
      <w:r>
        <w:rPr>
          <w:rFonts w:ascii="Arial" w:cs="Arial" w:hAnsi="Arial"/>
          <w:color w:val="000000"/>
          <w:lang w:val="en-GB"/>
        </w:rPr>
        <w:t>Project C is recommended for Marriott International, since it is the sole project that meets all of the major criteria for capital budgeting. It has the shortest payback period (3.6 years), the highest ARR (12.0%), positive NPV (£0.86 million), a PI greater than 1 (1.02) and an IRR (8.59%) that is higher than the 8% required rate of return of the Marriott. As a result, Project C will generate shareholder value and will help move Marriott deeper and into a position of greater financial stability in the long-term.</w:t>
      </w:r>
    </w:p>
    <w:p>
      <w:pPr>
        <w:pStyle w:val="15"/>
        <w:spacing w:before="240" w:beforeAutospacing="0" w:after="0" w:afterAutospacing="0" w:line="360" w:lineRule="auto"/>
        <w:rPr>
          <w:rFonts w:ascii="Arial" w:cs="Arial" w:hAnsi="Arial"/>
          <w:lang w:val="en-GB"/>
        </w:rPr>
      </w:pPr>
      <w:r>
        <w:rPr>
          <w:rFonts w:ascii="Arial" w:cs="Arial" w:hAnsi="Arial"/>
          <w:b/>
          <w:bCs/>
          <w:i/>
          <w:iCs/>
          <w:color w:val="000000"/>
          <w:lang w:val="en-GB"/>
        </w:rPr>
        <w:t>Justification with Reference to Marriott's Financial Performance</w:t>
      </w:r>
    </w:p>
    <w:p>
      <w:pPr>
        <w:pStyle w:val="15"/>
        <w:spacing w:before="240" w:beforeAutospacing="0" w:after="0" w:afterAutospacing="0" w:line="360" w:lineRule="auto"/>
        <w:rPr>
          <w:rFonts w:ascii="Arial" w:cs="Arial" w:hAnsi="Arial"/>
          <w:lang w:val="en-GB"/>
        </w:rPr>
      </w:pPr>
      <w:r>
        <w:rPr>
          <w:rFonts w:ascii="Arial" w:cs="Arial" w:hAnsi="Arial"/>
          <w:color w:val="000000"/>
          <w:lang w:val="en-GB"/>
        </w:rPr>
        <w:t>Marriott International's financial performance supports investing in Project C. Despite its high level of debt incurred through previous financing, it has continued to generate cash flow, with $948 million in ECF. The company reported $26,186 million in revenue, $2,601 million in net profit, and a strong cash-generating capability in 2025 (Marriott, 2025). The positive NPV (£0.86 million) of Project C allows for an increase in shareholder value, and the payback period of 3.6 years enhances the liquidity of the business by means of quicker capital recovery. Its higher ARR and IRR also allow it to be more profitable than the other projects, which will help Marriott to improve its earnings going forward, enhance financial flexibility and maximize returns on investment.</w:t>
      </w:r>
    </w:p>
    <w:p>
      <w:pPr>
        <w:pStyle w:val="15"/>
        <w:spacing w:before="240" w:beforeAutospacing="0" w:after="0" w:afterAutospacing="0" w:line="360" w:lineRule="auto"/>
        <w:rPr>
          <w:rFonts w:ascii="Arial" w:cs="Arial" w:hAnsi="Arial"/>
          <w:lang w:val="en-GB"/>
        </w:rPr>
      </w:pPr>
      <w:r>
        <w:rPr>
          <w:rFonts w:ascii="Arial" w:cs="Arial" w:hAnsi="Arial"/>
          <w:b/>
          <w:bCs/>
          <w:i/>
          <w:iCs/>
          <w:color w:val="000000"/>
          <w:lang w:val="en-GB"/>
        </w:rPr>
        <w:t>Justification with Reference to Non-Financial Risks </w:t>
      </w:r>
    </w:p>
    <w:p>
      <w:pPr>
        <w:pStyle w:val="15"/>
        <w:spacing w:before="240" w:beforeAutospacing="0" w:after="0" w:afterAutospacing="0" w:line="360" w:lineRule="auto"/>
        <w:rPr>
          <w:rFonts w:ascii="Arial" w:cs="Arial" w:hAnsi="Arial"/>
          <w:lang w:val="en-GB"/>
        </w:rPr>
      </w:pPr>
      <w:r>
        <w:rPr>
          <w:rFonts w:ascii="Arial" w:cs="Arial" w:hAnsi="Arial"/>
          <w:color w:val="000000"/>
          <w:lang w:val="en-GB"/>
        </w:rPr>
        <w:t>Regarding non-financial risks that could impact Marriott's business across the globe, Project C has benefits as well. International hotel demand can be influenced by political instability, foreign exchange fluctuations, and fluctuating travel restrictions and regulations. Recovering the investment in 3.6 years means less exposure to such long-term external uncertainties. Marriott has signed up to become a net zero hotel group by 2050 with the implementation of its ESG strategy and meeting the increasing demand of investors and customers for sustainable hospitality (Marriott, 2023). Overall, Marriott's robust brand and its vast customer base give a better chance for the project to support the occupancy and cash inflows required to sustain its future revenue growth, resulting in the loyalty programme. </w:t>
      </w:r>
    </w:p>
    <w:p>
      <w:pPr>
        <w:pStyle w:val="2"/>
        <w:spacing w:before="240"/>
        <w:rPr>
          <w:rFonts w:cs="Arial"/>
          <w:szCs w:val="24"/>
          <w:lang w:val="en-GB"/>
        </w:rPr>
      </w:pPr>
      <w:bookmarkStart w:id="18" w:name="_Toc234435172"/>
      <w:r>
        <w:rPr>
          <w:rFonts w:cs="Arial"/>
          <w:szCs w:val="24"/>
          <w:lang w:val="en-GB"/>
        </w:rPr>
        <w:t>c. Justifying the Suggestion Assuming a maximum of £100 million Investment using capital rationing</w:t>
      </w:r>
      <w:bookmarkEnd w:id="18"/>
    </w:p>
    <w:tbl>
      <w:tblPr>
        <w:jc w:val="center"/>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
      <w:tblGrid>
        <w:gridCol w:w="1559"/>
        <w:gridCol w:w="666"/>
        <w:gridCol w:w="2072"/>
      </w:tblGrid>
      <w:tr>
        <w:trPr>
          <w:trHeight w:val="315"/>
        </w:trPr>
        <w:tc>
          <w:tcPr>
            <w:tcBorders>
              <w:top w:val="single" w:sz="4" w:space="0" w:color="000000"/>
              <w:left w:val="single" w:sz="4" w:space="0" w:color="000000"/>
              <w:bottom w:val="single" w:sz="4" w:space="0" w:color="000000"/>
              <w:right w:val="single" w:sz="4" w:space="0" w:color="000000"/>
            </w:tcBorders>
            <w:shd w:val="clear" w:color="auto" w:fill="AEAAAA"/>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Project</w:t>
            </w:r>
          </w:p>
        </w:tc>
        <w:tc>
          <w:tcPr>
            <w:tcBorders>
              <w:top w:val="single" w:sz="4" w:space="0" w:color="000000"/>
              <w:left w:val="single" w:sz="4" w:space="0" w:color="000000"/>
              <w:bottom w:val="single" w:sz="4" w:space="0" w:color="000000"/>
              <w:right w:val="single" w:sz="4" w:space="0" w:color="000000"/>
            </w:tcBorders>
            <w:shd w:val="clear" w:color="auto" w:fill="AEAAAA"/>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PI</w:t>
            </w:r>
          </w:p>
        </w:tc>
        <w:tc>
          <w:tcPr>
            <w:tcBorders>
              <w:top w:val="single" w:sz="4" w:space="0" w:color="000000"/>
              <w:left w:val="single" w:sz="4" w:space="0" w:color="000000"/>
              <w:bottom w:val="single" w:sz="4" w:space="0" w:color="000000"/>
              <w:right w:val="single" w:sz="4" w:space="0" w:color="000000"/>
            </w:tcBorders>
            <w:shd w:val="clear" w:color="auto" w:fill="AEAAAA"/>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Rank</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Project C</w:t>
            </w:r>
          </w:p>
        </w:tc>
        <w:tc>
          <w:tcPr>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1.02</w:t>
            </w:r>
          </w:p>
        </w:tc>
        <w:tc>
          <w:tcPr>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1</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Project B</w:t>
            </w:r>
          </w:p>
        </w:tc>
        <w:tc>
          <w:tcPr>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0.88</w:t>
            </w:r>
          </w:p>
        </w:tc>
        <w:tc>
          <w:tcPr>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2</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color w:val="000000"/>
                <w:lang w:val="en-GB"/>
              </w:rPr>
              <w:t>Project A</w:t>
            </w:r>
          </w:p>
        </w:tc>
        <w:tc>
          <w:tcPr>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0.87</w:t>
            </w:r>
          </w:p>
        </w:tc>
        <w:tc>
          <w:tcPr>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3</w:t>
            </w:r>
          </w:p>
        </w:tc>
      </w:tr>
      <w:tr>
        <w:trPr>
          <w:trHeight w:val="315"/>
        </w:trPr>
        <w:tc>
          <w:tcPr>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tcPr>
          <w:p>
            <w:pPr>
              <w:pStyle w:val="15"/>
              <w:spacing w:before="240" w:beforeAutospacing="0" w:after="0" w:afterAutospacing="0" w:line="360" w:lineRule="auto"/>
              <w:rPr>
                <w:rFonts w:ascii="Arial" w:cs="Arial" w:hAnsi="Arial"/>
                <w:lang w:val="en-GB"/>
              </w:rPr>
            </w:pPr>
            <w:r>
              <w:rPr>
                <w:rFonts w:ascii="Arial" w:cs="Arial" w:hAnsi="Arial"/>
                <w:b/>
                <w:bCs/>
                <w:color w:val="000000"/>
                <w:lang w:val="en-GB"/>
              </w:rPr>
              <w:t>Project C + B</w:t>
            </w:r>
          </w:p>
        </w:tc>
        <w:tc>
          <w:tcPr>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1.90</w:t>
            </w:r>
          </w:p>
        </w:tc>
        <w:tc>
          <w:tcPr>
            <w:tcBorders>
              <w:top w:val="single" w:sz="4" w:space="0" w:color="000000"/>
              <w:left w:val="single" w:sz="4" w:space="0" w:color="000000"/>
              <w:bottom w:val="single" w:sz="4" w:space="0" w:color="000000"/>
              <w:right w:val="single" w:sz="4" w:space="0" w:color="000000"/>
            </w:tcBorders>
            <w:shd w:val="clear" w:color="auto" w:fill="BDD7EE"/>
            <w:tcMar>
              <w:top w:w="0" w:type="dxa"/>
              <w:left w:w="100" w:type="dxa"/>
              <w:bottom w:w="0" w:type="dxa"/>
              <w:right w:w="100" w:type="dxa"/>
            </w:tcMar>
            <w:vAlign w:val="bottom"/>
          </w:tcPr>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Best Combination</w:t>
            </w:r>
          </w:p>
        </w:tc>
      </w:tr>
    </w:tbl>
    <w:p>
      <w:pPr>
        <w:pStyle w:val="15"/>
        <w:spacing w:before="240" w:beforeAutospacing="0" w:after="0" w:afterAutospacing="0" w:line="360" w:lineRule="auto"/>
        <w:jc w:val="center"/>
        <w:rPr>
          <w:rFonts w:ascii="Arial" w:cs="Arial" w:hAnsi="Arial"/>
          <w:lang w:val="en-GB"/>
        </w:rPr>
      </w:pPr>
      <w:r>
        <w:rPr>
          <w:rFonts w:ascii="Arial" w:cs="Arial" w:hAnsi="Arial"/>
          <w:b/>
          <w:bCs/>
          <w:color w:val="000000"/>
          <w:lang w:val="en-GB"/>
        </w:rPr>
        <w:t>Table 5: Project Ranking using Capital Rationing</w:t>
      </w:r>
    </w:p>
    <w:p>
      <w:pPr>
        <w:pStyle w:val="15"/>
        <w:spacing w:before="240" w:beforeAutospacing="0" w:after="0" w:afterAutospacing="0" w:line="360" w:lineRule="auto"/>
        <w:jc w:val="center"/>
        <w:rPr>
          <w:rFonts w:ascii="Arial" w:cs="Arial" w:hAnsi="Arial"/>
          <w:lang w:val="en-GB"/>
        </w:rPr>
      </w:pPr>
      <w:r>
        <w:rPr>
          <w:rFonts w:ascii="Arial" w:cs="Arial" w:hAnsi="Arial"/>
          <w:color w:val="000000"/>
          <w:lang w:val="en-GB"/>
        </w:rPr>
        <w:t>(Source: Self-Calculated)</w:t>
      </w:r>
    </w:p>
    <w:p>
      <w:pPr>
        <w:pStyle w:val="15"/>
        <w:spacing w:before="240" w:beforeAutospacing="0" w:after="0" w:afterAutospacing="0" w:line="360" w:lineRule="auto"/>
        <w:rPr>
          <w:rFonts w:ascii="Arial" w:cs="Arial" w:hAnsi="Arial"/>
          <w:lang w:val="en-GB"/>
        </w:rPr>
      </w:pPr>
      <w:r>
        <w:rPr>
          <w:rFonts w:ascii="Arial" w:cs="Arial" w:hAnsi="Arial"/>
          <w:color w:val="000000"/>
          <w:lang w:val="en-GB"/>
        </w:rPr>
        <w:t>The best option is to invest in Project B and Project C, since only £100mill is needed, the total investment budget is fully used when the investment budget is limited to £100m. In capital rationing, the Profitability Index for Project C is the highest (1.02) and the NPV is positive (£0.86 million). Under the capital constraint, Projects B and C have the largest combined PI (1.90) and the smallest combined NPV (£-5.22 million) compared to the others making them the best investment portfolio. </w:t>
      </w:r>
    </w:p>
    <w:p>
      <w:pPr>
        <w:pStyle w:val="1"/>
        <w:spacing w:before="240"/>
        <w:rPr>
          <w:lang w:val="en-GB"/>
        </w:rPr>
      </w:pPr>
      <w:bookmarkStart w:id="19" w:name="_Toc234435173"/>
      <w:r>
        <w:rPr>
          <w:lang w:val="en-GB"/>
        </w:rPr>
        <w:t>5. Critical Reflection on AI Usage</w:t>
      </w:r>
      <w:bookmarkEnd w:id="19"/>
      <w:r>
        <w:rPr>
          <w:lang w:val="en-GB"/>
        </w:rPr>
        <w:t xml:space="preserve"> </w:t>
      </w:r>
    </w:p>
    <w:p>
      <w:pPr>
        <w:pStyle w:val="15"/>
        <w:spacing w:before="240" w:beforeAutospacing="0" w:after="200" w:afterAutospacing="0" w:line="360" w:lineRule="auto"/>
        <w:rPr>
          <w:rFonts w:ascii="Arial" w:cs="Arial" w:hAnsi="Arial"/>
          <w:color w:val="000000"/>
          <w:lang w:val="en-GB"/>
        </w:rPr>
      </w:pPr>
      <w:r>
        <w:rPr>
          <w:rFonts w:ascii="Arial" w:cs="Arial" w:hAnsi="Arial"/>
          <w:color w:val="000000"/>
          <w:lang w:val="en-GB"/>
        </w:rPr>
        <w:t xml:space="preserve">The use of Artificial Intelligence as a supporting tool for research and data evaluation has been considered in this task. Based on my personal experience, researching data-specific sources from wide range of websites feels monotonous and time taking. Before considering my data sourcing skills and interpretation, I relied on free AI tool versions of ChatGPT and Julius AI to recheck my collected information to gain level of efficiency. Following the University’s AI policy, only fact checking and efficiency of collected data and its implication in this report was identified. For instance, I did not used these AI tools to develop structure, calculate ratios or analyse the investment appraisal methods as required in the report. Instead of such unethical practice, supported preliminary research and financial data interpretation to verify calculated ratios and refine the language in certain areas having critical evaluation was considered. However, there is a common error or inefficacy of free AI versions that leads to incorrect or highly biased responses in checking accuracy of data-specific tasks (Nawaz </w:t>
      </w:r>
      <w:r>
        <w:rPr>
          <w:rFonts w:ascii="Arial" w:cs="Arial" w:hAnsi="Arial"/>
          <w:i/>
          <w:iCs/>
          <w:color w:val="000000"/>
          <w:lang w:val="en-GB"/>
        </w:rPr>
        <w:t xml:space="preserve">et al., </w:t>
      </w:r>
      <w:r>
        <w:rPr>
          <w:rFonts w:ascii="Arial" w:cs="Arial" w:hAnsi="Arial"/>
          <w:color w:val="000000"/>
          <w:lang w:val="en-GB"/>
        </w:rPr>
        <w:t xml:space="preserve">2025). For instance, ChatGPT is not accurate in providing feedback on financial ratio calculations as it relies on basic website sources like Wikipedia for formula extraction. In case of academic research and analysis, relying on Wikipedia and unofficial websites are not feasible. </w:t>
      </w:r>
    </w:p>
    <w:p>
      <w:pPr>
        <w:pStyle w:val="15"/>
        <w:spacing w:before="240" w:beforeAutospacing="0" w:after="200" w:afterAutospacing="0" w:line="360" w:lineRule="auto"/>
        <w:rPr>
          <w:rFonts w:ascii="Arial" w:cs="Arial" w:hAnsi="Arial"/>
          <w:color w:val="000000"/>
          <w:lang w:val="en-GB"/>
        </w:rPr>
      </w:pPr>
      <w:r>
        <w:rPr>
          <w:rFonts w:ascii="Arial" w:cs="Arial" w:hAnsi="Arial"/>
          <w:color w:val="000000"/>
          <w:lang w:val="en-GB"/>
        </w:rPr>
        <w:t xml:space="preserve">The algorithm of AI tools like ChatGPT is trained to provide responses by collecting information from trending websites or information in search engine. However, trending websites are both a result of organic and paid promotion that increases biased and less authentic information for academic and scientific purposes (Pancheva and Marinova, 2025). It is often related to hallucinations or logical errors that are common even if manual searching is done in search engines like Google. </w:t>
      </w:r>
    </w:p>
    <w:p>
      <w:pPr>
        <w:pStyle w:val="15"/>
        <w:spacing w:before="240" w:beforeAutospacing="0" w:after="200" w:afterAutospacing="0" w:line="360" w:lineRule="auto"/>
        <w:rPr>
          <w:rFonts w:ascii="Arial" w:cs="Arial" w:hAnsi="Arial"/>
          <w:color w:val="000000"/>
          <w:lang w:val="en-GB"/>
        </w:rPr>
      </w:pPr>
      <w:r>
        <w:rPr>
          <w:rFonts w:ascii="Arial" w:cs="Arial" w:hAnsi="Arial"/>
          <w:color w:val="000000"/>
          <w:lang w:val="en-GB"/>
        </w:rPr>
        <w:t xml:space="preserve">The consideration of AI tools like ChatGPT and Julius AI is only related to the data confirmation and calculation rechecking at some extent. Primary tool is ChatGPT that helped me to support in several non-writing activities. For instance, I took help of this AI tool to identify relevant financial concepts that will align with the brief’s requirement. Based on the assistance, I prefer to take explanations of the keyword’s theoretical stance to self-develop the significance in this report. Secondly, I used the AI tool Julius AI to interpret publicly available financial data from Marriott International website and extracted a short outcome to get an overview on how to structure the report and start writing. Finally, I used ChatGPT to recheck the investment appraisal calculations like payback period value, accounting rate of return and Net present value. It was done for a double-checking method and proofreading with help of AI tools are considered useful in academic purposes. </w:t>
      </w:r>
    </w:p>
    <w:p>
      <w:pPr>
        <w:pStyle w:val="15"/>
        <w:spacing w:before="240" w:beforeAutospacing="0" w:after="200" w:afterAutospacing="0" w:line="360" w:lineRule="auto"/>
        <w:rPr>
          <w:rFonts w:ascii="Arial" w:cs="Arial" w:hAnsi="Arial"/>
          <w:lang w:val="en-GB"/>
        </w:rPr>
      </w:pPr>
      <w:r>
        <w:rPr>
          <w:rFonts w:ascii="Arial" w:cs="Arial" w:hAnsi="Arial"/>
          <w:color w:val="000000"/>
          <w:lang w:val="en-GB"/>
        </w:rPr>
        <w:t xml:space="preserve">Although AI improved the efficiency and time in understanding the overall task, the outputs were highly biased and incorrect to some extents. As per Bass </w:t>
      </w:r>
      <w:r>
        <w:rPr>
          <w:rFonts w:ascii="Arial" w:cs="Arial" w:hAnsi="Arial"/>
          <w:i/>
          <w:iCs/>
          <w:color w:val="000000"/>
          <w:lang w:val="en-GB"/>
        </w:rPr>
        <w:t xml:space="preserve">et al. </w:t>
      </w:r>
      <w:r>
        <w:rPr>
          <w:rFonts w:ascii="Arial" w:cs="Arial" w:hAnsi="Arial"/>
          <w:color w:val="000000"/>
          <w:lang w:val="en-GB"/>
        </w:rPr>
        <w:t xml:space="preserve">(2025), AI is useful for occasional and small supportive tasks in financial interpretations and concluding findings. In my case, the financial calculation checking showed different and error-centric findings as depreciation, cash flows and variance in data increased inaccuracy of the AI tools. Thus, I cross-checked all the results from these tools before starting the work and reviewed original financial statements manually for calculating the ratios and investment appraisal methods in MS-excel. This indicates a clear distinction was maintained between AI-assistance and my original contribution to this task. Following the academic integrity and transparency of data collection and its use in the task, interpretation of publicly available disclosures with peer-reviewed journals and articles was done. It helped maintain a balance in AI consideration and researcher’s ability in critically and effectively develop a task. </w:t>
      </w:r>
    </w:p>
    <w:p>
      <w:pPr>
        <w:pStyle w:val="1"/>
        <w:spacing w:before="240"/>
        <w:rPr>
          <w:lang w:val="en-GB"/>
        </w:rPr>
      </w:pPr>
      <w:bookmarkStart w:id="20" w:name="_Toc234435174"/>
      <w:r>
        <w:rPr>
          <w:lang w:val="en-GB"/>
        </w:rPr>
        <w:t>Conclusion</w:t>
      </w:r>
      <w:bookmarkEnd w:id="20"/>
      <w:r>
        <w:rPr>
          <w:lang w:val="en-GB"/>
        </w:rPr>
        <w:t xml:space="preserve"> </w:t>
      </w:r>
    </w:p>
    <w:p>
      <w:pPr>
        <w:spacing w:before="240"/>
        <w:rPr>
          <w:rFonts w:cs="Arial"/>
          <w:szCs w:val="24"/>
          <w:lang w:val="en-GB"/>
        </w:rPr>
      </w:pPr>
      <w:r>
        <w:rPr>
          <w:rFonts w:cs="Arial"/>
          <w:szCs w:val="24"/>
          <w:lang w:val="en-GB"/>
        </w:rPr>
        <w:t xml:space="preserve">It can be concluded that as a chief financial officer of leading public international hospitality corporation, financial health check of Marriott International reveals a significant growth in profitability position. Despite short-term solvency issues and liquidity inflexibility, the company is observed to have been rising up to potential threats from existing markets. Furthermore, based on recommended investment project at an 8% discount rate, the company’s financial performance is expected to improve in the long-run. Such recommendations are critically based on exiting financial performance of Marriott International and are expected to change in future with changing macro-environmental factors and their implications on profitability, liquidity and solvency position. </w:t>
      </w:r>
    </w:p>
    <w:p>
      <w:pPr>
        <w:spacing w:before="240"/>
        <w:rPr>
          <w:rFonts w:cs="Arial"/>
          <w:szCs w:val="24"/>
          <w:lang w:val="en-GB"/>
        </w:rPr>
      </w:pPr>
      <w:r>
        <w:rPr>
          <w:rFonts w:cs="Arial"/>
          <w:szCs w:val="24"/>
          <w:lang w:val="en-GB"/>
        </w:rPr>
        <w:br w:type="page"/>
      </w:r>
    </w:p>
    <w:p>
      <w:pPr>
        <w:pStyle w:val="1"/>
        <w:spacing w:before="240"/>
        <w:rPr>
          <w:lang w:val="en-GB"/>
        </w:rPr>
      </w:pPr>
      <w:bookmarkStart w:id="21" w:name="_Toc234435175"/>
      <w:r>
        <w:rPr>
          <w:lang w:val="en-GB"/>
        </w:rPr>
        <w:t>References</w:t>
      </w:r>
      <w:bookmarkEnd w:id="21"/>
    </w:p>
    <w:p>
      <w:pPr>
        <w:spacing w:before="240"/>
        <w:rPr>
          <w:rFonts w:cs="Arial"/>
          <w:szCs w:val="24"/>
          <w:lang w:val="en-GB"/>
        </w:rPr>
      </w:pPr>
      <w:r>
        <w:rPr>
          <w:rFonts w:cs="Arial"/>
          <w:szCs w:val="24"/>
          <w:lang w:val="en-GB"/>
        </w:rPr>
        <w:t xml:space="preserve">Accaglobal (2026) </w:t>
      </w:r>
      <w:r>
        <w:rPr>
          <w:rFonts w:cs="Arial"/>
          <w:i/>
          <w:iCs/>
          <w:szCs w:val="24"/>
          <w:lang w:val="en-GB"/>
        </w:rPr>
        <w:t>Overdraft.</w:t>
      </w:r>
      <w:r>
        <w:rPr>
          <w:rFonts w:cs="Arial"/>
          <w:szCs w:val="24"/>
          <w:lang w:val="en-GB"/>
        </w:rPr>
        <w:t xml:space="preserve"> Available at: </w:t>
      </w:r>
      <w:r>
        <w:rPr>
          <w:rStyle w:val="16"/>
          <w:rFonts w:cs="Arial"/>
          <w:szCs w:val="24"/>
          <w:lang w:val="en-GB"/>
        </w:rPr>
        <w:fldChar w:fldCharType="begin"/>
      </w:r>
      <w:r>
        <w:instrText>HYPERLINK "https://www.accaglobal.com/in/en/business-finance/types-finance/overdraft.html"</w:instrText>
      </w:r>
      <w:r>
        <w:rPr>
          <w:rStyle w:val="16"/>
          <w:rFonts w:cs="Arial"/>
          <w:szCs w:val="24"/>
          <w:lang w:val="en-GB"/>
        </w:rPr>
        <w:fldChar w:fldCharType="separate"/>
      </w:r>
      <w:r>
        <w:rPr>
          <w:rStyle w:val="16"/>
          <w:rFonts w:cs="Arial"/>
          <w:szCs w:val="24"/>
          <w:lang w:val="en-GB"/>
        </w:rPr>
        <w:t>https://www.accaglobal.com/in/en/business-finance/types-finance/overdraft.html</w:t>
      </w:r>
      <w:r>
        <w:rPr>
          <w:rStyle w:val="16"/>
          <w:rFonts w:cs="Arial"/>
          <w:szCs w:val="24"/>
          <w:lang w:val="en-GB"/>
        </w:rPr>
        <w:fldChar w:fldCharType="end"/>
      </w:r>
      <w:r>
        <w:rPr>
          <w:rFonts w:cs="Arial"/>
          <w:szCs w:val="24"/>
          <w:lang w:val="en-GB"/>
        </w:rPr>
        <w:t xml:space="preserve"> (Accessed: 8 July 2025)</w:t>
      </w:r>
    </w:p>
    <w:p>
      <w:pPr>
        <w:spacing w:before="240"/>
        <w:rPr>
          <w:rFonts w:cs="Arial"/>
          <w:szCs w:val="24"/>
          <w:lang w:val="en-GB"/>
        </w:rPr>
      </w:pPr>
      <w:r>
        <w:rPr>
          <w:rFonts w:cs="Arial"/>
          <w:szCs w:val="24"/>
          <w:lang w:val="en-GB"/>
        </w:rPr>
        <w:t xml:space="preserve">Amin, T.B. and Ahmed, I., (2022). ‘Digital Payment Adoption as a Driver of Revenue Growth in Small Businesses: Evidence from Global Markets’, </w:t>
      </w:r>
      <w:r>
        <w:rPr>
          <w:rFonts w:cs="Arial"/>
          <w:i/>
          <w:iCs/>
          <w:szCs w:val="24"/>
          <w:lang w:val="en-GB"/>
        </w:rPr>
        <w:t>American Journal of Advanced Technology and Engineering Solutions</w:t>
      </w:r>
      <w:r>
        <w:rPr>
          <w:rFonts w:cs="Arial"/>
          <w:szCs w:val="24"/>
          <w:lang w:val="en-GB"/>
        </w:rPr>
        <w:t xml:space="preserve">, </w:t>
      </w:r>
      <w:r>
        <w:rPr>
          <w:rFonts w:cs="Arial"/>
          <w:i/>
          <w:iCs/>
          <w:szCs w:val="24"/>
          <w:lang w:val="en-GB"/>
        </w:rPr>
        <w:t>2</w:t>
      </w:r>
      <w:r>
        <w:rPr>
          <w:rFonts w:cs="Arial"/>
          <w:szCs w:val="24"/>
          <w:lang w:val="en-GB"/>
        </w:rPr>
        <w:t xml:space="preserve">(04), pp.255-293. Available at: </w:t>
      </w:r>
      <w:r>
        <w:rPr>
          <w:rStyle w:val="16"/>
          <w:rFonts w:cs="Arial"/>
          <w:szCs w:val="24"/>
          <w:lang w:val="en-GB"/>
        </w:rPr>
        <w:fldChar w:fldCharType="begin"/>
      </w:r>
      <w:r>
        <w:instrText>HYPERLINK "https://doi.org/10.63125/vfvzge86"</w:instrText>
      </w:r>
      <w:r>
        <w:rPr>
          <w:rStyle w:val="16"/>
          <w:rFonts w:cs="Arial"/>
          <w:szCs w:val="24"/>
          <w:lang w:val="en-GB"/>
        </w:rPr>
        <w:fldChar w:fldCharType="separate"/>
      </w:r>
      <w:r>
        <w:rPr>
          <w:rStyle w:val="16"/>
          <w:rFonts w:cs="Arial"/>
          <w:szCs w:val="24"/>
          <w:lang w:val="en-GB"/>
        </w:rPr>
        <w:t>https://doi.org/10.63125/vfvzge86</w:t>
      </w:r>
      <w:r>
        <w:rPr>
          <w:rStyle w:val="16"/>
          <w:rFonts w:cs="Arial"/>
          <w:szCs w:val="24"/>
          <w:lang w:val="en-GB"/>
        </w:rPr>
        <w:fldChar w:fldCharType="end"/>
      </w:r>
      <w:r>
        <w:rPr>
          <w:rFonts w:cs="Arial"/>
          <w:szCs w:val="24"/>
          <w:lang w:val="en-GB"/>
        </w:rPr>
        <w:t> </w:t>
      </w:r>
    </w:p>
    <w:p>
      <w:pPr>
        <w:spacing w:before="240"/>
        <w:rPr>
          <w:rFonts w:cs="Arial"/>
          <w:szCs w:val="24"/>
          <w:lang w:val="en-GB"/>
        </w:rPr>
      </w:pPr>
      <w:r>
        <w:rPr>
          <w:rFonts w:cs="Arial"/>
          <w:szCs w:val="24"/>
          <w:lang w:val="en-GB"/>
        </w:rPr>
        <w:t>Bass, L., Lu, Q., Weber, I. and Zhu, L. (2025). </w:t>
      </w:r>
      <w:r>
        <w:rPr>
          <w:rFonts w:cs="Arial"/>
          <w:i/>
          <w:iCs/>
          <w:szCs w:val="24"/>
          <w:lang w:val="en-GB"/>
        </w:rPr>
        <w:t>Engineering AI systems: architecture and DevOps essentials</w:t>
      </w:r>
      <w:r>
        <w:rPr>
          <w:rFonts w:cs="Arial"/>
          <w:szCs w:val="24"/>
          <w:lang w:val="en-GB"/>
        </w:rPr>
        <w:t>. Addison-Wesley Professional.</w:t>
      </w:r>
    </w:p>
    <w:p>
      <w:pPr>
        <w:spacing w:before="240"/>
        <w:rPr>
          <w:rFonts w:cs="Arial"/>
          <w:szCs w:val="24"/>
          <w:lang w:val="en-GB"/>
        </w:rPr>
      </w:pPr>
      <w:r>
        <w:rPr>
          <w:rFonts w:cs="Arial"/>
          <w:szCs w:val="24"/>
          <w:lang w:val="en-GB"/>
        </w:rPr>
        <w:t xml:space="preserve">Celestin, M., (2022). ‘The Role of Corporate Mergers and Acquisitions in Financial Performance: Analyzing the Success and Failures of Major M&amp;A Deals’, </w:t>
      </w:r>
      <w:r>
        <w:rPr>
          <w:rFonts w:cs="Arial"/>
          <w:i/>
          <w:iCs/>
          <w:szCs w:val="24"/>
          <w:lang w:val="en-GB"/>
        </w:rPr>
        <w:t>Brainae Journal of Business, Sciences and Technology</w:t>
      </w:r>
      <w:r>
        <w:rPr>
          <w:rFonts w:cs="Arial"/>
          <w:szCs w:val="24"/>
          <w:lang w:val="en-GB"/>
        </w:rPr>
        <w:t xml:space="preserve">, </w:t>
      </w:r>
      <w:r>
        <w:rPr>
          <w:rFonts w:cs="Arial"/>
          <w:i/>
          <w:iCs/>
          <w:szCs w:val="24"/>
          <w:lang w:val="en-GB"/>
        </w:rPr>
        <w:t>6</w:t>
      </w:r>
      <w:r>
        <w:rPr>
          <w:rFonts w:cs="Arial"/>
          <w:szCs w:val="24"/>
          <w:lang w:val="en-GB"/>
        </w:rPr>
        <w:t xml:space="preserve">(4), pp.930-940. Available at: </w:t>
      </w:r>
      <w:r>
        <w:rPr>
          <w:rStyle w:val="16"/>
          <w:rFonts w:cs="Arial"/>
          <w:szCs w:val="24"/>
          <w:lang w:val="en-GB"/>
        </w:rPr>
        <w:fldChar w:fldCharType="begin"/>
      </w:r>
      <w:r>
        <w:instrText>HYPERLINK "https://doi.org/10.5281/zenodo.15059241"</w:instrText>
      </w:r>
      <w:r>
        <w:rPr>
          <w:rStyle w:val="16"/>
          <w:rFonts w:cs="Arial"/>
          <w:szCs w:val="24"/>
          <w:lang w:val="en-GB"/>
        </w:rPr>
        <w:fldChar w:fldCharType="separate"/>
      </w:r>
      <w:r>
        <w:rPr>
          <w:rStyle w:val="16"/>
          <w:rFonts w:cs="Arial"/>
          <w:szCs w:val="24"/>
          <w:lang w:val="en-GB"/>
        </w:rPr>
        <w:t>https://doi.org/10.5281/zenodo.15059241</w:t>
      </w:r>
      <w:r>
        <w:rPr>
          <w:rStyle w:val="16"/>
          <w:rFonts w:cs="Arial"/>
          <w:szCs w:val="24"/>
          <w:lang w:val="en-GB"/>
        </w:rPr>
        <w:fldChar w:fldCharType="end"/>
      </w:r>
      <w:r>
        <w:rPr>
          <w:rFonts w:cs="Arial"/>
          <w:szCs w:val="24"/>
          <w:lang w:val="en-GB"/>
        </w:rPr>
        <w:t> </w:t>
      </w:r>
    </w:p>
    <w:p>
      <w:pPr>
        <w:spacing w:before="240"/>
        <w:rPr>
          <w:rFonts w:cs="Arial"/>
          <w:szCs w:val="24"/>
          <w:lang w:val="en-GB"/>
        </w:rPr>
      </w:pPr>
      <w:r>
        <w:rPr>
          <w:rFonts w:cs="Arial"/>
          <w:szCs w:val="24"/>
          <w:lang w:val="en-GB"/>
        </w:rPr>
        <w:t xml:space="preserve">Gajdosikova, D., Lăzăroiu, G. and Valaskova, K., (2023). ‘How particular firm-specific features influence corporate debt level: A case study of Slovak enterprises’, </w:t>
      </w:r>
      <w:r>
        <w:rPr>
          <w:rFonts w:cs="Arial"/>
          <w:i/>
          <w:iCs/>
          <w:szCs w:val="24"/>
          <w:lang w:val="en-GB"/>
        </w:rPr>
        <w:t>Axioms</w:t>
      </w:r>
      <w:r>
        <w:rPr>
          <w:rFonts w:cs="Arial"/>
          <w:szCs w:val="24"/>
          <w:lang w:val="en-GB"/>
        </w:rPr>
        <w:t xml:space="preserve">, </w:t>
      </w:r>
      <w:r>
        <w:rPr>
          <w:rFonts w:cs="Arial"/>
          <w:i/>
          <w:iCs/>
          <w:szCs w:val="24"/>
          <w:lang w:val="en-GB"/>
        </w:rPr>
        <w:t>12</w:t>
      </w:r>
      <w:r>
        <w:rPr>
          <w:rFonts w:cs="Arial"/>
          <w:szCs w:val="24"/>
          <w:lang w:val="en-GB"/>
        </w:rPr>
        <w:t xml:space="preserve">(2), p.183. Available at: </w:t>
      </w:r>
      <w:r>
        <w:rPr>
          <w:rStyle w:val="16"/>
          <w:rFonts w:cs="Arial"/>
          <w:szCs w:val="24"/>
          <w:lang w:val="en-GB"/>
        </w:rPr>
        <w:fldChar w:fldCharType="begin"/>
      </w:r>
      <w:r>
        <w:instrText>HYPERLINK "https://doi.org/10.3390/axioms12020183"</w:instrText>
      </w:r>
      <w:r>
        <w:rPr>
          <w:rStyle w:val="16"/>
          <w:rFonts w:cs="Arial"/>
          <w:szCs w:val="24"/>
          <w:lang w:val="en-GB"/>
        </w:rPr>
        <w:fldChar w:fldCharType="separate"/>
      </w:r>
      <w:r>
        <w:rPr>
          <w:rStyle w:val="16"/>
          <w:rFonts w:cs="Arial"/>
          <w:szCs w:val="24"/>
          <w:lang w:val="en-GB"/>
        </w:rPr>
        <w:t>https://doi.org/10.3390/axioms12020183</w:t>
      </w:r>
      <w:r>
        <w:rPr>
          <w:rStyle w:val="16"/>
          <w:rFonts w:cs="Arial"/>
          <w:szCs w:val="24"/>
          <w:lang w:val="en-GB"/>
        </w:rPr>
        <w:fldChar w:fldCharType="end"/>
      </w:r>
      <w:r>
        <w:rPr>
          <w:rFonts w:cs="Arial"/>
          <w:szCs w:val="24"/>
          <w:lang w:val="en-GB"/>
        </w:rPr>
        <w:t> </w:t>
      </w:r>
    </w:p>
    <w:p>
      <w:pPr>
        <w:spacing w:before="240"/>
        <w:rPr>
          <w:rFonts w:cs="Arial"/>
          <w:szCs w:val="24"/>
          <w:lang w:val="en-GB"/>
        </w:rPr>
      </w:pPr>
      <w:r>
        <w:rPr>
          <w:rFonts w:cs="Arial"/>
          <w:szCs w:val="24"/>
          <w:lang w:val="en-GB"/>
        </w:rPr>
        <w:t xml:space="preserve">García-Nieto, M., Bueno-Rodríguez, V., Ramón-Jerónimo, J.M. and Flórez-López, R., (2024). ‘Trends and risks in mergers and acquisitions: A review’, </w:t>
      </w:r>
      <w:r>
        <w:rPr>
          <w:rFonts w:cs="Arial"/>
          <w:i/>
          <w:iCs/>
          <w:szCs w:val="24"/>
          <w:lang w:val="en-GB"/>
        </w:rPr>
        <w:t>Risks</w:t>
      </w:r>
      <w:r>
        <w:rPr>
          <w:rFonts w:cs="Arial"/>
          <w:szCs w:val="24"/>
          <w:lang w:val="en-GB"/>
        </w:rPr>
        <w:t xml:space="preserve">, </w:t>
      </w:r>
      <w:r>
        <w:rPr>
          <w:rFonts w:cs="Arial"/>
          <w:i/>
          <w:iCs/>
          <w:szCs w:val="24"/>
          <w:lang w:val="en-GB"/>
        </w:rPr>
        <w:t>12</w:t>
      </w:r>
      <w:r>
        <w:rPr>
          <w:rFonts w:cs="Arial"/>
          <w:szCs w:val="24"/>
          <w:lang w:val="en-GB"/>
        </w:rPr>
        <w:t xml:space="preserve">(9), p.143. Available at: </w:t>
      </w:r>
      <w:r>
        <w:rPr>
          <w:rStyle w:val="16"/>
          <w:rFonts w:cs="Arial"/>
          <w:szCs w:val="24"/>
          <w:lang w:val="en-GB"/>
        </w:rPr>
        <w:fldChar w:fldCharType="begin"/>
      </w:r>
      <w:r>
        <w:instrText>HYPERLINK "https://doi.org/10.3390/risks12090143"</w:instrText>
      </w:r>
      <w:r>
        <w:rPr>
          <w:rStyle w:val="16"/>
          <w:rFonts w:cs="Arial"/>
          <w:szCs w:val="24"/>
          <w:lang w:val="en-GB"/>
        </w:rPr>
        <w:fldChar w:fldCharType="separate"/>
      </w:r>
      <w:r>
        <w:rPr>
          <w:rStyle w:val="16"/>
          <w:rFonts w:cs="Arial"/>
          <w:szCs w:val="24"/>
          <w:lang w:val="en-GB"/>
        </w:rPr>
        <w:t>https://doi.org/10.3390/risks12090143</w:t>
      </w:r>
      <w:r>
        <w:rPr>
          <w:rStyle w:val="16"/>
          <w:rFonts w:cs="Arial"/>
          <w:szCs w:val="24"/>
          <w:lang w:val="en-GB"/>
        </w:rPr>
        <w:fldChar w:fldCharType="end"/>
      </w:r>
      <w:r>
        <w:rPr>
          <w:rFonts w:cs="Arial"/>
          <w:szCs w:val="24"/>
          <w:lang w:val="en-GB"/>
        </w:rPr>
        <w:t> </w:t>
      </w:r>
    </w:p>
    <w:p>
      <w:pPr>
        <w:spacing w:before="240"/>
        <w:rPr>
          <w:rFonts w:cs="Arial"/>
          <w:szCs w:val="24"/>
          <w:lang w:val="en-GB"/>
        </w:rPr>
      </w:pPr>
      <w:r>
        <w:rPr>
          <w:rFonts w:cs="Arial"/>
          <w:szCs w:val="24"/>
          <w:lang w:val="en-GB"/>
        </w:rPr>
        <w:t xml:space="preserve">Investing (2026) </w:t>
      </w:r>
      <w:r>
        <w:rPr>
          <w:rFonts w:cs="Arial"/>
          <w:i/>
          <w:iCs/>
          <w:szCs w:val="24"/>
          <w:lang w:val="en-GB"/>
        </w:rPr>
        <w:t>Marriott International Inc (MAR).</w:t>
      </w:r>
      <w:r>
        <w:rPr>
          <w:rFonts w:cs="Arial"/>
          <w:szCs w:val="24"/>
          <w:lang w:val="en-GB"/>
        </w:rPr>
        <w:t xml:space="preserve">  Available at: </w:t>
      </w:r>
      <w:r>
        <w:rPr>
          <w:rStyle w:val="16"/>
          <w:rFonts w:cs="Arial"/>
          <w:szCs w:val="24"/>
          <w:lang w:val="en-GB"/>
        </w:rPr>
        <w:fldChar w:fldCharType="begin"/>
      </w:r>
      <w:r>
        <w:instrText>HYPERLINK "https://www.investing.com/equities/marriott-intl-ratios"</w:instrText>
      </w:r>
      <w:r>
        <w:rPr>
          <w:rStyle w:val="16"/>
          <w:rFonts w:cs="Arial"/>
          <w:szCs w:val="24"/>
          <w:lang w:val="en-GB"/>
        </w:rPr>
        <w:fldChar w:fldCharType="separate"/>
      </w:r>
      <w:r>
        <w:rPr>
          <w:rStyle w:val="16"/>
          <w:rFonts w:cs="Arial"/>
          <w:szCs w:val="24"/>
          <w:lang w:val="en-GB"/>
        </w:rPr>
        <w:t>https://www.investing.com/equities/marriott-intl-ratios</w:t>
      </w:r>
      <w:r>
        <w:rPr>
          <w:rStyle w:val="16"/>
          <w:rFonts w:cs="Arial"/>
          <w:szCs w:val="24"/>
          <w:lang w:val="en-GB"/>
        </w:rPr>
        <w:fldChar w:fldCharType="end"/>
      </w:r>
      <w:r>
        <w:rPr>
          <w:rFonts w:cs="Arial"/>
          <w:szCs w:val="24"/>
          <w:lang w:val="en-GB"/>
        </w:rPr>
        <w:t xml:space="preserve"> (Accessed: 8 July 2025)</w:t>
      </w:r>
    </w:p>
    <w:p>
      <w:pPr>
        <w:spacing w:before="240"/>
        <w:rPr>
          <w:rFonts w:cs="Arial"/>
          <w:szCs w:val="24"/>
          <w:lang w:val="en-GB"/>
        </w:rPr>
      </w:pPr>
      <w:r>
        <w:rPr>
          <w:rFonts w:cs="Arial"/>
          <w:szCs w:val="24"/>
          <w:lang w:val="en-GB"/>
        </w:rPr>
        <w:t xml:space="preserve">Islam, H., Rahman, J., Tanchangya, T. and Islam, M.A., (2023). ‘Impact of firms’ size, leverage, and net profit margin on firms’ profitability in the manufacturing sector of Bangladesh: An empirical analysis using GMM estimation’, </w:t>
      </w:r>
      <w:r>
        <w:rPr>
          <w:rFonts w:cs="Arial"/>
          <w:i/>
          <w:iCs/>
          <w:szCs w:val="24"/>
          <w:lang w:val="en-GB"/>
        </w:rPr>
        <w:t>Journal of Ekonomi</w:t>
      </w:r>
      <w:r>
        <w:rPr>
          <w:rFonts w:cs="Arial"/>
          <w:szCs w:val="24"/>
          <w:lang w:val="en-GB"/>
        </w:rPr>
        <w:t xml:space="preserve">, </w:t>
      </w:r>
      <w:r>
        <w:rPr>
          <w:rFonts w:cs="Arial"/>
          <w:i/>
          <w:iCs/>
          <w:szCs w:val="24"/>
          <w:lang w:val="en-GB"/>
        </w:rPr>
        <w:t>5</w:t>
      </w:r>
      <w:r>
        <w:rPr>
          <w:rFonts w:cs="Arial"/>
          <w:szCs w:val="24"/>
          <w:lang w:val="en-GB"/>
        </w:rPr>
        <w:t xml:space="preserve">(1), pp.1-9.   Available at: </w:t>
      </w:r>
      <w:r>
        <w:rPr>
          <w:rStyle w:val="16"/>
          <w:rFonts w:cs="Arial"/>
          <w:szCs w:val="24"/>
          <w:lang w:val="en-GB"/>
        </w:rPr>
        <w:fldChar w:fldCharType="begin"/>
      </w:r>
      <w:r>
        <w:instrText>HYPERLINK "https://doi.org/10.58251/ekonomi.1275742"</w:instrText>
      </w:r>
      <w:r>
        <w:rPr>
          <w:rStyle w:val="16"/>
          <w:rFonts w:cs="Arial"/>
          <w:szCs w:val="24"/>
          <w:lang w:val="en-GB"/>
        </w:rPr>
        <w:fldChar w:fldCharType="separate"/>
      </w:r>
      <w:r>
        <w:rPr>
          <w:rStyle w:val="16"/>
          <w:rFonts w:cs="Arial"/>
          <w:szCs w:val="24"/>
          <w:lang w:val="en-GB"/>
        </w:rPr>
        <w:t>https://doi.org/10.58251/ekonomi.1275742</w:t>
      </w:r>
      <w:r>
        <w:rPr>
          <w:rStyle w:val="16"/>
          <w:rFonts w:cs="Arial"/>
          <w:szCs w:val="24"/>
          <w:lang w:val="en-GB"/>
        </w:rPr>
        <w:fldChar w:fldCharType="end"/>
      </w:r>
      <w:r>
        <w:rPr>
          <w:rFonts w:cs="Arial"/>
          <w:szCs w:val="24"/>
          <w:lang w:val="en-GB"/>
        </w:rPr>
        <w:t> </w:t>
      </w:r>
    </w:p>
    <w:p>
      <w:pPr>
        <w:spacing w:before="240"/>
        <w:rPr>
          <w:rFonts w:cs="Arial"/>
          <w:szCs w:val="24"/>
          <w:lang w:val="en-GB"/>
        </w:rPr>
      </w:pPr>
      <w:r>
        <w:rPr>
          <w:rFonts w:cs="Arial"/>
          <w:szCs w:val="24"/>
          <w:lang w:val="en-GB"/>
        </w:rPr>
        <w:t xml:space="preserve">Jain, V. and Kulkarni, P.A., (2023). ‘Integrating AI techniques for enhanced financial forecasting and budgeting strategies’, </w:t>
      </w:r>
      <w:r>
        <w:rPr>
          <w:rFonts w:cs="Arial"/>
          <w:i/>
          <w:iCs/>
          <w:szCs w:val="24"/>
          <w:lang w:val="en-GB"/>
        </w:rPr>
        <w:t>International Journal of Economics and Management Studies</w:t>
      </w:r>
      <w:r>
        <w:rPr>
          <w:rFonts w:cs="Arial"/>
          <w:szCs w:val="24"/>
          <w:lang w:val="en-GB"/>
        </w:rPr>
        <w:t xml:space="preserve">, </w:t>
      </w:r>
      <w:r>
        <w:rPr>
          <w:rFonts w:cs="Arial"/>
          <w:i/>
          <w:iCs/>
          <w:szCs w:val="24"/>
          <w:lang w:val="en-GB"/>
        </w:rPr>
        <w:t>10</w:t>
      </w:r>
      <w:r>
        <w:rPr>
          <w:rFonts w:cs="Arial"/>
          <w:szCs w:val="24"/>
          <w:lang w:val="en-GB"/>
        </w:rPr>
        <w:t xml:space="preserve">(09), pp.9-15. Available at: </w:t>
      </w:r>
      <w:r>
        <w:rPr>
          <w:rStyle w:val="16"/>
          <w:rFonts w:cs="Arial"/>
          <w:szCs w:val="24"/>
          <w:lang w:val="en-GB"/>
        </w:rPr>
        <w:fldChar w:fldCharType="begin"/>
      </w:r>
      <w:r>
        <w:instrText>HYPERLINK "about:blank"</w:instrText>
      </w:r>
      <w:r>
        <w:rPr>
          <w:rStyle w:val="16"/>
          <w:rFonts w:cs="Arial"/>
          <w:szCs w:val="24"/>
          <w:lang w:val="en-GB"/>
        </w:rPr>
        <w:fldChar w:fldCharType="separate"/>
      </w:r>
      <w:r>
        <w:rPr>
          <w:rStyle w:val="16"/>
          <w:rFonts w:cs="Arial"/>
          <w:szCs w:val="24"/>
          <w:lang w:val="en-GB"/>
        </w:rPr>
        <w:t>https://doi:10.14445/23939125/IJEMS-V10I9P102</w:t>
      </w:r>
      <w:r>
        <w:rPr>
          <w:rStyle w:val="16"/>
          <w:rFonts w:cs="Arial"/>
          <w:szCs w:val="24"/>
          <w:lang w:val="en-GB"/>
        </w:rPr>
        <w:fldChar w:fldCharType="end"/>
      </w:r>
      <w:r>
        <w:rPr>
          <w:rFonts w:cs="Arial"/>
          <w:szCs w:val="24"/>
          <w:lang w:val="en-GB"/>
        </w:rPr>
        <w:t>   </w:t>
      </w:r>
    </w:p>
    <w:p>
      <w:pPr>
        <w:spacing w:before="240"/>
        <w:rPr>
          <w:rFonts w:cs="Arial"/>
          <w:szCs w:val="24"/>
          <w:lang w:val="en-GB"/>
        </w:rPr>
      </w:pPr>
      <w:r>
        <w:rPr>
          <w:rFonts w:cs="Arial"/>
          <w:szCs w:val="24"/>
          <w:lang w:val="en-GB"/>
        </w:rPr>
        <w:t xml:space="preserve">Karim, R., Mamun, M.A.A. and Kamruzzaman, A.S.M., (2024). ‘Cash conversion cycle and financial performance: evidence from manufacturing firms of Bangladesh’, </w:t>
      </w:r>
      <w:r>
        <w:rPr>
          <w:rFonts w:cs="Arial"/>
          <w:i/>
          <w:iCs/>
          <w:szCs w:val="24"/>
          <w:lang w:val="en-GB"/>
        </w:rPr>
        <w:t>Asian Journal of Economics and Banking</w:t>
      </w:r>
      <w:r>
        <w:rPr>
          <w:rFonts w:cs="Arial"/>
          <w:szCs w:val="24"/>
          <w:lang w:val="en-GB"/>
        </w:rPr>
        <w:t xml:space="preserve">, </w:t>
      </w:r>
      <w:r>
        <w:rPr>
          <w:rFonts w:cs="Arial"/>
          <w:i/>
          <w:iCs/>
          <w:szCs w:val="24"/>
          <w:lang w:val="en-GB"/>
        </w:rPr>
        <w:t>8</w:t>
      </w:r>
      <w:r>
        <w:rPr>
          <w:rFonts w:cs="Arial"/>
          <w:szCs w:val="24"/>
          <w:lang w:val="en-GB"/>
        </w:rPr>
        <w:t xml:space="preserve">(1), pp.67-82. Available at: </w:t>
      </w:r>
      <w:r>
        <w:rPr>
          <w:rStyle w:val="16"/>
          <w:rFonts w:cs="Arial"/>
          <w:szCs w:val="24"/>
          <w:lang w:val="en-GB"/>
        </w:rPr>
        <w:fldChar w:fldCharType="begin"/>
      </w:r>
      <w:r>
        <w:instrText>HYPERLINK "https://doi.org/10.1108/AJEB-03-2022-0033"</w:instrText>
      </w:r>
      <w:r>
        <w:rPr>
          <w:rStyle w:val="16"/>
          <w:rFonts w:cs="Arial"/>
          <w:szCs w:val="24"/>
          <w:lang w:val="en-GB"/>
        </w:rPr>
        <w:fldChar w:fldCharType="separate"/>
      </w:r>
      <w:r>
        <w:rPr>
          <w:rStyle w:val="16"/>
          <w:rFonts w:cs="Arial"/>
          <w:szCs w:val="24"/>
          <w:lang w:val="en-GB"/>
        </w:rPr>
        <w:t>https://doi.org/10.1108/AJEB-03-2022-0033</w:t>
      </w:r>
      <w:r>
        <w:rPr>
          <w:rStyle w:val="16"/>
          <w:rFonts w:cs="Arial"/>
          <w:szCs w:val="24"/>
          <w:lang w:val="en-GB"/>
        </w:rPr>
        <w:fldChar w:fldCharType="end"/>
      </w:r>
      <w:r>
        <w:rPr>
          <w:rFonts w:cs="Arial"/>
          <w:szCs w:val="24"/>
          <w:lang w:val="en-GB"/>
        </w:rPr>
        <w:t> </w:t>
      </w:r>
    </w:p>
    <w:p>
      <w:pPr>
        <w:spacing w:before="240"/>
        <w:rPr>
          <w:rFonts w:cs="Arial"/>
          <w:szCs w:val="24"/>
          <w:lang w:val="en-GB"/>
        </w:rPr>
      </w:pPr>
      <w:r>
        <w:rPr>
          <w:rFonts w:cs="Arial"/>
          <w:szCs w:val="24"/>
          <w:lang w:val="en-GB"/>
        </w:rPr>
        <w:t xml:space="preserve">Li, Y., Wang, X., Xu, F. and Ho, T., (2025). ‘Survive the economic downturn: Operating flexibility, productivity, and stock crash’, </w:t>
      </w:r>
      <w:r>
        <w:rPr>
          <w:rFonts w:cs="Arial"/>
          <w:i/>
          <w:iCs/>
          <w:szCs w:val="24"/>
          <w:lang w:val="en-GB"/>
        </w:rPr>
        <w:t>Journal of Operations Management</w:t>
      </w:r>
      <w:r>
        <w:rPr>
          <w:rFonts w:cs="Arial"/>
          <w:szCs w:val="24"/>
          <w:lang w:val="en-GB"/>
        </w:rPr>
        <w:t xml:space="preserve">, </w:t>
      </w:r>
      <w:r>
        <w:rPr>
          <w:rFonts w:cs="Arial"/>
          <w:i/>
          <w:iCs/>
          <w:szCs w:val="24"/>
          <w:lang w:val="en-GB"/>
        </w:rPr>
        <w:t>71</w:t>
      </w:r>
      <w:r>
        <w:rPr>
          <w:rFonts w:cs="Arial"/>
          <w:szCs w:val="24"/>
          <w:lang w:val="en-GB"/>
        </w:rPr>
        <w:t xml:space="preserve">(4), pp.483-515. Available at: DOI: 10.1002/joom.1344  </w:t>
      </w:r>
    </w:p>
    <w:p>
      <w:pPr>
        <w:spacing w:before="240"/>
        <w:rPr>
          <w:rFonts w:cs="Arial"/>
          <w:szCs w:val="24"/>
          <w:lang w:val="en-GB"/>
        </w:rPr>
      </w:pPr>
      <w:r>
        <w:rPr>
          <w:rFonts w:cs="Arial"/>
          <w:szCs w:val="24"/>
          <w:lang w:val="en-GB"/>
        </w:rPr>
        <w:t xml:space="preserve">Mao, R., (2023). ‘Verify the relationship between a company’s earning per share, return on equity, return on asset, sales growth, price to earning ratio, current ratio, gross profit margin, quick ratio, asset turnover and its stock price’, In </w:t>
      </w:r>
      <w:r>
        <w:rPr>
          <w:rFonts w:cs="Arial"/>
          <w:i/>
          <w:iCs/>
          <w:szCs w:val="24"/>
          <w:lang w:val="en-GB"/>
        </w:rPr>
        <w:t>SHS Web of Conferences</w:t>
      </w:r>
      <w:r>
        <w:rPr>
          <w:rFonts w:cs="Arial"/>
          <w:szCs w:val="24"/>
          <w:lang w:val="en-GB"/>
        </w:rPr>
        <w:t xml:space="preserve"> (Vol. 163, p. 03003). EDP Sciences. Available at: </w:t>
      </w:r>
      <w:r>
        <w:rPr>
          <w:rStyle w:val="16"/>
          <w:rFonts w:cs="Arial"/>
          <w:szCs w:val="24"/>
          <w:lang w:val="en-GB"/>
        </w:rPr>
        <w:fldChar w:fldCharType="begin"/>
      </w:r>
      <w:r>
        <w:instrText>HYPERLINK "https://doi.org/10.1051/shsconf/202316303003"</w:instrText>
      </w:r>
      <w:r>
        <w:rPr>
          <w:rStyle w:val="16"/>
          <w:rFonts w:cs="Arial"/>
          <w:szCs w:val="24"/>
          <w:lang w:val="en-GB"/>
        </w:rPr>
        <w:fldChar w:fldCharType="separate"/>
      </w:r>
      <w:r>
        <w:rPr>
          <w:rStyle w:val="16"/>
          <w:rFonts w:cs="Arial"/>
          <w:szCs w:val="24"/>
          <w:lang w:val="en-GB"/>
        </w:rPr>
        <w:t>https://doi.org/10.1051/shsconf/202316303003</w:t>
      </w:r>
      <w:r>
        <w:rPr>
          <w:rStyle w:val="16"/>
          <w:rFonts w:cs="Arial"/>
          <w:szCs w:val="24"/>
          <w:lang w:val="en-GB"/>
        </w:rPr>
        <w:fldChar w:fldCharType="end"/>
      </w:r>
      <w:r>
        <w:rPr>
          <w:rFonts w:cs="Arial"/>
          <w:szCs w:val="24"/>
          <w:lang w:val="en-GB"/>
        </w:rPr>
        <w:t> </w:t>
      </w:r>
    </w:p>
    <w:p>
      <w:pPr>
        <w:spacing w:before="240"/>
        <w:rPr>
          <w:rFonts w:cs="Arial"/>
          <w:szCs w:val="24"/>
          <w:lang w:val="en-GB"/>
        </w:rPr>
      </w:pPr>
      <w:r>
        <w:rPr>
          <w:rFonts w:cs="Arial"/>
          <w:szCs w:val="24"/>
          <w:lang w:val="en-GB"/>
        </w:rPr>
        <w:t xml:space="preserve">Marriott (2022) </w:t>
      </w:r>
      <w:r>
        <w:rPr>
          <w:rFonts w:cs="Arial"/>
          <w:i/>
          <w:iCs/>
          <w:szCs w:val="24"/>
          <w:lang w:val="en-GB"/>
        </w:rPr>
        <w:t xml:space="preserve">Marriott International Annual Report 2022. </w:t>
      </w:r>
      <w:r>
        <w:rPr>
          <w:rFonts w:cs="Arial"/>
          <w:szCs w:val="24"/>
          <w:lang w:val="en-GB"/>
        </w:rPr>
        <w:t xml:space="preserve">Available at: </w:t>
      </w:r>
      <w:r>
        <w:rPr>
          <w:rStyle w:val="16"/>
          <w:rFonts w:cs="Arial"/>
          <w:szCs w:val="24"/>
          <w:lang w:val="en-GB"/>
        </w:rPr>
        <w:fldChar w:fldCharType="begin"/>
      </w:r>
      <w:r>
        <w:instrText>HYPERLINK "https://marriott.gcs-web.com/static-files/c0fb865c-15b1-4166-9846-49b548da1ce4"</w:instrText>
      </w:r>
      <w:r>
        <w:rPr>
          <w:rStyle w:val="16"/>
          <w:rFonts w:cs="Arial"/>
          <w:szCs w:val="24"/>
          <w:lang w:val="en-GB"/>
        </w:rPr>
        <w:fldChar w:fldCharType="separate"/>
      </w:r>
      <w:r>
        <w:rPr>
          <w:rStyle w:val="16"/>
          <w:rFonts w:cs="Arial"/>
          <w:szCs w:val="24"/>
          <w:lang w:val="en-GB"/>
        </w:rPr>
        <w:t>https://marriott.gcs-web.com/static-files/c0fb865c-15b1-4166-9846-49b548da1ce4</w:t>
      </w:r>
      <w:r>
        <w:rPr>
          <w:rStyle w:val="16"/>
          <w:rFonts w:cs="Arial"/>
          <w:szCs w:val="24"/>
          <w:lang w:val="en-GB"/>
        </w:rPr>
        <w:fldChar w:fldCharType="end"/>
      </w:r>
      <w:r>
        <w:rPr>
          <w:rFonts w:cs="Arial"/>
          <w:szCs w:val="24"/>
          <w:lang w:val="en-GB"/>
        </w:rPr>
        <w:t xml:space="preserve"> (Accessed: 8 July 2025)</w:t>
      </w:r>
    </w:p>
    <w:p>
      <w:pPr>
        <w:spacing w:before="240"/>
        <w:rPr>
          <w:rFonts w:cs="Arial"/>
          <w:szCs w:val="24"/>
          <w:lang w:val="en-GB"/>
        </w:rPr>
      </w:pPr>
      <w:r>
        <w:rPr>
          <w:rFonts w:cs="Arial"/>
          <w:szCs w:val="24"/>
          <w:lang w:val="en-GB"/>
        </w:rPr>
        <w:t xml:space="preserve">Marriott (2023) </w:t>
      </w:r>
      <w:r>
        <w:rPr>
          <w:rFonts w:cs="Arial"/>
          <w:i/>
          <w:iCs/>
          <w:szCs w:val="24"/>
          <w:lang w:val="en-GB"/>
        </w:rPr>
        <w:t>Marriott International Annual Report 2023</w:t>
      </w:r>
      <w:r>
        <w:rPr>
          <w:rFonts w:cs="Arial"/>
          <w:szCs w:val="24"/>
          <w:lang w:val="en-GB"/>
        </w:rPr>
        <w:t xml:space="preserve">. Available at: </w:t>
      </w:r>
      <w:r>
        <w:rPr>
          <w:rStyle w:val="16"/>
          <w:rFonts w:cs="Arial"/>
          <w:szCs w:val="24"/>
          <w:lang w:val="en-GB"/>
        </w:rPr>
        <w:fldChar w:fldCharType="begin"/>
      </w:r>
      <w:r>
        <w:instrText>HYPERLINK "https://marriott.gcs-web.com/static-files/ac930e85-f477-4fa8-b873-bf4d2e09ca33"</w:instrText>
      </w:r>
      <w:r>
        <w:rPr>
          <w:rStyle w:val="16"/>
          <w:rFonts w:cs="Arial"/>
          <w:szCs w:val="24"/>
          <w:lang w:val="en-GB"/>
        </w:rPr>
        <w:fldChar w:fldCharType="separate"/>
      </w:r>
      <w:r>
        <w:rPr>
          <w:rStyle w:val="16"/>
          <w:rFonts w:cs="Arial"/>
          <w:szCs w:val="24"/>
          <w:lang w:val="en-GB"/>
        </w:rPr>
        <w:t>https://marriott.gcs-web.com/static-files/ac930e85-f477-4fa8-b873-bf4d2e09ca33</w:t>
      </w:r>
      <w:r>
        <w:rPr>
          <w:rStyle w:val="16"/>
          <w:rFonts w:cs="Arial"/>
          <w:szCs w:val="24"/>
          <w:lang w:val="en-GB"/>
        </w:rPr>
        <w:fldChar w:fldCharType="end"/>
      </w:r>
      <w:r>
        <w:rPr>
          <w:rFonts w:cs="Arial"/>
          <w:szCs w:val="24"/>
          <w:lang w:val="en-GB"/>
        </w:rPr>
        <w:t xml:space="preserve"> (Accessed: 8 July 2025)</w:t>
      </w:r>
    </w:p>
    <w:p>
      <w:pPr>
        <w:spacing w:before="240"/>
        <w:rPr>
          <w:rFonts w:cs="Arial"/>
          <w:szCs w:val="24"/>
          <w:lang w:val="en-GB"/>
        </w:rPr>
      </w:pPr>
      <w:r>
        <w:rPr>
          <w:rFonts w:cs="Arial"/>
          <w:szCs w:val="24"/>
          <w:lang w:val="en-GB"/>
        </w:rPr>
        <w:t xml:space="preserve">Marriott (2023) </w:t>
      </w:r>
      <w:r>
        <w:rPr>
          <w:rFonts w:cs="Arial"/>
          <w:i/>
          <w:iCs/>
          <w:szCs w:val="24"/>
          <w:lang w:val="en-GB"/>
        </w:rPr>
        <w:t>Marriott International, Inc. - Climate Change 2023</w:t>
      </w:r>
      <w:r>
        <w:rPr>
          <w:rFonts w:cs="Arial"/>
          <w:szCs w:val="24"/>
          <w:lang w:val="en-GB"/>
        </w:rPr>
        <w:t xml:space="preserve">. Available at: </w:t>
      </w:r>
      <w:r>
        <w:rPr>
          <w:rStyle w:val="16"/>
          <w:rFonts w:cs="Arial"/>
          <w:szCs w:val="24"/>
          <w:lang w:val="en-GB"/>
        </w:rPr>
        <w:fldChar w:fldCharType="begin"/>
      </w:r>
      <w:r>
        <w:instrText>HYPERLINK "https://serve360.marriott.com/wp-content/uploads/2023/09/CDP-Climate-2023-vHsm2.pdf"</w:instrText>
      </w:r>
      <w:r>
        <w:rPr>
          <w:rStyle w:val="16"/>
          <w:rFonts w:cs="Arial"/>
          <w:szCs w:val="24"/>
          <w:lang w:val="en-GB"/>
        </w:rPr>
        <w:fldChar w:fldCharType="separate"/>
      </w:r>
      <w:r>
        <w:rPr>
          <w:rStyle w:val="16"/>
          <w:rFonts w:cs="Arial"/>
          <w:szCs w:val="24"/>
          <w:lang w:val="en-GB"/>
        </w:rPr>
        <w:t>https://serve360.marriott.com/wp-content/uploads/2023/09/CDP-Climate-2023-vHsm2.pdf</w:t>
      </w:r>
      <w:r>
        <w:rPr>
          <w:rStyle w:val="16"/>
          <w:rFonts w:cs="Arial"/>
          <w:szCs w:val="24"/>
          <w:lang w:val="en-GB"/>
        </w:rPr>
        <w:fldChar w:fldCharType="end"/>
      </w:r>
      <w:r>
        <w:rPr>
          <w:rFonts w:cs="Arial"/>
          <w:szCs w:val="24"/>
          <w:lang w:val="en-GB"/>
        </w:rPr>
        <w:t xml:space="preserve"> (Accessed: 8 July 2025) </w:t>
      </w:r>
    </w:p>
    <w:p>
      <w:pPr>
        <w:spacing w:before="240"/>
        <w:rPr>
          <w:rFonts w:cs="Arial"/>
          <w:szCs w:val="24"/>
          <w:lang w:val="en-GB"/>
        </w:rPr>
      </w:pPr>
      <w:r>
        <w:rPr>
          <w:rFonts w:cs="Arial"/>
          <w:szCs w:val="24"/>
          <w:lang w:val="en-GB"/>
        </w:rPr>
        <w:t xml:space="preserve">Marriott (2025) </w:t>
      </w:r>
      <w:r>
        <w:rPr>
          <w:rFonts w:cs="Arial"/>
          <w:i/>
          <w:iCs/>
          <w:szCs w:val="24"/>
          <w:lang w:val="en-GB"/>
        </w:rPr>
        <w:t>2025 SERVE 360 REPORT.</w:t>
      </w:r>
      <w:r>
        <w:rPr>
          <w:rFonts w:cs="Arial"/>
          <w:szCs w:val="24"/>
          <w:lang w:val="en-GB"/>
        </w:rPr>
        <w:t xml:space="preserve"> Available at: </w:t>
      </w:r>
      <w:r>
        <w:rPr>
          <w:rStyle w:val="16"/>
          <w:rFonts w:cs="Arial"/>
          <w:szCs w:val="24"/>
          <w:lang w:val="en-GB"/>
        </w:rPr>
        <w:fldChar w:fldCharType="begin"/>
      </w:r>
      <w:r>
        <w:instrText>HYPERLINK "https://serve360.marriott.com/wp-content/uploads/2025/07/2025PerformanceTables.pdf"</w:instrText>
      </w:r>
      <w:r>
        <w:rPr>
          <w:rStyle w:val="16"/>
          <w:rFonts w:cs="Arial"/>
          <w:szCs w:val="24"/>
          <w:lang w:val="en-GB"/>
        </w:rPr>
        <w:fldChar w:fldCharType="separate"/>
      </w:r>
      <w:r>
        <w:rPr>
          <w:rStyle w:val="16"/>
          <w:rFonts w:cs="Arial"/>
          <w:szCs w:val="24"/>
          <w:lang w:val="en-GB"/>
        </w:rPr>
        <w:t>https://serve360.marriott.com/wp-content/uploads/2025/07/2025PerformanceTables.pdf</w:t>
      </w:r>
      <w:r>
        <w:rPr>
          <w:rStyle w:val="16"/>
          <w:rFonts w:cs="Arial"/>
          <w:szCs w:val="24"/>
          <w:lang w:val="en-GB"/>
        </w:rPr>
        <w:fldChar w:fldCharType="end"/>
      </w:r>
      <w:r>
        <w:rPr>
          <w:rFonts w:cs="Arial"/>
          <w:szCs w:val="24"/>
          <w:lang w:val="en-GB"/>
        </w:rPr>
        <w:t xml:space="preserve"> (Accessed: 8 July 2025)</w:t>
      </w:r>
    </w:p>
    <w:p>
      <w:pPr>
        <w:spacing w:before="240"/>
        <w:rPr>
          <w:rFonts w:cs="Arial"/>
          <w:szCs w:val="24"/>
          <w:lang w:val="en-GB"/>
        </w:rPr>
      </w:pPr>
      <w:r>
        <w:rPr>
          <w:rFonts w:cs="Arial"/>
          <w:szCs w:val="24"/>
          <w:lang w:val="en-GB"/>
        </w:rPr>
        <w:t xml:space="preserve">Marriott (2025) </w:t>
      </w:r>
      <w:r>
        <w:rPr>
          <w:rFonts w:cs="Arial"/>
          <w:i/>
          <w:iCs/>
          <w:szCs w:val="24"/>
          <w:lang w:val="en-GB"/>
        </w:rPr>
        <w:t xml:space="preserve">Marriott International, Annual Report 2025. </w:t>
      </w:r>
      <w:r>
        <w:rPr>
          <w:rFonts w:cs="Arial"/>
          <w:szCs w:val="24"/>
          <w:lang w:val="en-GB"/>
        </w:rPr>
        <w:t xml:space="preserve">Available at: </w:t>
      </w:r>
      <w:r>
        <w:rPr>
          <w:rStyle w:val="16"/>
          <w:rFonts w:cs="Arial"/>
          <w:szCs w:val="24"/>
          <w:lang w:val="en-GB"/>
        </w:rPr>
        <w:fldChar w:fldCharType="begin"/>
      </w:r>
      <w:r>
        <w:instrText>HYPERLINK "https://marriott.gcs-web.com/static-files/ccd4ffb7-2196-404b-b16d-88c14af5b5dd"</w:instrText>
      </w:r>
      <w:r>
        <w:rPr>
          <w:rStyle w:val="16"/>
          <w:rFonts w:cs="Arial"/>
          <w:szCs w:val="24"/>
          <w:lang w:val="en-GB"/>
        </w:rPr>
        <w:fldChar w:fldCharType="separate"/>
      </w:r>
      <w:r>
        <w:rPr>
          <w:rStyle w:val="16"/>
          <w:rFonts w:cs="Arial"/>
          <w:szCs w:val="24"/>
          <w:lang w:val="en-GB"/>
        </w:rPr>
        <w:t>https://marriott.gcs-web.com/static-files/ccd4ffb7-2196-404b-b16d-88c14af5b5dd</w:t>
      </w:r>
      <w:r>
        <w:rPr>
          <w:rStyle w:val="16"/>
          <w:rFonts w:cs="Arial"/>
          <w:szCs w:val="24"/>
          <w:lang w:val="en-GB"/>
        </w:rPr>
        <w:fldChar w:fldCharType="end"/>
      </w:r>
      <w:r>
        <w:rPr>
          <w:rFonts w:cs="Arial"/>
          <w:szCs w:val="24"/>
          <w:lang w:val="en-GB"/>
        </w:rPr>
        <w:t xml:space="preserve"> (Accessed: 8 July 2025)</w:t>
      </w:r>
    </w:p>
    <w:p>
      <w:pPr>
        <w:spacing w:before="240"/>
        <w:rPr>
          <w:rFonts w:cs="Arial"/>
          <w:szCs w:val="24"/>
          <w:lang w:val="en-GB"/>
        </w:rPr>
      </w:pPr>
      <w:r>
        <w:rPr>
          <w:rFonts w:cs="Arial"/>
          <w:szCs w:val="24"/>
          <w:lang w:val="en-GB"/>
        </w:rPr>
        <w:t xml:space="preserve">Marriott (2026) </w:t>
      </w:r>
      <w:r>
        <w:rPr>
          <w:rFonts w:cs="Arial"/>
          <w:i/>
          <w:iCs/>
          <w:szCs w:val="24"/>
          <w:lang w:val="en-GB"/>
        </w:rPr>
        <w:t>We Are Marriott International.</w:t>
      </w:r>
      <w:r>
        <w:rPr>
          <w:rFonts w:cs="Arial"/>
          <w:szCs w:val="24"/>
          <w:lang w:val="en-GB"/>
        </w:rPr>
        <w:t xml:space="preserve"> Available at: </w:t>
      </w:r>
      <w:r>
        <w:rPr>
          <w:rStyle w:val="16"/>
          <w:rFonts w:cs="Arial"/>
          <w:szCs w:val="24"/>
          <w:lang w:val="en-GB"/>
        </w:rPr>
        <w:fldChar w:fldCharType="begin"/>
      </w:r>
      <w:r>
        <w:instrText>HYPERLINK "https://www.marriott.com/marriott/aboutmarriott.mi"</w:instrText>
      </w:r>
      <w:r>
        <w:rPr>
          <w:rStyle w:val="16"/>
          <w:rFonts w:cs="Arial"/>
          <w:szCs w:val="24"/>
          <w:lang w:val="en-GB"/>
        </w:rPr>
        <w:fldChar w:fldCharType="separate"/>
      </w:r>
      <w:r>
        <w:rPr>
          <w:rStyle w:val="16"/>
          <w:rFonts w:cs="Arial"/>
          <w:szCs w:val="24"/>
          <w:lang w:val="en-GB"/>
        </w:rPr>
        <w:t>https://www.marriott.com/marriott/aboutmarriott.mi</w:t>
      </w:r>
      <w:r>
        <w:rPr>
          <w:rStyle w:val="16"/>
          <w:rFonts w:cs="Arial"/>
          <w:szCs w:val="24"/>
          <w:lang w:val="en-GB"/>
        </w:rPr>
        <w:fldChar w:fldCharType="end"/>
      </w:r>
      <w:r>
        <w:rPr>
          <w:rFonts w:cs="Arial"/>
          <w:szCs w:val="24"/>
          <w:lang w:val="en-GB"/>
        </w:rPr>
        <w:t xml:space="preserve"> (Accessed: 8 July 2025) </w:t>
      </w:r>
    </w:p>
    <w:p>
      <w:pPr>
        <w:spacing w:before="240"/>
        <w:rPr>
          <w:rFonts w:cs="Arial"/>
          <w:szCs w:val="24"/>
          <w:lang w:val="en-GB"/>
        </w:rPr>
      </w:pPr>
      <w:r>
        <w:rPr>
          <w:rFonts w:cs="Arial"/>
          <w:szCs w:val="24"/>
          <w:lang w:val="en-GB"/>
        </w:rPr>
        <w:t xml:space="preserve">Nawaz, M., Tahira, S. and Yasmin, A. (2025) ‘Generative AI Driven Synthetic Attack Augmentation for Enhanced Intrusion Detection Using an Imbalanced Dataset’, Available at: </w:t>
      </w:r>
      <w:r>
        <w:rPr>
          <w:rStyle w:val="16"/>
          <w:rFonts w:cs="Arial"/>
          <w:szCs w:val="24"/>
          <w:lang w:val="en-GB"/>
        </w:rPr>
        <w:fldChar w:fldCharType="begin"/>
      </w:r>
      <w:r>
        <w:instrText>HYPERLINK "https://doi.org/10.20944/preprints202512.1521.v1"</w:instrText>
      </w:r>
      <w:r>
        <w:rPr>
          <w:rStyle w:val="16"/>
          <w:rFonts w:cs="Arial"/>
          <w:szCs w:val="24"/>
          <w:lang w:val="en-GB"/>
        </w:rPr>
        <w:fldChar w:fldCharType="separate"/>
      </w:r>
      <w:r>
        <w:rPr>
          <w:rStyle w:val="16"/>
          <w:rFonts w:cs="Arial"/>
          <w:szCs w:val="24"/>
          <w:lang w:val="en-GB"/>
        </w:rPr>
        <w:t>https://doi.org/10.20944/preprints202512.1521.v1</w:t>
      </w:r>
      <w:r>
        <w:rPr>
          <w:rStyle w:val="16"/>
          <w:rFonts w:cs="Arial"/>
          <w:szCs w:val="24"/>
          <w:lang w:val="en-GB"/>
        </w:rPr>
        <w:fldChar w:fldCharType="end"/>
      </w:r>
      <w:r>
        <w:rPr>
          <w:rFonts w:cs="Arial"/>
          <w:szCs w:val="24"/>
          <w:lang w:val="en-GB"/>
        </w:rPr>
        <w:t xml:space="preserve"> </w:t>
      </w:r>
    </w:p>
    <w:p>
      <w:pPr>
        <w:spacing w:before="240"/>
        <w:rPr>
          <w:rFonts w:cs="Arial"/>
          <w:szCs w:val="24"/>
          <w:lang w:val="en-GB"/>
        </w:rPr>
      </w:pPr>
      <w:r>
        <w:rPr>
          <w:rFonts w:cs="Arial"/>
          <w:szCs w:val="24"/>
          <w:lang w:val="en-GB"/>
        </w:rPr>
        <w:t>Pancheva, Y. and Marinova, M. (2025) ‘Application of Organic and Paid Search in Audience Targeting’, In </w:t>
      </w:r>
      <w:r>
        <w:rPr>
          <w:rFonts w:cs="Arial"/>
          <w:i/>
          <w:iCs/>
          <w:szCs w:val="24"/>
          <w:lang w:val="en-GB"/>
        </w:rPr>
        <w:t>Proceedings of the International Conference on Business Excellence</w:t>
      </w:r>
      <w:r>
        <w:rPr>
          <w:rFonts w:cs="Arial"/>
          <w:szCs w:val="24"/>
          <w:lang w:val="en-GB"/>
        </w:rPr>
        <w:t xml:space="preserve"> (Vol. 19, No. 1, pp. 1051-1061). Available at: </w:t>
      </w:r>
      <w:r>
        <w:rPr>
          <w:rStyle w:val="16"/>
          <w:rFonts w:cs="Arial"/>
          <w:szCs w:val="24"/>
          <w:lang w:val="en-GB"/>
        </w:rPr>
        <w:fldChar w:fldCharType="begin"/>
      </w:r>
      <w:r>
        <w:instrText>HYPERLINK "https://doi.org/10.2478/picbe-2025-0083"</w:instrText>
      </w:r>
      <w:r>
        <w:rPr>
          <w:rStyle w:val="16"/>
          <w:rFonts w:cs="Arial"/>
          <w:szCs w:val="24"/>
          <w:lang w:val="en-GB"/>
        </w:rPr>
        <w:fldChar w:fldCharType="separate"/>
      </w:r>
      <w:r>
        <w:rPr>
          <w:rStyle w:val="16"/>
          <w:rFonts w:cs="Arial"/>
          <w:szCs w:val="24"/>
          <w:lang w:val="en-GB"/>
        </w:rPr>
        <w:t>https://doi.org/10.2478/picbe-2025-0083</w:t>
      </w:r>
      <w:r>
        <w:rPr>
          <w:rStyle w:val="16"/>
          <w:rFonts w:cs="Arial"/>
          <w:szCs w:val="24"/>
          <w:lang w:val="en-GB"/>
        </w:rPr>
        <w:fldChar w:fldCharType="end"/>
      </w:r>
      <w:r>
        <w:rPr>
          <w:rFonts w:cs="Arial"/>
          <w:szCs w:val="24"/>
          <w:lang w:val="en-GB"/>
        </w:rPr>
        <w:t xml:space="preserve"> </w:t>
      </w:r>
    </w:p>
    <w:p>
      <w:pPr>
        <w:spacing w:before="240"/>
        <w:rPr>
          <w:rFonts w:cs="Arial"/>
          <w:szCs w:val="24"/>
          <w:lang w:val="en-GB"/>
        </w:rPr>
      </w:pPr>
      <w:r>
        <w:rPr>
          <w:rFonts w:cs="Arial"/>
          <w:szCs w:val="24"/>
          <w:lang w:val="en-GB"/>
        </w:rPr>
        <w:t xml:space="preserve">Potla, R.B., (2023). ‘Supplier Collaboration Portals for Component Manufacturers: Procure-to-Pay Automation and Working-Capital Outcomes’, </w:t>
      </w:r>
      <w:r>
        <w:rPr>
          <w:rFonts w:cs="Arial"/>
          <w:i/>
          <w:iCs/>
          <w:szCs w:val="24"/>
          <w:lang w:val="en-GB"/>
        </w:rPr>
        <w:t>ISCSITR-INTERNATIONAL JOURNAL OF ARTIFICIAL INTELLIGENCE (ISCSITR-IJAI)</w:t>
      </w:r>
      <w:r>
        <w:rPr>
          <w:rFonts w:cs="Arial"/>
          <w:szCs w:val="24"/>
          <w:lang w:val="en-GB"/>
        </w:rPr>
        <w:t xml:space="preserve">, </w:t>
      </w:r>
      <w:r>
        <w:rPr>
          <w:rFonts w:cs="Arial"/>
          <w:i/>
          <w:iCs/>
          <w:szCs w:val="24"/>
          <w:lang w:val="en-GB"/>
        </w:rPr>
        <w:t>4</w:t>
      </w:r>
      <w:r>
        <w:rPr>
          <w:rFonts w:cs="Arial"/>
          <w:szCs w:val="24"/>
          <w:lang w:val="en-GB"/>
        </w:rPr>
        <w:t xml:space="preserve">(1), pp.16-40. Available at: </w:t>
      </w:r>
      <w:r>
        <w:rPr>
          <w:rStyle w:val="16"/>
          <w:rFonts w:cs="Arial"/>
          <w:szCs w:val="24"/>
          <w:lang w:val="en-GB"/>
        </w:rPr>
        <w:fldChar w:fldCharType="begin"/>
      </w:r>
      <w:r>
        <w:instrText>HYPERLINK "http://www.doi.org/10.63397/ISCSITR-IJAI_04_01_002"</w:instrText>
      </w:r>
      <w:r>
        <w:rPr>
          <w:rStyle w:val="16"/>
          <w:rFonts w:cs="Arial"/>
          <w:szCs w:val="24"/>
          <w:lang w:val="en-GB"/>
        </w:rPr>
        <w:fldChar w:fldCharType="separate"/>
      </w:r>
      <w:r>
        <w:rPr>
          <w:rStyle w:val="16"/>
          <w:rFonts w:cs="Arial"/>
          <w:szCs w:val="24"/>
          <w:lang w:val="en-GB"/>
        </w:rPr>
        <w:t>http://www.doi.org/10.63397/ISCSITR-IJAI_04_01_002</w:t>
      </w:r>
      <w:r>
        <w:rPr>
          <w:rStyle w:val="16"/>
          <w:rFonts w:cs="Arial"/>
          <w:szCs w:val="24"/>
          <w:lang w:val="en-GB"/>
        </w:rPr>
        <w:fldChar w:fldCharType="end"/>
      </w:r>
      <w:r>
        <w:rPr>
          <w:rFonts w:cs="Arial"/>
          <w:szCs w:val="24"/>
          <w:lang w:val="en-GB"/>
        </w:rPr>
        <w:t> </w:t>
      </w:r>
    </w:p>
    <w:p>
      <w:pPr>
        <w:spacing w:before="240"/>
        <w:rPr>
          <w:rFonts w:cs="Arial"/>
          <w:szCs w:val="24"/>
          <w:lang w:val="en-GB"/>
        </w:rPr>
      </w:pPr>
      <w:r>
        <w:rPr>
          <w:rFonts w:cs="Arial"/>
          <w:szCs w:val="24"/>
          <w:lang w:val="en-GB"/>
        </w:rPr>
        <w:t xml:space="preserve">Stevenson, R., McMahon, S.R., Letwin, C. and Ciuchta, M.P., (2022). ‘Entrepreneur fund-seeking: toward a theory of funding fit in the era of equity crowdfunding’, </w:t>
      </w:r>
      <w:r>
        <w:rPr>
          <w:rFonts w:cs="Arial"/>
          <w:i/>
          <w:iCs/>
          <w:szCs w:val="24"/>
          <w:lang w:val="en-GB"/>
        </w:rPr>
        <w:t>Small Business Economics</w:t>
      </w:r>
      <w:r>
        <w:rPr>
          <w:rFonts w:cs="Arial"/>
          <w:szCs w:val="24"/>
          <w:lang w:val="en-GB"/>
        </w:rPr>
        <w:t xml:space="preserve">, </w:t>
      </w:r>
      <w:r>
        <w:rPr>
          <w:rFonts w:cs="Arial"/>
          <w:i/>
          <w:iCs/>
          <w:szCs w:val="24"/>
          <w:lang w:val="en-GB"/>
        </w:rPr>
        <w:t>58</w:t>
      </w:r>
      <w:r>
        <w:rPr>
          <w:rFonts w:cs="Arial"/>
          <w:szCs w:val="24"/>
          <w:lang w:val="en-GB"/>
        </w:rPr>
        <w:t xml:space="preserve">(4), pp.2061-2086.  Available at: </w:t>
      </w:r>
      <w:r>
        <w:rPr>
          <w:rStyle w:val="16"/>
          <w:rFonts w:cs="Arial"/>
          <w:szCs w:val="24"/>
          <w:lang w:val="en-GB"/>
        </w:rPr>
        <w:fldChar w:fldCharType="begin"/>
      </w:r>
      <w:r>
        <w:instrText>HYPERLINK "https://doi.org/10.1007/s11187-021-00499-0"</w:instrText>
      </w:r>
      <w:r>
        <w:rPr>
          <w:rStyle w:val="16"/>
          <w:rFonts w:cs="Arial"/>
          <w:szCs w:val="24"/>
          <w:lang w:val="en-GB"/>
        </w:rPr>
        <w:fldChar w:fldCharType="separate"/>
      </w:r>
      <w:r>
        <w:rPr>
          <w:rStyle w:val="16"/>
          <w:rFonts w:cs="Arial"/>
          <w:szCs w:val="24"/>
          <w:lang w:val="en-GB"/>
        </w:rPr>
        <w:t>https://doi.org/10.1007/s11187-021-00499-0</w:t>
      </w:r>
      <w:r>
        <w:rPr>
          <w:rStyle w:val="16"/>
          <w:rFonts w:cs="Arial"/>
          <w:szCs w:val="24"/>
          <w:lang w:val="en-GB"/>
        </w:rPr>
        <w:fldChar w:fldCharType="end"/>
      </w:r>
      <w:r>
        <w:rPr>
          <w:rFonts w:cs="Arial"/>
          <w:szCs w:val="24"/>
          <w:lang w:val="en-GB"/>
        </w:rPr>
        <w:t> </w:t>
      </w:r>
    </w:p>
    <w:p>
      <w:pPr>
        <w:spacing w:before="240"/>
        <w:rPr>
          <w:rFonts w:cs="Arial"/>
          <w:szCs w:val="24"/>
          <w:lang w:val="en-GB"/>
        </w:rPr>
      </w:pPr>
      <w:r>
        <w:rPr>
          <w:rFonts w:cs="Arial"/>
          <w:szCs w:val="24"/>
          <w:lang w:val="en-GB"/>
        </w:rPr>
        <w:t xml:space="preserve">Wallstreetprep (2024) </w:t>
      </w:r>
      <w:r>
        <w:rPr>
          <w:rFonts w:cs="Arial"/>
          <w:i/>
          <w:iCs/>
          <w:szCs w:val="24"/>
          <w:lang w:val="en-GB"/>
        </w:rPr>
        <w:t>Divestiture.</w:t>
      </w:r>
      <w:r>
        <w:rPr>
          <w:rFonts w:cs="Arial"/>
          <w:szCs w:val="24"/>
          <w:lang w:val="en-GB"/>
        </w:rPr>
        <w:t xml:space="preserve"> Available at: </w:t>
      </w:r>
      <w:r>
        <w:rPr>
          <w:rStyle w:val="16"/>
          <w:rFonts w:cs="Arial"/>
          <w:szCs w:val="24"/>
          <w:lang w:val="en-GB"/>
        </w:rPr>
        <w:fldChar w:fldCharType="begin"/>
      </w:r>
      <w:r>
        <w:instrText>HYPERLINK "https://www.wallstreetprep.com/knowledge/divestiture/"</w:instrText>
      </w:r>
      <w:r>
        <w:rPr>
          <w:rStyle w:val="16"/>
          <w:rFonts w:cs="Arial"/>
          <w:szCs w:val="24"/>
          <w:lang w:val="en-GB"/>
        </w:rPr>
        <w:fldChar w:fldCharType="separate"/>
      </w:r>
      <w:r>
        <w:rPr>
          <w:rStyle w:val="16"/>
          <w:rFonts w:cs="Arial"/>
          <w:szCs w:val="24"/>
          <w:lang w:val="en-GB"/>
        </w:rPr>
        <w:t>https://www.wallstreetprep.com/knowledge/divestiture/</w:t>
      </w:r>
      <w:r>
        <w:rPr>
          <w:rStyle w:val="16"/>
          <w:rFonts w:cs="Arial"/>
          <w:szCs w:val="24"/>
          <w:lang w:val="en-GB"/>
        </w:rPr>
        <w:fldChar w:fldCharType="end"/>
      </w:r>
      <w:r>
        <w:rPr>
          <w:rFonts w:cs="Arial"/>
          <w:szCs w:val="24"/>
          <w:lang w:val="en-GB"/>
        </w:rPr>
        <w:t xml:space="preserve"> (Accessed: 8 July 2025)</w:t>
      </w:r>
    </w:p>
    <w:p>
      <w:pPr>
        <w:spacing w:before="240"/>
        <w:rPr>
          <w:rFonts w:cs="Arial"/>
          <w:szCs w:val="24"/>
          <w:lang w:val="en-GB"/>
        </w:rPr>
      </w:pPr>
      <w:r>
        <w:rPr>
          <w:rFonts w:cs="Arial"/>
          <w:szCs w:val="24"/>
          <w:lang w:val="en-GB"/>
        </w:rPr>
        <w:t xml:space="preserve">Yahoo (2026) </w:t>
      </w:r>
      <w:r>
        <w:rPr>
          <w:rFonts w:cs="Arial"/>
          <w:i/>
          <w:iCs/>
          <w:szCs w:val="24"/>
          <w:lang w:val="en-GB"/>
        </w:rPr>
        <w:t>Marriott International.</w:t>
      </w:r>
      <w:r>
        <w:rPr>
          <w:rFonts w:cs="Arial"/>
          <w:szCs w:val="24"/>
          <w:lang w:val="en-GB"/>
        </w:rPr>
        <w:t xml:space="preserve"> Available at: </w:t>
      </w:r>
      <w:r>
        <w:rPr>
          <w:rStyle w:val="16"/>
          <w:rFonts w:cs="Arial"/>
          <w:szCs w:val="24"/>
          <w:lang w:val="en-GB"/>
        </w:rPr>
        <w:fldChar w:fldCharType="begin"/>
      </w:r>
      <w:r>
        <w:instrText>HYPERLINK "https://finance.yahoo.com/quote/MAR/history/?period1=1625734042&amp;period2=1783500435&amp;frequency=1mo"</w:instrText>
      </w:r>
      <w:r>
        <w:rPr>
          <w:rStyle w:val="16"/>
          <w:rFonts w:cs="Arial"/>
          <w:szCs w:val="24"/>
          <w:lang w:val="en-GB"/>
        </w:rPr>
        <w:fldChar w:fldCharType="separate"/>
      </w:r>
      <w:r>
        <w:rPr>
          <w:rStyle w:val="16"/>
          <w:rFonts w:cs="Arial"/>
          <w:szCs w:val="24"/>
          <w:lang w:val="en-GB"/>
        </w:rPr>
        <w:t>https://finance.yahoo.com/quote/MAR/history/?period1=1625734042&amp;period2=1783500435&amp;frequency=</w:t>
      </w:r>
      <w:r>
        <w:rPr>
          <w:rStyle w:val="16"/>
          <w:rFonts w:cs="Arial"/>
          <w:szCs w:val="24"/>
          <w:lang w:val="en-GB"/>
        </w:rPr>
        <w:fldChar w:fldCharType="end"/>
      </w:r>
      <w:r>
        <w:rPr>
          <w:rStyle w:val="16"/>
          <w:rFonts w:cs="Arial"/>
          <w:szCs w:val="24"/>
          <w:lang w:val="en-GB"/>
        </w:rPr>
        <w:fldChar w:fldCharType="begin"/>
      </w:r>
      <w:r>
        <w:instrText>HYPERLINK "https://marriott.gcs-web.com/static-files/ac930e85-f477-4fa8-b873-bf4d2e09ca33"</w:instrText>
      </w:r>
      <w:r>
        <w:rPr>
          <w:rStyle w:val="16"/>
          <w:rFonts w:cs="Arial"/>
          <w:szCs w:val="24"/>
          <w:lang w:val="en-GB"/>
        </w:rPr>
        <w:fldChar w:fldCharType="separate"/>
      </w:r>
      <w:r>
        <w:rPr>
          <w:rStyle w:val="16"/>
          <w:rFonts w:cs="Arial"/>
          <w:szCs w:val="24"/>
          <w:lang w:val="en-GB"/>
        </w:rPr>
        <w:t>2023 ANNUAL REPORT</w:t>
      </w:r>
      <w:r>
        <w:rPr>
          <w:rStyle w:val="16"/>
          <w:rFonts w:cs="Arial"/>
          <w:szCs w:val="24"/>
          <w:lang w:val="en-GB"/>
        </w:rPr>
        <w:fldChar w:fldCharType="end"/>
      </w:r>
      <w:r>
        <w:rPr>
          <w:rStyle w:val="16"/>
          <w:rFonts w:cs="Arial"/>
          <w:szCs w:val="24"/>
          <w:lang w:val="en-GB"/>
        </w:rPr>
        <w:fldChar w:fldCharType="begin"/>
      </w:r>
      <w:r>
        <w:instrText>HYPERLINK "https://finance.yahoo.com/quote/MAR/history/?period1=1625734042&amp;period2=1783500435&amp;frequency=1mo"</w:instrText>
      </w:r>
      <w:r>
        <w:rPr>
          <w:rStyle w:val="16"/>
          <w:rFonts w:cs="Arial"/>
          <w:szCs w:val="24"/>
          <w:lang w:val="en-GB"/>
        </w:rPr>
        <w:fldChar w:fldCharType="separate"/>
      </w:r>
      <w:r>
        <w:rPr>
          <w:rStyle w:val="16"/>
          <w:rFonts w:cs="Arial"/>
          <w:szCs w:val="24"/>
          <w:lang w:val="en-GB"/>
        </w:rPr>
        <w:t>1mo</w:t>
      </w:r>
      <w:r>
        <w:rPr>
          <w:rStyle w:val="16"/>
          <w:rFonts w:cs="Arial"/>
          <w:szCs w:val="24"/>
          <w:lang w:val="en-GB"/>
        </w:rPr>
        <w:fldChar w:fldCharType="end"/>
      </w:r>
      <w:r>
        <w:rPr>
          <w:rFonts w:cs="Arial"/>
          <w:szCs w:val="24"/>
          <w:lang w:val="en-GB"/>
        </w:rPr>
        <w:t xml:space="preserve"> (Accessed: 8 July 2025)</w:t>
      </w:r>
    </w:p>
    <w:p>
      <w:pPr>
        <w:spacing w:before="240"/>
        <w:jc w:val="left"/>
        <w:rPr>
          <w:rFonts w:cs="Arial"/>
          <w:szCs w:val="24"/>
          <w:lang w:val="en-GB"/>
        </w:rPr>
      </w:pPr>
      <w:r>
        <w:rPr>
          <w:rFonts w:cs="Arial"/>
          <w:szCs w:val="24"/>
          <w:lang w:val="en-GB"/>
        </w:rPr>
        <w:br w:type="page"/>
      </w:r>
    </w:p>
    <w:p>
      <w:pPr>
        <w:pStyle w:val="1"/>
        <w:spacing w:before="240"/>
        <w:rPr>
          <w:lang w:val="en-GB"/>
        </w:rPr>
      </w:pPr>
      <w:bookmarkStart w:id="22" w:name="_Toc234435176"/>
      <w:r>
        <w:rPr>
          <w:lang w:val="en-GB"/>
        </w:rPr>
        <w:t>Appendices</w:t>
      </w:r>
      <w:bookmarkEnd w:id="22"/>
      <w:r>
        <w:rPr>
          <w:lang w:val="en-GB"/>
        </w:rPr>
        <w:t xml:space="preserve"> </w:t>
      </w:r>
    </w:p>
    <w:p>
      <w:pPr>
        <w:pStyle w:val="2"/>
        <w:spacing w:before="240"/>
        <w:rPr>
          <w:rFonts w:cs="Arial"/>
          <w:lang w:val="en-GB"/>
        </w:rPr>
      </w:pPr>
      <w:bookmarkStart w:id="23" w:name="_Toc234435177"/>
      <w:r>
        <w:rPr>
          <w:rFonts w:cs="Arial"/>
          <w:lang w:val="en-GB"/>
        </w:rPr>
        <w:t>Appendix 1: Ratios</w:t>
      </w:r>
      <w:bookmarkEnd w:id="23"/>
      <w:r>
        <w:rPr>
          <w:rFonts w:cs="Arial"/>
          <w:lang w:val="en-GB"/>
        </w:rPr>
        <w:t xml:space="preserve"> </w:t>
      </w:r>
    </w:p>
    <w:p>
      <w:pPr>
        <w:spacing w:before="240"/>
        <w:rPr>
          <w:rFonts w:cs="Arial"/>
          <w:szCs w:val="24"/>
          <w:lang w:val="en-GB"/>
        </w:rPr>
      </w:pPr>
      <w:r>
        <w:rPr>
          <w:rFonts w:cs="Arial"/>
          <w:lang w:val="en-GB"/>
        </w:rPr>
        <w:drawing>
          <wp:inline distT="0" distB="0" distL="0" distR="0">
            <wp:extent cx="5731510" cy="7239000"/>
            <wp:effectExtent l="0" t="0" r="0" b="0"/>
            <wp:docPr id="4" name="图片 4"/>
            <wp:cNvGraphicFramePr>
              <a:graphicFrameLocks noChangeAspect="1"/>
            </wp:cNvGraphicFramePr>
            <a:graphic>
              <a:graphicData uri="http://schemas.openxmlformats.org/drawingml/2006/picture">
                <pic:pic>
                  <pic:nvPicPr>
                    <pic:cNvPr id="6" name="图片 6"/>
                    <pic:cNvPicPr/>
                  </pic:nvPicPr>
                  <pic:blipFill>
                    <a:blip r:embed="rId4"/>
                    <a:stretch>
                      <a:fillRect/>
                    </a:stretch>
                  </pic:blipFill>
                  <pic:spPr>
                    <a:xfrm rot="0">
                      <a:off x="0" y="0"/>
                      <a:ext cx="5731510" cy="7239000"/>
                    </a:xfrm>
                    <a:prstGeom prst="rect"/>
                    <a:noFill/>
                    <a:ln w="12700" cmpd="sng" cap="flat">
                      <a:noFill/>
                      <a:prstDash val="solid"/>
                      <a:round/>
                    </a:ln>
                  </pic:spPr>
                </pic:pic>
              </a:graphicData>
            </a:graphic>
          </wp:inline>
        </w:drawing>
      </w:r>
    </w:p>
    <w:p>
      <w:pPr>
        <w:spacing w:before="240"/>
        <w:rPr>
          <w:rFonts w:cs="Arial"/>
          <w:b/>
          <w:bCs/>
          <w:i/>
          <w:iCs/>
          <w:szCs w:val="24"/>
          <w:lang w:val="en-GB"/>
        </w:rPr>
      </w:pPr>
      <w:r>
        <w:rPr>
          <w:rFonts w:cs="Arial"/>
          <w:b/>
          <w:bCs/>
          <w:i/>
          <w:iCs/>
          <w:szCs w:val="24"/>
          <w:lang w:val="en-GB"/>
        </w:rPr>
        <w:t>Graph</w:t>
      </w:r>
    </w:p>
    <w:p>
      <w:pPr>
        <w:spacing w:before="240"/>
        <w:jc w:val="center"/>
        <w:rPr>
          <w:rFonts w:cs="Arial"/>
          <w:szCs w:val="24"/>
          <w:lang w:val="en-GB"/>
        </w:rPr>
      </w:pPr>
      <w:r>
        <w:rPr>
          <w:rFonts w:cs="Arial"/>
          <w:lang w:val="en-GB"/>
        </w:rPr>
        <w:drawing>
          <wp:inline distT="0" distB="0" distL="0" distR="0">
            <wp:extent cx="6217920" cy="4404359"/>
            <wp:effectExtent l="0" t="0" r="0" b="0"/>
            <wp:docPr id="7" name="图表 7"/>
            <wp:cNvGraphicFramePr>
              <a:graphicFrameLocks noChangeAspect="0"/>
            </wp:cNvGraphicFramePr>
            <a:graphic>
              <a:graphicData uri="http://schemas.openxmlformats.org/drawingml/2006/chart">
                <c:chart xmlns:c="http://schemas.openxmlformats.org/drawingml/2006/chart" r:id="rId5"/>
              </a:graphicData>
            </a:graphic>
          </wp:inline>
        </w:drawing>
      </w:r>
    </w:p>
    <w:p>
      <w:pPr>
        <w:spacing w:before="240"/>
        <w:jc w:val="left"/>
        <w:rPr>
          <w:rFonts w:eastAsia="宋体" w:cs="Times New Roman"/>
          <w:b/>
          <w:szCs w:val="26"/>
          <w:lang w:val="en-GB"/>
        </w:rPr>
      </w:pPr>
      <w:r>
        <w:rPr>
          <w:lang w:val="en-GB"/>
        </w:rPr>
        <w:br w:type="page"/>
      </w:r>
    </w:p>
    <w:p>
      <w:pPr>
        <w:pStyle w:val="2"/>
        <w:spacing w:before="240"/>
        <w:rPr>
          <w:lang w:val="en-GB"/>
        </w:rPr>
      </w:pPr>
      <w:bookmarkStart w:id="24" w:name="_Toc234435178"/>
      <w:r>
        <w:rPr>
          <w:lang w:val="en-GB"/>
        </w:rPr>
        <w:t>Appendix 2: Investment Appraisal</w:t>
      </w:r>
      <w:bookmarkEnd w:id="24"/>
      <w:r>
        <w:rPr>
          <w:lang w:val="en-GB"/>
        </w:rPr>
        <w:t xml:space="preserve"> </w:t>
      </w:r>
    </w:p>
    <w:p>
      <w:pPr>
        <w:spacing w:before="240"/>
        <w:rPr>
          <w:lang w:val="en-GB"/>
        </w:rPr>
      </w:pPr>
      <w:r>
        <w:rPr>
          <w:lang w:val="en-GB"/>
        </w:rPr>
        <w:drawing>
          <wp:inline distT="0" distB="0" distL="0" distR="0">
            <wp:extent cx="5731510" cy="5133975"/>
            <wp:effectExtent l="0" t="0" r="0" b="0"/>
            <wp:docPr id="8" name="图片 8"/>
            <wp:cNvGraphicFramePr>
              <a:graphicFrameLocks noChangeAspect="1"/>
            </wp:cNvGraphicFramePr>
            <a:graphic>
              <a:graphicData uri="http://schemas.openxmlformats.org/drawingml/2006/picture">
                <pic:pic>
                  <pic:nvPicPr>
                    <pic:cNvPr id="10" name="图片 10"/>
                    <pic:cNvPicPr/>
                  </pic:nvPicPr>
                  <pic:blipFill>
                    <a:blip r:embed="rId6"/>
                    <a:stretch>
                      <a:fillRect/>
                    </a:stretch>
                  </pic:blipFill>
                  <pic:spPr>
                    <a:xfrm rot="0">
                      <a:off x="0" y="0"/>
                      <a:ext cx="5731510" cy="5133975"/>
                    </a:xfrm>
                    <a:prstGeom prst="rect"/>
                    <a:noFill/>
                    <a:ln w="12700" cmpd="sng" cap="flat">
                      <a:noFill/>
                      <a:prstDash val="solid"/>
                      <a:round/>
                    </a:ln>
                  </pic:spPr>
                </pic:pic>
              </a:graphicData>
            </a:graphic>
          </wp:inline>
        </w:drawing>
      </w:r>
    </w:p>
    <w:p>
      <w:pPr>
        <w:spacing w:before="240"/>
        <w:rPr>
          <w:rFonts w:cs="Arial"/>
          <w:szCs w:val="24"/>
          <w:lang w:val="en-GB"/>
        </w:rPr>
      </w:pPr>
    </w:p>
    <w:p>
      <w:pPr>
        <w:spacing w:before="240"/>
        <w:rPr>
          <w:rFonts w:cs="Arial"/>
          <w:szCs w:val="24"/>
          <w:lang w:val="en-GB"/>
        </w:rPr>
      </w:pPr>
    </w:p>
    <w:sectPr>
      <w:footerReference w:type="default" r:id="rId2"/>
      <w:pgSz w:w="11906" w:h="16838"/>
      <w:pgMar w:top="1440" w:right="1440" w:bottom="1440" w:left="1440" w:header="708" w:footer="708" w:gutter="0"/>
      <w:titlePg/>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panose1 w:val="00000000000000000000"/>
    <w:charset w:val="00"/>
    <w:family w:val="auto"/>
    <w:pitch w:val="variable"/>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1"/>
      <w:tabs>
        <w:tab w:val="center" w:pos="4513"/>
        <w:tab w:val="right" w:pos="9026"/>
      </w:tabs>
      <w:jc w:val="right"/>
      <w:rPr>
        <w:sz w:val="20"/>
        <w:szCs w:val="18"/>
      </w:rPr>
    </w:pPr>
    <w:r>
      <w:rPr>
        <w:sz w:val="20"/>
        <w:szCs w:val="18"/>
      </w:rPr>
      <w:fldChar w:fldCharType="begin"/>
    </w:r>
    <w:r>
      <w:rPr>
        <w:sz w:val="20"/>
        <w:szCs w:val="18"/>
      </w:rPr>
      <w:instrText xml:space="preserve"> PAGE   \* MERGEFORMAT </w:instrText>
    </w:r>
    <w:r>
      <w:rPr>
        <w:sz w:val="20"/>
        <w:szCs w:val="18"/>
      </w:rPr>
      <w:fldChar w:fldCharType="separate"/>
    </w:r>
    <w:r>
      <w:rPr>
        <w:sz w:val="20"/>
        <w:szCs w:val="18"/>
      </w:rPr>
      <w:t>2</w:t>
    </w:r>
    <w:r>
      <w:rPr>
        <w:sz w:val="20"/>
        <w:szCs w:val="18"/>
      </w:rPr>
      <w:fldChar w:fldCharType="end"/>
    </w:r>
  </w:p>
  <w:p>
    <w:pPr>
      <w:pStyle w:val="21"/>
      <w:tabs>
        <w:tab w:val="center" w:pos="4513"/>
        <w:tab w:val="right" w:pos="9026"/>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6"/>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200" w:line="360" w:lineRule="auto"/>
      <w:jc w:val="both"/>
    </w:pPr>
    <w:rPr>
      <w:rFonts w:ascii="Arial" w:eastAsia="Calibri" w:cs="Arial" w:hAnsi="Arial"/>
      <w:color w:val="000000"/>
      <w:sz w:val="24"/>
      <w:szCs w:val="22"/>
      <w:lang w:val="en-IN" w:eastAsia="en-US" w:bidi="ar-SA"/>
    </w:rPr>
  </w:style>
  <w:style w:type="paragraph" w:styleId="1">
    <w:name w:val="heading 1"/>
    <w:basedOn w:val="15"/>
    <w:next w:val="0"/>
    <w:pPr>
      <w:spacing w:before="200" w:beforeAutospacing="0" w:after="200" w:afterAutospacing="0" w:line="360" w:lineRule="auto"/>
      <w:outlineLvl w:val="0"/>
    </w:pPr>
    <w:rPr>
      <w:rFonts w:ascii="Arial" w:cs="Arial" w:hAnsi="Arial"/>
      <w:b/>
      <w:bCs/>
      <w:color w:val="000000"/>
    </w:rPr>
  </w:style>
  <w:style w:type="paragraph" w:styleId="2">
    <w:name w:val="heading 2"/>
    <w:basedOn w:val="0"/>
    <w:next w:val="0"/>
    <w:pPr>
      <w:keepNext/>
      <w:keepLines/>
      <w:spacing w:before="40" w:after="0"/>
      <w:outlineLvl w:val="1"/>
    </w:pPr>
    <w:rPr>
      <w:rFonts w:eastAsia="宋体" w:cs="Times New Roman"/>
      <w:b/>
      <w:szCs w:val="26"/>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styleId="15">
    <w:name w:val="Normal (Web)"/>
    <w:basedOn w:val="0"/>
    <w:pPr>
      <w:spacing w:before="100" w:beforeAutospacing="1" w:after="100" w:afterAutospacing="1" w:line="240" w:lineRule="auto"/>
    </w:pPr>
    <w:rPr>
      <w:rFonts w:ascii="Times New Roman" w:eastAsia="Times New Roman" w:cs="Times New Roman" w:hAnsi="Times New Roman"/>
      <w:szCs w:val="24"/>
      <w:lang w:eastAsia="en-IN"/>
    </w:rPr>
  </w:style>
  <w:style w:type="character" w:styleId="16">
    <w:name w:val="Hyperlink"/>
    <w:basedOn w:val="10"/>
    <w:rPr>
      <w:color w:val="0000FF"/>
      <w:u w:val="single"/>
    </w:rPr>
  </w:style>
  <w:style w:type="character" w:customStyle="1" w:styleId="17">
    <w:name w:val="Unresolved Mention"/>
    <w:basedOn w:val="10"/>
    <w:rPr>
      <w:color w:val="605E5C"/>
      <w:shd w:val="clear" w:color="auto" w:fill="E1DFDD"/>
    </w:rPr>
  </w:style>
  <w:style w:type="paragraph" w:customStyle="1" w:styleId="18">
    <w:name w:val="TOC Heading"/>
    <w:basedOn w:val="1"/>
    <w:next w:val="0"/>
    <w:pPr>
      <w:keepNext/>
      <w:keepLines/>
      <w:spacing w:before="240" w:after="0" w:line="259" w:lineRule="auto"/>
      <w:jc w:val="left"/>
      <w:outlineLvl w:val="9"/>
    </w:pPr>
    <w:rPr>
      <w:rFonts w:ascii="Cambria" w:eastAsia="宋体" w:cs="Times New Roman" w:hAnsi="Cambria"/>
      <w:b w:val="0"/>
      <w:bCs w:val="0"/>
      <w:color w:val="365F91"/>
      <w:sz w:val="32"/>
      <w:szCs w:val="32"/>
      <w:lang w:val="en-US" w:eastAsia="en-US"/>
    </w:rPr>
  </w:style>
  <w:style w:type="paragraph" w:styleId="19">
    <w:name w:val="toc 1"/>
    <w:basedOn w:val="0"/>
    <w:autoRedefine/>
    <w:next w:val="0"/>
    <w:pPr>
      <w:spacing w:after="100"/>
    </w:pPr>
  </w:style>
  <w:style w:type="paragraph" w:styleId="20">
    <w:name w:val="header"/>
    <w:basedOn w:val="0"/>
    <w:pPr>
      <w:tabs>
        <w:tab w:val="center" w:pos="4513"/>
        <w:tab w:val="right" w:pos="9026"/>
      </w:tabs>
      <w:spacing w:after="0" w:line="240" w:lineRule="auto"/>
    </w:pPr>
  </w:style>
  <w:style w:type="paragraph" w:styleId="21">
    <w:name w:val="footer"/>
    <w:basedOn w:val="0"/>
    <w:pPr>
      <w:tabs>
        <w:tab w:val="center" w:pos="4513"/>
        <w:tab w:val="right" w:pos="9026"/>
      </w:tabs>
      <w:spacing w:after="0" w:line="240" w:lineRule="auto"/>
    </w:pPr>
  </w:style>
  <w:style w:type="paragraph" w:styleId="22">
    <w:name w:val="toc 2"/>
    <w:basedOn w:val="0"/>
    <w:autoRedefine/>
    <w:next w:val="0"/>
    <w:pPr>
      <w:spacing w:after="100"/>
      <w:ind w:left="240"/>
    </w:pPr>
  </w:style>
  <w:style w:type="character" w:styleId="23">
    <w:name w:val="FollowedHyperlink"/>
    <w:basedOn w:val="10"/>
    <w:rPr>
      <w:color w:val="800080"/>
      <w:u w:val="single"/>
    </w:rPr>
  </w:style>
  <w:style w:type="paragraph" w:customStyle="1" w:styleId="24">
    <w:name w:val="List Paragraph"/>
    <w:basedOn w:val="0"/>
    <w:pPr>
      <w:ind w:left="720"/>
      <w:contextualSpacing/>
    </w:pPr>
  </w:style>
  <w:style w:type="character" w:customStyle="1" w:styleId="25">
    <w:name w:val="apple-tab-span"/>
    <w:basedOn w:val="10"/>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emf"/><Relationship Id="rId5" Type="http://schemas.openxmlformats.org/officeDocument/2006/relationships/chart" Target="charts/chart1.xml"/><Relationship Id="rId6" Type="http://schemas.openxmlformats.org/officeDocument/2006/relationships/image" Target="media/9.emf"/><Relationship Id="rId7" Type="http://schemas.openxmlformats.org/officeDocument/2006/relationships/styles" Target="styles.xml"/><Relationship Id="rId8"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___1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595959"/>
                </a:solidFill>
                <a:latin typeface="Droid Sans"/>
                <a:ea typeface="Droid Sans"/>
                <a:cs typeface="Lucida Sans"/>
              </a:defRPr>
            </a:pPr>
            <a:r>
              <a:rPr lang="zh-CN"/>
              <a:t>Ratios</a:t>
            </a:r>
          </a:p>
        </c:rich>
      </c:tx>
      <c:layout/>
      <c:overlay val="0"/>
      <c:spPr>
        <a:noFill/>
        <a:ln>
          <a:noFill/>
        </a:ln>
      </c:spPr>
    </c:title>
    <c:autoTitleDeleted val="1"/>
    <c:plotArea>
      <c:layout/>
      <c:barChart>
        <c:barDir val="col"/>
        <c:grouping val="clustered"/>
        <c:varyColors val="0"/>
        <c:ser>
          <c:idx val="0"/>
          <c:order val="0"/>
          <c:tx>
            <c:v>Net Profit Margin</c:v>
          </c:tx>
          <c:spPr>
            <a:solidFill>
              <a:srgbClr val="4F81BD"/>
            </a:solidFill>
            <a:ln>
              <a:noFill/>
            </a:ln>
          </c:spPr>
          <c:invertIfNegative val="0"/>
          <c:dLbls>
            <c:showLegendKey val="0"/>
            <c:showVal val="0"/>
            <c:showCatName val="0"/>
            <c:showSerName val="0"/>
            <c:showPercent val="0"/>
            <c:showBubbleSize val="0"/>
            <c:showLeaderLines val="1"/>
          </c:dLbls>
          <c:cat>
            <c:strLit>
              <c:ptCount val="5"/>
              <c:pt idx="0">
                <c:v>2025</c:v>
              </c:pt>
              <c:pt idx="1">
                <c:v>2024</c:v>
              </c:pt>
              <c:pt idx="2">
                <c:v>2023</c:v>
              </c:pt>
              <c:pt idx="3">
                <c:v>2022</c:v>
              </c:pt>
              <c:pt idx="4">
                <c:v>2021</c:v>
              </c:pt>
            </c:strLit>
          </c:cat>
          <c:val>
            <c:numRef>
              <c:f/>
              <c:numCache>
                <c:formatCode>0.00%</c:formatCode>
                <c:ptCount val="5"/>
                <c:pt idx="0">
                  <c:v>0.09932788512945849</c:v>
                </c:pt>
                <c:pt idx="1">
                  <c:v>0.0946215139442231</c:v>
                </c:pt>
                <c:pt idx="2">
                  <c:v>0.13001307299793363</c:v>
                </c:pt>
                <c:pt idx="3">
                  <c:v>0.11351273287440428</c:v>
                </c:pt>
                <c:pt idx="4">
                  <c:v>0.07931009598037093</c:v>
                </c:pt>
              </c:numCache>
            </c:numRef>
          </c:val>
        </c:ser>
        <c:ser>
          <c:idx val="1"/>
          <c:order val="1"/>
          <c:tx>
            <c:v>Operating Profit Margin</c:v>
          </c:tx>
          <c:spPr>
            <a:solidFill>
              <a:srgbClr val="C0504D"/>
            </a:solidFill>
            <a:ln>
              <a:noFill/>
            </a:ln>
          </c:spPr>
          <c:invertIfNegative val="0"/>
          <c:dLbls>
            <c:showLegendKey val="0"/>
            <c:showVal val="0"/>
            <c:showCatName val="0"/>
            <c:showSerName val="0"/>
            <c:showPercent val="0"/>
            <c:showBubbleSize val="0"/>
            <c:showLeaderLines val="1"/>
          </c:dLbls>
          <c:cat>
            <c:strLit>
              <c:ptCount val="5"/>
              <c:pt idx="0">
                <c:v>2025</c:v>
              </c:pt>
              <c:pt idx="1">
                <c:v>2024</c:v>
              </c:pt>
              <c:pt idx="2">
                <c:v>2023</c:v>
              </c:pt>
              <c:pt idx="3">
                <c:v>2022</c:v>
              </c:pt>
              <c:pt idx="4">
                <c:v>2021</c:v>
              </c:pt>
            </c:strLit>
          </c:cat>
          <c:val>
            <c:numRef>
              <c:f/>
              <c:numCache>
                <c:formatCode>0.00%</c:formatCode>
                <c:ptCount val="5"/>
                <c:pt idx="0">
                  <c:v>0.15813793630184067</c:v>
                </c:pt>
                <c:pt idx="1">
                  <c:v>0.1500796812749004</c:v>
                </c:pt>
                <c:pt idx="2">
                  <c:v>0.1629485935984481</c:v>
                </c:pt>
                <c:pt idx="3">
                  <c:v>0.8333413565686227</c:v>
                </c:pt>
                <c:pt idx="4">
                  <c:v>0.873710038247817</c:v>
                </c:pt>
              </c:numCache>
            </c:numRef>
          </c:val>
        </c:ser>
        <c:ser>
          <c:idx val="2"/>
          <c:order val="2"/>
          <c:tx>
            <c:v>Current Ratio</c:v>
          </c:tx>
          <c:spPr>
            <a:solidFill>
              <a:srgbClr val="9BBB59"/>
            </a:solidFill>
            <a:ln>
              <a:noFill/>
            </a:ln>
          </c:spPr>
          <c:invertIfNegative val="0"/>
          <c:dLbls>
            <c:showLegendKey val="0"/>
            <c:showVal val="0"/>
            <c:showCatName val="0"/>
            <c:showSerName val="0"/>
            <c:showPercent val="0"/>
            <c:showBubbleSize val="0"/>
            <c:showLeaderLines val="1"/>
          </c:dLbls>
          <c:cat>
            <c:strLit>
              <c:ptCount val="5"/>
              <c:pt idx="0">
                <c:v>2025</c:v>
              </c:pt>
              <c:pt idx="1">
                <c:v>2024</c:v>
              </c:pt>
              <c:pt idx="2">
                <c:v>2023</c:v>
              </c:pt>
              <c:pt idx="3">
                <c:v>2022</c:v>
              </c:pt>
              <c:pt idx="4">
                <c:v>2021</c:v>
              </c:pt>
            </c:strLit>
          </c:cat>
          <c:val>
            <c:numRef>
              <c:f/>
              <c:numCache>
                <c:formatCode>0.00</c:formatCode>
                <c:ptCount val="5"/>
                <c:pt idx="0">
                  <c:v>0.426768278161467</c:v>
                </c:pt>
                <c:pt idx="1">
                  <c:v>0.40293675569429993</c:v>
                </c:pt>
                <c:pt idx="2">
                  <c:v>0.42656531821695437</c:v>
                </c:pt>
                <c:pt idx="3">
                  <c:v>0.4514238997138575</c:v>
                </c:pt>
                <c:pt idx="4">
                  <c:v>0.5659434992976432</c:v>
                </c:pt>
              </c:numCache>
            </c:numRef>
          </c:val>
        </c:ser>
        <c:ser>
          <c:idx val="3"/>
          <c:order val="3"/>
          <c:tx>
            <c:v>Cash Ratio</c:v>
          </c:tx>
          <c:spPr>
            <a:solidFill>
              <a:srgbClr val="8064A2"/>
            </a:solidFill>
            <a:ln>
              <a:noFill/>
            </a:ln>
          </c:spPr>
          <c:invertIfNegative val="0"/>
          <c:dLbls>
            <c:showLegendKey val="0"/>
            <c:showVal val="0"/>
            <c:showCatName val="0"/>
            <c:showSerName val="0"/>
            <c:showPercent val="0"/>
            <c:showBubbleSize val="0"/>
            <c:showLeaderLines val="1"/>
          </c:dLbls>
          <c:cat>
            <c:strLit>
              <c:ptCount val="5"/>
              <c:pt idx="0">
                <c:v>2025</c:v>
              </c:pt>
              <c:pt idx="1">
                <c:v>2024</c:v>
              </c:pt>
              <c:pt idx="2">
                <c:v>2023</c:v>
              </c:pt>
              <c:pt idx="3">
                <c:v>2022</c:v>
              </c:pt>
              <c:pt idx="4">
                <c:v>2021</c:v>
              </c:pt>
            </c:strLit>
          </c:cat>
          <c:val>
            <c:numRef>
              <c:f/>
              <c:numCache>
                <c:formatCode>0.00</c:formatCode>
                <c:ptCount val="5"/>
                <c:pt idx="0">
                  <c:v>0.04262919742795904</c:v>
                </c:pt>
                <c:pt idx="1">
                  <c:v>0.045785639958376693</c:v>
                </c:pt>
                <c:pt idx="2">
                  <c:v>0.043545477969595466</c:v>
                </c:pt>
                <c:pt idx="3">
                  <c:v>0.06908298133260662</c:v>
                </c:pt>
                <c:pt idx="4">
                  <c:v>0.2174184485718745</c:v>
                </c:pt>
              </c:numCache>
            </c:numRef>
          </c:val>
        </c:ser>
        <c:ser>
          <c:idx val="4"/>
          <c:order val="4"/>
          <c:tx>
            <c:v>Accounts Receivable Turnover</c:v>
          </c:tx>
          <c:spPr>
            <a:solidFill>
              <a:srgbClr val="4BACC6"/>
            </a:solidFill>
            <a:ln>
              <a:noFill/>
            </a:ln>
          </c:spPr>
          <c:invertIfNegative val="0"/>
          <c:dLbls>
            <c:showLegendKey val="0"/>
            <c:showVal val="0"/>
            <c:showCatName val="0"/>
            <c:showSerName val="0"/>
            <c:showPercent val="0"/>
            <c:showBubbleSize val="0"/>
            <c:showLeaderLines val="1"/>
          </c:dLbls>
          <c:cat>
            <c:strLit>
              <c:ptCount val="5"/>
              <c:pt idx="0">
                <c:v>2025</c:v>
              </c:pt>
              <c:pt idx="1">
                <c:v>2024</c:v>
              </c:pt>
              <c:pt idx="2">
                <c:v>2023</c:v>
              </c:pt>
              <c:pt idx="3">
                <c:v>2022</c:v>
              </c:pt>
              <c:pt idx="4">
                <c:v>2021</c:v>
              </c:pt>
            </c:strLit>
          </c:cat>
          <c:val>
            <c:numRef>
              <c:f/>
              <c:numCache>
                <c:formatCode>0.00</c:formatCode>
                <c:ptCount val="5"/>
                <c:pt idx="0">
                  <c:v>9.181626928471248</c:v>
                </c:pt>
                <c:pt idx="1">
                  <c:v>9.115670964227347</c:v>
                </c:pt>
                <c:pt idx="2">
                  <c:v>8.977096346772667</c:v>
                </c:pt>
                <c:pt idx="3">
                  <c:v>9.124972545574346</c:v>
                </c:pt>
                <c:pt idx="4">
                  <c:v>7.3904</c:v>
                </c:pt>
              </c:numCache>
            </c:numRef>
          </c:val>
        </c:ser>
        <c:ser>
          <c:idx val="5"/>
          <c:order val="5"/>
          <c:tx>
            <c:v>Asset Turnover Ratio</c:v>
          </c:tx>
          <c:spPr>
            <a:solidFill>
              <a:srgbClr val="F79646"/>
            </a:solidFill>
            <a:ln>
              <a:noFill/>
            </a:ln>
          </c:spPr>
          <c:invertIfNegative val="0"/>
          <c:dLbls>
            <c:showLegendKey val="0"/>
            <c:showVal val="0"/>
            <c:showCatName val="0"/>
            <c:showSerName val="0"/>
            <c:showPercent val="0"/>
            <c:showBubbleSize val="0"/>
            <c:showLeaderLines val="1"/>
          </c:dLbls>
          <c:cat>
            <c:strLit>
              <c:ptCount val="5"/>
              <c:pt idx="0">
                <c:v>2025</c:v>
              </c:pt>
              <c:pt idx="1">
                <c:v>2024</c:v>
              </c:pt>
              <c:pt idx="2">
                <c:v>2023</c:v>
              </c:pt>
              <c:pt idx="3">
                <c:v>2022</c:v>
              </c:pt>
              <c:pt idx="4">
                <c:v>2021</c:v>
              </c:pt>
            </c:strLit>
          </c:cat>
          <c:val>
            <c:numRef>
              <c:f/>
              <c:numCache>
                <c:formatCode>0.00</c:formatCode>
                <c:ptCount val="5"/>
                <c:pt idx="0">
                  <c:v>0.9748706302818212</c:v>
                </c:pt>
                <c:pt idx="1">
                  <c:v>0.9680654119099044</c:v>
                </c:pt>
                <c:pt idx="2">
                  <c:v>0.9393333201291371</c:v>
                </c:pt>
                <c:pt idx="3">
                  <c:v>0.8248491105463787</c:v>
                </c:pt>
                <c:pt idx="4">
                  <c:v>0.5514784892744856</c:v>
                </c:pt>
              </c:numCache>
            </c:numRef>
          </c:val>
        </c:ser>
        <c:ser>
          <c:idx val="6"/>
          <c:order val="6"/>
          <c:tx>
            <c:v>Price-to-Earnings (P/E) Ratio</c:v>
          </c:tx>
          <c:spPr>
            <a:solidFill>
              <a:srgbClr val="2C4D74"/>
            </a:solidFill>
            <a:ln>
              <a:noFill/>
            </a:ln>
          </c:spPr>
          <c:invertIfNegative val="0"/>
          <c:dLbls>
            <c:showLegendKey val="0"/>
            <c:showVal val="0"/>
            <c:showCatName val="0"/>
            <c:showSerName val="0"/>
            <c:showPercent val="0"/>
            <c:showBubbleSize val="0"/>
            <c:showLeaderLines val="1"/>
          </c:dLbls>
          <c:cat>
            <c:strLit>
              <c:ptCount val="5"/>
              <c:pt idx="0">
                <c:v>2025</c:v>
              </c:pt>
              <c:pt idx="1">
                <c:v>2024</c:v>
              </c:pt>
              <c:pt idx="2">
                <c:v>2023</c:v>
              </c:pt>
              <c:pt idx="3">
                <c:v>2022</c:v>
              </c:pt>
              <c:pt idx="4">
                <c:v>2021</c:v>
              </c:pt>
            </c:strLit>
          </c:cat>
          <c:val>
            <c:numRef>
              <c:f/>
              <c:numCache>
                <c:formatCode>0.00</c:formatCode>
                <c:ptCount val="5"/>
                <c:pt idx="0">
                  <c:v>32.55403987408185</c:v>
                </c:pt>
                <c:pt idx="1">
                  <c:v>33.366028708133975</c:v>
                </c:pt>
                <c:pt idx="2">
                  <c:v>22.04398826979472</c:v>
                </c:pt>
                <c:pt idx="3">
                  <c:v>20.480055020632737</c:v>
                </c:pt>
                <c:pt idx="4">
                  <c:v>49.17857142857143</c:v>
                </c:pt>
              </c:numCache>
            </c:numRef>
          </c:val>
        </c:ser>
        <c:ser>
          <c:idx val="7"/>
          <c:order val="7"/>
          <c:tx>
            <c:v>Dividend Yield Ratio</c:v>
          </c:tx>
          <c:spPr>
            <a:solidFill>
              <a:srgbClr val="782C2A"/>
            </a:solidFill>
            <a:ln>
              <a:noFill/>
            </a:ln>
          </c:spPr>
          <c:invertIfNegative val="0"/>
          <c:dLbls>
            <c:showLegendKey val="0"/>
            <c:showVal val="0"/>
            <c:showCatName val="0"/>
            <c:showSerName val="0"/>
            <c:showPercent val="0"/>
            <c:showBubbleSize val="0"/>
            <c:showLeaderLines val="1"/>
          </c:dLbls>
          <c:cat>
            <c:strLit>
              <c:ptCount val="5"/>
              <c:pt idx="0">
                <c:v>2025</c:v>
              </c:pt>
              <c:pt idx="1">
                <c:v>2024</c:v>
              </c:pt>
              <c:pt idx="2">
                <c:v>2023</c:v>
              </c:pt>
              <c:pt idx="3">
                <c:v>2022</c:v>
              </c:pt>
              <c:pt idx="4">
                <c:v>2021</c:v>
              </c:pt>
            </c:strLit>
          </c:cat>
          <c:val>
            <c:numRef>
              <c:f/>
              <c:numCache>
                <c:formatCode>0.00%</c:formatCode>
                <c:ptCount val="5"/>
                <c:pt idx="0">
                  <c:v>0.00850954100051573</c:v>
                </c:pt>
                <c:pt idx="1">
                  <c:v>0.008639850863985088</c:v>
                </c:pt>
                <c:pt idx="2">
                  <c:v>0.008691410580462064</c:v>
                </c:pt>
                <c:pt idx="3">
                  <c:v>0.013164080865068171</c:v>
                </c:pt>
                <c:pt idx="4">
                  <c:v>0.0060518034374243525</c:v>
                </c:pt>
              </c:numCache>
            </c:numRef>
          </c:val>
        </c:ser>
        <c:ser>
          <c:idx val="8"/>
          <c:order val="8"/>
          <c:tx>
            <c:v>Operating Cash Flow Ratio</c:v>
          </c:tx>
          <c:spPr>
            <a:solidFill>
              <a:srgbClr val="5D7430"/>
            </a:solidFill>
            <a:ln>
              <a:noFill/>
            </a:ln>
          </c:spPr>
          <c:invertIfNegative val="0"/>
          <c:dLbls>
            <c:showLegendKey val="0"/>
            <c:showVal val="0"/>
            <c:showCatName val="0"/>
            <c:showSerName val="0"/>
            <c:showPercent val="0"/>
            <c:showBubbleSize val="0"/>
            <c:showLeaderLines val="1"/>
          </c:dLbls>
          <c:cat>
            <c:strLit>
              <c:ptCount val="5"/>
              <c:pt idx="0">
                <c:v>2025</c:v>
              </c:pt>
              <c:pt idx="1">
                <c:v>2024</c:v>
              </c:pt>
              <c:pt idx="2">
                <c:v>2023</c:v>
              </c:pt>
              <c:pt idx="3">
                <c:v>2022</c:v>
              </c:pt>
              <c:pt idx="4">
                <c:v>2021</c:v>
              </c:pt>
            </c:strLit>
          </c:cat>
          <c:val>
            <c:numRef>
              <c:f/>
              <c:numCache>
                <c:formatCode>0.00</c:formatCode>
                <c:ptCount val="5"/>
                <c:pt idx="0">
                  <c:v>0.38247201714693974</c:v>
                </c:pt>
                <c:pt idx="1">
                  <c:v>0.3178402127413574</c:v>
                </c:pt>
                <c:pt idx="2">
                  <c:v>0.4083998969337799</c:v>
                </c:pt>
                <c:pt idx="3">
                  <c:v>0.32197847118135986</c:v>
                </c:pt>
                <c:pt idx="4">
                  <c:v>0.1837053223037303</c:v>
                </c:pt>
              </c:numCache>
            </c:numRef>
          </c:val>
        </c:ser>
        <c:ser>
          <c:idx val="9"/>
          <c:order val="9"/>
          <c:tx>
            <c:v>Cash Flow Margin</c:v>
          </c:tx>
          <c:spPr>
            <a:solidFill>
              <a:srgbClr val="4C3A62"/>
            </a:solidFill>
            <a:ln>
              <a:noFill/>
            </a:ln>
          </c:spPr>
          <c:invertIfNegative val="0"/>
          <c:dLbls>
            <c:showLegendKey val="0"/>
            <c:showVal val="0"/>
            <c:showCatName val="0"/>
            <c:showSerName val="0"/>
            <c:showPercent val="0"/>
            <c:showBubbleSize val="0"/>
            <c:showLeaderLines val="1"/>
          </c:dLbls>
          <c:cat>
            <c:strLit>
              <c:ptCount val="5"/>
              <c:pt idx="0">
                <c:v>2025</c:v>
              </c:pt>
              <c:pt idx="1">
                <c:v>2024</c:v>
              </c:pt>
              <c:pt idx="2">
                <c:v>2023</c:v>
              </c:pt>
              <c:pt idx="3">
                <c:v>2022</c:v>
              </c:pt>
              <c:pt idx="4">
                <c:v>2021</c:v>
              </c:pt>
            </c:strLit>
          </c:cat>
          <c:val>
            <c:numRef>
              <c:f/>
              <c:numCache>
                <c:formatCode>#,##0.00</c:formatCode>
                <c:ptCount val="5"/>
                <c:pt idx="0">
                  <c:v>0.1226609638738257</c:v>
                </c:pt>
                <c:pt idx="1">
                  <c:v>0.1095219123505976</c:v>
                </c:pt>
                <c:pt idx="2">
                  <c:v>0.13368194661156327</c:v>
                </c:pt>
                <c:pt idx="3">
                  <c:v>0.11375342993308622</c:v>
                </c:pt>
                <c:pt idx="4">
                  <c:v>0.08493901998989681</c:v>
                </c:pt>
              </c:numCache>
            </c:numRef>
          </c:val>
        </c:ser>
        <c:ser>
          <c:idx val="10"/>
          <c:order val="10"/>
          <c:tx>
            <c:v>Debt-to-Equity Ratio</c:v>
          </c:tx>
          <c:spPr>
            <a:solidFill>
              <a:srgbClr val="286A7C"/>
            </a:solidFill>
            <a:ln>
              <a:noFill/>
            </a:ln>
          </c:spPr>
          <c:invertIfNegative val="0"/>
          <c:dLbls>
            <c:showLegendKey val="0"/>
            <c:showVal val="0"/>
            <c:showCatName val="0"/>
            <c:showSerName val="0"/>
            <c:showPercent val="0"/>
            <c:showBubbleSize val="0"/>
            <c:showLeaderLines val="1"/>
          </c:dLbls>
          <c:cat>
            <c:strLit>
              <c:ptCount val="5"/>
              <c:pt idx="0">
                <c:v>2025</c:v>
              </c:pt>
              <c:pt idx="1">
                <c:v>2024</c:v>
              </c:pt>
              <c:pt idx="2">
                <c:v>2023</c:v>
              </c:pt>
              <c:pt idx="3">
                <c:v>2022</c:v>
              </c:pt>
              <c:pt idx="4">
                <c:v>2021</c:v>
              </c:pt>
            </c:strLit>
          </c:cat>
          <c:val>
            <c:numRef>
              <c:f/>
              <c:numCache>
                <c:formatCode>0.00</c:formatCode>
                <c:ptCount val="5"/>
                <c:pt idx="0">
                  <c:v>2.3606738035264483</c:v>
                </c:pt>
                <c:pt idx="1">
                  <c:v>2.1262340184495874</c:v>
                </c:pt>
                <c:pt idx="2">
                  <c:v>1.870765162783011</c:v>
                </c:pt>
                <c:pt idx="3">
                  <c:v>1.5725062866722548</c:v>
                </c:pt>
                <c:pt idx="4">
                  <c:v>1.5840122199592668</c:v>
                </c:pt>
              </c:numCache>
            </c:numRef>
          </c:val>
        </c:ser>
        <c:ser>
          <c:idx val="11"/>
          <c:order val="11"/>
          <c:tx>
            <c:v>Interest Coverage Ratio</c:v>
          </c:tx>
          <c:spPr>
            <a:solidFill>
              <a:srgbClr val="B65708"/>
            </a:solidFill>
            <a:ln>
              <a:noFill/>
            </a:ln>
          </c:spPr>
          <c:invertIfNegative val="0"/>
          <c:dLbls>
            <c:showLegendKey val="0"/>
            <c:showVal val="0"/>
            <c:showCatName val="0"/>
            <c:showSerName val="0"/>
            <c:showPercent val="0"/>
            <c:showBubbleSize val="0"/>
            <c:showLeaderLines val="1"/>
          </c:dLbls>
          <c:cat>
            <c:strLit>
              <c:ptCount val="5"/>
              <c:pt idx="0">
                <c:v>2025</c:v>
              </c:pt>
              <c:pt idx="1">
                <c:v>2024</c:v>
              </c:pt>
              <c:pt idx="2">
                <c:v>2023</c:v>
              </c:pt>
              <c:pt idx="3">
                <c:v>2022</c:v>
              </c:pt>
              <c:pt idx="4">
                <c:v>2021</c:v>
              </c:pt>
            </c:strLit>
          </c:cat>
          <c:val>
            <c:numRef>
              <c:f/>
              <c:numCache>
                <c:formatCode>#,##0.00</c:formatCode>
                <c:ptCount val="5"/>
                <c:pt idx="0">
                  <c:v>5.118665018541409</c:v>
                </c:pt>
                <c:pt idx="1">
                  <c:v>5.420143884892086</c:v>
                </c:pt>
                <c:pt idx="2">
                  <c:v>6.838938053097345</c:v>
                </c:pt>
                <c:pt idx="3">
                  <c:v>42.955334987593055</c:v>
                </c:pt>
                <c:pt idx="4">
                  <c:v>28.826190476190476</c:v>
                </c:pt>
              </c:numCache>
            </c:numRef>
          </c:val>
        </c:ser>
        <c:gapWidth val="150"/>
        <c:axId val="0"/>
        <c:axId val="1"/>
      </c:barChart>
      <c:catAx>
        <c:axId val="0"/>
        <c:scaling>
          <c:orientation val="minMax"/>
        </c:scaling>
        <c:delete val="0"/>
        <c:axPos val="b"/>
        <c:numFmt formatCode="General" sourceLinked="0"/>
        <c:majorTickMark val="none"/>
        <c:minorTickMark val="none"/>
        <c:tickLblPos val="nextTo"/>
        <c:spPr>
          <a:ln w="12700">
            <a:solidFill>
              <a:srgbClr val="D9D9D9"/>
            </a:solidFill>
            <a:prstDash val="solid"/>
          </a:ln>
        </c:spPr>
        <c:txPr>
          <a:bodyPr rot="0" vert="horz" anchor="t" anchorCtr="0"/>
          <a:lstStyle/>
          <a:p>
            <a:pPr>
              <a:defRPr sz="900" b="0" i="0" u="none" strike="noStrike" baseline="0">
                <a:solidFill>
                  <a:srgbClr val="595959"/>
                </a:solidFill>
                <a:latin typeface="Droid Sans"/>
                <a:ea typeface="Droid Sans"/>
                <a:cs typeface="Lucida Sans"/>
              </a:defRPr>
            </a:pPr>
            <a:endParaRPr lang="zh-CN"/>
          </a:p>
        </c:txPr>
        <c:crosses val="autoZero"/>
        <c:auto val="1"/>
        <c:lblOffset val="100"/>
        <c:lblAlgn val="ctr"/>
        <c:noMultiLvlLbl val="0"/>
        <c:crossAx val="1"/>
      </c:catAx>
      <c:valAx>
        <c:axId val="1"/>
        <c:scaling>
          <c:orientation val="minMax"/>
        </c:scaling>
        <c:delete val="0"/>
        <c:axPos val="l"/>
        <c:majorGridlines>
          <c:spPr>
            <a:ln w="12700">
              <a:solidFill>
                <a:srgbClr val="D9D9D9"/>
              </a:solidFill>
              <a:prstDash val="solid"/>
            </a:ln>
          </c:spPr>
        </c:majorGridlines>
        <c:numFmt formatCode="0.00%" sourceLinked="0"/>
        <c:majorTickMark val="none"/>
        <c:minorTickMark val="none"/>
        <c:tickLblPos val="nextTo"/>
        <c:spPr>
          <a:ln>
            <a:noFill/>
          </a:ln>
        </c:spPr>
        <c:txPr>
          <a:bodyPr rot="0" vert="horz" anchor="t" anchorCtr="0"/>
          <a:lstStyle/>
          <a:p>
            <a:pPr>
              <a:defRPr sz="900" b="0" i="0" u="none" strike="noStrike" baseline="0">
                <a:solidFill>
                  <a:srgbClr val="595959"/>
                </a:solidFill>
                <a:latin typeface="Droid Sans"/>
                <a:ea typeface="Droid Sans"/>
                <a:cs typeface="Lucida Sans"/>
              </a:defRPr>
            </a:pPr>
            <a:endParaRPr lang="zh-CN"/>
          </a:p>
        </c:txPr>
        <c:crosses val="autoZero"/>
        <c:crossBetween val="between"/>
        <c:crossAx val="0"/>
      </c:valAx>
      <c:dTable>
        <c:showHorzBorder val="1"/>
        <c:showVertBorder val="1"/>
        <c:showOutline val="1"/>
        <c:showKeys val="1"/>
        <c:spPr>
          <a:ln w="12700">
            <a:solidFill>
              <a:srgbClr val="D9D9D9"/>
            </a:solidFill>
            <a:prstDash val="solid"/>
          </a:ln>
        </c:spPr>
        <c:txPr>
          <a:bodyPr/>
          <a:lstStyle/>
          <a:p>
            <a:pPr rtl="0">
              <a:defRPr sz="900" b="0" i="0" u="none" strike="noStrike" baseline="0">
                <a:solidFill>
                  <a:srgbClr val="595959"/>
                </a:solidFill>
                <a:latin typeface="Droid Sans"/>
                <a:ea typeface="Droid Sans"/>
                <a:cs typeface="Lucida Sans"/>
              </a:defRPr>
            </a:pPr>
            <a:endParaRPr lang="zh-CN"/>
          </a:p>
        </c:txPr>
      </c:dTable>
      <c:spPr>
        <a:noFill/>
        <a:ln>
          <a:noFill/>
        </a:ln>
      </c:spPr>
    </c:plotArea>
    <c:plotVisOnly val="1"/>
    <c:dispBlanksAs val="gap"/>
    <c:showDLblsOverMax val="0"/>
  </c:chart>
  <c:spPr>
    <a:solidFill>
      <a:srgbClr val="FFFFFF"/>
    </a:solidFill>
    <a:ln w="12700">
      <a:solidFill>
        <a:srgbClr val="D9D9D9"/>
      </a:solidFill>
      <a:prstDash val="solid"/>
    </a:ln>
  </c:spPr>
  <c:txPr>
    <a:bodyPr/>
    <a:lstStyle/>
    <a:p>
      <a:pPr>
        <a:defRPr sz="1000" b="0" i="0" u="none" strike="noStrike" baseline="0">
          <a:solidFill>
            <a:srgbClr val="000000"/>
          </a:solidFill>
          <a:latin typeface="Droid Sans"/>
          <a:ea typeface="Droid Sans"/>
          <a:cs typeface="Lucida Sans"/>
        </a:defRPr>
      </a:pPr>
      <a:endParaRPr lang="zh-CN"/>
    </a:p>
  </c:txPr>
  <c:printSettings>
    <c:headerFooter/>
    <c:pageMargins b="0.75" l="0.7" r="0.7" t="0.75" header="0.3" footer="0.3"/>
    <c:pageSetup/>
  </c:printSettings>
  <c:externalData r:id="rId1">
    <c:autoUpdate val="0"/>
  </c:externalData>
</c:chartSpace>
</file>

<file path=docProps/app.xml><?xml version="1.0" encoding="utf-8"?>
<Properties xmlns="http://schemas.openxmlformats.org/officeDocument/2006/extended-properties">
  <Template>Normal.eit</Template>
  <TotalTime>0</TotalTime>
  <Application>Yozo_Office</Application>
  <Pages>37</Pages>
  <Words>5957</Words>
  <Characters>34561</Characters>
  <Lines>1368</Lines>
  <Paragraphs>656</Paragraphs>
  <CharactersWithSpaces>42811</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0</cp:revision>
  <dcterms:created xsi:type="dcterms:W3CDTF">2026-07-08T15:05:00Z</dcterms:created>
  <dcterms:modified xsi:type="dcterms:W3CDTF">2026-08-13T05:58:59Z</dcterms:modified>
</cp:coreProperties>
</file>