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1C53A" w14:textId="75FA422B" w:rsidR="0067541D" w:rsidRDefault="0067541D"/>
    <w:p w14:paraId="1CC96FA6" w14:textId="76CCE8E0" w:rsidR="008856AD" w:rsidRDefault="008856AD"/>
    <w:p w14:paraId="2E0ED4B5" w14:textId="0A02FCFF" w:rsidR="008856AD" w:rsidRDefault="008856AD"/>
    <w:p w14:paraId="2FB082ED" w14:textId="219B9218" w:rsidR="008856AD" w:rsidRDefault="008856AD"/>
    <w:p w14:paraId="68406DF2" w14:textId="0AC6C4D8" w:rsidR="008856AD" w:rsidRDefault="008856AD"/>
    <w:p w14:paraId="067A437A" w14:textId="1B7B4ADB" w:rsidR="008856AD" w:rsidRDefault="008856AD"/>
    <w:p w14:paraId="63F37B7D" w14:textId="0ED552A4" w:rsidR="008856AD" w:rsidRDefault="008856AD"/>
    <w:p w14:paraId="28D00418" w14:textId="4F39CE21" w:rsidR="008856AD" w:rsidRPr="008856AD" w:rsidRDefault="008856AD">
      <w:pPr>
        <w:rPr>
          <w:sz w:val="40"/>
          <w:szCs w:val="40"/>
        </w:rPr>
      </w:pPr>
    </w:p>
    <w:p w14:paraId="77A5B7C7" w14:textId="2B884DCC" w:rsidR="008856AD" w:rsidRPr="008856AD" w:rsidRDefault="008856AD">
      <w:pPr>
        <w:rPr>
          <w:sz w:val="56"/>
          <w:szCs w:val="56"/>
        </w:rPr>
      </w:pPr>
    </w:p>
    <w:p w14:paraId="271D525E" w14:textId="3CBE6F97" w:rsidR="008856AD" w:rsidRPr="008856AD" w:rsidRDefault="008856AD">
      <w:pPr>
        <w:rPr>
          <w:color w:val="4472C4" w:themeColor="accent1"/>
          <w:sz w:val="72"/>
          <w:szCs w:val="72"/>
        </w:rPr>
      </w:pPr>
      <w:r>
        <w:rPr>
          <w:color w:val="4472C4" w:themeColor="accent1"/>
          <w:sz w:val="72"/>
          <w:szCs w:val="72"/>
        </w:rPr>
        <w:t xml:space="preserve">             </w:t>
      </w:r>
      <w:r w:rsidRPr="008856AD">
        <w:rPr>
          <w:color w:val="4472C4" w:themeColor="accent1"/>
          <w:sz w:val="72"/>
          <w:szCs w:val="72"/>
        </w:rPr>
        <w:t>E-PORTOFOLIO REPORT</w:t>
      </w:r>
    </w:p>
    <w:p w14:paraId="7B86A1C7" w14:textId="1A60BE79" w:rsidR="008856AD" w:rsidRDefault="008856AD">
      <w:pPr>
        <w:rPr>
          <w:sz w:val="32"/>
          <w:szCs w:val="32"/>
        </w:rPr>
      </w:pPr>
      <w:r>
        <w:rPr>
          <w:sz w:val="32"/>
          <w:szCs w:val="32"/>
        </w:rPr>
        <w:t xml:space="preserve">                                                                                </w:t>
      </w:r>
      <w:r w:rsidR="0009655C">
        <w:rPr>
          <w:sz w:val="32"/>
          <w:szCs w:val="32"/>
        </w:rPr>
        <w:t xml:space="preserve">                    </w:t>
      </w:r>
      <w:r w:rsidRPr="008856AD">
        <w:rPr>
          <w:sz w:val="32"/>
          <w:szCs w:val="32"/>
        </w:rPr>
        <w:t xml:space="preserve">Legal Process </w:t>
      </w:r>
    </w:p>
    <w:p w14:paraId="446119D6" w14:textId="526EABF9" w:rsidR="008856AD" w:rsidRPr="008856AD" w:rsidRDefault="008856AD">
      <w:pPr>
        <w:rPr>
          <w:sz w:val="28"/>
          <w:szCs w:val="28"/>
        </w:rPr>
      </w:pPr>
      <w:r>
        <w:rPr>
          <w:sz w:val="32"/>
          <w:szCs w:val="32"/>
        </w:rPr>
        <w:t xml:space="preserve">                                                                             </w:t>
      </w:r>
      <w:r w:rsidRPr="008856AD">
        <w:rPr>
          <w:sz w:val="28"/>
          <w:szCs w:val="28"/>
        </w:rPr>
        <w:t>DUMITRU VASILE GOMOESCU</w:t>
      </w:r>
    </w:p>
    <w:p w14:paraId="5700DA93" w14:textId="76360962" w:rsidR="008856AD" w:rsidRPr="008856AD" w:rsidRDefault="008856AD">
      <w:pPr>
        <w:rPr>
          <w:sz w:val="28"/>
          <w:szCs w:val="28"/>
        </w:rPr>
      </w:pPr>
      <w:r>
        <w:rPr>
          <w:sz w:val="28"/>
          <w:szCs w:val="28"/>
        </w:rPr>
        <w:t xml:space="preserve">                                                                                          </w:t>
      </w:r>
      <w:r w:rsidRPr="008856AD">
        <w:rPr>
          <w:sz w:val="28"/>
          <w:szCs w:val="28"/>
        </w:rPr>
        <w:t>STUDENT NUMBER</w:t>
      </w:r>
      <w:r>
        <w:rPr>
          <w:sz w:val="28"/>
          <w:szCs w:val="28"/>
        </w:rPr>
        <w:t>:</w:t>
      </w:r>
      <w:r w:rsidRPr="008856AD">
        <w:rPr>
          <w:sz w:val="28"/>
          <w:szCs w:val="28"/>
        </w:rPr>
        <w:t xml:space="preserve"> 2</w:t>
      </w:r>
      <w:r>
        <w:rPr>
          <w:sz w:val="28"/>
          <w:szCs w:val="28"/>
        </w:rPr>
        <w:t>2</w:t>
      </w:r>
      <w:r w:rsidRPr="008856AD">
        <w:rPr>
          <w:sz w:val="28"/>
          <w:szCs w:val="28"/>
        </w:rPr>
        <w:t>23227</w:t>
      </w:r>
    </w:p>
    <w:p w14:paraId="39DF0D8B" w14:textId="3D17574D" w:rsidR="008856AD" w:rsidRDefault="008856AD"/>
    <w:p w14:paraId="437CFB97" w14:textId="2CCCA8CC" w:rsidR="008856AD" w:rsidRDefault="008856AD"/>
    <w:p w14:paraId="427464E3" w14:textId="064F3CF3" w:rsidR="008856AD" w:rsidRDefault="008856AD"/>
    <w:p w14:paraId="28E1D9A5" w14:textId="7B675E96" w:rsidR="008856AD" w:rsidRDefault="008856AD"/>
    <w:p w14:paraId="47A4A3EB" w14:textId="123138EE" w:rsidR="008856AD" w:rsidRDefault="008856AD"/>
    <w:p w14:paraId="0561ABAD" w14:textId="0F03BB95" w:rsidR="008856AD" w:rsidRDefault="008856AD"/>
    <w:p w14:paraId="1D3FEB4B" w14:textId="38325D82" w:rsidR="008856AD" w:rsidRDefault="008856AD"/>
    <w:p w14:paraId="7F3A2614" w14:textId="74D3D602" w:rsidR="008856AD" w:rsidRDefault="008856AD"/>
    <w:p w14:paraId="7DC5F798" w14:textId="2EB87F93" w:rsidR="008856AD" w:rsidRDefault="008856AD"/>
    <w:p w14:paraId="7702FFE4" w14:textId="491FD7B2" w:rsidR="008856AD" w:rsidRDefault="008856AD"/>
    <w:p w14:paraId="65A2A9E5" w14:textId="2C5C950D" w:rsidR="008856AD" w:rsidRDefault="008856AD"/>
    <w:p w14:paraId="76CEEBE9" w14:textId="7B3D41D4" w:rsidR="008856AD" w:rsidRDefault="008856AD"/>
    <w:p w14:paraId="78134957" w14:textId="16F17B08" w:rsidR="008856AD" w:rsidRDefault="008856AD"/>
    <w:p w14:paraId="49098F16" w14:textId="0EC32D24" w:rsidR="008856AD" w:rsidRDefault="008856AD"/>
    <w:p w14:paraId="70A77200" w14:textId="62CD657B" w:rsidR="008856AD" w:rsidRDefault="008856AD"/>
    <w:p w14:paraId="7CBB06B5" w14:textId="2DFD4497" w:rsidR="008856AD" w:rsidRDefault="008856AD"/>
    <w:p w14:paraId="683D31FD" w14:textId="0EB3AEA6" w:rsidR="008856AD" w:rsidRDefault="008856AD"/>
    <w:p w14:paraId="1E3FD3D3" w14:textId="11ADFE00" w:rsidR="008856AD" w:rsidRDefault="008856AD"/>
    <w:p w14:paraId="5AF61041" w14:textId="2CDA67AE" w:rsidR="008856AD" w:rsidRDefault="008856AD"/>
    <w:p w14:paraId="72258B3A" w14:textId="6C501930" w:rsidR="008856AD" w:rsidRDefault="008856AD" w:rsidP="008856AD">
      <w:pPr>
        <w:spacing w:after="0" w:line="360" w:lineRule="auto"/>
        <w:jc w:val="center"/>
        <w:rPr>
          <w:rFonts w:ascii="Arial" w:eastAsia="Arial" w:hAnsi="Arial" w:cs="Arial"/>
          <w:b/>
          <w:sz w:val="34"/>
          <w:szCs w:val="34"/>
          <w:lang w:eastAsia="en-US"/>
        </w:rPr>
      </w:pPr>
      <w:r w:rsidRPr="008856AD">
        <w:rPr>
          <w:rFonts w:ascii="Arial" w:eastAsia="Arial" w:hAnsi="Arial" w:cs="Arial"/>
          <w:b/>
          <w:sz w:val="34"/>
          <w:szCs w:val="34"/>
          <w:lang w:eastAsia="en-US"/>
        </w:rPr>
        <w:t>Module: Legal Process BMPL40</w:t>
      </w:r>
      <w:r w:rsidR="00862E01">
        <w:rPr>
          <w:rFonts w:ascii="Arial" w:eastAsia="Arial" w:hAnsi="Arial" w:cs="Arial"/>
          <w:b/>
          <w:sz w:val="34"/>
          <w:szCs w:val="34"/>
          <w:lang w:eastAsia="en-US"/>
        </w:rPr>
        <w:t>11</w:t>
      </w:r>
    </w:p>
    <w:p w14:paraId="57E3304F" w14:textId="77777777" w:rsidR="00862E01" w:rsidRPr="008856AD" w:rsidRDefault="00862E01" w:rsidP="008856AD">
      <w:pPr>
        <w:spacing w:after="0" w:line="360" w:lineRule="auto"/>
        <w:jc w:val="center"/>
        <w:rPr>
          <w:rFonts w:ascii="Arial" w:eastAsia="Arial" w:hAnsi="Arial" w:cs="Arial"/>
          <w:b/>
          <w:sz w:val="34"/>
          <w:szCs w:val="34"/>
          <w:lang w:eastAsia="en-US"/>
        </w:rPr>
      </w:pPr>
    </w:p>
    <w:p w14:paraId="255B2410" w14:textId="6633ED02" w:rsidR="008856AD" w:rsidRPr="008856AD" w:rsidRDefault="008856AD" w:rsidP="008856AD">
      <w:pPr>
        <w:spacing w:after="0" w:line="360" w:lineRule="auto"/>
        <w:jc w:val="center"/>
        <w:rPr>
          <w:rFonts w:ascii="Arial" w:eastAsia="Arial" w:hAnsi="Arial" w:cs="Arial"/>
          <w:b/>
          <w:sz w:val="34"/>
          <w:szCs w:val="34"/>
          <w:lang w:eastAsia="en-US"/>
        </w:rPr>
      </w:pPr>
    </w:p>
    <w:p w14:paraId="3483342F"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br w:type="page"/>
      </w:r>
    </w:p>
    <w:sdt>
      <w:sdtPr>
        <w:rPr>
          <w:rFonts w:ascii="Arial" w:eastAsia="Arial" w:hAnsi="Arial" w:cs="Arial"/>
          <w:sz w:val="24"/>
          <w:szCs w:val="24"/>
          <w:lang w:eastAsia="en-US"/>
        </w:rPr>
        <w:id w:val="11679562"/>
        <w:docPartObj>
          <w:docPartGallery w:val="Table of Contents"/>
          <w:docPartUnique/>
        </w:docPartObj>
      </w:sdtPr>
      <w:sdtContent>
        <w:p w14:paraId="2875B5A9" w14:textId="77777777" w:rsidR="008856AD" w:rsidRPr="008856AD" w:rsidRDefault="008856AD" w:rsidP="008856AD">
          <w:pPr>
            <w:keepNext/>
            <w:keepLines/>
            <w:spacing w:before="480" w:after="0" w:line="360" w:lineRule="auto"/>
            <w:jc w:val="center"/>
            <w:rPr>
              <w:rFonts w:ascii="Calibri" w:eastAsia="SimSun" w:hAnsi="Calibri" w:cs="Times New Roman"/>
              <w:b/>
              <w:bCs/>
              <w:color w:val="365F91"/>
              <w:sz w:val="28"/>
              <w:szCs w:val="28"/>
              <w:lang w:val="en-US" w:eastAsia="en-US"/>
            </w:rPr>
          </w:pPr>
          <w:r w:rsidRPr="008856AD">
            <w:rPr>
              <w:rFonts w:ascii="Arial" w:eastAsia="SimSun" w:hAnsi="Arial" w:cs="Arial"/>
              <w:b/>
              <w:bCs/>
              <w:sz w:val="28"/>
              <w:szCs w:val="28"/>
              <w:lang w:val="en-US" w:eastAsia="en-US"/>
            </w:rPr>
            <w:t>Table of Contents</w:t>
          </w:r>
        </w:p>
        <w:p w14:paraId="46C6CBEB" w14:textId="0ED21701" w:rsidR="008856AD" w:rsidRPr="008856AD" w:rsidRDefault="008856AD" w:rsidP="008856AD">
          <w:pPr>
            <w:tabs>
              <w:tab w:val="right" w:leader="dot" w:pos="9016"/>
            </w:tabs>
            <w:spacing w:after="100" w:line="360" w:lineRule="auto"/>
            <w:jc w:val="both"/>
            <w:rPr>
              <w:rFonts w:ascii="Arial" w:eastAsia="Arial" w:hAnsi="Arial" w:cs="Arial"/>
              <w:noProof/>
              <w:sz w:val="24"/>
              <w:szCs w:val="24"/>
              <w:lang w:eastAsia="en-US"/>
            </w:rPr>
          </w:pPr>
          <w:r w:rsidRPr="008856AD">
            <w:rPr>
              <w:rFonts w:ascii="Arial" w:eastAsia="Arial" w:hAnsi="Arial" w:cs="Arial"/>
              <w:sz w:val="24"/>
              <w:szCs w:val="24"/>
              <w:lang w:eastAsia="en-US"/>
            </w:rPr>
            <w:fldChar w:fldCharType="begin"/>
          </w:r>
          <w:r w:rsidRPr="008856AD">
            <w:rPr>
              <w:rFonts w:ascii="Arial" w:eastAsia="Arial" w:hAnsi="Arial" w:cs="Arial"/>
              <w:sz w:val="24"/>
              <w:szCs w:val="24"/>
              <w:lang w:eastAsia="en-US"/>
            </w:rPr>
            <w:instrText xml:space="preserve"> TOC \o "1-3" \h \z \u </w:instrText>
          </w:r>
          <w:r w:rsidRPr="008856AD">
            <w:rPr>
              <w:rFonts w:ascii="Arial" w:eastAsia="Arial" w:hAnsi="Arial" w:cs="Arial"/>
              <w:sz w:val="24"/>
              <w:szCs w:val="24"/>
              <w:lang w:eastAsia="en-US"/>
            </w:rPr>
            <w:fldChar w:fldCharType="separate"/>
          </w:r>
          <w:hyperlink w:anchor="_Toc127188710" w:history="1">
            <w:r w:rsidRPr="008856AD">
              <w:rPr>
                <w:rFonts w:ascii="Arial" w:eastAsia="Arial" w:hAnsi="Arial" w:cs="Arial"/>
                <w:noProof/>
                <w:color w:val="0000FF"/>
                <w:sz w:val="24"/>
                <w:szCs w:val="24"/>
                <w:u w:val="single"/>
                <w:lang w:eastAsia="en-US"/>
              </w:rPr>
              <w:t>Introduction</w:t>
            </w:r>
            <w:r w:rsidRPr="008856AD">
              <w:rPr>
                <w:rFonts w:ascii="Arial" w:eastAsia="Arial" w:hAnsi="Arial" w:cs="Arial"/>
                <w:noProof/>
                <w:webHidden/>
                <w:sz w:val="24"/>
                <w:szCs w:val="24"/>
                <w:lang w:eastAsia="en-US"/>
              </w:rPr>
              <w:tab/>
            </w:r>
            <w:r w:rsidRPr="008856AD">
              <w:rPr>
                <w:rFonts w:ascii="Arial" w:eastAsia="Arial" w:hAnsi="Arial" w:cs="Arial"/>
                <w:noProof/>
                <w:webHidden/>
                <w:sz w:val="24"/>
                <w:szCs w:val="24"/>
                <w:lang w:eastAsia="en-US"/>
              </w:rPr>
              <w:fldChar w:fldCharType="begin"/>
            </w:r>
            <w:r w:rsidRPr="008856AD">
              <w:rPr>
                <w:rFonts w:ascii="Arial" w:eastAsia="Arial" w:hAnsi="Arial" w:cs="Arial"/>
                <w:noProof/>
                <w:webHidden/>
                <w:sz w:val="24"/>
                <w:szCs w:val="24"/>
                <w:lang w:eastAsia="en-US"/>
              </w:rPr>
              <w:instrText xml:space="preserve"> PAGEREF _Toc127188710 \h </w:instrText>
            </w:r>
            <w:r w:rsidRPr="008856AD">
              <w:rPr>
                <w:rFonts w:ascii="Arial" w:eastAsia="Arial" w:hAnsi="Arial" w:cs="Arial"/>
                <w:noProof/>
                <w:webHidden/>
                <w:sz w:val="24"/>
                <w:szCs w:val="24"/>
                <w:lang w:eastAsia="en-US"/>
              </w:rPr>
            </w:r>
            <w:r w:rsidRPr="008856AD">
              <w:rPr>
                <w:rFonts w:ascii="Arial" w:eastAsia="Arial" w:hAnsi="Arial" w:cs="Arial"/>
                <w:noProof/>
                <w:webHidden/>
                <w:sz w:val="24"/>
                <w:szCs w:val="24"/>
                <w:lang w:eastAsia="en-US"/>
              </w:rPr>
              <w:fldChar w:fldCharType="separate"/>
            </w:r>
            <w:r>
              <w:rPr>
                <w:rFonts w:ascii="Arial" w:eastAsia="Arial" w:hAnsi="Arial" w:cs="Arial"/>
                <w:noProof/>
                <w:webHidden/>
                <w:sz w:val="24"/>
                <w:szCs w:val="24"/>
                <w:lang w:eastAsia="en-US"/>
              </w:rPr>
              <w:t>4</w:t>
            </w:r>
            <w:r w:rsidRPr="008856AD">
              <w:rPr>
                <w:rFonts w:ascii="Arial" w:eastAsia="Arial" w:hAnsi="Arial" w:cs="Arial"/>
                <w:noProof/>
                <w:webHidden/>
                <w:sz w:val="24"/>
                <w:szCs w:val="24"/>
                <w:lang w:eastAsia="en-US"/>
              </w:rPr>
              <w:fldChar w:fldCharType="end"/>
            </w:r>
          </w:hyperlink>
        </w:p>
        <w:p w14:paraId="5389C0B3" w14:textId="32D654F0" w:rsidR="008856AD" w:rsidRPr="008856AD" w:rsidRDefault="00000000" w:rsidP="008856AD">
          <w:pPr>
            <w:tabs>
              <w:tab w:val="right" w:leader="dot" w:pos="9016"/>
            </w:tabs>
            <w:spacing w:after="100" w:line="360" w:lineRule="auto"/>
            <w:jc w:val="both"/>
            <w:rPr>
              <w:rFonts w:ascii="Arial" w:eastAsia="Arial" w:hAnsi="Arial" w:cs="Arial"/>
              <w:noProof/>
              <w:sz w:val="24"/>
              <w:szCs w:val="24"/>
              <w:lang w:eastAsia="en-US"/>
            </w:rPr>
          </w:pPr>
          <w:hyperlink w:anchor="_Toc127188711" w:history="1">
            <w:r w:rsidR="008856AD" w:rsidRPr="008856AD">
              <w:rPr>
                <w:rFonts w:ascii="Arial" w:eastAsia="Arial" w:hAnsi="Arial" w:cs="Arial"/>
                <w:noProof/>
                <w:color w:val="0000FF"/>
                <w:sz w:val="24"/>
                <w:szCs w:val="24"/>
                <w:u w:val="single"/>
                <w:lang w:eastAsia="en-US"/>
              </w:rPr>
              <w:t>Main Body</w:t>
            </w:r>
            <w:r w:rsidR="008856AD" w:rsidRPr="008856AD">
              <w:rPr>
                <w:rFonts w:ascii="Arial" w:eastAsia="Arial" w:hAnsi="Arial" w:cs="Arial"/>
                <w:noProof/>
                <w:webHidden/>
                <w:sz w:val="24"/>
                <w:szCs w:val="24"/>
                <w:lang w:eastAsia="en-US"/>
              </w:rPr>
              <w:tab/>
            </w:r>
            <w:r w:rsidR="008856AD" w:rsidRPr="008856AD">
              <w:rPr>
                <w:rFonts w:ascii="Arial" w:eastAsia="Arial" w:hAnsi="Arial" w:cs="Arial"/>
                <w:noProof/>
                <w:webHidden/>
                <w:sz w:val="24"/>
                <w:szCs w:val="24"/>
                <w:lang w:eastAsia="en-US"/>
              </w:rPr>
              <w:fldChar w:fldCharType="begin"/>
            </w:r>
            <w:r w:rsidR="008856AD" w:rsidRPr="008856AD">
              <w:rPr>
                <w:rFonts w:ascii="Arial" w:eastAsia="Arial" w:hAnsi="Arial" w:cs="Arial"/>
                <w:noProof/>
                <w:webHidden/>
                <w:sz w:val="24"/>
                <w:szCs w:val="24"/>
                <w:lang w:eastAsia="en-US"/>
              </w:rPr>
              <w:instrText xml:space="preserve"> PAGEREF _Toc127188711 \h </w:instrText>
            </w:r>
            <w:r w:rsidR="008856AD" w:rsidRPr="008856AD">
              <w:rPr>
                <w:rFonts w:ascii="Arial" w:eastAsia="Arial" w:hAnsi="Arial" w:cs="Arial"/>
                <w:noProof/>
                <w:webHidden/>
                <w:sz w:val="24"/>
                <w:szCs w:val="24"/>
                <w:lang w:eastAsia="en-US"/>
              </w:rPr>
            </w:r>
            <w:r w:rsidR="008856AD" w:rsidRPr="008856AD">
              <w:rPr>
                <w:rFonts w:ascii="Arial" w:eastAsia="Arial" w:hAnsi="Arial" w:cs="Arial"/>
                <w:noProof/>
                <w:webHidden/>
                <w:sz w:val="24"/>
                <w:szCs w:val="24"/>
                <w:lang w:eastAsia="en-US"/>
              </w:rPr>
              <w:fldChar w:fldCharType="separate"/>
            </w:r>
            <w:r w:rsidR="008856AD">
              <w:rPr>
                <w:rFonts w:ascii="Arial" w:eastAsia="Arial" w:hAnsi="Arial" w:cs="Arial"/>
                <w:noProof/>
                <w:webHidden/>
                <w:sz w:val="24"/>
                <w:szCs w:val="24"/>
                <w:lang w:eastAsia="en-US"/>
              </w:rPr>
              <w:t>5</w:t>
            </w:r>
            <w:r w:rsidR="008856AD" w:rsidRPr="008856AD">
              <w:rPr>
                <w:rFonts w:ascii="Arial" w:eastAsia="Arial" w:hAnsi="Arial" w:cs="Arial"/>
                <w:noProof/>
                <w:webHidden/>
                <w:sz w:val="24"/>
                <w:szCs w:val="24"/>
                <w:lang w:eastAsia="en-US"/>
              </w:rPr>
              <w:fldChar w:fldCharType="end"/>
            </w:r>
          </w:hyperlink>
        </w:p>
        <w:p w14:paraId="66B2740F" w14:textId="51176693" w:rsidR="008856AD" w:rsidRPr="008856AD" w:rsidRDefault="00000000" w:rsidP="008856AD">
          <w:pPr>
            <w:tabs>
              <w:tab w:val="right" w:leader="dot" w:pos="9016"/>
            </w:tabs>
            <w:spacing w:after="100" w:line="360" w:lineRule="auto"/>
            <w:jc w:val="both"/>
            <w:rPr>
              <w:rFonts w:ascii="Arial" w:eastAsia="Arial" w:hAnsi="Arial" w:cs="Arial"/>
              <w:noProof/>
              <w:sz w:val="24"/>
              <w:szCs w:val="24"/>
              <w:lang w:eastAsia="en-US"/>
            </w:rPr>
          </w:pPr>
          <w:hyperlink w:anchor="_Toc127188712" w:history="1">
            <w:r w:rsidR="008856AD" w:rsidRPr="008856AD">
              <w:rPr>
                <w:rFonts w:ascii="Arial" w:eastAsia="Arial" w:hAnsi="Arial" w:cs="Arial"/>
                <w:noProof/>
                <w:color w:val="0000FF"/>
                <w:sz w:val="24"/>
                <w:szCs w:val="24"/>
                <w:u w:val="single"/>
                <w:lang w:eastAsia="en-US"/>
              </w:rPr>
              <w:t>Conclusion</w:t>
            </w:r>
            <w:r w:rsidR="008856AD" w:rsidRPr="008856AD">
              <w:rPr>
                <w:rFonts w:ascii="Arial" w:eastAsia="Arial" w:hAnsi="Arial" w:cs="Arial"/>
                <w:noProof/>
                <w:webHidden/>
                <w:sz w:val="24"/>
                <w:szCs w:val="24"/>
                <w:lang w:eastAsia="en-US"/>
              </w:rPr>
              <w:tab/>
            </w:r>
            <w:r w:rsidR="008856AD" w:rsidRPr="008856AD">
              <w:rPr>
                <w:rFonts w:ascii="Arial" w:eastAsia="Arial" w:hAnsi="Arial" w:cs="Arial"/>
                <w:noProof/>
                <w:webHidden/>
                <w:sz w:val="24"/>
                <w:szCs w:val="24"/>
                <w:lang w:eastAsia="en-US"/>
              </w:rPr>
              <w:fldChar w:fldCharType="begin"/>
            </w:r>
            <w:r w:rsidR="008856AD" w:rsidRPr="008856AD">
              <w:rPr>
                <w:rFonts w:ascii="Arial" w:eastAsia="Arial" w:hAnsi="Arial" w:cs="Arial"/>
                <w:noProof/>
                <w:webHidden/>
                <w:sz w:val="24"/>
                <w:szCs w:val="24"/>
                <w:lang w:eastAsia="en-US"/>
              </w:rPr>
              <w:instrText xml:space="preserve"> PAGEREF _Toc127188712 \h </w:instrText>
            </w:r>
            <w:r w:rsidR="008856AD" w:rsidRPr="008856AD">
              <w:rPr>
                <w:rFonts w:ascii="Arial" w:eastAsia="Arial" w:hAnsi="Arial" w:cs="Arial"/>
                <w:noProof/>
                <w:webHidden/>
                <w:sz w:val="24"/>
                <w:szCs w:val="24"/>
                <w:lang w:eastAsia="en-US"/>
              </w:rPr>
            </w:r>
            <w:r w:rsidR="008856AD" w:rsidRPr="008856AD">
              <w:rPr>
                <w:rFonts w:ascii="Arial" w:eastAsia="Arial" w:hAnsi="Arial" w:cs="Arial"/>
                <w:noProof/>
                <w:webHidden/>
                <w:sz w:val="24"/>
                <w:szCs w:val="24"/>
                <w:lang w:eastAsia="en-US"/>
              </w:rPr>
              <w:fldChar w:fldCharType="separate"/>
            </w:r>
            <w:r w:rsidR="008856AD">
              <w:rPr>
                <w:rFonts w:ascii="Arial" w:eastAsia="Arial" w:hAnsi="Arial" w:cs="Arial"/>
                <w:noProof/>
                <w:webHidden/>
                <w:sz w:val="24"/>
                <w:szCs w:val="24"/>
                <w:lang w:eastAsia="en-US"/>
              </w:rPr>
              <w:t>8</w:t>
            </w:r>
            <w:r w:rsidR="008856AD" w:rsidRPr="008856AD">
              <w:rPr>
                <w:rFonts w:ascii="Arial" w:eastAsia="Arial" w:hAnsi="Arial" w:cs="Arial"/>
                <w:noProof/>
                <w:webHidden/>
                <w:sz w:val="24"/>
                <w:szCs w:val="24"/>
                <w:lang w:eastAsia="en-US"/>
              </w:rPr>
              <w:fldChar w:fldCharType="end"/>
            </w:r>
          </w:hyperlink>
        </w:p>
        <w:p w14:paraId="671B45E7" w14:textId="792AAA86" w:rsidR="008856AD" w:rsidRPr="008856AD" w:rsidRDefault="00000000" w:rsidP="008856AD">
          <w:pPr>
            <w:tabs>
              <w:tab w:val="right" w:leader="dot" w:pos="9016"/>
            </w:tabs>
            <w:spacing w:after="100" w:line="360" w:lineRule="auto"/>
            <w:jc w:val="both"/>
            <w:rPr>
              <w:rFonts w:ascii="Arial" w:eastAsia="Arial" w:hAnsi="Arial" w:cs="Arial"/>
              <w:noProof/>
              <w:sz w:val="24"/>
              <w:szCs w:val="24"/>
              <w:lang w:eastAsia="en-US"/>
            </w:rPr>
          </w:pPr>
          <w:hyperlink w:anchor="_Toc127188713" w:history="1">
            <w:r w:rsidR="008856AD" w:rsidRPr="008856AD">
              <w:rPr>
                <w:rFonts w:ascii="Arial" w:eastAsia="Arial" w:hAnsi="Arial" w:cs="Arial"/>
                <w:noProof/>
                <w:color w:val="0000FF"/>
                <w:sz w:val="24"/>
                <w:szCs w:val="24"/>
                <w:u w:val="single"/>
                <w:lang w:eastAsia="en-US"/>
              </w:rPr>
              <w:t>References</w:t>
            </w:r>
            <w:r w:rsidR="008856AD" w:rsidRPr="008856AD">
              <w:rPr>
                <w:rFonts w:ascii="Arial" w:eastAsia="Arial" w:hAnsi="Arial" w:cs="Arial"/>
                <w:noProof/>
                <w:webHidden/>
                <w:sz w:val="24"/>
                <w:szCs w:val="24"/>
                <w:lang w:eastAsia="en-US"/>
              </w:rPr>
              <w:tab/>
            </w:r>
            <w:r w:rsidR="008856AD" w:rsidRPr="008856AD">
              <w:rPr>
                <w:rFonts w:ascii="Arial" w:eastAsia="Arial" w:hAnsi="Arial" w:cs="Arial"/>
                <w:noProof/>
                <w:webHidden/>
                <w:sz w:val="24"/>
                <w:szCs w:val="24"/>
                <w:lang w:eastAsia="en-US"/>
              </w:rPr>
              <w:fldChar w:fldCharType="begin"/>
            </w:r>
            <w:r w:rsidR="008856AD" w:rsidRPr="008856AD">
              <w:rPr>
                <w:rFonts w:ascii="Arial" w:eastAsia="Arial" w:hAnsi="Arial" w:cs="Arial"/>
                <w:noProof/>
                <w:webHidden/>
                <w:sz w:val="24"/>
                <w:szCs w:val="24"/>
                <w:lang w:eastAsia="en-US"/>
              </w:rPr>
              <w:instrText xml:space="preserve"> PAGEREF _Toc127188713 \h </w:instrText>
            </w:r>
            <w:r w:rsidR="008856AD" w:rsidRPr="008856AD">
              <w:rPr>
                <w:rFonts w:ascii="Arial" w:eastAsia="Arial" w:hAnsi="Arial" w:cs="Arial"/>
                <w:noProof/>
                <w:webHidden/>
                <w:sz w:val="24"/>
                <w:szCs w:val="24"/>
                <w:lang w:eastAsia="en-US"/>
              </w:rPr>
            </w:r>
            <w:r w:rsidR="008856AD" w:rsidRPr="008856AD">
              <w:rPr>
                <w:rFonts w:ascii="Arial" w:eastAsia="Arial" w:hAnsi="Arial" w:cs="Arial"/>
                <w:noProof/>
                <w:webHidden/>
                <w:sz w:val="24"/>
                <w:szCs w:val="24"/>
                <w:lang w:eastAsia="en-US"/>
              </w:rPr>
              <w:fldChar w:fldCharType="separate"/>
            </w:r>
            <w:r w:rsidR="008856AD">
              <w:rPr>
                <w:rFonts w:ascii="Arial" w:eastAsia="Arial" w:hAnsi="Arial" w:cs="Arial"/>
                <w:noProof/>
                <w:webHidden/>
                <w:sz w:val="24"/>
                <w:szCs w:val="24"/>
                <w:lang w:eastAsia="en-US"/>
              </w:rPr>
              <w:t>9</w:t>
            </w:r>
            <w:r w:rsidR="008856AD" w:rsidRPr="008856AD">
              <w:rPr>
                <w:rFonts w:ascii="Arial" w:eastAsia="Arial" w:hAnsi="Arial" w:cs="Arial"/>
                <w:noProof/>
                <w:webHidden/>
                <w:sz w:val="24"/>
                <w:szCs w:val="24"/>
                <w:lang w:eastAsia="en-US"/>
              </w:rPr>
              <w:fldChar w:fldCharType="end"/>
            </w:r>
          </w:hyperlink>
        </w:p>
        <w:p w14:paraId="1C55A2AF"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fldChar w:fldCharType="end"/>
          </w:r>
        </w:p>
      </w:sdtContent>
    </w:sdt>
    <w:p w14:paraId="1C4EDF67"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br w:type="page"/>
      </w:r>
    </w:p>
    <w:p w14:paraId="18DD455E" w14:textId="77777777" w:rsidR="008856AD" w:rsidRPr="008856AD" w:rsidRDefault="008856AD" w:rsidP="008856AD">
      <w:pPr>
        <w:keepNext/>
        <w:keepLines/>
        <w:spacing w:after="0" w:line="360" w:lineRule="auto"/>
        <w:jc w:val="both"/>
        <w:outlineLvl w:val="0"/>
        <w:rPr>
          <w:rFonts w:ascii="Arial" w:eastAsia="Arial" w:hAnsi="Arial" w:cs="Arial"/>
          <w:b/>
          <w:sz w:val="24"/>
          <w:szCs w:val="24"/>
          <w:lang w:eastAsia="en-US"/>
        </w:rPr>
      </w:pPr>
      <w:bookmarkStart w:id="0" w:name="_4sdtvx6qoizm" w:colFirst="0" w:colLast="0"/>
      <w:bookmarkStart w:id="1" w:name="_Toc127188710"/>
      <w:bookmarkEnd w:id="0"/>
      <w:r w:rsidRPr="008856AD">
        <w:rPr>
          <w:rFonts w:ascii="Arial" w:eastAsia="Arial" w:hAnsi="Arial" w:cs="Arial"/>
          <w:b/>
          <w:sz w:val="24"/>
          <w:szCs w:val="24"/>
          <w:lang w:eastAsia="en-US"/>
        </w:rPr>
        <w:lastRenderedPageBreak/>
        <w:t>Introduction</w:t>
      </w:r>
      <w:bookmarkEnd w:id="1"/>
    </w:p>
    <w:p w14:paraId="7BBADD8B"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This essay will be based on the thesis, “the English Legal System is based on the principles of common law” while aiming to determine how the legal processes of this legal system is influenced by common law principles. In doing so, the essay will first introduce common law and civil law and contrast these two systems. Thereafter, it will outline how common law emerged and evolved throughout history in addition to its current practices adopted by countries with common legal systems. Then, the essay will help determine how the common and legal law processes have emerged through history and how the common legal system is being applied currently. It will also determine the working of this legal system in practice taking examples from the common legal system of the UK.</w:t>
      </w:r>
    </w:p>
    <w:p w14:paraId="4AD218C1"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br w:type="page"/>
      </w:r>
    </w:p>
    <w:p w14:paraId="790C764E" w14:textId="77777777" w:rsidR="008856AD" w:rsidRPr="008856AD" w:rsidRDefault="008856AD" w:rsidP="008856AD">
      <w:pPr>
        <w:keepNext/>
        <w:keepLines/>
        <w:spacing w:after="0" w:line="360" w:lineRule="auto"/>
        <w:jc w:val="both"/>
        <w:outlineLvl w:val="0"/>
        <w:rPr>
          <w:rFonts w:ascii="Arial" w:eastAsia="Arial" w:hAnsi="Arial" w:cs="Arial"/>
          <w:b/>
          <w:sz w:val="24"/>
          <w:szCs w:val="24"/>
          <w:lang w:eastAsia="en-US"/>
        </w:rPr>
      </w:pPr>
      <w:bookmarkStart w:id="2" w:name="_y1ustxju7dqw" w:colFirst="0" w:colLast="0"/>
      <w:bookmarkStart w:id="3" w:name="_Toc127188711"/>
      <w:bookmarkEnd w:id="2"/>
      <w:r w:rsidRPr="008856AD">
        <w:rPr>
          <w:rFonts w:ascii="Arial" w:eastAsia="Arial" w:hAnsi="Arial" w:cs="Arial"/>
          <w:b/>
          <w:sz w:val="24"/>
          <w:szCs w:val="24"/>
          <w:lang w:eastAsia="en-US"/>
        </w:rPr>
        <w:lastRenderedPageBreak/>
        <w:t>Main Body</w:t>
      </w:r>
      <w:bookmarkEnd w:id="3"/>
    </w:p>
    <w:p w14:paraId="6E239880"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 xml:space="preserve">According to Baker (2020), common law can be understood as a core aspect of English law which has been derived from judicial precedents and customs and not from statutes. It is often referred to as the “body of law” that is unwritten and is based on the decisions, judgements, or precedents established or passed down by different types of courts (Ursin, 2019). This form of law has been drawn from institutionalised interpretations and opinions which means the past judicial rulings or legal precedents are used for deciding cases registered. Hence, the public juries and judicial authorities establish certain principles to dictate how and why certain judgements should be given for cases at hand. One of the examples of utilisation of common law is judges looking past the cases of murders and thefts for fixing on what terms the verdict is decided. According to Chouaibi </w:t>
      </w:r>
      <w:r w:rsidRPr="008856AD">
        <w:rPr>
          <w:rFonts w:ascii="Arial" w:eastAsia="Arial" w:hAnsi="Arial" w:cs="Arial"/>
          <w:i/>
          <w:sz w:val="24"/>
          <w:szCs w:val="24"/>
          <w:lang w:eastAsia="en-US"/>
        </w:rPr>
        <w:t>et al</w:t>
      </w:r>
      <w:r w:rsidRPr="008856AD">
        <w:rPr>
          <w:rFonts w:ascii="Arial" w:eastAsia="Arial" w:hAnsi="Arial" w:cs="Arial"/>
          <w:sz w:val="24"/>
          <w:szCs w:val="24"/>
          <w:lang w:eastAsia="en-US"/>
        </w:rPr>
        <w:t>. (2022), civil law refers to the core part of the entire set of laws established within a country for dealing with the personal or private cases related to the citizens and not the general public at large. Civil law operates by codifying different sets of rules and regulations dealing with the behaviours of organisations or individuals which can cause injuries to other individuals or private properties (Friedman, 2019). Some of the cases dealt by civil law include defamation, contract breaches, negligence of duties resulting in deaths of injuries, property damages, and so on.</w:t>
      </w:r>
    </w:p>
    <w:p w14:paraId="669E649A"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In the civil law system, the main tasks of the courts revolve around passing judgements and verdicts for specific cases wherein legal norms are applied and interpreted. In contrast, the common law system is where the courts possess the authority to not just pass verdicts concerning the disputes between parties but also establish certain principles as guidance as to how similar future cases must be resolved (Dewi, 2021). The difference between these two systems can be clearly understood in terms of their nature, emergence, and scale of application. Hence, when common laws are unwritten and institutionalised principles, precedents, and opinions, civil laws are written constitutions that people are required to abide by (Friedman, 2019).</w:t>
      </w:r>
    </w:p>
    <w:p w14:paraId="65865CC2"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 xml:space="preserve">Based on the history of the emergence of these legal systems have developed and evolved on different grounds. In this sense, the original source through which common law legal system emerged was the English Monarchy wherein orders known as “writs” used to </w:t>
      </w:r>
      <w:proofErr w:type="spellStart"/>
      <w:r w:rsidRPr="008856AD">
        <w:rPr>
          <w:rFonts w:ascii="Arial" w:eastAsia="Arial" w:hAnsi="Arial" w:cs="Arial"/>
          <w:sz w:val="24"/>
          <w:szCs w:val="24"/>
          <w:lang w:eastAsia="en-US"/>
        </w:rPr>
        <w:t>to</w:t>
      </w:r>
      <w:proofErr w:type="spellEnd"/>
      <w:r w:rsidRPr="008856AD">
        <w:rPr>
          <w:rFonts w:ascii="Arial" w:eastAsia="Arial" w:hAnsi="Arial" w:cs="Arial"/>
          <w:sz w:val="24"/>
          <w:szCs w:val="24"/>
          <w:lang w:eastAsia="en-US"/>
        </w:rPr>
        <w:t xml:space="preserve"> be issued as legal and formal justice approaches (Paunović, 2021). The writs soon began becoming unable to cover all the legal process needs of different citations leading to the establishment of the courts of equity so that people’s </w:t>
      </w:r>
      <w:r w:rsidRPr="008856AD">
        <w:rPr>
          <w:rFonts w:ascii="Arial" w:eastAsia="Arial" w:hAnsi="Arial" w:cs="Arial"/>
          <w:sz w:val="24"/>
          <w:szCs w:val="24"/>
          <w:lang w:eastAsia="en-US"/>
        </w:rPr>
        <w:lastRenderedPageBreak/>
        <w:t>complaints could be heard appropriately (Baker, 2020). In doing so, this system also helped devise the best possible remedies designed by focusing on the equitable principles that were derived from authoritative sources like natural law and Roman law (Hessick, 2019). Such decisions were published and collected which helped courts in the future to look up to those precedential opinions while applying them to the cases at hand. This practice led to the emergence of common law. In terms of the development of civil law, it can be said to have come from numerous European nations. However, the roots of this law have been identified to be derived from the law codes compiled and published by Justinian, a Roman Emperor of the 600 CE (Ursin, 2019). These authoritative legal codes were developed rapidly throughout centuries by countries across the world leading to the creation of similar legal systems across countries that had their respective sets of rules, laws, and regulations.</w:t>
      </w:r>
    </w:p>
    <w:p w14:paraId="6EA15F22"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Countries operating with civil law systems tend to describe their judges as investigators who possess the authority to take lead during proceedings. They also lead the charges as well as establish facts required for the case with the help of remedies’ application and witness examination as directed in the legal codes adopted by the legal system. Each region has its own sets of laws and regulations that are put into written constitutions so that the jurisdiction is strict and rigid (Dewi, 2021). The lawyers play the role of representing their clients’ interests during civil proceedings but their central role is decreased. In terms of common law proceedings, the tasks of lawyers include providing their clients with relevant advice based on the legal points and preparing appropriate pleading to be filled with the courts. In comparison to a common law system, the civil law system comparatively diminishes the power of lawyers in terms of court presentations, active lawyering, and so on. The legal tasks related to non-litigation like contract drafting and will preparation are most likely addressed by quasi-legal professionals serving private individuals and businesses (Paunović, 2021). Hence, in the civil legal system, these private individuals who do not possess a legal education post-university legal degree or are to gain licence for practising before courts act as the lawyers for private cases (Hessick, 2019). In contrast, the lawyers are responsible for presenting witness, evidence, and arguments to the judges in a common law system. They are also required to examine witnesses by themselves.</w:t>
      </w:r>
    </w:p>
    <w:p w14:paraId="3FCB8154"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 xml:space="preserve">A common law system is followed by the English Legal System of the UK as well wherein the courts act upon past precedents that allow them to make judgements </w:t>
      </w:r>
      <w:r w:rsidRPr="008856AD">
        <w:rPr>
          <w:rFonts w:ascii="Arial" w:eastAsia="Arial" w:hAnsi="Arial" w:cs="Arial"/>
          <w:sz w:val="24"/>
          <w:szCs w:val="24"/>
          <w:lang w:eastAsia="en-US"/>
        </w:rPr>
        <w:lastRenderedPageBreak/>
        <w:t xml:space="preserve">during cases. For instance, when cases concerning transfer of properties as gifts are registered in a court, the common law system of the UK allows the judges to understand what precedents can help them take the best possible verdicts (Gangjee, 2022). In this sense, judgements from past cases are taken into consideration based on which some of the current principles have also evolved. In a common law country, the judges tend to have higher flexibility compared to the civil system where the most possibly appropriate remedies are fashioned to conclude specific cases. Common law system does follow the precedents of a written constitution or the codified laws that determine their approach to pass the verdict (Simeon, 2019). However, the judicial decisions are more binding as the highest court of the legal system can only be overturned by them or with the help of relevant legislation. Due to the emergence history of common law, it is also known as the Anglo-American law which acts as a body for the customary law mostly based on past judicial decisions. These decisions have been embodied into written reports or documents of several decided cases where judges from high courts have established a certain rule or approach to pass verdict for specific cases (Salhi </w:t>
      </w:r>
      <w:r w:rsidRPr="008856AD">
        <w:rPr>
          <w:rFonts w:ascii="Arial" w:eastAsia="Arial" w:hAnsi="Arial" w:cs="Arial"/>
          <w:i/>
          <w:sz w:val="24"/>
          <w:szCs w:val="24"/>
          <w:lang w:eastAsia="en-US"/>
        </w:rPr>
        <w:t>et al</w:t>
      </w:r>
      <w:r w:rsidRPr="008856AD">
        <w:rPr>
          <w:rFonts w:ascii="Arial" w:eastAsia="Arial" w:hAnsi="Arial" w:cs="Arial"/>
          <w:sz w:val="24"/>
          <w:szCs w:val="24"/>
          <w:lang w:eastAsia="en-US"/>
        </w:rPr>
        <w:t>., 2020).</w:t>
      </w:r>
    </w:p>
    <w:p w14:paraId="7D2D5598"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 xml:space="preserve">The cases that the common law system covers in the UK are common assault, murder, manslaughter, and so on along with other offences. One of the most </w:t>
      </w:r>
      <w:proofErr w:type="spellStart"/>
      <w:r w:rsidRPr="008856AD">
        <w:rPr>
          <w:rFonts w:ascii="Arial" w:eastAsia="Arial" w:hAnsi="Arial" w:cs="Arial"/>
          <w:sz w:val="24"/>
          <w:szCs w:val="24"/>
          <w:lang w:eastAsia="en-US"/>
        </w:rPr>
        <w:t>well known</w:t>
      </w:r>
      <w:proofErr w:type="spellEnd"/>
      <w:r w:rsidRPr="008856AD">
        <w:rPr>
          <w:rFonts w:ascii="Arial" w:eastAsia="Arial" w:hAnsi="Arial" w:cs="Arial"/>
          <w:sz w:val="24"/>
          <w:szCs w:val="24"/>
          <w:lang w:eastAsia="en-US"/>
        </w:rPr>
        <w:t xml:space="preserve"> approaches of common law in practice in the UK is the system of common-law marriage (Salhi </w:t>
      </w:r>
      <w:r w:rsidRPr="008856AD">
        <w:rPr>
          <w:rFonts w:ascii="Arial" w:eastAsia="Arial" w:hAnsi="Arial" w:cs="Arial"/>
          <w:i/>
          <w:sz w:val="24"/>
          <w:szCs w:val="24"/>
          <w:lang w:eastAsia="en-US"/>
        </w:rPr>
        <w:t>et al</w:t>
      </w:r>
      <w:r w:rsidRPr="008856AD">
        <w:rPr>
          <w:rFonts w:ascii="Arial" w:eastAsia="Arial" w:hAnsi="Arial" w:cs="Arial"/>
          <w:sz w:val="24"/>
          <w:szCs w:val="24"/>
          <w:lang w:eastAsia="en-US"/>
        </w:rPr>
        <w:t>., 20202). This concept gave rise to the practice of acknowledgement of officially unmarried couples receiving similar rights received by the couples with a marriage licence only when certain conditions have been met. It is one of the best and the most current examples of common law put by the legal system into action according to numerous experts (Gangjee, 2022). Common law is also applied to the requirements of people reading contracts, doctors keeping their patients’ confidentiality, common-law marriage, copyrights, and so on. In all these instances, when there is a breach, failure, or illegal activities identified, the common law system utilises existing embodied reports and precedents to reach a conclusion. In this sense, for example, when the doctor fails to meet their duties of keeping the confidentiality of its patients due to certain situations, the judges of the court will be focused on identifying what is said by existing precedents. Hence, whether their failure can be considered failure or not are determined based on those principles as well as the judgement of the court.</w:t>
      </w:r>
    </w:p>
    <w:p w14:paraId="4F399F81"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br w:type="page"/>
      </w:r>
    </w:p>
    <w:p w14:paraId="70A8F84B" w14:textId="77777777" w:rsidR="008856AD" w:rsidRPr="008856AD" w:rsidRDefault="008856AD" w:rsidP="008856AD">
      <w:pPr>
        <w:keepNext/>
        <w:keepLines/>
        <w:spacing w:after="0" w:line="360" w:lineRule="auto"/>
        <w:jc w:val="both"/>
        <w:outlineLvl w:val="0"/>
        <w:rPr>
          <w:rFonts w:ascii="Arial" w:eastAsia="Arial" w:hAnsi="Arial" w:cs="Arial"/>
          <w:b/>
          <w:sz w:val="24"/>
          <w:szCs w:val="24"/>
          <w:lang w:eastAsia="en-US"/>
        </w:rPr>
      </w:pPr>
      <w:bookmarkStart w:id="4" w:name="_2q6huto4kkfn" w:colFirst="0" w:colLast="0"/>
      <w:bookmarkStart w:id="5" w:name="_Toc127188712"/>
      <w:bookmarkEnd w:id="4"/>
      <w:r w:rsidRPr="008856AD">
        <w:rPr>
          <w:rFonts w:ascii="Arial" w:eastAsia="Arial" w:hAnsi="Arial" w:cs="Arial"/>
          <w:b/>
          <w:sz w:val="24"/>
          <w:szCs w:val="24"/>
          <w:lang w:eastAsia="en-US"/>
        </w:rPr>
        <w:lastRenderedPageBreak/>
        <w:t>Conclusion</w:t>
      </w:r>
      <w:bookmarkEnd w:id="5"/>
    </w:p>
    <w:p w14:paraId="1D4A4CAF"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The essay provided a thorough understanding of the common and civil law systems of the UK including their core differences as well as the differences in the legal system of countries using this system. In addition, the essay helped determine the power of lawyers in each legal system including the reasons why these systems were used for different situations and cases including their flexibility or rigidity. This study helped in the clarification of whether the common law was being put into effective action in a country using the English Legal System like the UK. Appropriate exemplification was used to determine the utilisation of the common law system in the current date.</w:t>
      </w:r>
    </w:p>
    <w:p w14:paraId="466C9DBB"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br w:type="page"/>
      </w:r>
    </w:p>
    <w:p w14:paraId="4FEBE5B3" w14:textId="77777777" w:rsidR="008856AD" w:rsidRPr="008856AD" w:rsidRDefault="008856AD" w:rsidP="008856AD">
      <w:pPr>
        <w:keepNext/>
        <w:keepLines/>
        <w:spacing w:after="0" w:line="360" w:lineRule="auto"/>
        <w:jc w:val="both"/>
        <w:outlineLvl w:val="0"/>
        <w:rPr>
          <w:rFonts w:ascii="Arial" w:eastAsia="Arial" w:hAnsi="Arial" w:cs="Arial"/>
          <w:b/>
          <w:sz w:val="24"/>
          <w:szCs w:val="24"/>
          <w:lang w:eastAsia="en-US"/>
        </w:rPr>
      </w:pPr>
      <w:bookmarkStart w:id="6" w:name="_8yvcsaico6of" w:colFirst="0" w:colLast="0"/>
      <w:bookmarkStart w:id="7" w:name="_Toc127188713"/>
      <w:bookmarkEnd w:id="6"/>
      <w:r w:rsidRPr="008856AD">
        <w:rPr>
          <w:rFonts w:ascii="Arial" w:eastAsia="Arial" w:hAnsi="Arial" w:cs="Arial"/>
          <w:b/>
          <w:sz w:val="24"/>
          <w:szCs w:val="24"/>
          <w:lang w:eastAsia="en-US"/>
        </w:rPr>
        <w:lastRenderedPageBreak/>
        <w:t>References</w:t>
      </w:r>
      <w:bookmarkEnd w:id="7"/>
    </w:p>
    <w:p w14:paraId="27D7EAE8"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Baker, J.H., 2020. Criminal courts and procedure at common law 1550–1800. In Crime in England 1550–1800 (pp. 15-48). Routledge.</w:t>
      </w:r>
    </w:p>
    <w:p w14:paraId="215B88D2"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 xml:space="preserve">Chouaibi, S., Chouaibi, J. and Rossi, M., 2022. ESG and corporate financial performance: The mediating role of green innovation: UK common law versus Germany civil law. </w:t>
      </w:r>
      <w:proofErr w:type="spellStart"/>
      <w:r w:rsidRPr="008856AD">
        <w:rPr>
          <w:rFonts w:ascii="Arial" w:eastAsia="Arial" w:hAnsi="Arial" w:cs="Arial"/>
          <w:sz w:val="24"/>
          <w:szCs w:val="24"/>
          <w:lang w:eastAsia="en-US"/>
        </w:rPr>
        <w:t>EuroMed</w:t>
      </w:r>
      <w:proofErr w:type="spellEnd"/>
      <w:r w:rsidRPr="008856AD">
        <w:rPr>
          <w:rFonts w:ascii="Arial" w:eastAsia="Arial" w:hAnsi="Arial" w:cs="Arial"/>
          <w:sz w:val="24"/>
          <w:szCs w:val="24"/>
          <w:lang w:eastAsia="en-US"/>
        </w:rPr>
        <w:t xml:space="preserve"> Journal of Business, 17(1), pp.46-71.</w:t>
      </w:r>
    </w:p>
    <w:p w14:paraId="4F9C9F27"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Dewi, G., 2021. The Application of Islamic Business Contract in the National Law Regulations (the Comparison Between Countries With Civil Law Systems and Common Law Systems). Journal of Islamic Law Studies, 4(1), p.3.</w:t>
      </w:r>
    </w:p>
    <w:p w14:paraId="46928438"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Friedman, L.M., 2019. Law, Legal Institutions, and Economic Development. In Law and Technology in the Pacific Community (pp. 7-26). Routledge.</w:t>
      </w:r>
    </w:p>
    <w:p w14:paraId="7DE72524"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Gangjee, D.S., 2022. Unfair Competition: United Kingdom. Status Report on Protection Against Unfair Competition in WIPO Member States (WIPO/STRAD/INF/8 PROV.).</w:t>
      </w:r>
    </w:p>
    <w:p w14:paraId="2788DD40"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Hessick, C.B., 2019. The Myth of Common Law Crimes. Virginia Law Review, 105(5), pp.965-1024.</w:t>
      </w:r>
    </w:p>
    <w:p w14:paraId="489CADCD"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 xml:space="preserve">Paunović, D., 2021. Complicity in the common law system: General characteristics. </w:t>
      </w:r>
      <w:proofErr w:type="spellStart"/>
      <w:r w:rsidRPr="008856AD">
        <w:rPr>
          <w:rFonts w:ascii="Arial" w:eastAsia="Arial" w:hAnsi="Arial" w:cs="Arial"/>
          <w:sz w:val="24"/>
          <w:szCs w:val="24"/>
          <w:lang w:eastAsia="en-US"/>
        </w:rPr>
        <w:t>Bezbednost</w:t>
      </w:r>
      <w:proofErr w:type="spellEnd"/>
      <w:r w:rsidRPr="008856AD">
        <w:rPr>
          <w:rFonts w:ascii="Arial" w:eastAsia="Arial" w:hAnsi="Arial" w:cs="Arial"/>
          <w:sz w:val="24"/>
          <w:szCs w:val="24"/>
          <w:lang w:eastAsia="en-US"/>
        </w:rPr>
        <w:t>, Beograd, 63(2), pp.171-192.</w:t>
      </w:r>
    </w:p>
    <w:p w14:paraId="3DC46B3D"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 xml:space="preserve">Salhi, B., </w:t>
      </w:r>
      <w:proofErr w:type="spellStart"/>
      <w:r w:rsidRPr="008856AD">
        <w:rPr>
          <w:rFonts w:ascii="Arial" w:eastAsia="Arial" w:hAnsi="Arial" w:cs="Arial"/>
          <w:sz w:val="24"/>
          <w:szCs w:val="24"/>
          <w:lang w:eastAsia="en-US"/>
        </w:rPr>
        <w:t>Riguen</w:t>
      </w:r>
      <w:proofErr w:type="spellEnd"/>
      <w:r w:rsidRPr="008856AD">
        <w:rPr>
          <w:rFonts w:ascii="Arial" w:eastAsia="Arial" w:hAnsi="Arial" w:cs="Arial"/>
          <w:sz w:val="24"/>
          <w:szCs w:val="24"/>
          <w:lang w:eastAsia="en-US"/>
        </w:rPr>
        <w:t xml:space="preserve">, R., </w:t>
      </w:r>
      <w:proofErr w:type="spellStart"/>
      <w:r w:rsidRPr="008856AD">
        <w:rPr>
          <w:rFonts w:ascii="Arial" w:eastAsia="Arial" w:hAnsi="Arial" w:cs="Arial"/>
          <w:sz w:val="24"/>
          <w:szCs w:val="24"/>
          <w:lang w:eastAsia="en-US"/>
        </w:rPr>
        <w:t>Kachouri</w:t>
      </w:r>
      <w:proofErr w:type="spellEnd"/>
      <w:r w:rsidRPr="008856AD">
        <w:rPr>
          <w:rFonts w:ascii="Arial" w:eastAsia="Arial" w:hAnsi="Arial" w:cs="Arial"/>
          <w:sz w:val="24"/>
          <w:szCs w:val="24"/>
          <w:lang w:eastAsia="en-US"/>
        </w:rPr>
        <w:t xml:space="preserve">, M. and </w:t>
      </w:r>
      <w:proofErr w:type="spellStart"/>
      <w:r w:rsidRPr="008856AD">
        <w:rPr>
          <w:rFonts w:ascii="Arial" w:eastAsia="Arial" w:hAnsi="Arial" w:cs="Arial"/>
          <w:sz w:val="24"/>
          <w:szCs w:val="24"/>
          <w:lang w:eastAsia="en-US"/>
        </w:rPr>
        <w:t>Jarboui</w:t>
      </w:r>
      <w:proofErr w:type="spellEnd"/>
      <w:r w:rsidRPr="008856AD">
        <w:rPr>
          <w:rFonts w:ascii="Arial" w:eastAsia="Arial" w:hAnsi="Arial" w:cs="Arial"/>
          <w:sz w:val="24"/>
          <w:szCs w:val="24"/>
          <w:lang w:eastAsia="en-US"/>
        </w:rPr>
        <w:t>, A., 2020. The mediating role of corporate social responsibility on the relationship between governance and tax avoidance: UK common law versus French civil law. Social Responsibility Journal, 16(8), pp.1149-1168.</w:t>
      </w:r>
    </w:p>
    <w:p w14:paraId="3352CDDD"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Simeon, J.C., 2019. The evolving Common Law jurisprudence combatting the threat of terrorism in the United Kingdom, United States, and Canada. Laws, 8(1), p.5.</w:t>
      </w:r>
    </w:p>
    <w:p w14:paraId="0AB074CD" w14:textId="77777777" w:rsidR="008856AD" w:rsidRPr="008856AD" w:rsidRDefault="008856AD" w:rsidP="008856AD">
      <w:pPr>
        <w:spacing w:after="0" w:line="360" w:lineRule="auto"/>
        <w:jc w:val="both"/>
        <w:rPr>
          <w:rFonts w:ascii="Arial" w:eastAsia="Arial" w:hAnsi="Arial" w:cs="Arial"/>
          <w:sz w:val="24"/>
          <w:szCs w:val="24"/>
          <w:lang w:eastAsia="en-US"/>
        </w:rPr>
      </w:pPr>
      <w:r w:rsidRPr="008856AD">
        <w:rPr>
          <w:rFonts w:ascii="Arial" w:eastAsia="Arial" w:hAnsi="Arial" w:cs="Arial"/>
          <w:sz w:val="24"/>
          <w:szCs w:val="24"/>
          <w:lang w:eastAsia="en-US"/>
        </w:rPr>
        <w:t>Ursin, E., 2019. Roger Traynor, the Legal Process School, and Enterprise Liability. Hastings LJ, 71, p.1101.</w:t>
      </w:r>
    </w:p>
    <w:p w14:paraId="51C83E6C" w14:textId="0A0FA8A1" w:rsidR="008856AD" w:rsidRDefault="008856AD"/>
    <w:p w14:paraId="15C4D17A" w14:textId="3AA4F682" w:rsidR="008856AD" w:rsidRDefault="008856AD"/>
    <w:p w14:paraId="6591B41D" w14:textId="21B7A30A" w:rsidR="008856AD" w:rsidRDefault="008856AD"/>
    <w:p w14:paraId="1CF67CB1" w14:textId="371A65C6" w:rsidR="008856AD" w:rsidRDefault="008856AD"/>
    <w:p w14:paraId="53A26084" w14:textId="175D8FE2" w:rsidR="008856AD" w:rsidRDefault="008856AD"/>
    <w:sectPr w:rsidR="008856A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82583" w14:textId="77777777" w:rsidR="00B34FDC" w:rsidRDefault="00B34FDC" w:rsidP="008856AD">
      <w:pPr>
        <w:spacing w:after="0" w:line="240" w:lineRule="auto"/>
      </w:pPr>
      <w:r>
        <w:separator/>
      </w:r>
    </w:p>
  </w:endnote>
  <w:endnote w:type="continuationSeparator" w:id="0">
    <w:p w14:paraId="5822037B" w14:textId="77777777" w:rsidR="00B34FDC" w:rsidRDefault="00B34FDC" w:rsidP="00885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224948"/>
      <w:docPartObj>
        <w:docPartGallery w:val="Page Numbers (Bottom of Page)"/>
        <w:docPartUnique/>
      </w:docPartObj>
    </w:sdtPr>
    <w:sdtEndPr>
      <w:rPr>
        <w:noProof/>
      </w:rPr>
    </w:sdtEndPr>
    <w:sdtContent>
      <w:p w14:paraId="41F93951" w14:textId="7C5EC228" w:rsidR="0009655C" w:rsidRDefault="000965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81991E" w14:textId="77777777" w:rsidR="008856AD" w:rsidRDefault="008856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709ED" w14:textId="77777777" w:rsidR="00B34FDC" w:rsidRDefault="00B34FDC" w:rsidP="008856AD">
      <w:pPr>
        <w:spacing w:after="0" w:line="240" w:lineRule="auto"/>
      </w:pPr>
      <w:r>
        <w:separator/>
      </w:r>
    </w:p>
  </w:footnote>
  <w:footnote w:type="continuationSeparator" w:id="0">
    <w:p w14:paraId="6C9612E1" w14:textId="77777777" w:rsidR="00B34FDC" w:rsidRDefault="00B34FDC" w:rsidP="008856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41D"/>
    <w:rsid w:val="0009655C"/>
    <w:rsid w:val="0067541D"/>
    <w:rsid w:val="00685A8D"/>
    <w:rsid w:val="00862E01"/>
    <w:rsid w:val="008856AD"/>
    <w:rsid w:val="00B34F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98BE48"/>
  <w15:chartTrackingRefBased/>
  <w15:docId w15:val="{164E9174-C6F9-41C8-9C93-32CD2FE44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5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6AD"/>
  </w:style>
  <w:style w:type="paragraph" w:styleId="Footer">
    <w:name w:val="footer"/>
    <w:basedOn w:val="Normal"/>
    <w:link w:val="FooterChar"/>
    <w:uiPriority w:val="99"/>
    <w:unhideWhenUsed/>
    <w:rsid w:val="00885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6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04548307f84674624a473909538d3a5a">
  <xsd:schema xmlns:xsd="http://www.w3.org/2001/XMLSchema" xmlns:xs="http://www.w3.org/2001/XMLSchema" xmlns:p="http://schemas.microsoft.com/office/2006/metadata/properties" xmlns:ns3="d8e79d84-78fb-44a9-92e9-d04bdd8f0359" targetNamespace="http://schemas.microsoft.com/office/2006/metadata/properties" ma:root="true" ma:fieldsID="e84bfed19f726ee0892da3a6605d37c9"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AC82E5-208F-4447-86D0-91D8CB27E36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3E44827-3F56-4194-A846-15846F9460B5}">
  <ds:schemaRefs>
    <ds:schemaRef ds:uri="http://schemas.microsoft.com/sharepoint/v3/contenttype/forms"/>
  </ds:schemaRefs>
</ds:datastoreItem>
</file>

<file path=customXml/itemProps3.xml><?xml version="1.0" encoding="utf-8"?>
<ds:datastoreItem xmlns:ds="http://schemas.openxmlformats.org/officeDocument/2006/customXml" ds:itemID="{BF8EA6ED-1C2A-4364-9E96-32D666DB0A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1792</Words>
  <Characters>10216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Vasile Gomoescu (2223227)</dc:creator>
  <cp:keywords/>
  <dc:description/>
  <cp:lastModifiedBy>Dumitru Vasile Gomoescu (2223227)</cp:lastModifiedBy>
  <cp:revision>4</cp:revision>
  <dcterms:created xsi:type="dcterms:W3CDTF">2023-03-02T21:22:00Z</dcterms:created>
  <dcterms:modified xsi:type="dcterms:W3CDTF">2023-03-06T14:43:00Z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