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ABD7B" w14:textId="77777777" w:rsidR="00CB5E47" w:rsidRDefault="00F37544">
      <w:pPr>
        <w:rPr>
          <w:rFonts w:ascii="Trebuchet MS" w:hAnsi="Trebuchet MS" w:cs="Arial"/>
          <w:b/>
          <w:bCs/>
        </w:rPr>
      </w:pPr>
      <w:bookmarkStart w:id="0" w:name="_Hlk200385975"/>
      <w:r>
        <w:rPr>
          <w:rFonts w:ascii="Trebuchet MS" w:hAnsi="Trebuchet MS" w:cs="Arial"/>
          <w:b/>
          <w:bCs/>
        </w:rPr>
        <w:t>Richard James Drummond</w:t>
      </w:r>
    </w:p>
    <w:p w14:paraId="54DABD7C" w14:textId="77777777" w:rsidR="00CB5E47" w:rsidRDefault="00F37544">
      <w:pPr>
        <w:rPr>
          <w:rFonts w:ascii="Trebuchet MS" w:hAnsi="Trebuchet MS" w:cs="Arial"/>
          <w:b/>
          <w:bCs/>
        </w:rPr>
      </w:pPr>
      <w:r>
        <w:rPr>
          <w:rFonts w:ascii="Trebuchet MS" w:hAnsi="Trebuchet MS" w:cs="Arial"/>
          <w:b/>
          <w:bCs/>
        </w:rPr>
        <w:t>CIPD Number 90324030</w:t>
      </w:r>
    </w:p>
    <w:p w14:paraId="54DABD7D" w14:textId="77777777" w:rsidR="00CB5E47" w:rsidRDefault="00F37544">
      <w:r>
        <w:rPr>
          <w:rFonts w:ascii="Trebuchet MS" w:hAnsi="Trebuchet MS"/>
          <w:b/>
          <w:bCs/>
          <w:color w:val="595959"/>
          <w:sz w:val="28"/>
          <w:szCs w:val="28"/>
          <w:lang w:val="en-US"/>
        </w:rPr>
        <w:t>CIPD_5OS01_24_01</w:t>
      </w:r>
    </w:p>
    <w:p w14:paraId="54DABD7E" w14:textId="77777777" w:rsidR="00CB5E47" w:rsidRDefault="00F37544">
      <w:r>
        <w:rPr>
          <w:rFonts w:ascii="Trebuchet MS" w:hAnsi="Trebuchet MS" w:cs="Arial"/>
        </w:rPr>
        <w:t>Employment Law</w:t>
      </w:r>
    </w:p>
    <w:p w14:paraId="54DABD7F" w14:textId="43A80926" w:rsidR="00CB5E47" w:rsidRDefault="00F37544">
      <w:r>
        <w:rPr>
          <w:rFonts w:ascii="Trebuchet MS" w:hAnsi="Trebuchet MS" w:cs="Arial"/>
          <w:b/>
          <w:bCs/>
        </w:rPr>
        <w:t>Word Count 4261</w:t>
      </w:r>
    </w:p>
    <w:p w14:paraId="54DABD80" w14:textId="77777777" w:rsidR="00CB5E47" w:rsidRDefault="00CB5E47">
      <w:pPr>
        <w:autoSpaceDE w:val="0"/>
        <w:spacing w:after="0" w:line="240" w:lineRule="auto"/>
        <w:rPr>
          <w:rFonts w:ascii="Trebuchet MS" w:hAnsi="Trebuchet MS" w:cs="Arial"/>
          <w:kern w:val="0"/>
          <w:sz w:val="23"/>
          <w:szCs w:val="23"/>
        </w:rPr>
      </w:pPr>
    </w:p>
    <w:p w14:paraId="54DABD81"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b/>
          <w:bCs/>
          <w:color w:val="004147"/>
          <w:lang w:val="en-US"/>
        </w:rPr>
        <w:t>Email 1 (AC 1.1)</w:t>
      </w:r>
    </w:p>
    <w:p w14:paraId="54DABD82"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83"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rPr>
      </w:pPr>
      <w:r>
        <w:rPr>
          <w:rFonts w:eastAsia="Trebuchet MS"/>
          <w:strike/>
        </w:rPr>
        <w:t xml:space="preserve">Thank you for sharing your thoughts and concerns around the impact of regulatory duties on your working time. It is </w:t>
      </w:r>
      <w:r>
        <w:rPr>
          <w:rFonts w:eastAsia="Trebuchet MS"/>
          <w:strike/>
        </w:rPr>
        <w:t>completely understandable to feel that administrative and compliance related tasks can sometimes take time away from more strategic or employee focused initiatives. However, it is very important to consider the broader aims and objectives of employment regulations.</w:t>
      </w:r>
    </w:p>
    <w:p w14:paraId="54DABD84"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strike/>
        </w:rPr>
      </w:pPr>
    </w:p>
    <w:p w14:paraId="54DABD85"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color w:val="auto"/>
          <w:shd w:val="clear" w:color="auto" w:fill="FFFFFF"/>
        </w:rPr>
      </w:pPr>
      <w:r>
        <w:rPr>
          <w:strike/>
          <w:color w:val="auto"/>
          <w:shd w:val="clear" w:color="auto" w:fill="FFFFFF"/>
        </w:rPr>
        <w:t>Employment regulation serves three fundamental goals: protecting work rights, ensuring workplace equality, maintaining safety on the job, and maintaining economic system stability.</w:t>
      </w:r>
    </w:p>
    <w:p w14:paraId="54DABD86"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strike/>
          <w:color w:val="auto"/>
        </w:rPr>
      </w:pPr>
    </w:p>
    <w:p w14:paraId="54DABD87"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color w:val="auto"/>
        </w:rPr>
      </w:pPr>
      <w:r>
        <w:rPr>
          <w:rFonts w:eastAsia="Trebuchet MS"/>
          <w:strike/>
          <w:color w:val="auto"/>
        </w:rPr>
        <w:t xml:space="preserve">These regulations exist to protect rights and promote </w:t>
      </w:r>
      <w:r>
        <w:rPr>
          <w:rFonts w:eastAsia="Trebuchet MS"/>
          <w:strike/>
          <w:color w:val="auto"/>
        </w:rPr>
        <w:t>equality and are also necessary to creating a fair and safe, productive workforce. Daniels (2025) highlights how protection for employees creates a workforce that supports morale, retains workers and creates value and trust. The Employments Rights Act 1996 and the Equality Act 2010 were introduced to create a legal framework to ensure the fair treatment of employees and safeguard them against discrimination, whilst promoting diversity and contributing to a more equitable work environment. The laws establish</w:t>
      </w:r>
      <w:r>
        <w:rPr>
          <w:rFonts w:eastAsia="Trebuchet MS"/>
          <w:strike/>
          <w:color w:val="auto"/>
        </w:rPr>
        <w:t>ed by employment law are essential for proving that compensation and benefits are equitable. It also ensures that employees are treated equally and respected with different cultures of justice in an organisation.</w:t>
      </w:r>
    </w:p>
    <w:p w14:paraId="54DABD88"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strike/>
          <w:color w:val="auto"/>
        </w:rPr>
      </w:pPr>
    </w:p>
    <w:p w14:paraId="54DABD89"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color w:val="auto"/>
        </w:rPr>
      </w:pPr>
      <w:r>
        <w:rPr>
          <w:rFonts w:eastAsia="Trebuchet MS"/>
          <w:strike/>
          <w:color w:val="auto"/>
        </w:rPr>
        <w:t xml:space="preserve">The </w:t>
      </w:r>
      <w:proofErr w:type="gramStart"/>
      <w:r>
        <w:rPr>
          <w:rFonts w:eastAsia="Trebuchet MS"/>
          <w:strike/>
          <w:color w:val="auto"/>
        </w:rPr>
        <w:t>Health</w:t>
      </w:r>
      <w:proofErr w:type="gramEnd"/>
      <w:r>
        <w:rPr>
          <w:rFonts w:eastAsia="Trebuchet MS"/>
          <w:strike/>
          <w:color w:val="auto"/>
        </w:rPr>
        <w:t xml:space="preserve"> and safety at Work Act 1974 and related regulations are key to ensuring employees work in a safe environment. As well as issuing employees with relevant PPE which is vital in a health care setting like the Trust (HSE, 2020), this is essential for improved wellbeing, a reduction in absenteeism and better performance outcomes (Armstrong and Taylor 2022). </w:t>
      </w:r>
    </w:p>
    <w:p w14:paraId="54DABD8A"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strike/>
          <w:color w:val="auto"/>
        </w:rPr>
      </w:pPr>
    </w:p>
    <w:p w14:paraId="54DABD8B"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color w:val="auto"/>
        </w:rPr>
      </w:pPr>
      <w:r>
        <w:rPr>
          <w:rFonts w:eastAsia="Trebuchet MS"/>
          <w:strike/>
          <w:color w:val="auto"/>
        </w:rPr>
        <w:t xml:space="preserve">Failure to comply with employment regulations can lead to costly litigation, reputational damage, and even criminal penalties in some cases. Therefore, time invested in </w:t>
      </w:r>
      <w:r>
        <w:rPr>
          <w:rFonts w:eastAsia="Trebuchet MS"/>
          <w:strike/>
          <w:color w:val="auto"/>
        </w:rPr>
        <w:t>regulatory compliance is also an investment in the Trust’s stability and public image.</w:t>
      </w:r>
    </w:p>
    <w:p w14:paraId="54DABD8C" w14:textId="77777777" w:rsidR="00CB5E47" w:rsidRPr="00483881" w:rsidRDefault="00F37544">
      <w:pPr>
        <w:suppressAutoHyphens w:val="0"/>
        <w:spacing w:before="100" w:after="100" w:line="240" w:lineRule="auto"/>
        <w:rPr>
          <w:rFonts w:ascii="Arial" w:eastAsia="Times New Roman" w:hAnsi="Arial" w:cs="Arial"/>
          <w:strike/>
          <w:color w:val="EE0000"/>
          <w:kern w:val="0"/>
          <w:lang w:eastAsia="en-GB"/>
        </w:rPr>
      </w:pPr>
      <w:r w:rsidRPr="00483881">
        <w:rPr>
          <w:rFonts w:ascii="Arial" w:eastAsia="Times New Roman" w:hAnsi="Arial" w:cs="Arial"/>
          <w:strike/>
          <w:color w:val="EE0000"/>
          <w:kern w:val="0"/>
          <w:lang w:eastAsia="en-GB"/>
        </w:rPr>
        <w:t>Thank you for sharing your reflections on the time spent managing employment regulations. I completely understand your desire to focus more of your energy on initiatives that directly enhance the employment experience at the Trust. That said, I’d like to offer a perspective on why the work we do around employment law is not only necessary but ultimately supportive of our broader goals.</w:t>
      </w:r>
    </w:p>
    <w:p w14:paraId="54DABD8D" w14:textId="77777777" w:rsidR="00CB5E47" w:rsidRPr="00483881" w:rsidRDefault="00F37544">
      <w:pPr>
        <w:suppressAutoHyphens w:val="0"/>
        <w:spacing w:before="100" w:after="100" w:line="240" w:lineRule="auto"/>
        <w:rPr>
          <w:rFonts w:ascii="Arial" w:eastAsia="Times New Roman" w:hAnsi="Arial" w:cs="Arial"/>
          <w:strike/>
          <w:color w:val="EE0000"/>
          <w:kern w:val="0"/>
          <w:lang w:eastAsia="en-GB"/>
        </w:rPr>
      </w:pPr>
      <w:r w:rsidRPr="00483881">
        <w:rPr>
          <w:rFonts w:ascii="Arial" w:eastAsia="Times New Roman" w:hAnsi="Arial" w:cs="Arial"/>
          <w:strike/>
          <w:color w:val="EE0000"/>
          <w:kern w:val="0"/>
          <w:lang w:eastAsia="en-GB"/>
        </w:rPr>
        <w:t>Employment regulation—while sometimes seen as a compliance obligation—is fundamentally designed to create fairness, consistency, and protection within the workplace. As the CIPD notes, employment law governs the relationship between employers and employees, setting expectations and ensuring that both parties operate within a framework of mutual respect and legal clarity.</w:t>
      </w:r>
    </w:p>
    <w:p w14:paraId="54DABD8E" w14:textId="77777777" w:rsidR="00CB5E47" w:rsidRPr="00483881" w:rsidRDefault="00F37544">
      <w:pPr>
        <w:suppressAutoHyphens w:val="0"/>
        <w:spacing w:before="100" w:after="100" w:line="240" w:lineRule="auto"/>
        <w:rPr>
          <w:rFonts w:ascii="Arial" w:eastAsia="Times New Roman" w:hAnsi="Arial" w:cs="Arial"/>
          <w:strike/>
          <w:color w:val="EE0000"/>
          <w:kern w:val="0"/>
          <w:lang w:eastAsia="en-GB"/>
        </w:rPr>
      </w:pPr>
      <w:r w:rsidRPr="00483881">
        <w:rPr>
          <w:rFonts w:ascii="Arial" w:eastAsia="Times New Roman" w:hAnsi="Arial" w:cs="Arial"/>
          <w:strike/>
          <w:color w:val="EE0000"/>
          <w:kern w:val="0"/>
          <w:lang w:eastAsia="en-GB"/>
        </w:rPr>
        <w:t xml:space="preserve">The objectives of employment regulation are rooted in protecting employee rights, promoting fairness and equality, ensuring health and safety, and supporting organisational integrity. For example, legislation such as the Employment Rights Act 1996 ensures that employees are safeguarded against unfair dismissal (BrightHR), entitled to statutory leave, and guaranteed </w:t>
      </w:r>
      <w:r w:rsidRPr="00483881">
        <w:rPr>
          <w:rFonts w:ascii="Arial" w:eastAsia="Times New Roman" w:hAnsi="Arial" w:cs="Arial"/>
          <w:strike/>
          <w:color w:val="EE0000"/>
          <w:kern w:val="0"/>
          <w:lang w:eastAsia="en-GB"/>
        </w:rPr>
        <w:lastRenderedPageBreak/>
        <w:t>minimum wage standards. Anti-discrimination laws and equal pay provisions help foster an inclusive and respectful work environment, while health and safety regulations protect both physical and mental well-being. Moreover, compliance with employment law enhances the Trust’s reputation, reduces legal risk, and builds employee trust—critical components of a positive employment experience.</w:t>
      </w:r>
    </w:p>
    <w:p w14:paraId="54DABD8F" w14:textId="77777777" w:rsidR="00CB5E47" w:rsidRPr="00483881" w:rsidRDefault="00F37544">
      <w:pPr>
        <w:suppressAutoHyphens w:val="0"/>
        <w:spacing w:before="100" w:after="100" w:line="240" w:lineRule="auto"/>
        <w:rPr>
          <w:rFonts w:ascii="Arial" w:eastAsia="Times New Roman" w:hAnsi="Arial" w:cs="Arial"/>
          <w:strike/>
          <w:color w:val="EE0000"/>
          <w:kern w:val="0"/>
          <w:lang w:eastAsia="en-GB"/>
        </w:rPr>
      </w:pPr>
      <w:r w:rsidRPr="00483881">
        <w:rPr>
          <w:rFonts w:ascii="Arial" w:eastAsia="Times New Roman" w:hAnsi="Arial" w:cs="Arial"/>
          <w:strike/>
          <w:color w:val="EE0000"/>
          <w:kern w:val="0"/>
          <w:lang w:eastAsia="en-GB"/>
        </w:rPr>
        <w:t>Even legislation like the Flexible Working Act 2023, which may initially seem administratively demanding, empowers employees and enables us to design more adaptive and resilient workforce models (CIPD). In this way, regulatory work lays the foundation for a stable and equitable employment environment—one where employees feel secure, valued, and heard. This, in turn, strengthens the very experience we aim to improve.</w:t>
      </w:r>
    </w:p>
    <w:p w14:paraId="54DABD90" w14:textId="77777777" w:rsidR="00CB5E47" w:rsidRPr="00483881"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color w:val="EE0000"/>
        </w:rPr>
      </w:pPr>
      <w:r w:rsidRPr="00483881">
        <w:rPr>
          <w:rFonts w:eastAsia="Trebuchet MS"/>
          <w:strike/>
          <w:color w:val="EE0000"/>
        </w:rPr>
        <w:t>Failure to comply with employment regulations can lead to costly litigation, reputational damage, and even criminal penalties in some cases. Therefore, time invested in regulatory compliance is also an investment in the Trust’s stability and public image.</w:t>
      </w:r>
    </w:p>
    <w:p w14:paraId="54DABD91" w14:textId="77777777" w:rsidR="00CB5E47" w:rsidRPr="00483881" w:rsidRDefault="00F37544">
      <w:pPr>
        <w:suppressAutoHyphens w:val="0"/>
        <w:spacing w:before="100" w:after="100" w:line="240" w:lineRule="auto"/>
        <w:rPr>
          <w:rFonts w:ascii="Arial" w:eastAsia="Times New Roman" w:hAnsi="Arial" w:cs="Arial"/>
          <w:strike/>
          <w:color w:val="EE0000"/>
          <w:kern w:val="0"/>
          <w:lang w:eastAsia="en-GB"/>
        </w:rPr>
      </w:pPr>
      <w:r w:rsidRPr="00483881">
        <w:rPr>
          <w:rFonts w:ascii="Arial" w:eastAsia="Times New Roman" w:hAnsi="Arial" w:cs="Arial"/>
          <w:strike/>
          <w:color w:val="EE0000"/>
          <w:kern w:val="0"/>
          <w:lang w:eastAsia="en-GB"/>
        </w:rPr>
        <w:t xml:space="preserve">I’d be happy to explore ways we can streamline regulatory processes or share best practices to free up more time for proactive engagement work. </w:t>
      </w:r>
    </w:p>
    <w:p w14:paraId="54DABD93"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1A740C36" w14:textId="77777777" w:rsidR="00501124" w:rsidRDefault="00501124" w:rsidP="0050112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501124">
        <w:rPr>
          <w:rFonts w:eastAsia="Trebuchet MS"/>
          <w:color w:val="156082" w:themeColor="accent1"/>
        </w:rPr>
        <w:t>Employment regulation refers to the legal framework that governs the relationship between employers and employees. Its aims are not only legalistic but also strategic, ethical, and social. A critical evaluation reveals both the necessity and complexity of these regulations.</w:t>
      </w:r>
    </w:p>
    <w:p w14:paraId="1CCB0296" w14:textId="77777777" w:rsidR="00501124" w:rsidRPr="00501124" w:rsidRDefault="00501124" w:rsidP="0050112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7105394C" w14:textId="77777777" w:rsidR="00501124" w:rsidRDefault="00501124" w:rsidP="0050112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501124">
        <w:rPr>
          <w:rFonts w:eastAsia="Trebuchet MS"/>
          <w:color w:val="156082" w:themeColor="accent1"/>
        </w:rPr>
        <w:t>Employment regulation ensures that workers are treated fairly and have access to legal recourse. This includes protection against unfair dismissal, entitlement to statutory leave, and minimum wage guarantees, as outlined in the Employment Rights Act 1996. Anti-discrimination laws and equal pay provisions aim to foster inclusive workplaces. The Equality Act 2010, for example, prohibits discrimination based on protected characteristics such as race, gender, and disability. Regulations like the Health and Safety at Work Act 1974 ensure that employers provide safe working environments, protecting both physical and mental well-being. Compliance with employment law enhances organisational reputation, reduces legal risk, and builds trust among employees. By standardising employment practices, regulation prevents exploitation and supports fair competition across sectors.</w:t>
      </w:r>
    </w:p>
    <w:p w14:paraId="295508F7" w14:textId="77777777" w:rsidR="00501124" w:rsidRPr="00501124" w:rsidRDefault="00501124" w:rsidP="0050112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707415F6" w14:textId="06681E84" w:rsidR="00501124" w:rsidRDefault="00501124" w:rsidP="0050112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501124">
        <w:rPr>
          <w:rFonts w:eastAsia="Trebuchet MS"/>
          <w:color w:val="156082" w:themeColor="accent1"/>
        </w:rPr>
        <w:t>Kathy Daniels argues that employment regulation is essential for balancing the inherent power asymmetry between employers and employees. She emphasises that regulation is not merely reactive but preventative—setting expectations that reduce conflict and promote cooperation. Daniels also notes that employment law plays a critical role in shaping organisational culture, reinforcing values such as fairness, transparency, and respect. “Employment law provides the framework within which the employment relationship operates. It is not just about resolving disputes—it is about preventing them” (Daniels, 202</w:t>
      </w:r>
      <w:r w:rsidR="00765348">
        <w:rPr>
          <w:rFonts w:eastAsia="Trebuchet MS"/>
          <w:color w:val="156082" w:themeColor="accent1"/>
        </w:rPr>
        <w:t>5</w:t>
      </w:r>
      <w:r w:rsidRPr="00501124">
        <w:rPr>
          <w:rFonts w:eastAsia="Trebuchet MS"/>
          <w:color w:val="156082" w:themeColor="accent1"/>
        </w:rPr>
        <w:t>).</w:t>
      </w:r>
    </w:p>
    <w:p w14:paraId="47F1A1F8" w14:textId="77777777" w:rsidR="00501124" w:rsidRPr="00501124" w:rsidRDefault="00501124" w:rsidP="0050112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307B7A3A" w14:textId="101B1992" w:rsidR="00501124" w:rsidRDefault="00501124" w:rsidP="0050112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501124">
        <w:rPr>
          <w:rFonts w:eastAsia="Trebuchet MS"/>
          <w:color w:val="156082" w:themeColor="accent1"/>
        </w:rPr>
        <w:t xml:space="preserve">While the aims are commendable, employment regulation presents certain challenges. Compliance can be time-consuming and </w:t>
      </w:r>
      <w:r w:rsidRPr="00501124">
        <w:rPr>
          <w:rFonts w:eastAsia="Trebuchet MS"/>
          <w:color w:val="156082" w:themeColor="accent1"/>
        </w:rPr>
        <w:t>resource intensive</w:t>
      </w:r>
      <w:r w:rsidRPr="00501124">
        <w:rPr>
          <w:rFonts w:eastAsia="Trebuchet MS"/>
          <w:color w:val="156082" w:themeColor="accent1"/>
        </w:rPr>
        <w:t>. Daniels suggests that this burden is offset by the long-term benefits of reduced litigation and improved employee relations. Excessive legal constraints may limit managerial flexibility. Yet, legislation like the Flexible Working Act 2023</w:t>
      </w:r>
      <w:r>
        <w:rPr>
          <w:rFonts w:eastAsia="Trebuchet MS"/>
          <w:color w:val="156082" w:themeColor="accent1"/>
        </w:rPr>
        <w:t xml:space="preserve"> (GOV.UK) </w:t>
      </w:r>
      <w:r w:rsidRPr="00501124">
        <w:rPr>
          <w:rFonts w:eastAsia="Trebuchet MS"/>
          <w:color w:val="156082" w:themeColor="accent1"/>
        </w:rPr>
        <w:t>demonstrates</w:t>
      </w:r>
      <w:r w:rsidRPr="00501124">
        <w:rPr>
          <w:rFonts w:eastAsia="Trebuchet MS"/>
          <w:color w:val="156082" w:themeColor="accent1"/>
        </w:rPr>
        <w:t xml:space="preserve"> that regulation can also promote adaptability and innovation. The effectiveness of regulation depends on enforcement. Daniels warns that without robust oversight, laws may fail to protect vulnerable workers, especially in precarious employment sectors.</w:t>
      </w:r>
    </w:p>
    <w:p w14:paraId="1812C720" w14:textId="77777777" w:rsidR="00501124" w:rsidRPr="00501124" w:rsidRDefault="00501124" w:rsidP="0050112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0815CC30" w14:textId="0C0CC04A" w:rsidR="00501124" w:rsidRDefault="00501124" w:rsidP="0050112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501124">
        <w:rPr>
          <w:rFonts w:eastAsia="Trebuchet MS"/>
          <w:color w:val="156082" w:themeColor="accent1"/>
        </w:rPr>
        <w:t>From a governance perspective, employment regulation is central to organisational sustainability. It mitigates legal and reputational risk, enhances employee engagement and retention, and supports ethical leadership and corporate responsibility. Regulatory compliance should be viewed not as a constraint but as a foundation for a thriving employment experience.</w:t>
      </w:r>
    </w:p>
    <w:p w14:paraId="09656969" w14:textId="77777777" w:rsidR="00501124" w:rsidRDefault="00501124">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94"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b/>
          <w:bCs/>
          <w:color w:val="004147"/>
          <w:lang w:val="en-US"/>
        </w:rPr>
        <w:t>Email 2 (AC 1.2)</w:t>
      </w:r>
    </w:p>
    <w:p w14:paraId="54DABD95"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96"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strike/>
          <w:lang w:val="en-US"/>
        </w:rPr>
        <w:t>Following the United Kingdom’s departure from the European Union on 21</w:t>
      </w:r>
      <w:r>
        <w:rPr>
          <w:strike/>
          <w:vertAlign w:val="superscript"/>
          <w:lang w:val="en-US"/>
        </w:rPr>
        <w:t>st</w:t>
      </w:r>
      <w:r>
        <w:rPr>
          <w:strike/>
          <w:lang w:val="en-US"/>
        </w:rPr>
        <w:t xml:space="preserve"> January 2020, and the end of the transition period on 31</w:t>
      </w:r>
      <w:r>
        <w:rPr>
          <w:strike/>
          <w:vertAlign w:val="superscript"/>
          <w:lang w:val="en-US"/>
        </w:rPr>
        <w:t>st</w:t>
      </w:r>
      <w:r>
        <w:rPr>
          <w:strike/>
          <w:lang w:val="en-US"/>
        </w:rPr>
        <w:t xml:space="preserve"> December 2020, the legal status of judgments from the European Court of Justice has changed. However, they have not been entirely disregarded.</w:t>
      </w:r>
    </w:p>
    <w:p w14:paraId="54DABD97"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lang w:val="en-US"/>
        </w:rPr>
      </w:pPr>
    </w:p>
    <w:p w14:paraId="54DABD98"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strike/>
          <w:lang w:val="en-US"/>
        </w:rPr>
        <w:t>Prior to the UK leaving the EU, European Court of Justice rulings were still binding on lower UK courts in matters around EU law. Various acts introduced, including The EU (withdrawal) Act 2018 and the Retained EU Law (Revocation and Reform) Act 2023 (REUL) affected this. The UK could now modify or remove laws previously taken from the EU. ECJ rulings are no longer automatically binding (1</w:t>
      </w:r>
      <w:r>
        <w:rPr>
          <w:strike/>
          <w:vertAlign w:val="superscript"/>
          <w:lang w:val="en-US"/>
        </w:rPr>
        <w:t>st</w:t>
      </w:r>
      <w:r>
        <w:rPr>
          <w:strike/>
          <w:lang w:val="en-US"/>
        </w:rPr>
        <w:t xml:space="preserve"> January 2024), however they can still be considered if deemed to be relevant mainly in areas of law where the UK has not changed.</w:t>
      </w:r>
    </w:p>
    <w:p w14:paraId="54DABD99"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lang w:val="en-US"/>
        </w:rPr>
      </w:pPr>
    </w:p>
    <w:p w14:paraId="54DABD9A"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lang w:val="en-US"/>
        </w:rPr>
      </w:pPr>
      <w:r>
        <w:rPr>
          <w:strike/>
          <w:lang w:val="en-US"/>
        </w:rPr>
        <w:t>Although courts in the UK do no longer precede ECJ rulings, any decision made prior to the UK leaving the EU will still apply, unless amended or repealed by future UK governments. UK employment law can now evolve independently and separately. Any Employment tribunal that contains EU law can escalate to higher courts for clarification.</w:t>
      </w:r>
    </w:p>
    <w:p w14:paraId="54DABD9B"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lang w:val="en-US"/>
        </w:rPr>
      </w:pPr>
    </w:p>
    <w:p w14:paraId="54DABD9C"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lang w:val="en-US"/>
        </w:rPr>
      </w:pPr>
      <w:r>
        <w:rPr>
          <w:strike/>
          <w:lang w:val="en-US"/>
        </w:rPr>
        <w:t>One example of this is a legal case regarding holiday pay. Lock v British Gas Trading Ltd (c-539/12 2016). The ECJ ruled that holiday pay must include regular commission, not just a basic salary. This had a big impact on UK employment law by requiring employers to reflect earnings on their holiday pay calculations. This ruling remains binding on UK tribunals and lower courts, as it was made before the end of the transition period of Brexit. UK courts must continue to follow unless the Supreme Court or Parli</w:t>
      </w:r>
      <w:r>
        <w:rPr>
          <w:strike/>
          <w:lang w:val="en-US"/>
        </w:rPr>
        <w:t>ament decides to change the law. This ensures continued protection of workers’ rights and consistency in pay practices post-Brexit.</w:t>
      </w:r>
    </w:p>
    <w:p w14:paraId="54DABD9D" w14:textId="77777777" w:rsidR="00CB5E47" w:rsidRPr="00483881" w:rsidRDefault="00F37544">
      <w:pPr>
        <w:suppressAutoHyphens w:val="0"/>
        <w:spacing w:before="100" w:after="100" w:line="240" w:lineRule="auto"/>
        <w:rPr>
          <w:rFonts w:ascii="Arial" w:eastAsia="Times New Roman" w:hAnsi="Arial" w:cs="Arial"/>
          <w:strike/>
          <w:color w:val="C00000"/>
          <w:kern w:val="0"/>
          <w:lang w:eastAsia="en-GB"/>
        </w:rPr>
      </w:pPr>
      <w:r w:rsidRPr="00483881">
        <w:rPr>
          <w:rFonts w:ascii="Arial" w:eastAsia="Times New Roman" w:hAnsi="Arial" w:cs="Arial"/>
          <w:strike/>
          <w:color w:val="C00000"/>
          <w:kern w:val="0"/>
          <w:lang w:eastAsia="en-GB"/>
        </w:rPr>
        <w:t>Thank you for your query regarding the status of judgments made by the European Court of Justice (ECJ) prior to the UK's departure from the European Union in 2020. This is a nuanced area of law, and I’m happy to clarify the current position.</w:t>
      </w:r>
    </w:p>
    <w:p w14:paraId="54DABD9E" w14:textId="77777777" w:rsidR="00CB5E47" w:rsidRPr="00483881" w:rsidRDefault="00F37544">
      <w:pPr>
        <w:suppressAutoHyphens w:val="0"/>
        <w:spacing w:before="100" w:after="100" w:line="240" w:lineRule="auto"/>
        <w:rPr>
          <w:rFonts w:ascii="Arial" w:eastAsia="Times New Roman" w:hAnsi="Arial" w:cs="Arial"/>
          <w:strike/>
          <w:color w:val="C00000"/>
          <w:kern w:val="0"/>
          <w:lang w:eastAsia="en-GB"/>
        </w:rPr>
      </w:pPr>
      <w:r w:rsidRPr="00483881">
        <w:rPr>
          <w:rFonts w:ascii="Arial" w:eastAsia="Times New Roman" w:hAnsi="Arial" w:cs="Arial"/>
          <w:strike/>
          <w:color w:val="C00000"/>
          <w:kern w:val="0"/>
          <w:lang w:eastAsia="en-GB"/>
        </w:rPr>
        <w:t xml:space="preserve">Judgments handed down by the ECJ before the end of the Brexit transition period (31 December 2020) continue to form part of what is </w:t>
      </w:r>
      <w:r w:rsidRPr="00483881">
        <w:rPr>
          <w:rFonts w:ascii="Arial" w:eastAsia="Times New Roman" w:hAnsi="Arial" w:cs="Arial"/>
          <w:strike/>
          <w:color w:val="C00000"/>
          <w:kern w:val="0"/>
          <w:lang w:eastAsia="en-GB"/>
        </w:rPr>
        <w:t>known as "retained EU case law" under the European Union (Withdrawal) Act 2018. These decisions remain relevant and may still be applied by UK courts when interpreting retained EU law, although they are no longer binding in the strict sense. UK courts now have discretion to depart from pre-Brexit ECJ rulings if they consider it appropriate, particularly where there is a compelling reason to do so.</w:t>
      </w:r>
    </w:p>
    <w:p w14:paraId="54DABD9F" w14:textId="77777777" w:rsidR="00CB5E47" w:rsidRPr="00483881" w:rsidRDefault="00F37544">
      <w:pPr>
        <w:suppressAutoHyphens w:val="0"/>
        <w:spacing w:before="100" w:after="100" w:line="240" w:lineRule="auto"/>
        <w:rPr>
          <w:rFonts w:ascii="Arial" w:eastAsia="Times New Roman" w:hAnsi="Arial" w:cs="Arial"/>
          <w:strike/>
          <w:color w:val="C00000"/>
          <w:kern w:val="0"/>
          <w:lang w:eastAsia="en-GB"/>
        </w:rPr>
      </w:pPr>
      <w:r w:rsidRPr="00483881">
        <w:rPr>
          <w:rFonts w:ascii="Arial" w:eastAsia="Times New Roman" w:hAnsi="Arial" w:cs="Arial"/>
          <w:strike/>
          <w:color w:val="C00000"/>
          <w:kern w:val="0"/>
          <w:lang w:eastAsia="en-GB"/>
        </w:rPr>
        <w:t>Post-Brexit ECJ judgments—those issued after 31 December 2020—do not bind UK courts. However, they may still be considered persuasive, especially in cases involving retained or assimilated EU law. This shift reflects the UK’s intention to assert legal sovereignty while maintaining continuity where necessary.</w:t>
      </w:r>
    </w:p>
    <w:p w14:paraId="54DABDA0" w14:textId="77777777" w:rsidR="00CB5E47" w:rsidRPr="00483881" w:rsidRDefault="00F37544">
      <w:pPr>
        <w:suppressAutoHyphens w:val="0"/>
        <w:spacing w:before="100" w:after="100" w:line="240" w:lineRule="auto"/>
        <w:rPr>
          <w:strike/>
        </w:rPr>
      </w:pPr>
      <w:r w:rsidRPr="00483881">
        <w:rPr>
          <w:rFonts w:ascii="Arial" w:eastAsia="Times New Roman" w:hAnsi="Arial" w:cs="Arial"/>
          <w:strike/>
          <w:color w:val="C00000"/>
          <w:kern w:val="0"/>
          <w:lang w:eastAsia="en-GB"/>
        </w:rPr>
        <w:t xml:space="preserve">A useful illustration of this evolving relationship is the Supreme Court’s decision in </w:t>
      </w:r>
      <w:r w:rsidRPr="00483881">
        <w:rPr>
          <w:rFonts w:ascii="Arial" w:eastAsia="Times New Roman" w:hAnsi="Arial" w:cs="Arial"/>
          <w:i/>
          <w:iCs/>
          <w:strike/>
          <w:color w:val="C00000"/>
          <w:kern w:val="0"/>
          <w:lang w:eastAsia="en-GB"/>
        </w:rPr>
        <w:t xml:space="preserve">Lipton v BA </w:t>
      </w:r>
      <w:proofErr w:type="spellStart"/>
      <w:r w:rsidRPr="00483881">
        <w:rPr>
          <w:rFonts w:ascii="Arial" w:eastAsia="Times New Roman" w:hAnsi="Arial" w:cs="Arial"/>
          <w:i/>
          <w:iCs/>
          <w:strike/>
          <w:color w:val="C00000"/>
          <w:kern w:val="0"/>
          <w:lang w:eastAsia="en-GB"/>
        </w:rPr>
        <w:t>CityFlyer</w:t>
      </w:r>
      <w:proofErr w:type="spellEnd"/>
      <w:r w:rsidRPr="00483881">
        <w:rPr>
          <w:rFonts w:ascii="Arial" w:eastAsia="Times New Roman" w:hAnsi="Arial" w:cs="Arial"/>
          <w:i/>
          <w:iCs/>
          <w:strike/>
          <w:color w:val="C00000"/>
          <w:kern w:val="0"/>
          <w:lang w:eastAsia="en-GB"/>
        </w:rPr>
        <w:t xml:space="preserve"> Ltd</w:t>
      </w:r>
      <w:r w:rsidRPr="00483881">
        <w:rPr>
          <w:rFonts w:ascii="Arial" w:eastAsia="Times New Roman" w:hAnsi="Arial" w:cs="Arial"/>
          <w:strike/>
          <w:color w:val="C00000"/>
          <w:kern w:val="0"/>
          <w:lang w:eastAsia="en-GB"/>
        </w:rPr>
        <w:t>. The case concerned a flight delay in January 2018, before Brexit, and whether the airline was liable under Regulation (EC) 261/2004. The Supreme Court had to decide whether ECJ case law interpreting “extraordinary circumstances” was still binding. Although the flight occurred pre-Brexit, the Court ruled that it had discretion to depart from ECJ precedent, citing the Withdrawal Act’s framework and interpreting it as allowing retrospective application of UK autonomy in legal interpr</w:t>
      </w:r>
      <w:r w:rsidRPr="00483881">
        <w:rPr>
          <w:rFonts w:ascii="Arial" w:eastAsia="Times New Roman" w:hAnsi="Arial" w:cs="Arial"/>
          <w:strike/>
          <w:color w:val="C00000"/>
          <w:kern w:val="0"/>
          <w:lang w:eastAsia="en-GB"/>
        </w:rPr>
        <w:t>etation.</w:t>
      </w:r>
    </w:p>
    <w:p w14:paraId="54DABDA1" w14:textId="77777777" w:rsidR="00CB5E47" w:rsidRPr="00483881" w:rsidRDefault="00F37544">
      <w:pPr>
        <w:suppressAutoHyphens w:val="0"/>
        <w:spacing w:before="100" w:after="100" w:line="240" w:lineRule="auto"/>
        <w:rPr>
          <w:rFonts w:ascii="Arial" w:eastAsia="Times New Roman" w:hAnsi="Arial" w:cs="Arial"/>
          <w:strike/>
          <w:color w:val="C00000"/>
          <w:kern w:val="0"/>
          <w:lang w:eastAsia="en-GB"/>
        </w:rPr>
      </w:pPr>
      <w:r w:rsidRPr="00483881">
        <w:rPr>
          <w:rFonts w:ascii="Arial" w:eastAsia="Times New Roman" w:hAnsi="Arial" w:cs="Arial"/>
          <w:strike/>
          <w:color w:val="C00000"/>
          <w:kern w:val="0"/>
          <w:lang w:eastAsia="en-GB"/>
        </w:rPr>
        <w:t>This case highlights the complexity of post-Brexit legal transitions and the importance of understanding how retained EU law interacts with domestic legal principles. While ECJ judgments no longer hold automatic authority, they continue to influence UK jurisprudence in meaningful ways.</w:t>
      </w:r>
    </w:p>
    <w:p w14:paraId="54DABDA2"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lang w:val="en-US"/>
        </w:rPr>
      </w:pPr>
    </w:p>
    <w:p w14:paraId="719F0AA5" w14:textId="0BC3503F" w:rsidR="00483881" w:rsidRDefault="00483881" w:rsidP="00483881">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483881">
        <w:rPr>
          <w:rFonts w:eastAsia="Trebuchet MS"/>
          <w:color w:val="156082" w:themeColor="accent1"/>
        </w:rPr>
        <w:lastRenderedPageBreak/>
        <w:t xml:space="preserve">Thank you for sharing your reflections on the time spent managing employment regulations. I completely understand your desire to focus more of your energy on initiatives that directly enhance the employment experience at the Trust. </w:t>
      </w:r>
      <w:r w:rsidR="00FA6BE8">
        <w:rPr>
          <w:rFonts w:eastAsia="Trebuchet MS"/>
          <w:color w:val="156082" w:themeColor="accent1"/>
        </w:rPr>
        <w:t>E</w:t>
      </w:r>
      <w:r w:rsidRPr="00483881">
        <w:rPr>
          <w:rFonts w:eastAsia="Trebuchet MS"/>
          <w:color w:val="156082" w:themeColor="accent1"/>
        </w:rPr>
        <w:t>mployment law is not only necessary but ultimately supportive of our broader goals.</w:t>
      </w:r>
    </w:p>
    <w:p w14:paraId="46D554CE" w14:textId="77777777" w:rsidR="00483881" w:rsidRPr="00483881" w:rsidRDefault="00483881" w:rsidP="00483881">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7D684596" w14:textId="2FFA96E0" w:rsidR="00483881" w:rsidRDefault="00483881" w:rsidP="00483881">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483881">
        <w:rPr>
          <w:rFonts w:eastAsia="Trebuchet MS"/>
          <w:color w:val="156082" w:themeColor="accent1"/>
        </w:rPr>
        <w:t>Employment regulatio</w:t>
      </w:r>
      <w:r w:rsidR="00FA6BE8">
        <w:rPr>
          <w:rFonts w:eastAsia="Trebuchet MS"/>
          <w:color w:val="156082" w:themeColor="accent1"/>
        </w:rPr>
        <w:t xml:space="preserve">n </w:t>
      </w:r>
      <w:r w:rsidRPr="00483881">
        <w:rPr>
          <w:rFonts w:eastAsia="Trebuchet MS"/>
          <w:color w:val="156082" w:themeColor="accent1"/>
        </w:rPr>
        <w:t>is fundamentally designed to create fairness, consistency, and protection within the workplace. The Chartered Institute of Personnel and Development (CIPD) emphasises that employment law governs the relationship between employers and employees, setting expectations and ensuring that both parties operate within a framework of mutual respect and legal clarity. This legal framework is not merely procedural; it is instrumental in shaping the culture and values of the organisation. When applied thoughtfully, regulation becomes a strategic tool that reinforces our commitment to equity, transparency, and ethical leadership (CIPD, Employment Law Factsheet, 2023).</w:t>
      </w:r>
    </w:p>
    <w:p w14:paraId="080A02AD" w14:textId="77777777" w:rsidR="00483881" w:rsidRPr="00483881" w:rsidRDefault="00483881" w:rsidP="00483881">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24429031" w14:textId="77777777" w:rsidR="00483881" w:rsidRDefault="00483881" w:rsidP="00483881">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483881">
        <w:rPr>
          <w:rFonts w:eastAsia="Trebuchet MS"/>
          <w:color w:val="156082" w:themeColor="accent1"/>
        </w:rPr>
        <w:t>The objectives of employment regulation are rooted in protecting employee rights, promoting fairness and equality, ensuring health and safety, and supporting organisational integrity. For example, legislation such as the Employment Rights Act 1996 ensures that employees are safeguarded against unfair dismissal, entitled to statutory leave, and guaranteed minimum wage standards. These provisions are not just legal requirements—they are ethical commitments that signal to our workforce that their dignity and well-being are priorities. Anti-discrimination laws and equal pay provisions help foster an inclusive and respectful work environment, while health and safety regulations protect both physical and mental well-being. The CIPD notes that compliance with employment law also enhances organisational reputation, reduces legal risk, and builds employee trust—critical components of a positive employment experience (CIPD, Why Employment Law Matters, 2022).</w:t>
      </w:r>
    </w:p>
    <w:p w14:paraId="672B1D52" w14:textId="77777777" w:rsidR="00483881" w:rsidRPr="00483881" w:rsidRDefault="00483881" w:rsidP="00483881">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28A275A7" w14:textId="787921E6" w:rsidR="00483881" w:rsidRDefault="00483881" w:rsidP="00483881">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483881">
        <w:rPr>
          <w:rFonts w:eastAsia="Trebuchet MS"/>
          <w:color w:val="156082" w:themeColor="accent1"/>
        </w:rPr>
        <w:t>Even legislation like the Flexible Working Act 2023, empowers employees and enables us to design more adaptive and resilient workforce models. The CIPD’s legal updates highlight that flexible working arrangements are increasingly central to employee engagement, retention, and productivity, especially in the context of hybrid and remote work</w:t>
      </w:r>
      <w:r w:rsidR="00DC42CC">
        <w:rPr>
          <w:rFonts w:eastAsia="Trebuchet MS"/>
          <w:color w:val="156082" w:themeColor="accent1"/>
        </w:rPr>
        <w:t>ing</w:t>
      </w:r>
      <w:r w:rsidRPr="00483881">
        <w:rPr>
          <w:rFonts w:eastAsia="Trebuchet MS"/>
          <w:color w:val="156082" w:themeColor="accent1"/>
        </w:rPr>
        <w:t>. By embracing th</w:t>
      </w:r>
      <w:r w:rsidR="00DC42CC">
        <w:rPr>
          <w:rFonts w:eastAsia="Trebuchet MS"/>
          <w:color w:val="156082" w:themeColor="accent1"/>
        </w:rPr>
        <w:t>is</w:t>
      </w:r>
      <w:r w:rsidRPr="00483881">
        <w:rPr>
          <w:rFonts w:eastAsia="Trebuchet MS"/>
          <w:color w:val="156082" w:themeColor="accent1"/>
        </w:rPr>
        <w:t>, we position the Trust as a forward-thinking employer that values work-life balance and inclusivity (CIPD, Flexible Working: Legal Developments, 2023).</w:t>
      </w:r>
    </w:p>
    <w:p w14:paraId="28707182" w14:textId="77777777" w:rsidR="00483881" w:rsidRPr="00483881" w:rsidRDefault="00483881" w:rsidP="00483881">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7B8856F0" w14:textId="2CF450D2" w:rsidR="00483881" w:rsidRDefault="00483881" w:rsidP="00483881">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483881">
        <w:rPr>
          <w:rFonts w:eastAsia="Trebuchet MS"/>
          <w:color w:val="156082" w:themeColor="accent1"/>
        </w:rPr>
        <w:t xml:space="preserve">Failure to comply with employment regulations can lead to costly litigation, reputational damage, and even criminal penalties. </w:t>
      </w:r>
      <w:r w:rsidR="00DC42CC">
        <w:rPr>
          <w:rFonts w:eastAsia="Trebuchet MS"/>
          <w:color w:val="156082" w:themeColor="accent1"/>
        </w:rPr>
        <w:t>T</w:t>
      </w:r>
      <w:r w:rsidRPr="00483881">
        <w:rPr>
          <w:rFonts w:eastAsia="Trebuchet MS"/>
          <w:color w:val="156082" w:themeColor="accent1"/>
        </w:rPr>
        <w:t>ime invested in regulatory compliance is also an investment in the Trust’s stability and public image. From a governance perspective, this work is not ancillary—it is central to our risk management strategy and long-term sustainability. Evaluating our regulatory efforts through this lens reveals their strategic importance and underscores the need to integrate them into our broader organisational development goals.</w:t>
      </w:r>
    </w:p>
    <w:p w14:paraId="51D4DDDE" w14:textId="77777777" w:rsidR="00483881" w:rsidRPr="00483881" w:rsidRDefault="00483881" w:rsidP="00483881">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bookmarkEnd w:id="0"/>
    <w:p w14:paraId="54DABDA4"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A5"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b/>
          <w:bCs/>
          <w:color w:val="004147"/>
          <w:lang w:val="en-US"/>
        </w:rPr>
        <w:t xml:space="preserve">Email 3 (AC 2.1) </w:t>
      </w:r>
    </w:p>
    <w:p w14:paraId="54DABDA6"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A7"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lang w:val="en-US"/>
        </w:rPr>
      </w:pPr>
      <w:r>
        <w:rPr>
          <w:strike/>
          <w:lang w:val="en-US"/>
        </w:rPr>
        <w:t>Thank you for your query about when it may be lawful to require that a particular role be carried out by either a man or a woman. This falls under the concept of “occupational requirements” in UK employment law and must be applied with care to ensure compliance with the Equality Act 2010.</w:t>
      </w:r>
    </w:p>
    <w:p w14:paraId="54DABDA8"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lang w:val="en-US"/>
        </w:rPr>
      </w:pPr>
    </w:p>
    <w:p w14:paraId="54DABDA9"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rPr>
      </w:pPr>
      <w:r>
        <w:rPr>
          <w:rFonts w:eastAsia="Trebuchet MS"/>
          <w:strike/>
        </w:rPr>
        <w:t>The key principles under the Equality act 2010, is that it is unlawful to discriminate against someone on the grounds of a protected characteristic, which includes someone’s sex, during recruitment and selection. There are limited exceptions where specifying a particular protected characteristic can be justified as an occupational requirement and not on an assumption or organisations preference (Daniels, 2025).</w:t>
      </w:r>
    </w:p>
    <w:p w14:paraId="54DABDAA"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strike/>
        </w:rPr>
      </w:pPr>
    </w:p>
    <w:p w14:paraId="54DABDAB"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rPr>
      </w:pPr>
      <w:r>
        <w:rPr>
          <w:rFonts w:eastAsia="Trebuchet MS"/>
          <w:strike/>
        </w:rPr>
        <w:lastRenderedPageBreak/>
        <w:t>It may be lawful to require a specific sex for an Intimate personal care role, in certain health and /or social care settings, it may be permissible to require a female employee to provide personal care to women, especially where the service user requests same-sex carers for privacy, cultural or dignity reasons. Another example would be for A female support worker, who may be required for a women-only refuge. Where the residents have experienced domestic violence.</w:t>
      </w:r>
    </w:p>
    <w:p w14:paraId="54DABDAC"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strike/>
        </w:rPr>
      </w:pPr>
    </w:p>
    <w:p w14:paraId="54DABDAD"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rPr>
      </w:pPr>
      <w:r>
        <w:rPr>
          <w:rFonts w:eastAsia="Trebuchet MS"/>
          <w:strike/>
        </w:rPr>
        <w:t>Employers cannot restrict a role to men or women based on assumptions, preferences or generalisations.</w:t>
      </w:r>
    </w:p>
    <w:p w14:paraId="54DABDAE"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rPr>
      </w:pPr>
      <w:r>
        <w:rPr>
          <w:rFonts w:eastAsia="Trebuchet MS"/>
          <w:strike/>
        </w:rPr>
        <w:t>Any cases deemed to be not lawful would be classed as direct discrimination.</w:t>
      </w:r>
    </w:p>
    <w:p w14:paraId="54DABDAF"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strike/>
        </w:rPr>
      </w:pPr>
    </w:p>
    <w:p w14:paraId="54DABDB0"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rPr>
      </w:pPr>
      <w:r>
        <w:rPr>
          <w:rFonts w:eastAsia="Trebuchet MS"/>
          <w:strike/>
        </w:rPr>
        <w:t xml:space="preserve">To be lawful there must be a genuine occupational requirement, related to </w:t>
      </w:r>
      <w:proofErr w:type="spellStart"/>
      <w:r>
        <w:rPr>
          <w:rFonts w:eastAsia="Trebuchet MS"/>
          <w:strike/>
        </w:rPr>
        <w:t>to</w:t>
      </w:r>
      <w:proofErr w:type="spellEnd"/>
      <w:r>
        <w:rPr>
          <w:rFonts w:eastAsia="Trebuchet MS"/>
          <w:strike/>
        </w:rPr>
        <w:t xml:space="preserve"> the nature and or context of the work involved. The requirement must also be proportionate that is, appropriate and necessary to achieve a legitimate aim (</w:t>
      </w:r>
      <w:proofErr w:type="spellStart"/>
      <w:r>
        <w:rPr>
          <w:rFonts w:eastAsia="Trebuchet MS"/>
          <w:strike/>
        </w:rPr>
        <w:t>EqA</w:t>
      </w:r>
      <w:proofErr w:type="spellEnd"/>
      <w:r>
        <w:rPr>
          <w:rFonts w:eastAsia="Trebuchet MS"/>
          <w:strike/>
        </w:rPr>
        <w:t xml:space="preserve"> 2010). Also, the role must not be able to be carried out effectively without the protected characteristics.</w:t>
      </w:r>
    </w:p>
    <w:p w14:paraId="54DABDB1" w14:textId="77777777" w:rsidR="00CB5E47" w:rsidRPr="008B0CCA" w:rsidRDefault="00F37544">
      <w:pPr>
        <w:suppressAutoHyphens w:val="0"/>
        <w:spacing w:before="100" w:after="100" w:line="240" w:lineRule="auto"/>
        <w:rPr>
          <w:rFonts w:ascii="Arial" w:eastAsia="Times New Roman" w:hAnsi="Arial" w:cs="Arial"/>
          <w:strike/>
          <w:color w:val="C00000"/>
          <w:kern w:val="0"/>
          <w:lang w:eastAsia="en-GB"/>
        </w:rPr>
      </w:pPr>
      <w:r w:rsidRPr="008B0CCA">
        <w:rPr>
          <w:rFonts w:ascii="Arial" w:eastAsia="Times New Roman" w:hAnsi="Arial" w:cs="Arial"/>
          <w:strike/>
          <w:color w:val="C00000"/>
          <w:kern w:val="0"/>
          <w:lang w:eastAsia="en-GB"/>
        </w:rPr>
        <w:t>Thanks for your question regarding when it may be lawful to stipulate that a role in your directorate must be carried out by either a man or a woman. This touches on a key area of discrimination law, and it’s important to approach it with clarity and care.</w:t>
      </w:r>
    </w:p>
    <w:p w14:paraId="54DABDB2" w14:textId="77777777" w:rsidR="00CB5E47" w:rsidRPr="008B0CCA" w:rsidRDefault="00F37544">
      <w:pPr>
        <w:suppressAutoHyphens w:val="0"/>
        <w:spacing w:before="100" w:after="100" w:line="240" w:lineRule="auto"/>
        <w:rPr>
          <w:rFonts w:ascii="Arial" w:eastAsia="Times New Roman" w:hAnsi="Arial" w:cs="Arial"/>
          <w:strike/>
          <w:color w:val="C00000"/>
          <w:kern w:val="0"/>
          <w:lang w:eastAsia="en-GB"/>
        </w:rPr>
      </w:pPr>
      <w:r w:rsidRPr="008B0CCA">
        <w:rPr>
          <w:rFonts w:ascii="Arial" w:eastAsia="Times New Roman" w:hAnsi="Arial" w:cs="Arial"/>
          <w:strike/>
          <w:color w:val="C00000"/>
          <w:kern w:val="0"/>
          <w:lang w:eastAsia="en-GB"/>
        </w:rPr>
        <w:t xml:space="preserve">Under the Equality Act 2010, sex is a protected characteristic, and direct discrimination </w:t>
      </w:r>
      <w:proofErr w:type="gramStart"/>
      <w:r w:rsidRPr="008B0CCA">
        <w:rPr>
          <w:rFonts w:ascii="Arial" w:eastAsia="Times New Roman" w:hAnsi="Arial" w:cs="Arial"/>
          <w:strike/>
          <w:color w:val="C00000"/>
          <w:kern w:val="0"/>
          <w:lang w:eastAsia="en-GB"/>
        </w:rPr>
        <w:t>on the basis of</w:t>
      </w:r>
      <w:proofErr w:type="gramEnd"/>
      <w:r w:rsidRPr="008B0CCA">
        <w:rPr>
          <w:rFonts w:ascii="Arial" w:eastAsia="Times New Roman" w:hAnsi="Arial" w:cs="Arial"/>
          <w:strike/>
          <w:color w:val="C00000"/>
          <w:kern w:val="0"/>
          <w:lang w:eastAsia="en-GB"/>
        </w:rPr>
        <w:t xml:space="preserve"> sex is generally unlawful in recruitment and selection. However, the Act provides a limited exception under Schedule 9, known as the “occupational requirement” defence. This allows an employer to specify that a job must be performed by someone of a particular sex if it can be shown that this is a proportionate means of achieving a legitimate aim, having regard to the nature or context of the work.</w:t>
      </w:r>
    </w:p>
    <w:p w14:paraId="54DABDB3" w14:textId="77777777" w:rsidR="00CB5E47" w:rsidRPr="008B0CCA" w:rsidRDefault="00F37544">
      <w:pPr>
        <w:suppressAutoHyphens w:val="0"/>
        <w:spacing w:before="100" w:after="100" w:line="240" w:lineRule="auto"/>
        <w:rPr>
          <w:rFonts w:ascii="Arial" w:eastAsia="Times New Roman" w:hAnsi="Arial" w:cs="Arial"/>
          <w:strike/>
          <w:color w:val="C00000"/>
          <w:kern w:val="0"/>
          <w:lang w:eastAsia="en-GB"/>
        </w:rPr>
      </w:pPr>
      <w:r w:rsidRPr="008B0CCA">
        <w:rPr>
          <w:rFonts w:ascii="Arial" w:eastAsia="Times New Roman" w:hAnsi="Arial" w:cs="Arial"/>
          <w:strike/>
          <w:color w:val="C00000"/>
          <w:kern w:val="0"/>
          <w:lang w:eastAsia="en-GB"/>
        </w:rPr>
        <w:t>For example, it may be lawful to require a female support worker in a women’s refuge, where the role involves providing intimate or sensitive support to women who have experienced trauma. The justification here would be based on the need to protect the privacy, dignity, and emotional safety of service users, and the requirement must be objectively justified as proportionate to that aim.</w:t>
      </w:r>
    </w:p>
    <w:p w14:paraId="54DABDB4" w14:textId="77777777" w:rsidR="00CB5E47" w:rsidRPr="008B0CCA" w:rsidRDefault="00F37544">
      <w:pPr>
        <w:suppressAutoHyphens w:val="0"/>
        <w:spacing w:before="100" w:after="100" w:line="240" w:lineRule="auto"/>
        <w:rPr>
          <w:rFonts w:ascii="Arial" w:eastAsia="Times New Roman" w:hAnsi="Arial" w:cs="Arial"/>
          <w:strike/>
          <w:color w:val="C00000"/>
          <w:kern w:val="0"/>
          <w:lang w:eastAsia="en-GB"/>
        </w:rPr>
      </w:pPr>
      <w:r w:rsidRPr="008B0CCA">
        <w:rPr>
          <w:rFonts w:ascii="Arial" w:eastAsia="Times New Roman" w:hAnsi="Arial" w:cs="Arial"/>
          <w:strike/>
          <w:color w:val="C00000"/>
          <w:kern w:val="0"/>
          <w:lang w:eastAsia="en-GB"/>
        </w:rPr>
        <w:t xml:space="preserve">Conversely, it would not be lawful to impose a gender requirement simply based on preference or tradition. For instance, stating that a receptionist must be female because previous postholders </w:t>
      </w:r>
      <w:proofErr w:type="gramStart"/>
      <w:r w:rsidRPr="008B0CCA">
        <w:rPr>
          <w:rFonts w:ascii="Arial" w:eastAsia="Times New Roman" w:hAnsi="Arial" w:cs="Arial"/>
          <w:strike/>
          <w:color w:val="C00000"/>
          <w:kern w:val="0"/>
          <w:lang w:eastAsia="en-GB"/>
        </w:rPr>
        <w:t>were</w:t>
      </w:r>
      <w:proofErr w:type="gramEnd"/>
      <w:r w:rsidRPr="008B0CCA">
        <w:rPr>
          <w:rFonts w:ascii="Arial" w:eastAsia="Times New Roman" w:hAnsi="Arial" w:cs="Arial"/>
          <w:strike/>
          <w:color w:val="C00000"/>
          <w:kern w:val="0"/>
          <w:lang w:eastAsia="en-GB"/>
        </w:rPr>
        <w:t xml:space="preserve"> women would not meet the legal threshold. The occupational requirement must be essential to the role and not merely convenient or stereotypical.</w:t>
      </w:r>
    </w:p>
    <w:p w14:paraId="54DABDB5" w14:textId="77777777" w:rsidR="00CB5E47" w:rsidRPr="008B0CCA" w:rsidRDefault="00F37544">
      <w:pPr>
        <w:suppressAutoHyphens w:val="0"/>
        <w:spacing w:before="100" w:after="100" w:line="240" w:lineRule="auto"/>
        <w:rPr>
          <w:strike/>
        </w:rPr>
      </w:pPr>
      <w:r w:rsidRPr="008B0CCA">
        <w:rPr>
          <w:rFonts w:ascii="Arial" w:eastAsia="Times New Roman" w:hAnsi="Arial" w:cs="Arial"/>
          <w:strike/>
          <w:color w:val="C00000"/>
          <w:kern w:val="0"/>
          <w:lang w:eastAsia="en-GB"/>
        </w:rPr>
        <w:t xml:space="preserve">A recent case, </w:t>
      </w:r>
      <w:r w:rsidRPr="008B0CCA">
        <w:rPr>
          <w:rFonts w:ascii="Arial" w:eastAsia="Times New Roman" w:hAnsi="Arial" w:cs="Arial"/>
          <w:i/>
          <w:iCs/>
          <w:strike/>
          <w:color w:val="C00000"/>
          <w:kern w:val="0"/>
          <w:lang w:eastAsia="en-GB"/>
        </w:rPr>
        <w:t>Donnelly v PQ</w:t>
      </w:r>
      <w:r w:rsidRPr="008B0CCA">
        <w:rPr>
          <w:rFonts w:ascii="Arial" w:eastAsia="Times New Roman" w:hAnsi="Arial" w:cs="Arial"/>
          <w:strike/>
          <w:color w:val="C00000"/>
          <w:kern w:val="0"/>
          <w:lang w:eastAsia="en-GB"/>
        </w:rPr>
        <w:t>, illustrates this principle. The employer, a disabled woman, argued that she needed a female carer for reasons of privacy and dignity. While the tribunal accepted that this could be a legitimate aim, it found that the way she handled the situation—by extending the male carer’s probation without explanation—was not a proportionate response. The tribunal concluded that she could have achieved her aim in less discriminatory ways, such as overlapping shifts with female carers.</w:t>
      </w:r>
    </w:p>
    <w:p w14:paraId="54DABDB6" w14:textId="77777777" w:rsidR="00CB5E47" w:rsidRDefault="00F37544">
      <w:pPr>
        <w:suppressAutoHyphens w:val="0"/>
        <w:spacing w:before="100" w:after="100" w:line="240" w:lineRule="auto"/>
        <w:rPr>
          <w:rFonts w:ascii="Arial" w:eastAsia="Times New Roman" w:hAnsi="Arial" w:cs="Arial"/>
          <w:color w:val="C00000"/>
          <w:kern w:val="0"/>
          <w:lang w:eastAsia="en-GB"/>
        </w:rPr>
      </w:pPr>
      <w:r w:rsidRPr="008B0CCA">
        <w:rPr>
          <w:rFonts w:ascii="Arial" w:eastAsia="Times New Roman" w:hAnsi="Arial" w:cs="Arial"/>
          <w:strike/>
          <w:color w:val="C00000"/>
          <w:kern w:val="0"/>
          <w:lang w:eastAsia="en-GB"/>
        </w:rPr>
        <w:t xml:space="preserve">In summary, occupational </w:t>
      </w:r>
      <w:r w:rsidRPr="008B0CCA">
        <w:rPr>
          <w:rFonts w:ascii="Arial" w:eastAsia="Times New Roman" w:hAnsi="Arial" w:cs="Arial"/>
          <w:strike/>
          <w:color w:val="C00000"/>
          <w:kern w:val="0"/>
          <w:lang w:eastAsia="en-GB"/>
        </w:rPr>
        <w:t>requirements based on sex must be applied cautiously and only where they are essential to the role, proportionate, and clearly justified. If you’re considering applying such a requirement, I’d recommend documenting the rationale and seeking legal advice to ensure compliance</w:t>
      </w:r>
      <w:r>
        <w:rPr>
          <w:rFonts w:ascii="Arial" w:eastAsia="Times New Roman" w:hAnsi="Arial" w:cs="Arial"/>
          <w:color w:val="C00000"/>
          <w:kern w:val="0"/>
          <w:lang w:eastAsia="en-GB"/>
        </w:rPr>
        <w:t>.</w:t>
      </w:r>
    </w:p>
    <w:p w14:paraId="54DABDB9"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0CDA80BD" w14:textId="33CD56BD" w:rsidR="008B0CCA" w:rsidRDefault="008B0CCA" w:rsidP="008B0CCA">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8B0CCA">
        <w:rPr>
          <w:rFonts w:eastAsia="Trebuchet MS"/>
          <w:color w:val="156082" w:themeColor="accent1"/>
        </w:rPr>
        <w:t>This touches on a key area of discrimination law, and it’s important to approach it with clarity and care.</w:t>
      </w:r>
    </w:p>
    <w:p w14:paraId="2002FE9D" w14:textId="77777777" w:rsidR="008B0CCA" w:rsidRPr="008B0CCA" w:rsidRDefault="008B0CCA" w:rsidP="008B0CCA">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35899BF1" w14:textId="77777777" w:rsidR="008B0CCA" w:rsidRDefault="008B0CCA" w:rsidP="008B0CCA">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8B0CCA">
        <w:rPr>
          <w:rFonts w:eastAsia="Trebuchet MS"/>
          <w:color w:val="156082" w:themeColor="accent1"/>
        </w:rPr>
        <w:t xml:space="preserve">Under the Equality Act 2010, sex is a protected characteristic, and direct discrimination </w:t>
      </w:r>
      <w:proofErr w:type="gramStart"/>
      <w:r w:rsidRPr="008B0CCA">
        <w:rPr>
          <w:rFonts w:eastAsia="Trebuchet MS"/>
          <w:color w:val="156082" w:themeColor="accent1"/>
        </w:rPr>
        <w:t>on the basis of</w:t>
      </w:r>
      <w:proofErr w:type="gramEnd"/>
      <w:r w:rsidRPr="008B0CCA">
        <w:rPr>
          <w:rFonts w:eastAsia="Trebuchet MS"/>
          <w:color w:val="156082" w:themeColor="accent1"/>
        </w:rPr>
        <w:t xml:space="preserve"> sex is generally unlawful in recruitment and selection (Equality Act 2010, Section 13). However, the Act provides a limited exception under Schedule 9, known as the “occupational requirement” defence. This allows an employer to specify that a job must be performed by someone of a particular sex if it can be shown that this is a proportionate </w:t>
      </w:r>
      <w:r w:rsidRPr="008B0CCA">
        <w:rPr>
          <w:rFonts w:eastAsia="Trebuchet MS"/>
          <w:color w:val="156082" w:themeColor="accent1"/>
        </w:rPr>
        <w:lastRenderedPageBreak/>
        <w:t>means of achieving a legitimate aim, having regard to the nature or context of the work (Equality Act 2010, Schedule 9, Part 1, Paragraph 1).</w:t>
      </w:r>
    </w:p>
    <w:p w14:paraId="3379DF9B" w14:textId="77777777" w:rsidR="008B0CCA" w:rsidRPr="008B0CCA" w:rsidRDefault="008B0CCA" w:rsidP="008B0CCA">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7B3038C0" w14:textId="77777777" w:rsidR="008B0CCA" w:rsidRDefault="008B0CCA" w:rsidP="008B0CCA">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8B0CCA">
        <w:rPr>
          <w:rFonts w:eastAsia="Trebuchet MS"/>
          <w:color w:val="156082" w:themeColor="accent1"/>
        </w:rPr>
        <w:t>For example, it may be lawful to require a female support worker in a women’s refuge, where the role involves providing intimate or sensitive support to women who have experienced trauma. The justification here would be based on the need to protect the privacy, dignity, and emotional safety of service users. The CIPD notes that occupational requirements must be objectively justified and applied narrowly, with a clear link between the requirement and the duties of the role (CIPD, Recruitment and Selection: Legal Considerations, 2023).</w:t>
      </w:r>
    </w:p>
    <w:p w14:paraId="1584B4FB" w14:textId="77777777" w:rsidR="008B0CCA" w:rsidRPr="008B0CCA" w:rsidRDefault="008B0CCA" w:rsidP="008B0CCA">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03FE138B" w14:textId="77777777" w:rsidR="008B0CCA" w:rsidRDefault="008B0CCA" w:rsidP="008B0CCA">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8B0CCA">
        <w:rPr>
          <w:rFonts w:eastAsia="Trebuchet MS"/>
          <w:color w:val="156082" w:themeColor="accent1"/>
        </w:rPr>
        <w:t xml:space="preserve">Conversely, it would not be lawful to impose a gender requirement simply based on preference or tradition. For instance, stating that a receptionist must be female because previous postholders were women would not meet the legal threshold. The Equality and Human Rights Commission (EHRC) guidance makes clear that occupational requirements must not be based on assumptions or </w:t>
      </w:r>
      <w:proofErr w:type="gramStart"/>
      <w:r w:rsidRPr="008B0CCA">
        <w:rPr>
          <w:rFonts w:eastAsia="Trebuchet MS"/>
          <w:color w:val="156082" w:themeColor="accent1"/>
        </w:rPr>
        <w:t>stereotypes, and</w:t>
      </w:r>
      <w:proofErr w:type="gramEnd"/>
      <w:r w:rsidRPr="008B0CCA">
        <w:rPr>
          <w:rFonts w:eastAsia="Trebuchet MS"/>
          <w:color w:val="156082" w:themeColor="accent1"/>
        </w:rPr>
        <w:t xml:space="preserve"> must be essential to the role rather than merely convenient (EHRC, Employment Statutory Code of Practice, 2011, para. 13.57).</w:t>
      </w:r>
    </w:p>
    <w:p w14:paraId="224ADC10" w14:textId="77777777" w:rsidR="008B0CCA" w:rsidRPr="008B0CCA" w:rsidRDefault="008B0CCA" w:rsidP="008B0CCA">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45405D4A" w14:textId="77777777" w:rsidR="008B0CCA" w:rsidRDefault="008B0CCA" w:rsidP="008B0CCA">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8B0CCA">
        <w:rPr>
          <w:rFonts w:eastAsia="Trebuchet MS"/>
          <w:color w:val="156082" w:themeColor="accent1"/>
        </w:rPr>
        <w:t>A recent case, Donnelly v PQ (2022), illustrates this principle. The employer, a disabled woman, argued that she needed a female carer for reasons of privacy and dignity. While the tribunal accepted that this could be a legitimate aim, it found that the way she handled the situation—by extending the male carer’s probation without explanation—was not a proportionate response. The tribunal concluded that she could have achieved her aim in less discriminatory ways, such as overlapping shifts with female carers (Employment Tribunal Decision, Donnelly v PQ, 2022).</w:t>
      </w:r>
    </w:p>
    <w:p w14:paraId="05F7D178" w14:textId="77777777" w:rsidR="008B0CCA" w:rsidRPr="008B0CCA" w:rsidRDefault="008B0CCA" w:rsidP="008B0CCA">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5B65659C" w14:textId="5147B6A6" w:rsidR="008B0CCA" w:rsidRPr="008B0CCA" w:rsidRDefault="008B0CCA" w:rsidP="008B0CCA">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8B0CCA">
        <w:rPr>
          <w:rFonts w:eastAsia="Trebuchet MS"/>
          <w:color w:val="156082" w:themeColor="accent1"/>
        </w:rPr>
        <w:t>In summary, occupational requirements based on sex must be applied cautiously and only where they are essential to the role, proportionate, and clearly justified. The CIPD advises that employers should document the rationale for any such requirement and seek legal advice to ensure compliance with the Equality Act and best practice in recruitment (CIPD, Employment Law Factsheet, 2023).</w:t>
      </w:r>
    </w:p>
    <w:p w14:paraId="599378D5" w14:textId="77777777" w:rsidR="008B0CCA" w:rsidRDefault="008B0CCA">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0B73280" w14:textId="77777777" w:rsidR="008B0CCA" w:rsidRDefault="008B0CCA">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BA"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b/>
          <w:bCs/>
          <w:color w:val="004147"/>
          <w:lang w:val="en-US"/>
        </w:rPr>
        <w:t>Email 4 (AC 2.2)</w:t>
      </w:r>
    </w:p>
    <w:p w14:paraId="54DABDBB"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BC"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color w:val="auto"/>
          <w:lang w:val="en-US"/>
        </w:rPr>
      </w:pPr>
      <w:r>
        <w:rPr>
          <w:color w:val="auto"/>
          <w:lang w:val="en-US"/>
        </w:rPr>
        <w:t xml:space="preserve">Thank you for your request regarding the proposed upgrading of the two </w:t>
      </w:r>
      <w:proofErr w:type="gramStart"/>
      <w:r>
        <w:rPr>
          <w:color w:val="auto"/>
          <w:lang w:val="en-US"/>
        </w:rPr>
        <w:t>HCA’s</w:t>
      </w:r>
      <w:proofErr w:type="gramEnd"/>
      <w:r>
        <w:rPr>
          <w:color w:val="auto"/>
          <w:lang w:val="en-US"/>
        </w:rPr>
        <w:t xml:space="preserve"> from the standard A </w:t>
      </w:r>
      <w:r>
        <w:rPr>
          <w:color w:val="auto"/>
          <w:lang w:val="en-US"/>
        </w:rPr>
        <w:t xml:space="preserve">grade to the higher B grade. Before considering this request, it is important to highlight ensuring full compliance with the Equality Act 2010, and </w:t>
      </w:r>
      <w:proofErr w:type="gramStart"/>
      <w:r>
        <w:rPr>
          <w:color w:val="auto"/>
          <w:lang w:val="en-US"/>
        </w:rPr>
        <w:t>in particular the</w:t>
      </w:r>
      <w:proofErr w:type="gramEnd"/>
      <w:r>
        <w:rPr>
          <w:color w:val="auto"/>
          <w:lang w:val="en-US"/>
        </w:rPr>
        <w:t xml:space="preserve"> provisions relating to equal pay and non-discrimination </w:t>
      </w:r>
      <w:proofErr w:type="gramStart"/>
      <w:r>
        <w:rPr>
          <w:color w:val="auto"/>
          <w:lang w:val="en-US"/>
        </w:rPr>
        <w:t>on the basis of</w:t>
      </w:r>
      <w:proofErr w:type="gramEnd"/>
      <w:r>
        <w:rPr>
          <w:color w:val="auto"/>
          <w:lang w:val="en-US"/>
        </w:rPr>
        <w:t xml:space="preserve"> sex.</w:t>
      </w:r>
    </w:p>
    <w:p w14:paraId="54DABDBD"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color w:val="auto"/>
          <w:lang w:val="en-US"/>
        </w:rPr>
      </w:pPr>
    </w:p>
    <w:p w14:paraId="54DABDBE"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color w:val="auto"/>
        </w:rPr>
      </w:pPr>
      <w:r>
        <w:rPr>
          <w:color w:val="auto"/>
        </w:rPr>
        <w:t>Under the Equality Act 2010, both men and women are entitled to equal pay for equal work, which includes, like work, similar or broadly the same (Daniels 2025). An established Job evaluation scheme or work of equal value, requiring similar levels of effort, skill and responsibility.</w:t>
      </w:r>
    </w:p>
    <w:p w14:paraId="54DABDBF"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color w:val="auto"/>
        </w:rPr>
      </w:pPr>
    </w:p>
    <w:p w14:paraId="54DABDC0"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color w:val="auto"/>
        </w:rPr>
        <w:t xml:space="preserve">In this case, if the two male </w:t>
      </w:r>
      <w:proofErr w:type="gramStart"/>
      <w:r>
        <w:rPr>
          <w:color w:val="auto"/>
        </w:rPr>
        <w:t>HCA’s</w:t>
      </w:r>
      <w:proofErr w:type="gramEnd"/>
      <w:r>
        <w:rPr>
          <w:color w:val="auto"/>
        </w:rPr>
        <w:t xml:space="preserve"> are performing the same or similar duties as the majority of other </w:t>
      </w:r>
      <w:proofErr w:type="gramStart"/>
      <w:r>
        <w:rPr>
          <w:color w:val="auto"/>
        </w:rPr>
        <w:t>HCA’s</w:t>
      </w:r>
      <w:proofErr w:type="gramEnd"/>
      <w:r>
        <w:rPr>
          <w:color w:val="auto"/>
        </w:rPr>
        <w:t xml:space="preserve"> on Grade A (80% of whom are female), upgrading them without objective justification could give rise to a claim of unequal pay and sex discrimination.</w:t>
      </w:r>
      <w:r>
        <w:rPr>
          <w:rFonts w:eastAsia="Times New Roman"/>
          <w:color w:val="auto"/>
        </w:rPr>
        <w:t xml:space="preserve"> An equal pay claim requires a comparator, meaning an individual of the opposite gender performing the same or equivalent work but receiving higher pay (ACAS, 2025).</w:t>
      </w:r>
    </w:p>
    <w:p w14:paraId="54DABDC1"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imes New Roman"/>
          <w:color w:val="auto"/>
        </w:rPr>
      </w:pPr>
    </w:p>
    <w:p w14:paraId="54DABDC2"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rFonts w:eastAsia="Times New Roman"/>
          <w:color w:val="auto"/>
        </w:rPr>
        <w:t xml:space="preserve">Promoting only male </w:t>
      </w:r>
      <w:proofErr w:type="gramStart"/>
      <w:r>
        <w:rPr>
          <w:rFonts w:eastAsia="Times New Roman"/>
          <w:color w:val="auto"/>
        </w:rPr>
        <w:t>HCA’s</w:t>
      </w:r>
      <w:proofErr w:type="gramEnd"/>
      <w:r>
        <w:rPr>
          <w:rFonts w:eastAsia="Times New Roman"/>
          <w:color w:val="auto"/>
        </w:rPr>
        <w:t xml:space="preserve"> in a predominantly female staff group may be viewed as discriminatory unless there is a clear, evidence-based rationale. Female HCA’s doing the same or equivalent work could bring an equal pay claim if they are not offered the same opportunity to progress (CIPD, 2025), particularly if no transparent and fair process has been followed by the Trust.</w:t>
      </w:r>
    </w:p>
    <w:p w14:paraId="54DABDC3"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color w:val="auto"/>
        </w:rPr>
      </w:pPr>
    </w:p>
    <w:p w14:paraId="54DABDC4"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color w:val="auto"/>
        </w:rPr>
      </w:pPr>
      <w:r>
        <w:rPr>
          <w:rFonts w:eastAsia="Trebuchet MS"/>
          <w:color w:val="auto"/>
        </w:rPr>
        <w:t>To ensure fairness, we must have a clear reason for the upgrade, by conducting a transparent process, and any regrading should be open to all HCA’s based on the agreed criteria. This could be taking on additional duties, higher competencies or supervisory roles. Assess whether the 2 HCA’s job descriptions differ significantly from their peers, if so, a formal Job evaluation process should then be carried out.</w:t>
      </w:r>
    </w:p>
    <w:p w14:paraId="54DABDC5"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color w:val="auto"/>
        </w:rPr>
      </w:pPr>
    </w:p>
    <w:p w14:paraId="54DABDC6"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color w:val="auto"/>
        </w:rPr>
      </w:pPr>
      <w:r>
        <w:rPr>
          <w:rFonts w:eastAsia="Trebuchet MS"/>
          <w:color w:val="auto"/>
        </w:rPr>
        <w:t>While I appreciate your intention to recognise high performing staff, any deviation from standard grading practices within the Trust must be justifiable and consistent with employment policies and compliant with equal pay legislation.</w:t>
      </w:r>
    </w:p>
    <w:p w14:paraId="54DABDC7"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color w:val="auto"/>
        </w:rPr>
      </w:pPr>
    </w:p>
    <w:p w14:paraId="54DABDC8"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color w:val="auto"/>
        </w:rPr>
      </w:pPr>
      <w:r>
        <w:rPr>
          <w:rFonts w:eastAsia="Trebuchet MS"/>
          <w:color w:val="auto"/>
        </w:rPr>
        <w:t>I would be happy to support a properly managed and fair review of the roles if you believe they merit grading.</w:t>
      </w:r>
    </w:p>
    <w:p w14:paraId="54DABDC9"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color w:val="004147"/>
        </w:rPr>
      </w:pPr>
    </w:p>
    <w:p w14:paraId="54DABDCA"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color w:val="004147"/>
        </w:rPr>
      </w:pPr>
    </w:p>
    <w:p w14:paraId="54DABDCB"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b/>
          <w:bCs/>
          <w:color w:val="004147"/>
          <w:lang w:val="de-DE"/>
        </w:rPr>
        <w:t xml:space="preserve">Email 5 (AC 3.1)    </w:t>
      </w:r>
    </w:p>
    <w:p w14:paraId="54DABDCC"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CD"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lang w:val="en-US"/>
        </w:rPr>
      </w:pPr>
      <w:r>
        <w:rPr>
          <w:lang w:val="en-US"/>
        </w:rPr>
        <w:t xml:space="preserve">Thank you for raising your concern regarding the radiographer who recently resigned. Under the Employment Rights Act 1996, constructive dismissal occurs when an employee resigns in response to their employer’s fundamental breach of contract (in this case his change of working hours). </w:t>
      </w:r>
    </w:p>
    <w:p w14:paraId="54DABDCE"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lang w:val="en-US"/>
        </w:rPr>
      </w:pPr>
    </w:p>
    <w:p w14:paraId="54DABDCF"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lang w:val="en-US"/>
        </w:rPr>
      </w:pPr>
      <w:r>
        <w:rPr>
          <w:lang w:val="en-US"/>
        </w:rPr>
        <w:t xml:space="preserve">For a claim to be successful, the employee must show A fundamental breach of the contract by the employer. This can be a breach of the express </w:t>
      </w:r>
      <w:proofErr w:type="gramStart"/>
      <w:r>
        <w:rPr>
          <w:lang w:val="en-US"/>
        </w:rPr>
        <w:t>terms</w:t>
      </w:r>
      <w:proofErr w:type="gramEnd"/>
      <w:r>
        <w:rPr>
          <w:lang w:val="en-US"/>
        </w:rPr>
        <w:t xml:space="preserve"> (in </w:t>
      </w:r>
      <w:r>
        <w:rPr>
          <w:lang w:val="en-US"/>
        </w:rPr>
        <w:t>this case a change to working hours) or implied terms. That the employee resigned in response to the breach and did so without unreasonable delay. That the breach was serious enough to justify his resignation.</w:t>
      </w:r>
    </w:p>
    <w:p w14:paraId="54DABDD0"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lang w:val="en-US"/>
        </w:rPr>
      </w:pPr>
    </w:p>
    <w:p w14:paraId="54DABDD1"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lang w:val="en-US"/>
        </w:rPr>
      </w:pPr>
      <w:r>
        <w:rPr>
          <w:lang w:val="en-US"/>
        </w:rPr>
        <w:t xml:space="preserve">In normal cases, a change in working hours would have been </w:t>
      </w:r>
      <w:proofErr w:type="gramStart"/>
      <w:r>
        <w:rPr>
          <w:lang w:val="en-US"/>
        </w:rPr>
        <w:t>consulted</w:t>
      </w:r>
      <w:proofErr w:type="gramEnd"/>
      <w:r>
        <w:rPr>
          <w:lang w:val="en-US"/>
        </w:rPr>
        <w:t xml:space="preserve"> with the individual along with HR and his union representative. If his contract had stated specific working hours such as day shifts, and then he was told he would work night shifts, then this could be seen as an unreasonable change (Daniels, 2025). Such changes if not consulted on will support a claim constructive dismissal.</w:t>
      </w:r>
    </w:p>
    <w:p w14:paraId="54DABDD2"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lang w:val="en-US"/>
        </w:rPr>
      </w:pPr>
    </w:p>
    <w:p w14:paraId="54DABDD3"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lang w:val="en-US"/>
        </w:rPr>
      </w:pPr>
      <w:r>
        <w:rPr>
          <w:lang w:val="en-US"/>
        </w:rPr>
        <w:t xml:space="preserve">Employees wishing to bring a claim for constructive dismissal must submit it to the Employment Tribunal within 3 months </w:t>
      </w:r>
      <w:proofErr w:type="gramStart"/>
      <w:r>
        <w:rPr>
          <w:lang w:val="en-US"/>
        </w:rPr>
        <w:t>less</w:t>
      </w:r>
      <w:proofErr w:type="gramEnd"/>
      <w:r>
        <w:rPr>
          <w:lang w:val="en-US"/>
        </w:rPr>
        <w:t xml:space="preserve"> one day from the effective date of termination or last day of employment. If the radiographer does not submit their claim within </w:t>
      </w:r>
      <w:proofErr w:type="gramStart"/>
      <w:r>
        <w:rPr>
          <w:lang w:val="en-US"/>
        </w:rPr>
        <w:t>the 3</w:t>
      </w:r>
      <w:proofErr w:type="gramEnd"/>
      <w:r>
        <w:rPr>
          <w:lang w:val="en-US"/>
        </w:rPr>
        <w:t xml:space="preserve"> months, then any claim is likely to be dismissed as out of time. Only certain circumstances would apply; ACAS early conciliation can pause the clock on the time limit (ACAS 2025).</w:t>
      </w:r>
    </w:p>
    <w:p w14:paraId="54DABDD4"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lang w:val="en-US"/>
        </w:rPr>
      </w:pPr>
    </w:p>
    <w:p w14:paraId="54DABDD5"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t>Recommended actions would be to gather information on any documentation of the radiographer’s change, and how it was communicated. Did consultation take place? Any mitigation offered? Also, a review of their contract to see if working hours were fixed or flexible? This will prepare for any contact and help to defend against a claim by demonstrating that there was no breach of contract, and that the changes were small or reasonable under the terms of employment, or that the employee was happy and accepted an</w:t>
      </w:r>
      <w:r>
        <w:t>y changes.</w:t>
      </w:r>
    </w:p>
    <w:p w14:paraId="54DABDD6"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D7"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rPr>
      </w:pPr>
      <w:r>
        <w:rPr>
          <w:rFonts w:eastAsia="Trebuchet MS"/>
        </w:rPr>
        <w:t>Please let me know if you would like help reviewing the specific documentation related to the change or preparing for a possible claim. It would be for the best if we take a proactive approach in managing this risk.</w:t>
      </w:r>
    </w:p>
    <w:p w14:paraId="54DABDD8"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D9"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b/>
          <w:bCs/>
          <w:color w:val="004147"/>
          <w:lang w:val="en-US"/>
        </w:rPr>
        <w:t>Email 6 (AC 3.2)</w:t>
      </w:r>
    </w:p>
    <w:p w14:paraId="54DABDDA"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DB"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lang w:val="en-US"/>
        </w:rPr>
      </w:pPr>
      <w:r>
        <w:rPr>
          <w:strike/>
          <w:lang w:val="en-US"/>
        </w:rPr>
        <w:lastRenderedPageBreak/>
        <w:t xml:space="preserve">While I appreciate the desire to move forward efficiently with the re-organisation within your directorate, it is important to ensure that the process strictly complies with UK employment law, particularly the redundancy and </w:t>
      </w:r>
      <w:r>
        <w:rPr>
          <w:strike/>
          <w:lang w:val="en-US"/>
        </w:rPr>
        <w:t xml:space="preserve">consultation obligations set out in the Employment Rights </w:t>
      </w:r>
      <w:proofErr w:type="gramStart"/>
      <w:r>
        <w:rPr>
          <w:strike/>
          <w:lang w:val="en-US"/>
        </w:rPr>
        <w:t>act</w:t>
      </w:r>
      <w:proofErr w:type="gramEnd"/>
      <w:r>
        <w:rPr>
          <w:strike/>
          <w:lang w:val="en-US"/>
        </w:rPr>
        <w:t xml:space="preserve"> 1996, the trade union and Labour relations (consolidation) Act 1992 (TULCRA), and relevant case law. A failure to comply can lead to costly and time-consuming legal claims, including unfair dismissal.</w:t>
      </w:r>
    </w:p>
    <w:p w14:paraId="54DABDDC"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lang w:val="en-US"/>
        </w:rPr>
      </w:pPr>
    </w:p>
    <w:p w14:paraId="54DABDDD"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rPr>
      </w:pPr>
      <w:r>
        <w:rPr>
          <w:strike/>
        </w:rPr>
        <w:t>Redundancy must be based on the role, not the individual. So, by picking out the poorest performers could be viewed as unfair dismissal, unless performance is part of a fair and transparent selection process.</w:t>
      </w:r>
    </w:p>
    <w:p w14:paraId="54DABDDE"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rPr>
      </w:pPr>
    </w:p>
    <w:p w14:paraId="54DABDDF"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rPr>
      </w:pPr>
      <w:r>
        <w:rPr>
          <w:strike/>
        </w:rPr>
        <w:t xml:space="preserve">To avoid claims of unfair dismissal, a fair process must </w:t>
      </w:r>
      <w:proofErr w:type="gramStart"/>
      <w:r>
        <w:rPr>
          <w:strike/>
        </w:rPr>
        <w:t>include,</w:t>
      </w:r>
      <w:proofErr w:type="gramEnd"/>
      <w:r>
        <w:rPr>
          <w:strike/>
        </w:rPr>
        <w:t xml:space="preserve"> A meaningful consultation process. Where 20 or more redundancies are proposed, a collective consultation is legally required. For 50 staff the consultation will last for at least 30 days (GOV.uk). A </w:t>
      </w:r>
      <w:proofErr w:type="gramStart"/>
      <w:r>
        <w:rPr>
          <w:strike/>
        </w:rPr>
        <w:t>fair selection criteria</w:t>
      </w:r>
      <w:proofErr w:type="gramEnd"/>
      <w:r>
        <w:rPr>
          <w:strike/>
        </w:rPr>
        <w:t xml:space="preserve"> must be carried out, being objective, consistent and transparent criteria must be applied (this includes skills, qualifications, disciplinary record and attendance). Other alternatives must be considered, including redeployment or voluntary redundancies. The Trust must ensure any</w:t>
      </w:r>
      <w:r>
        <w:rPr>
          <w:strike/>
        </w:rPr>
        <w:t xml:space="preserve"> redundancy is unavoidable or it could result in a wrongful dismissal claim. All Employees have a right to appeal against their selection for redundancy (ACAS, 2025).</w:t>
      </w:r>
    </w:p>
    <w:p w14:paraId="54DABDE0"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rPr>
      </w:pPr>
    </w:p>
    <w:p w14:paraId="54DABDE1"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rPr>
      </w:pPr>
      <w:r>
        <w:rPr>
          <w:strike/>
        </w:rPr>
        <w:t xml:space="preserve">All employees who have more than 2 years continuous service that are selected for redundancy must receive statutory redundancy pay. </w:t>
      </w:r>
    </w:p>
    <w:p w14:paraId="54DABDE2"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rPr>
      </w:pPr>
    </w:p>
    <w:p w14:paraId="54DABDE3"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rPr>
      </w:pPr>
      <w:r>
        <w:rPr>
          <w:strike/>
        </w:rPr>
        <w:t>By following the correct procedure whilst being compliant and treating all employees fairly, will help avoid future legal costs.</w:t>
      </w:r>
    </w:p>
    <w:p w14:paraId="54DABDE4"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strike/>
        </w:rPr>
      </w:pPr>
    </w:p>
    <w:p w14:paraId="54DABDE5"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rPr>
      </w:pPr>
      <w:r>
        <w:rPr>
          <w:rFonts w:eastAsia="Trebuchet MS"/>
          <w:strike/>
        </w:rPr>
        <w:t>I would be happy to support you in developing a redundancy plan and relevant documentation to ensure the process is efficient and legally sound.</w:t>
      </w:r>
    </w:p>
    <w:p w14:paraId="54DABDE6" w14:textId="77777777" w:rsidR="00CB5E47" w:rsidRPr="008B0CCA" w:rsidRDefault="00F37544">
      <w:pPr>
        <w:suppressAutoHyphens w:val="0"/>
        <w:spacing w:before="100" w:after="100" w:line="240" w:lineRule="auto"/>
        <w:rPr>
          <w:rFonts w:ascii="Arial" w:eastAsia="Times New Roman" w:hAnsi="Arial" w:cs="Arial"/>
          <w:strike/>
          <w:color w:val="C00000"/>
          <w:kern w:val="0"/>
          <w:lang w:eastAsia="en-GB"/>
        </w:rPr>
      </w:pPr>
      <w:r w:rsidRPr="008B0CCA">
        <w:rPr>
          <w:rFonts w:ascii="Arial" w:eastAsia="Times New Roman" w:hAnsi="Arial" w:cs="Arial"/>
          <w:strike/>
          <w:color w:val="C00000"/>
          <w:kern w:val="0"/>
          <w:lang w:eastAsia="en-GB"/>
        </w:rPr>
        <w:t xml:space="preserve">Thank you for outlining your plans regarding the upcoming reorganisation and proposed redundancies. I appreciate your urgency in wanting to move swiftly, but I must </w:t>
      </w:r>
      <w:r w:rsidRPr="008B0CCA">
        <w:rPr>
          <w:rFonts w:ascii="Arial" w:eastAsia="Times New Roman" w:hAnsi="Arial" w:cs="Arial"/>
          <w:strike/>
          <w:color w:val="C00000"/>
          <w:kern w:val="0"/>
          <w:lang w:eastAsia="en-GB"/>
        </w:rPr>
        <w:t>advise that redundancy is a legally sensitive process and must be handled with care to ensure compliance with UK employment law and to avoid potential claims of unfair dismissal.</w:t>
      </w:r>
    </w:p>
    <w:p w14:paraId="54DABDE7" w14:textId="77777777" w:rsidR="00CB5E47" w:rsidRPr="008B0CCA" w:rsidRDefault="00F37544">
      <w:pPr>
        <w:suppressAutoHyphens w:val="0"/>
        <w:spacing w:before="100" w:after="100" w:line="240" w:lineRule="auto"/>
        <w:rPr>
          <w:rFonts w:ascii="Arial" w:eastAsia="Times New Roman" w:hAnsi="Arial" w:cs="Arial"/>
          <w:strike/>
          <w:color w:val="C00000"/>
          <w:kern w:val="0"/>
          <w:lang w:eastAsia="en-GB"/>
        </w:rPr>
      </w:pPr>
      <w:r w:rsidRPr="008B0CCA">
        <w:rPr>
          <w:rFonts w:ascii="Arial" w:eastAsia="Times New Roman" w:hAnsi="Arial" w:cs="Arial"/>
          <w:strike/>
          <w:color w:val="C00000"/>
          <w:kern w:val="0"/>
          <w:lang w:eastAsia="en-GB"/>
        </w:rPr>
        <w:t>Under the Employment Rights Act 1996, redundancy is defined as a dismissal that occurs when an employer needs to reduce its workforce due to business closure, workplace closure, or diminished need for employees to carry out work of a particular kind. It is crucial to distinguish redundancy from performance-related dismissal, as the latter falls under capability or conduct and must follow a separate disciplinary procedure. Redundancy must be based on the role being no longer required—not the individual’s per</w:t>
      </w:r>
      <w:r w:rsidRPr="008B0CCA">
        <w:rPr>
          <w:rFonts w:ascii="Arial" w:eastAsia="Times New Roman" w:hAnsi="Arial" w:cs="Arial"/>
          <w:strike/>
          <w:color w:val="C00000"/>
          <w:kern w:val="0"/>
          <w:lang w:eastAsia="en-GB"/>
        </w:rPr>
        <w:t>formance.</w:t>
      </w:r>
    </w:p>
    <w:p w14:paraId="54DABDE8" w14:textId="77777777" w:rsidR="00CB5E47" w:rsidRPr="008B0CCA" w:rsidRDefault="00F37544">
      <w:pPr>
        <w:suppressAutoHyphens w:val="0"/>
        <w:spacing w:before="100" w:after="100" w:line="240" w:lineRule="auto"/>
        <w:rPr>
          <w:rFonts w:ascii="Arial" w:eastAsia="Times New Roman" w:hAnsi="Arial" w:cs="Arial"/>
          <w:strike/>
          <w:color w:val="C00000"/>
          <w:kern w:val="0"/>
          <w:lang w:eastAsia="en-GB"/>
        </w:rPr>
      </w:pPr>
      <w:r w:rsidRPr="008B0CCA">
        <w:rPr>
          <w:rFonts w:ascii="Arial" w:eastAsia="Times New Roman" w:hAnsi="Arial" w:cs="Arial"/>
          <w:strike/>
          <w:color w:val="C00000"/>
          <w:kern w:val="0"/>
          <w:lang w:eastAsia="en-GB"/>
        </w:rPr>
        <w:t xml:space="preserve">The law requires employers to follow a fair and transparent process. This includes consulting with affected employees before any final decisions are made. If 20 or more redundancies are proposed within a 90-day period at a single establishment, collective consultation is mandatory. This involves engaging with recognised trade unions or elected employee representatives and must last a minimum of 30 days. For fewer than 20 redundancies, individual consultation is still required and must be meaningful, giving </w:t>
      </w:r>
      <w:r w:rsidRPr="008B0CCA">
        <w:rPr>
          <w:rFonts w:ascii="Arial" w:eastAsia="Times New Roman" w:hAnsi="Arial" w:cs="Arial"/>
          <w:strike/>
          <w:color w:val="C00000"/>
          <w:kern w:val="0"/>
          <w:lang w:eastAsia="en-GB"/>
        </w:rPr>
        <w:t>employees the opportunity to understand the reasons, ask questions, and suggest alternatives.</w:t>
      </w:r>
    </w:p>
    <w:p w14:paraId="54DABDE9" w14:textId="77777777" w:rsidR="00CB5E47" w:rsidRPr="008B0CCA" w:rsidRDefault="00F37544">
      <w:pPr>
        <w:suppressAutoHyphens w:val="0"/>
        <w:spacing w:before="100" w:after="100" w:line="240" w:lineRule="auto"/>
        <w:rPr>
          <w:rFonts w:ascii="Arial" w:eastAsia="Times New Roman" w:hAnsi="Arial" w:cs="Arial"/>
          <w:strike/>
          <w:color w:val="C00000"/>
          <w:kern w:val="0"/>
          <w:lang w:eastAsia="en-GB"/>
        </w:rPr>
      </w:pPr>
      <w:r w:rsidRPr="008B0CCA">
        <w:rPr>
          <w:rFonts w:ascii="Arial" w:eastAsia="Times New Roman" w:hAnsi="Arial" w:cs="Arial"/>
          <w:strike/>
          <w:color w:val="C00000"/>
          <w:kern w:val="0"/>
          <w:lang w:eastAsia="en-GB"/>
        </w:rPr>
        <w:t>Selection for redundancy must be based on fair and objective criteria, such as skills, qualifications, attendance, and disciplinary record. Using performance alone as a basis for selection—especially without a documented and fair appraisal process—risks breaching the Equality Act 2010 and could be challenged as discriminatory or procedurally unfair.</w:t>
      </w:r>
    </w:p>
    <w:p w14:paraId="54DABDEA" w14:textId="77777777" w:rsidR="00CB5E47" w:rsidRPr="008B0CCA" w:rsidRDefault="00F37544">
      <w:pPr>
        <w:suppressAutoHyphens w:val="0"/>
        <w:spacing w:before="100" w:after="100" w:line="240" w:lineRule="auto"/>
        <w:rPr>
          <w:rFonts w:ascii="Arial" w:eastAsia="Times New Roman" w:hAnsi="Arial" w:cs="Arial"/>
          <w:strike/>
          <w:color w:val="C00000"/>
          <w:kern w:val="0"/>
          <w:lang w:eastAsia="en-GB"/>
        </w:rPr>
      </w:pPr>
      <w:r w:rsidRPr="008B0CCA">
        <w:rPr>
          <w:rFonts w:ascii="Arial" w:eastAsia="Times New Roman" w:hAnsi="Arial" w:cs="Arial"/>
          <w:strike/>
          <w:color w:val="C00000"/>
          <w:kern w:val="0"/>
          <w:lang w:eastAsia="en-GB"/>
        </w:rPr>
        <w:t xml:space="preserve">In short, while streamlining the process may seem efficient, bypassing consultation or relying solely on perceived performance risks significant legal exposure. I recommend we proceed </w:t>
      </w:r>
      <w:r w:rsidRPr="008B0CCA">
        <w:rPr>
          <w:rFonts w:ascii="Arial" w:eastAsia="Times New Roman" w:hAnsi="Arial" w:cs="Arial"/>
          <w:strike/>
          <w:color w:val="C00000"/>
          <w:kern w:val="0"/>
          <w:lang w:eastAsia="en-GB"/>
        </w:rPr>
        <w:lastRenderedPageBreak/>
        <w:t>with a structured consultation plan and ensure all selection criteria are clearly documented and defensible.</w:t>
      </w:r>
    </w:p>
    <w:p w14:paraId="54DABDEB" w14:textId="77777777" w:rsidR="00CB5E47" w:rsidRPr="008B0CCA" w:rsidRDefault="00F37544">
      <w:pPr>
        <w:suppressAutoHyphens w:val="0"/>
        <w:spacing w:before="100" w:after="100" w:line="240" w:lineRule="auto"/>
        <w:rPr>
          <w:rFonts w:ascii="Arial" w:eastAsia="Times New Roman" w:hAnsi="Arial" w:cs="Arial"/>
          <w:strike/>
          <w:color w:val="C00000"/>
          <w:kern w:val="0"/>
          <w:lang w:eastAsia="en-GB"/>
        </w:rPr>
      </w:pPr>
      <w:r w:rsidRPr="008B0CCA">
        <w:rPr>
          <w:rFonts w:ascii="Arial" w:eastAsia="Times New Roman" w:hAnsi="Arial" w:cs="Arial"/>
          <w:strike/>
          <w:color w:val="C00000"/>
          <w:kern w:val="0"/>
          <w:lang w:eastAsia="en-GB"/>
        </w:rPr>
        <w:t>Please let me know if you’d like support drafting the consultation framework or reviewing the selection matrix.</w:t>
      </w:r>
    </w:p>
    <w:p w14:paraId="59AB84EE" w14:textId="77777777" w:rsidR="008B0CCA" w:rsidRDefault="008B0CCA">
      <w:pPr>
        <w:pStyle w:val="Body"/>
        <w:pBdr>
          <w:top w:val="none" w:sz="0" w:space="0" w:color="auto"/>
          <w:left w:val="none" w:sz="0" w:space="0" w:color="auto"/>
          <w:bottom w:val="none" w:sz="0" w:space="0" w:color="auto"/>
          <w:right w:val="none" w:sz="0" w:space="0" w:color="auto"/>
        </w:pBdr>
        <w:spacing w:line="240" w:lineRule="auto"/>
        <w:rPr>
          <w:b/>
          <w:bCs/>
          <w:color w:val="004147"/>
          <w:lang w:val="en-US"/>
        </w:rPr>
      </w:pPr>
    </w:p>
    <w:p w14:paraId="2C2D1ED2" w14:textId="35D694C4"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r w:rsidRPr="00DC42CC">
        <w:rPr>
          <w:color w:val="156082" w:themeColor="accent1"/>
          <w:lang w:val="en-US"/>
        </w:rPr>
        <w:t xml:space="preserve">Thank you for outlining your plans regarding the upcoming </w:t>
      </w:r>
      <w:proofErr w:type="spellStart"/>
      <w:r w:rsidRPr="00DC42CC">
        <w:rPr>
          <w:color w:val="156082" w:themeColor="accent1"/>
          <w:lang w:val="en-US"/>
        </w:rPr>
        <w:t>reorganisation</w:t>
      </w:r>
      <w:proofErr w:type="spellEnd"/>
      <w:r w:rsidRPr="00DC42CC">
        <w:rPr>
          <w:color w:val="156082" w:themeColor="accent1"/>
          <w:lang w:val="en-US"/>
        </w:rPr>
        <w:t xml:space="preserve"> and proposed redundancies. </w:t>
      </w:r>
      <w:r w:rsidR="003747BD" w:rsidRPr="00DC42CC">
        <w:rPr>
          <w:color w:val="156082" w:themeColor="accent1"/>
          <w:lang w:val="en-US"/>
        </w:rPr>
        <w:t>R</w:t>
      </w:r>
      <w:r w:rsidRPr="00DC42CC">
        <w:rPr>
          <w:color w:val="156082" w:themeColor="accent1"/>
          <w:lang w:val="en-US"/>
        </w:rPr>
        <w:t>edundancy is a legally sensitive process and must be handled with care to ensure compliance with UK employment law and to avoid potential claims of unfair dismissal.</w:t>
      </w:r>
    </w:p>
    <w:p w14:paraId="2F7ABEAF" w14:textId="77777777"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p>
    <w:p w14:paraId="5A042C70" w14:textId="1F4EAAF3"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r w:rsidRPr="00DC42CC">
        <w:rPr>
          <w:color w:val="156082" w:themeColor="accent1"/>
          <w:lang w:val="en-US"/>
        </w:rPr>
        <w:t xml:space="preserve">Under the Employment Rights Act 1996, redundancy is defined as a dismissal that occurs when an employer needs to reduce </w:t>
      </w:r>
      <w:proofErr w:type="gramStart"/>
      <w:r w:rsidRPr="00DC42CC">
        <w:rPr>
          <w:color w:val="156082" w:themeColor="accent1"/>
          <w:lang w:val="en-US"/>
        </w:rPr>
        <w:t>its</w:t>
      </w:r>
      <w:proofErr w:type="gramEnd"/>
      <w:r w:rsidRPr="00DC42CC">
        <w:rPr>
          <w:color w:val="156082" w:themeColor="accent1"/>
          <w:lang w:val="en-US"/>
        </w:rPr>
        <w:t xml:space="preserve"> workforce due to business closure, workplace closure, or a diminished need for employees to carry out work of a particular kind (Employment Rights Act 1996). It is crucial to distinguish redundancy from performance-related dismissal, which falls under capability or conduct and must follow a separate disciplinary procedure. Redundancy must be based on the role being no longer required—not the individual’s performance (CIPD, Managing the Redundancy Process, 202</w:t>
      </w:r>
      <w:r w:rsidR="00815410">
        <w:rPr>
          <w:color w:val="156082" w:themeColor="accent1"/>
          <w:lang w:val="en-US"/>
        </w:rPr>
        <w:t>4</w:t>
      </w:r>
      <w:r w:rsidRPr="00DC42CC">
        <w:rPr>
          <w:color w:val="156082" w:themeColor="accent1"/>
          <w:lang w:val="en-US"/>
        </w:rPr>
        <w:t>).</w:t>
      </w:r>
    </w:p>
    <w:p w14:paraId="6836BDAF" w14:textId="77777777"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p>
    <w:p w14:paraId="6D29AFD5" w14:textId="77777777"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r w:rsidRPr="00DC42CC">
        <w:rPr>
          <w:color w:val="156082" w:themeColor="accent1"/>
          <w:lang w:val="en-US"/>
        </w:rPr>
        <w:t>The law requires employers to follow a fair and transparent process. This includes consulting with affected employees before any final decisions are made. If 20 or more redundancies are proposed within a 90-day period at a single establishment, collective consultation is mandatory under the Trade Union and Labour Relations (Consolidation) Act 1992 (TULRCA 1992, s.188). This involves engaging with recognised trade unions or elected employee representatives and must last a minimum of 30 days. For fewer than 20 redundancies, individual consultation is still required and must be meaningful, giving employees the opportunity to understand the reasons, ask questions, and suggest alternatives (GOV.UK, Redundancy: Your Rights).</w:t>
      </w:r>
    </w:p>
    <w:p w14:paraId="0819585A" w14:textId="77777777"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p>
    <w:p w14:paraId="734B74D6" w14:textId="77777777"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r w:rsidRPr="00DC42CC">
        <w:rPr>
          <w:color w:val="156082" w:themeColor="accent1"/>
          <w:lang w:val="en-US"/>
        </w:rPr>
        <w:t xml:space="preserve">Selection for redundancy must be based on fair and objective criteria, such as skills, qualifications, attendance, and disciplinary record. The CIPD advises that selection criteria should be consistently applied and clearly documented to avoid bias or discrimination (CIPD, Redundancy Selection Criteria, 2022). Using performance </w:t>
      </w:r>
      <w:proofErr w:type="gramStart"/>
      <w:r w:rsidRPr="00DC42CC">
        <w:rPr>
          <w:color w:val="156082" w:themeColor="accent1"/>
          <w:lang w:val="en-US"/>
        </w:rPr>
        <w:t>alone—</w:t>
      </w:r>
      <w:proofErr w:type="gramEnd"/>
      <w:r w:rsidRPr="00DC42CC">
        <w:rPr>
          <w:color w:val="156082" w:themeColor="accent1"/>
          <w:lang w:val="en-US"/>
        </w:rPr>
        <w:t>especially without a robust and transparent appraisal process—risks breaching the Equality Act 2010 and could be challenged as discriminatory or procedurally unfair.</w:t>
      </w:r>
    </w:p>
    <w:p w14:paraId="10053820" w14:textId="77777777"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p>
    <w:p w14:paraId="30CE3CB0" w14:textId="3912F45B"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r w:rsidRPr="00DC42CC">
        <w:rPr>
          <w:color w:val="156082" w:themeColor="accent1"/>
          <w:lang w:val="en-US"/>
        </w:rPr>
        <w:t xml:space="preserve">This principle was tested in the case of Williams v </w:t>
      </w:r>
      <w:proofErr w:type="spellStart"/>
      <w:r w:rsidRPr="00DC42CC">
        <w:rPr>
          <w:color w:val="156082" w:themeColor="accent1"/>
          <w:lang w:val="en-US"/>
        </w:rPr>
        <w:t>Compair</w:t>
      </w:r>
      <w:proofErr w:type="spellEnd"/>
      <w:r w:rsidRPr="00DC42CC">
        <w:rPr>
          <w:color w:val="156082" w:themeColor="accent1"/>
          <w:lang w:val="en-US"/>
        </w:rPr>
        <w:t xml:space="preserve"> Maxam Ltd [1982</w:t>
      </w:r>
      <w:proofErr w:type="gramStart"/>
      <w:r w:rsidRPr="00DC42CC">
        <w:rPr>
          <w:color w:val="156082" w:themeColor="accent1"/>
          <w:lang w:val="en-US"/>
        </w:rPr>
        <w:t>]  where</w:t>
      </w:r>
      <w:proofErr w:type="gramEnd"/>
      <w:r w:rsidRPr="00DC42CC">
        <w:rPr>
          <w:color w:val="156082" w:themeColor="accent1"/>
          <w:lang w:val="en-US"/>
        </w:rPr>
        <w:t xml:space="preserve"> the Employment Appeal Tribunal held that a fair redundancy process should include consultation, objective selection criteria, and consideration of alternative employment. The employer’s failure to apply fair selection methods led to </w:t>
      </w:r>
      <w:proofErr w:type="gramStart"/>
      <w:r w:rsidRPr="00DC42CC">
        <w:rPr>
          <w:color w:val="156082" w:themeColor="accent1"/>
          <w:lang w:val="en-US"/>
        </w:rPr>
        <w:t>a finding</w:t>
      </w:r>
      <w:proofErr w:type="gramEnd"/>
      <w:r w:rsidRPr="00DC42CC">
        <w:rPr>
          <w:color w:val="156082" w:themeColor="accent1"/>
          <w:lang w:val="en-US"/>
        </w:rPr>
        <w:t xml:space="preserve"> of unfair dismissal. Similarly, in Bessenden Properties Ltd v </w:t>
      </w:r>
      <w:proofErr w:type="spellStart"/>
      <w:r w:rsidRPr="00DC42CC">
        <w:rPr>
          <w:color w:val="156082" w:themeColor="accent1"/>
          <w:lang w:val="en-US"/>
        </w:rPr>
        <w:t>Corness</w:t>
      </w:r>
      <w:proofErr w:type="spellEnd"/>
      <w:r w:rsidRPr="00DC42CC">
        <w:rPr>
          <w:color w:val="156082" w:themeColor="accent1"/>
          <w:lang w:val="en-US"/>
        </w:rPr>
        <w:t xml:space="preserve"> [2021] EAT 93, the tribunal found that the employer’s reliance on subjective performance assessments without a transparent scoring system rendered the redundancy process unfair.</w:t>
      </w:r>
    </w:p>
    <w:p w14:paraId="41C7BA52" w14:textId="77777777"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p>
    <w:p w14:paraId="72FB0B05" w14:textId="77777777"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r w:rsidRPr="00DC42CC">
        <w:rPr>
          <w:color w:val="156082" w:themeColor="accent1"/>
          <w:lang w:val="en-US"/>
        </w:rPr>
        <w:t>In short, while streamlining the process may seem efficient, bypassing consultation or relying solely on perceived performance risks significant legal exposure. I recommend we proceed with a structured consultation plan and ensure all selection criteria are clearly documented and defensible.</w:t>
      </w:r>
    </w:p>
    <w:p w14:paraId="0FE3646C" w14:textId="77777777"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p>
    <w:p w14:paraId="34D93A5A" w14:textId="23E2ABEA" w:rsidR="008B0CCA" w:rsidRPr="00DC42CC" w:rsidRDefault="008B0CCA" w:rsidP="008B0CCA">
      <w:pPr>
        <w:pStyle w:val="Body"/>
        <w:pBdr>
          <w:top w:val="none" w:sz="0" w:space="0" w:color="auto"/>
          <w:left w:val="none" w:sz="0" w:space="0" w:color="auto"/>
          <w:bottom w:val="none" w:sz="0" w:space="0" w:color="auto"/>
          <w:right w:val="none" w:sz="0" w:space="0" w:color="auto"/>
        </w:pBdr>
        <w:spacing w:line="240" w:lineRule="auto"/>
        <w:rPr>
          <w:color w:val="156082" w:themeColor="accent1"/>
          <w:lang w:val="en-US"/>
        </w:rPr>
      </w:pPr>
      <w:r w:rsidRPr="00DC42CC">
        <w:rPr>
          <w:color w:val="156082" w:themeColor="accent1"/>
          <w:lang w:val="en-US"/>
        </w:rPr>
        <w:t>Please let me know if you’d like support drafting the consultation framework or reviewing the selection matrix. I’d be happy to assist in ensuring the process is legally sound and aligned with best practice.</w:t>
      </w:r>
    </w:p>
    <w:p w14:paraId="02163317" w14:textId="77777777" w:rsidR="008B0CCA" w:rsidRDefault="008B0CCA">
      <w:pPr>
        <w:pStyle w:val="Body"/>
        <w:pBdr>
          <w:top w:val="none" w:sz="0" w:space="0" w:color="auto"/>
          <w:left w:val="none" w:sz="0" w:space="0" w:color="auto"/>
          <w:bottom w:val="none" w:sz="0" w:space="0" w:color="auto"/>
          <w:right w:val="none" w:sz="0" w:space="0" w:color="auto"/>
        </w:pBdr>
        <w:spacing w:line="240" w:lineRule="auto"/>
        <w:rPr>
          <w:b/>
          <w:bCs/>
          <w:color w:val="004147"/>
          <w:lang w:val="en-US"/>
        </w:rPr>
      </w:pPr>
    </w:p>
    <w:p w14:paraId="54DABDEC" w14:textId="241781BF" w:rsidR="00CB5E47" w:rsidRDefault="00F37544">
      <w:pPr>
        <w:pStyle w:val="Body"/>
        <w:pBdr>
          <w:top w:val="none" w:sz="0" w:space="0" w:color="auto"/>
          <w:left w:val="none" w:sz="0" w:space="0" w:color="auto"/>
          <w:bottom w:val="none" w:sz="0" w:space="0" w:color="auto"/>
          <w:right w:val="none" w:sz="0" w:space="0" w:color="auto"/>
        </w:pBdr>
        <w:spacing w:line="240" w:lineRule="auto"/>
      </w:pPr>
      <w:r>
        <w:rPr>
          <w:b/>
          <w:bCs/>
          <w:color w:val="004147"/>
          <w:lang w:val="en-US"/>
        </w:rPr>
        <w:t xml:space="preserve">Email 7 (AC 3.3) </w:t>
      </w:r>
      <w:r>
        <w:rPr>
          <w:b/>
          <w:bCs/>
        </w:rPr>
        <w:t xml:space="preserve">  </w:t>
      </w:r>
    </w:p>
    <w:p w14:paraId="54DABDED"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DEE"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lang w:val="en-US"/>
        </w:rPr>
      </w:pPr>
      <w:r>
        <w:rPr>
          <w:strike/>
          <w:lang w:val="en-US"/>
        </w:rPr>
        <w:lastRenderedPageBreak/>
        <w:t xml:space="preserve">As you prepare to enter preliminary discussions with our </w:t>
      </w:r>
      <w:proofErr w:type="spellStart"/>
      <w:r>
        <w:rPr>
          <w:strike/>
          <w:lang w:val="en-US"/>
        </w:rPr>
        <w:t>neighbouring</w:t>
      </w:r>
      <w:proofErr w:type="spellEnd"/>
      <w:r>
        <w:rPr>
          <w:strike/>
          <w:lang w:val="en-US"/>
        </w:rPr>
        <w:t xml:space="preserve"> trust regarding a potential merger with the centralization of our respect pharmacy operations, it is important to be aware of the legal implications for staff under the Transfer of Undertakings (Protection of Employment) Regulations 2006 (TUPE). If the trusts merge and all pharmacy services are transferred to our Trust, TUPE is likely to apply. </w:t>
      </w:r>
    </w:p>
    <w:p w14:paraId="54DABDEF"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lang w:val="en-US"/>
        </w:rPr>
      </w:pPr>
    </w:p>
    <w:p w14:paraId="54DABDF0"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lang w:val="en-US"/>
        </w:rPr>
      </w:pPr>
      <w:r>
        <w:rPr>
          <w:strike/>
          <w:lang w:val="en-US"/>
        </w:rPr>
        <w:t>Employees transferring will have their contracts automatically transferred to our Trust on their existing terms and conditions. This includes continuity of service, annual leave entitlement and notice periods. The Trust will assume all contractual rights, and any agreements in place prior to the transfer will apply (CIPD, 2025).</w:t>
      </w:r>
    </w:p>
    <w:p w14:paraId="54DABDF1"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lang w:val="en-US"/>
        </w:rPr>
      </w:pPr>
    </w:p>
    <w:p w14:paraId="54DABDF2"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lang w:val="en-US"/>
        </w:rPr>
      </w:pPr>
      <w:r>
        <w:rPr>
          <w:strike/>
          <w:lang w:val="en-US"/>
        </w:rPr>
        <w:t xml:space="preserve">Employees cannot be dismissed because of the transfer, unless the dismissal is for a valid economic, technical or </w:t>
      </w:r>
      <w:proofErr w:type="spellStart"/>
      <w:r>
        <w:rPr>
          <w:strike/>
          <w:lang w:val="en-US"/>
        </w:rPr>
        <w:t>organisational</w:t>
      </w:r>
      <w:proofErr w:type="spellEnd"/>
      <w:r>
        <w:rPr>
          <w:strike/>
          <w:lang w:val="en-US"/>
        </w:rPr>
        <w:t xml:space="preserve"> (ETO) reason. Any dismissal found to </w:t>
      </w:r>
      <w:proofErr w:type="gramStart"/>
      <w:r>
        <w:rPr>
          <w:strike/>
          <w:lang w:val="en-US"/>
        </w:rPr>
        <w:t>be connected with</w:t>
      </w:r>
      <w:proofErr w:type="gramEnd"/>
      <w:r>
        <w:rPr>
          <w:strike/>
          <w:lang w:val="en-US"/>
        </w:rPr>
        <w:t xml:space="preserve"> TUPE but not for a valid ETO reason may result in claims of automatically unfair dismissal.</w:t>
      </w:r>
    </w:p>
    <w:p w14:paraId="54DABDF3"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lang w:val="en-US"/>
        </w:rPr>
      </w:pPr>
    </w:p>
    <w:p w14:paraId="54DABDF4"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lang w:val="en-US"/>
        </w:rPr>
      </w:pPr>
      <w:r>
        <w:rPr>
          <w:strike/>
          <w:lang w:val="en-US"/>
        </w:rPr>
        <w:t xml:space="preserve">Both Trusts have a legal duty to </w:t>
      </w:r>
      <w:proofErr w:type="gramStart"/>
      <w:r>
        <w:rPr>
          <w:strike/>
          <w:lang w:val="en-US"/>
        </w:rPr>
        <w:t>inform</w:t>
      </w:r>
      <w:proofErr w:type="gramEnd"/>
      <w:r>
        <w:rPr>
          <w:strike/>
          <w:lang w:val="en-US"/>
        </w:rPr>
        <w:t xml:space="preserve"> and consult affected employees along with their Trade Union representatives. This includes that a transfer is taking place. When and why the transfer is happening. The legal, economic and social implications. Whether any changes will affect staff.</w:t>
      </w:r>
    </w:p>
    <w:p w14:paraId="54DABDF5"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lang w:val="en-US"/>
        </w:rPr>
      </w:pPr>
    </w:p>
    <w:p w14:paraId="54DABDF6"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lang w:val="en-US"/>
        </w:rPr>
      </w:pPr>
      <w:r>
        <w:rPr>
          <w:strike/>
          <w:lang w:val="en-US"/>
        </w:rPr>
        <w:t xml:space="preserve">If the merger does proceed, it is crucial to identify the affected employees from both Trusts. Engage early with Unions and staff representatives. Ensure that consultation obligations are fulfilled and plan for any potential ETO-related </w:t>
      </w:r>
      <w:proofErr w:type="spellStart"/>
      <w:r>
        <w:rPr>
          <w:strike/>
          <w:lang w:val="en-US"/>
        </w:rPr>
        <w:t>organisational</w:t>
      </w:r>
      <w:proofErr w:type="spellEnd"/>
      <w:r>
        <w:rPr>
          <w:strike/>
          <w:lang w:val="en-US"/>
        </w:rPr>
        <w:t xml:space="preserve"> changes carefully, supported by HR and legal advice.</w:t>
      </w:r>
    </w:p>
    <w:p w14:paraId="54DABDF7"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strike/>
          <w:lang w:val="en-US"/>
        </w:rPr>
      </w:pPr>
      <w:r>
        <w:rPr>
          <w:strike/>
          <w:lang w:val="en-US"/>
        </w:rPr>
        <w:t>All staff should be encouraged to raise any concerns and issues so that they can be addressed in the early stages of consultation.</w:t>
      </w:r>
    </w:p>
    <w:p w14:paraId="54DABDF8"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strike/>
        </w:rPr>
      </w:pPr>
    </w:p>
    <w:p w14:paraId="54DABDF9"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strike/>
        </w:rPr>
      </w:pPr>
      <w:r>
        <w:rPr>
          <w:rFonts w:eastAsia="Trebuchet MS"/>
          <w:strike/>
        </w:rPr>
        <w:t>I would be happy to assist with planning for TUPE related risks and processes should negotiations proceed further.</w:t>
      </w:r>
    </w:p>
    <w:p w14:paraId="54DABDFA" w14:textId="77777777" w:rsidR="00CB5E47" w:rsidRPr="00791BB4" w:rsidRDefault="00F37544">
      <w:pPr>
        <w:suppressAutoHyphens w:val="0"/>
        <w:spacing w:before="100" w:after="100" w:line="240" w:lineRule="auto"/>
        <w:rPr>
          <w:rFonts w:ascii="Arial" w:eastAsia="Times New Roman" w:hAnsi="Arial" w:cs="Arial"/>
          <w:strike/>
          <w:color w:val="C00000"/>
          <w:kern w:val="0"/>
          <w:lang w:eastAsia="en-GB"/>
        </w:rPr>
      </w:pPr>
      <w:r w:rsidRPr="00791BB4">
        <w:rPr>
          <w:rFonts w:ascii="Arial" w:eastAsia="Times New Roman" w:hAnsi="Arial" w:cs="Arial"/>
          <w:strike/>
          <w:color w:val="C00000"/>
          <w:kern w:val="0"/>
          <w:lang w:eastAsia="en-GB"/>
        </w:rPr>
        <w:t>Thank you for briefing me on the preliminary discussions regarding the potential merger of our pharmacy operations with the neighbouring Trust. If the merger proceeds and involves the transfer of services or staff from one Trust to another, the Transfer of Undertakings (Protection of Employment) Regulations 2006 (TUPE) will likely apply. These regulations are designed to protect employees when the business or service they work for changes hands.</w:t>
      </w:r>
    </w:p>
    <w:p w14:paraId="54DABDFB" w14:textId="77777777" w:rsidR="00CB5E47" w:rsidRPr="00791BB4" w:rsidRDefault="00F37544">
      <w:pPr>
        <w:suppressAutoHyphens w:val="0"/>
        <w:spacing w:before="100" w:after="100" w:line="240" w:lineRule="auto"/>
        <w:rPr>
          <w:rFonts w:ascii="Arial" w:eastAsia="Times New Roman" w:hAnsi="Arial" w:cs="Arial"/>
          <w:strike/>
          <w:color w:val="C00000"/>
          <w:kern w:val="0"/>
          <w:lang w:eastAsia="en-GB"/>
        </w:rPr>
      </w:pPr>
      <w:r w:rsidRPr="00791BB4">
        <w:rPr>
          <w:rFonts w:ascii="Arial" w:eastAsia="Times New Roman" w:hAnsi="Arial" w:cs="Arial"/>
          <w:strike/>
          <w:color w:val="C00000"/>
          <w:kern w:val="0"/>
          <w:lang w:eastAsia="en-GB"/>
        </w:rPr>
        <w:t xml:space="preserve">TUPE ensures that employees assigned to the part of the organisation being transferred will automatically move to the new employer on their existing terms and conditions. This includes continuity of employment, protection against dismissal solely due to the transfer, and the preservation of contractual rights such as pay, holiday entitlement, and pension arrangements (subject to specific pension provisions). Both the outgoing and incoming employers have a duty to </w:t>
      </w:r>
      <w:proofErr w:type="gramStart"/>
      <w:r w:rsidRPr="00791BB4">
        <w:rPr>
          <w:rFonts w:ascii="Arial" w:eastAsia="Times New Roman" w:hAnsi="Arial" w:cs="Arial"/>
          <w:strike/>
          <w:color w:val="C00000"/>
          <w:kern w:val="0"/>
          <w:lang w:eastAsia="en-GB"/>
        </w:rPr>
        <w:t>inform</w:t>
      </w:r>
      <w:proofErr w:type="gramEnd"/>
      <w:r w:rsidRPr="00791BB4">
        <w:rPr>
          <w:rFonts w:ascii="Arial" w:eastAsia="Times New Roman" w:hAnsi="Arial" w:cs="Arial"/>
          <w:strike/>
          <w:color w:val="C00000"/>
          <w:kern w:val="0"/>
          <w:lang w:eastAsia="en-GB"/>
        </w:rPr>
        <w:t xml:space="preserve"> and consult affected employees or their representatives before the transfer takes place. Failure to do so can result in claims for compensation at an employment tribunal.</w:t>
      </w:r>
    </w:p>
    <w:p w14:paraId="54DABDFC" w14:textId="77777777" w:rsidR="00CB5E47" w:rsidRPr="00791BB4" w:rsidRDefault="00F37544">
      <w:pPr>
        <w:suppressAutoHyphens w:val="0"/>
        <w:spacing w:before="100" w:after="100" w:line="240" w:lineRule="auto"/>
        <w:rPr>
          <w:rFonts w:ascii="Arial" w:eastAsia="Times New Roman" w:hAnsi="Arial" w:cs="Arial"/>
          <w:strike/>
          <w:color w:val="C00000"/>
          <w:kern w:val="0"/>
          <w:lang w:eastAsia="en-GB"/>
        </w:rPr>
      </w:pPr>
      <w:r w:rsidRPr="00791BB4">
        <w:rPr>
          <w:rFonts w:ascii="Arial" w:eastAsia="Times New Roman" w:hAnsi="Arial" w:cs="Arial"/>
          <w:strike/>
          <w:color w:val="C00000"/>
          <w:kern w:val="0"/>
          <w:lang w:eastAsia="en-GB"/>
        </w:rPr>
        <w:t>In the context of our proposed pharmacy merger, if staff from the neighbouring Trust are assigned to the pharmacy function that is being centralised within our Trust, they would likely be covered by TUPE. Their employment would transfer to our Trust, and we would inherit their employment contracts and obligations. It’s important to note that TUPE applies regardless of the size of the organisation or the number of employees involved, and it covers both public and private sector transfers where the identity o</w:t>
      </w:r>
      <w:r w:rsidRPr="00791BB4">
        <w:rPr>
          <w:rFonts w:ascii="Arial" w:eastAsia="Times New Roman" w:hAnsi="Arial" w:cs="Arial"/>
          <w:strike/>
          <w:color w:val="C00000"/>
          <w:kern w:val="0"/>
          <w:lang w:eastAsia="en-GB"/>
        </w:rPr>
        <w:t>f the employer changes.</w:t>
      </w:r>
    </w:p>
    <w:p w14:paraId="54DABDFD" w14:textId="77777777" w:rsidR="00CB5E47" w:rsidRPr="00791BB4" w:rsidRDefault="00F37544">
      <w:pPr>
        <w:suppressAutoHyphens w:val="0"/>
        <w:spacing w:before="100" w:after="100" w:line="240" w:lineRule="auto"/>
        <w:rPr>
          <w:rFonts w:ascii="Arial" w:eastAsia="Times New Roman" w:hAnsi="Arial" w:cs="Arial"/>
          <w:strike/>
          <w:color w:val="C00000"/>
          <w:kern w:val="0"/>
          <w:lang w:eastAsia="en-GB"/>
        </w:rPr>
      </w:pPr>
      <w:r w:rsidRPr="00791BB4">
        <w:rPr>
          <w:rFonts w:ascii="Arial" w:eastAsia="Times New Roman" w:hAnsi="Arial" w:cs="Arial"/>
          <w:strike/>
          <w:color w:val="C00000"/>
          <w:kern w:val="0"/>
          <w:lang w:eastAsia="en-GB"/>
        </w:rPr>
        <w:t xml:space="preserve">For example, if a group of pharmacists currently employed by the neighbouring Trust are dedicated to delivering pharmacy services that will now be provided by our centralised unit, they would be considered part of an “organised grouping of employees” and would transfer </w:t>
      </w:r>
      <w:r w:rsidRPr="00791BB4">
        <w:rPr>
          <w:rFonts w:ascii="Arial" w:eastAsia="Times New Roman" w:hAnsi="Arial" w:cs="Arial"/>
          <w:strike/>
          <w:color w:val="C00000"/>
          <w:kern w:val="0"/>
          <w:lang w:eastAsia="en-GB"/>
        </w:rPr>
        <w:lastRenderedPageBreak/>
        <w:t>to our employment under TUPE. Their roles, terms, and protections would remain intact unless changes are made for economic, technical, or organisational reasons that justify a variation—and even then, consultation and agreement are required.</w:t>
      </w:r>
    </w:p>
    <w:p w14:paraId="54DABDFE" w14:textId="77777777" w:rsidR="00CB5E47" w:rsidRPr="00791BB4" w:rsidRDefault="00F37544">
      <w:pPr>
        <w:suppressAutoHyphens w:val="0"/>
        <w:spacing w:before="100" w:after="100" w:line="240" w:lineRule="auto"/>
        <w:rPr>
          <w:rFonts w:ascii="Arial" w:eastAsia="Times New Roman" w:hAnsi="Arial" w:cs="Arial"/>
          <w:strike/>
          <w:color w:val="C00000"/>
          <w:kern w:val="0"/>
          <w:lang w:eastAsia="en-GB"/>
        </w:rPr>
      </w:pPr>
      <w:r w:rsidRPr="00791BB4">
        <w:rPr>
          <w:rFonts w:ascii="Arial" w:eastAsia="Times New Roman" w:hAnsi="Arial" w:cs="Arial"/>
          <w:strike/>
          <w:color w:val="C00000"/>
          <w:kern w:val="0"/>
          <w:lang w:eastAsia="en-GB"/>
        </w:rPr>
        <w:t xml:space="preserve">I recommend we begin early </w:t>
      </w:r>
      <w:r w:rsidRPr="00791BB4">
        <w:rPr>
          <w:rFonts w:ascii="Arial" w:eastAsia="Times New Roman" w:hAnsi="Arial" w:cs="Arial"/>
          <w:strike/>
          <w:color w:val="C00000"/>
          <w:kern w:val="0"/>
          <w:lang w:eastAsia="en-GB"/>
        </w:rPr>
        <w:t>engagement with HR and legal advisors to ensure the process is compliant and transparent. This will help maintain trust and minimise disruption for affected staff.</w:t>
      </w:r>
    </w:p>
    <w:p w14:paraId="54DABDFF" w14:textId="77777777" w:rsidR="00CB5E47" w:rsidRPr="00791BB4" w:rsidRDefault="00F37544">
      <w:pPr>
        <w:suppressAutoHyphens w:val="0"/>
        <w:spacing w:before="100" w:after="100" w:line="240" w:lineRule="auto"/>
        <w:rPr>
          <w:rFonts w:ascii="Arial" w:eastAsia="Times New Roman" w:hAnsi="Arial" w:cs="Arial"/>
          <w:strike/>
          <w:color w:val="C00000"/>
          <w:kern w:val="0"/>
          <w:lang w:eastAsia="en-GB"/>
        </w:rPr>
      </w:pPr>
      <w:r w:rsidRPr="00791BB4">
        <w:rPr>
          <w:rFonts w:ascii="Arial" w:eastAsia="Times New Roman" w:hAnsi="Arial" w:cs="Arial"/>
          <w:strike/>
          <w:color w:val="C00000"/>
          <w:kern w:val="0"/>
          <w:lang w:eastAsia="en-GB"/>
        </w:rPr>
        <w:t>Please let me know if you’d like a briefing paper or further detail on the consultation obligations.</w:t>
      </w:r>
    </w:p>
    <w:p w14:paraId="54DABE00"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61A7D2E6" w14:textId="77777777" w:rsid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791BB4">
        <w:rPr>
          <w:rFonts w:eastAsia="Trebuchet MS"/>
          <w:color w:val="156082" w:themeColor="accent1"/>
        </w:rPr>
        <w:t>Thank you for briefing me on the preliminary discussions regarding the potential merger of our pharmacy operations with the neighbouring Trust. While I understand the strategic rationale for centralising services, it is essential to recognise that if the merger proceeds and involves the transfer of services or staff from one Trust to another, the Transfer of Undertakings (Protection of Employment) Regulations 2006 (TUPE) will likely apply. These regulations are designed to safeguard employees’ rights when the business or service they work for changes hands (TUPE 2006, SI 2006/246).</w:t>
      </w:r>
    </w:p>
    <w:p w14:paraId="2D77124E" w14:textId="77777777" w:rsidR="00791BB4" w:rsidRP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7E52ADBF" w14:textId="0514085C" w:rsid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791BB4">
        <w:rPr>
          <w:rFonts w:eastAsia="Trebuchet MS"/>
          <w:color w:val="156082" w:themeColor="accent1"/>
        </w:rPr>
        <w:t>TUPE ensures that employees assigned to the part of the organisation being transferred will automatically move to the new employer on their existing terms and conditions. This includes continuity of employment, protection against dismissal solely due to the transfer, and the preservation of contractual rights such as pay, holiday entitlement, and pension arrangements—although occupational pensions are treated separately under Regulation 10 of TUPE and may require additional consideration (ACAS, TUPE Guidance, 202</w:t>
      </w:r>
      <w:r w:rsidR="00765348">
        <w:rPr>
          <w:rFonts w:eastAsia="Trebuchet MS"/>
          <w:color w:val="156082" w:themeColor="accent1"/>
        </w:rPr>
        <w:t>5</w:t>
      </w:r>
      <w:r w:rsidRPr="00791BB4">
        <w:rPr>
          <w:rFonts w:eastAsia="Trebuchet MS"/>
          <w:color w:val="156082" w:themeColor="accent1"/>
        </w:rPr>
        <w:t>).</w:t>
      </w:r>
    </w:p>
    <w:p w14:paraId="1FA87AE0" w14:textId="77777777" w:rsidR="00791BB4" w:rsidRP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44E083AE" w14:textId="77777777" w:rsid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791BB4">
        <w:rPr>
          <w:rFonts w:eastAsia="Trebuchet MS"/>
          <w:color w:val="156082" w:themeColor="accent1"/>
        </w:rPr>
        <w:t xml:space="preserve">Both the outgoing and incoming employers have a statutory duty under Regulation 13 of TUPE to </w:t>
      </w:r>
      <w:proofErr w:type="gramStart"/>
      <w:r w:rsidRPr="00791BB4">
        <w:rPr>
          <w:rFonts w:eastAsia="Trebuchet MS"/>
          <w:color w:val="156082" w:themeColor="accent1"/>
        </w:rPr>
        <w:t>inform</w:t>
      </w:r>
      <w:proofErr w:type="gramEnd"/>
      <w:r w:rsidRPr="00791BB4">
        <w:rPr>
          <w:rFonts w:eastAsia="Trebuchet MS"/>
          <w:color w:val="156082" w:themeColor="accent1"/>
        </w:rPr>
        <w:t xml:space="preserve"> and consult affected employees or their representatives before the transfer takes place. This includes providing details about the transfer, its timing, and any implications for the workforce. Failure to comply with these obligations can result in claims for compensation at an employment tribunal, with awards of up to 13 weeks’ pay per affected employee (TUPE 2006, Reg. 15; GOV.UK, TUPE and Employee Rights).</w:t>
      </w:r>
    </w:p>
    <w:p w14:paraId="20592DBC" w14:textId="77777777" w:rsidR="00791BB4" w:rsidRP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74287776" w14:textId="7AA2FE08" w:rsid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791BB4">
        <w:rPr>
          <w:rFonts w:eastAsia="Trebuchet MS"/>
          <w:color w:val="156082" w:themeColor="accent1"/>
        </w:rPr>
        <w:t>In the context of our proposed pharmacy merger, if staff from the neighbouring Trust are assigned to the pharmacy function that is being centralised within our Trust, they would likely be covered by TUPE. Their employment would transfer to our Trust, and we would inherit their employment contracts and obligations. It is important to note that TUPE applies regardless of the size of the organisation or the number of employees involved. It covers both public and private sector transfers where the identity of the employer changes (CIPD, TUPE Factsheet, 202</w:t>
      </w:r>
      <w:r w:rsidR="002B5DF8">
        <w:rPr>
          <w:rFonts w:eastAsia="Trebuchet MS"/>
          <w:color w:val="156082" w:themeColor="accent1"/>
        </w:rPr>
        <w:t>5</w:t>
      </w:r>
      <w:r w:rsidRPr="00791BB4">
        <w:rPr>
          <w:rFonts w:eastAsia="Trebuchet MS"/>
          <w:color w:val="156082" w:themeColor="accent1"/>
        </w:rPr>
        <w:t>).</w:t>
      </w:r>
    </w:p>
    <w:p w14:paraId="5C37D49F" w14:textId="77777777" w:rsidR="00791BB4" w:rsidRP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4F7BCE1F" w14:textId="003A2784" w:rsid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791BB4">
        <w:rPr>
          <w:rFonts w:eastAsia="Trebuchet MS"/>
          <w:color w:val="156082" w:themeColor="accent1"/>
        </w:rPr>
        <w:t>For example, if a group of pharmacists currently employed by the neighbouring Trust are dedicated to delivering pharmacy services that will now be provided by our centralised unit, they would be considered part of an “organised grouping of employees” whose principal purpose is to carry out the relevant activities</w:t>
      </w:r>
      <w:r w:rsidR="002B5DF8">
        <w:rPr>
          <w:rFonts w:eastAsia="Trebuchet MS"/>
          <w:color w:val="156082" w:themeColor="accent1"/>
        </w:rPr>
        <w:t>. T</w:t>
      </w:r>
      <w:r w:rsidRPr="00791BB4">
        <w:rPr>
          <w:rFonts w:eastAsia="Trebuchet MS"/>
          <w:color w:val="156082" w:themeColor="accent1"/>
        </w:rPr>
        <w:t>he European Court of Justice clarifi</w:t>
      </w:r>
      <w:r w:rsidR="002B5DF8">
        <w:rPr>
          <w:rFonts w:eastAsia="Trebuchet MS"/>
          <w:color w:val="156082" w:themeColor="accent1"/>
        </w:rPr>
        <w:t>es</w:t>
      </w:r>
      <w:r w:rsidRPr="00791BB4">
        <w:rPr>
          <w:rFonts w:eastAsia="Trebuchet MS"/>
          <w:color w:val="156082" w:themeColor="accent1"/>
        </w:rPr>
        <w:t xml:space="preserve"> that employees must be assigned to the part of the business being transferred, not merely associated with it. Their roles, terms, and protections would remain intact unless changes are made for economic, technical, or organisational (ETO) reasons that justify a variation. Even then, consultation and agreement are required, and any dismissal connected solely to the transfer would be automatically unfair unless justified by an ETO reason (TUPE 2006, Reg. 7).</w:t>
      </w:r>
    </w:p>
    <w:p w14:paraId="37EAEB2C" w14:textId="77777777" w:rsidR="00791BB4" w:rsidRP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5B9F5699" w14:textId="77777777" w:rsid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791BB4">
        <w:rPr>
          <w:rFonts w:eastAsia="Trebuchet MS"/>
          <w:color w:val="156082" w:themeColor="accent1"/>
        </w:rPr>
        <w:t xml:space="preserve">Case law has further clarified the risks of mishandling TUPE obligations. In </w:t>
      </w:r>
      <w:bookmarkStart w:id="1" w:name="_Hlk210150721"/>
      <w:r w:rsidRPr="00791BB4">
        <w:rPr>
          <w:rFonts w:eastAsia="Trebuchet MS"/>
          <w:color w:val="156082" w:themeColor="accent1"/>
        </w:rPr>
        <w:t xml:space="preserve">Litster v Forth Dry Dock and Engineering Co Ltd [1989] </w:t>
      </w:r>
      <w:bookmarkEnd w:id="1"/>
      <w:r w:rsidRPr="00791BB4">
        <w:rPr>
          <w:rFonts w:eastAsia="Trebuchet MS"/>
          <w:color w:val="156082" w:themeColor="accent1"/>
        </w:rPr>
        <w:t xml:space="preserve">ICR 341, the House of Lords held that employees dismissed immediately before a transfer, </w:t>
      </w:r>
      <w:proofErr w:type="gramStart"/>
      <w:r w:rsidRPr="00791BB4">
        <w:rPr>
          <w:rFonts w:eastAsia="Trebuchet MS"/>
          <w:color w:val="156082" w:themeColor="accent1"/>
        </w:rPr>
        <w:t>in an attempt to</w:t>
      </w:r>
      <w:proofErr w:type="gramEnd"/>
      <w:r w:rsidRPr="00791BB4">
        <w:rPr>
          <w:rFonts w:eastAsia="Trebuchet MS"/>
          <w:color w:val="156082" w:themeColor="accent1"/>
        </w:rPr>
        <w:t xml:space="preserve"> avoid TUPE obligations, were still </w:t>
      </w:r>
      <w:r w:rsidRPr="00791BB4">
        <w:rPr>
          <w:rFonts w:eastAsia="Trebuchet MS"/>
          <w:color w:val="156082" w:themeColor="accent1"/>
        </w:rPr>
        <w:lastRenderedPageBreak/>
        <w:t xml:space="preserve">protected. This case underscores the importance of timing and intent in redundancy or restructuring decisions. Similarly, in </w:t>
      </w:r>
      <w:bookmarkStart w:id="2" w:name="_Hlk210150911"/>
      <w:r w:rsidRPr="00791BB4">
        <w:rPr>
          <w:rFonts w:eastAsia="Trebuchet MS"/>
          <w:color w:val="156082" w:themeColor="accent1"/>
        </w:rPr>
        <w:t xml:space="preserve">Manchester College v Hazel and Huggins [2014] EWCA </w:t>
      </w:r>
      <w:proofErr w:type="spellStart"/>
      <w:r w:rsidRPr="00791BB4">
        <w:rPr>
          <w:rFonts w:eastAsia="Trebuchet MS"/>
          <w:color w:val="156082" w:themeColor="accent1"/>
        </w:rPr>
        <w:t>Civ</w:t>
      </w:r>
      <w:proofErr w:type="spellEnd"/>
      <w:r w:rsidRPr="00791BB4">
        <w:rPr>
          <w:rFonts w:eastAsia="Trebuchet MS"/>
          <w:color w:val="156082" w:themeColor="accent1"/>
        </w:rPr>
        <w:t xml:space="preserve"> 72</w:t>
      </w:r>
      <w:bookmarkEnd w:id="2"/>
      <w:r w:rsidRPr="00791BB4">
        <w:rPr>
          <w:rFonts w:eastAsia="Trebuchet MS"/>
          <w:color w:val="156082" w:themeColor="accent1"/>
        </w:rPr>
        <w:t>, the Court of Appeal ruled that changes to terms and conditions post-transfer were void because they were not based on genuine ETO reasons.</w:t>
      </w:r>
    </w:p>
    <w:p w14:paraId="013E9175" w14:textId="77777777" w:rsidR="00791BB4" w:rsidRP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p>
    <w:p w14:paraId="0ACA1589" w14:textId="27D4F882" w:rsid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791BB4">
        <w:rPr>
          <w:rFonts w:eastAsia="Trebuchet MS"/>
          <w:color w:val="156082" w:themeColor="accent1"/>
        </w:rPr>
        <w:t>TUPE is a complex and protective framework that must be navigated with precision. Early engagement with HR and legal advisors is essential to ensure compliance, transparency, and fairness. This will help maintain trust, minimise disruption, and reduce the risk of legal claims from affected staff.</w:t>
      </w:r>
    </w:p>
    <w:p w14:paraId="54DABE01" w14:textId="3B7AD462" w:rsidR="00CB5E47" w:rsidRPr="00791BB4" w:rsidRDefault="00791BB4" w:rsidP="00791BB4">
      <w:pPr>
        <w:pStyle w:val="Body"/>
        <w:pBdr>
          <w:top w:val="none" w:sz="0" w:space="0" w:color="auto"/>
          <w:left w:val="none" w:sz="0" w:space="0" w:color="auto"/>
          <w:bottom w:val="none" w:sz="0" w:space="0" w:color="auto"/>
          <w:right w:val="none" w:sz="0" w:space="0" w:color="auto"/>
        </w:pBdr>
        <w:spacing w:line="240" w:lineRule="auto"/>
        <w:rPr>
          <w:rFonts w:eastAsia="Trebuchet MS"/>
          <w:color w:val="156082" w:themeColor="accent1"/>
        </w:rPr>
      </w:pPr>
      <w:r w:rsidRPr="00791BB4">
        <w:rPr>
          <w:rFonts w:eastAsia="Trebuchet MS"/>
          <w:color w:val="156082" w:themeColor="accent1"/>
        </w:rPr>
        <w:t>.</w:t>
      </w:r>
    </w:p>
    <w:p w14:paraId="54DABE02"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b/>
          <w:bCs/>
          <w:color w:val="004147"/>
          <w:lang w:val="en-US"/>
        </w:rPr>
        <w:t>Email 8 (AC 4.1)</w:t>
      </w:r>
    </w:p>
    <w:p w14:paraId="54DABE03"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E04" w14:textId="1BF4BB66" w:rsidR="00CB5E47" w:rsidRDefault="00F37544">
      <w:pPr>
        <w:pStyle w:val="Body"/>
        <w:pBdr>
          <w:top w:val="none" w:sz="0" w:space="0" w:color="auto"/>
          <w:left w:val="none" w:sz="0" w:space="0" w:color="auto"/>
          <w:bottom w:val="none" w:sz="0" w:space="0" w:color="auto"/>
          <w:right w:val="none" w:sz="0" w:space="0" w:color="auto"/>
        </w:pBdr>
        <w:spacing w:line="240" w:lineRule="auto"/>
      </w:pPr>
      <w:r>
        <w:rPr>
          <w:color w:val="auto"/>
          <w:lang w:val="en-US"/>
        </w:rPr>
        <w:t>UK</w:t>
      </w:r>
      <w:r w:rsidR="00FA6BE8">
        <w:rPr>
          <w:color w:val="auto"/>
          <w:lang w:val="en-US"/>
        </w:rPr>
        <w:t xml:space="preserve"> workers</w:t>
      </w:r>
      <w:r>
        <w:rPr>
          <w:color w:val="auto"/>
          <w:lang w:val="en-US"/>
        </w:rPr>
        <w:t xml:space="preserve">, including casual, zero hours and bank staff are entitled to a minimum of 5.6 </w:t>
      </w:r>
      <w:proofErr w:type="gramStart"/>
      <w:r>
        <w:rPr>
          <w:color w:val="auto"/>
          <w:lang w:val="en-US"/>
        </w:rPr>
        <w:t>weeks</w:t>
      </w:r>
      <w:proofErr w:type="gramEnd"/>
      <w:r>
        <w:rPr>
          <w:color w:val="auto"/>
          <w:lang w:val="en-US"/>
        </w:rPr>
        <w:t xml:space="preserve"> paid holiday per year under the Working Time Regulations 1998.</w:t>
      </w:r>
      <w:r>
        <w:rPr>
          <w:rFonts w:eastAsia="Times New Roman"/>
          <w:color w:val="auto"/>
        </w:rPr>
        <w:t xml:space="preserve"> The Supreme Court (2022) ruled that part-year </w:t>
      </w:r>
      <w:r>
        <w:rPr>
          <w:rFonts w:eastAsia="Times New Roman"/>
          <w:color w:val="auto"/>
        </w:rPr>
        <w:t>workers, like bank staff, should not have their holiday entitlement reduced based on the number of weeks they work. Instead, they are entitled to the full 5.6 weeks of leave, calculated based on their average weekly pay over a 52-week reference period that excludes weeks with no pay (Daniels, 2025).</w:t>
      </w:r>
    </w:p>
    <w:p w14:paraId="54DABE05"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lang w:val="en-US"/>
        </w:rPr>
      </w:pPr>
    </w:p>
    <w:p w14:paraId="54DABE06"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lang w:val="en-US"/>
        </w:rPr>
        <w:t>Following various court rulings including Lock V British Gas, holiday pay must be based on average pay, not just basic hourly rates. For bank staff this means all pay elements regularly earned must be included, these could be enhancements, overtime, weekend working or night shifts. Holiday pay should reflect their normal earning patterns (ACAS, 2025).</w:t>
      </w:r>
    </w:p>
    <w:p w14:paraId="54DABE07"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rPr>
      </w:pPr>
    </w:p>
    <w:p w14:paraId="54DABE08"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rPr>
      </w:pPr>
      <w:r>
        <w:rPr>
          <w:rFonts w:eastAsia="Trebuchet MS"/>
        </w:rPr>
        <w:t>As of April 2024, for irregular and part-year workers, including many NHS Bank staff, the government reintroduced a method that allows employers to calculate holiday pay as 12.07% of hours worked. This reflects the proportion of annual leave entitlement per Anum.</w:t>
      </w:r>
    </w:p>
    <w:p w14:paraId="54DABE09"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rPr>
      </w:pPr>
    </w:p>
    <w:p w14:paraId="54DABE0A"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rPr>
      </w:pPr>
      <w:r>
        <w:rPr>
          <w:rFonts w:eastAsia="Trebuchet MS"/>
        </w:rPr>
        <w:t xml:space="preserve">From January 2024 for leave beginning on or after 1 April 2024 employers can use 12.07% </w:t>
      </w:r>
      <w:proofErr w:type="gramStart"/>
      <w:r>
        <w:rPr>
          <w:rFonts w:eastAsia="Trebuchet MS"/>
        </w:rPr>
        <w:t>as long as</w:t>
      </w:r>
      <w:proofErr w:type="gramEnd"/>
      <w:r>
        <w:rPr>
          <w:rFonts w:eastAsia="Trebuchet MS"/>
        </w:rPr>
        <w:t xml:space="preserve"> it is based on actual hours worked as well as being consistent with regulations. Or alternatively, employers can use a 52-week reference period to calculate average weekly pay, especially where pay varies significantly from week to week.</w:t>
      </w:r>
    </w:p>
    <w:p w14:paraId="54DABE0D" w14:textId="77777777" w:rsidR="00CB5E47" w:rsidRDefault="00F37544">
      <w:pPr>
        <w:spacing w:before="100" w:after="100" w:line="240" w:lineRule="auto"/>
      </w:pPr>
      <w:r>
        <w:rPr>
          <w:rFonts w:ascii="Arial" w:hAnsi="Arial" w:cs="Arial"/>
        </w:rPr>
        <w:t>The Working Time Regulations 1998 also set out key protections for working time. These include a maximum average working week of 48 hours (unless the worker opts out), a right to 11 consecutive hours of rest in every 24-hour period, and one full day (24 hours) of rest per week or 48 hours every two weeks. Workers are also entitled to a 20-minute rest break if their daily working time exceeds six hours. These statutory rights are especially relevant for NHS workers such as bank nurses, who may work irregular</w:t>
      </w:r>
      <w:r>
        <w:rPr>
          <w:rFonts w:ascii="Arial" w:hAnsi="Arial" w:cs="Arial"/>
        </w:rPr>
        <w:t xml:space="preserve"> shifts and must be protected from fatigue and burnout (ACAS, 2024).</w:t>
      </w:r>
    </w:p>
    <w:p w14:paraId="54DABE0E"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rPr>
      </w:pPr>
      <w:r>
        <w:rPr>
          <w:rFonts w:eastAsia="Trebuchet MS"/>
        </w:rPr>
        <w:t>In going forward it is important that the Trusts payroll system used for the Bank staff is applying holiday pay correctly, and that the Bank staff can see clearly how their holiday pay is calculated via their payslips.</w:t>
      </w:r>
    </w:p>
    <w:p w14:paraId="54DABE0F"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rPr>
      </w:pPr>
    </w:p>
    <w:p w14:paraId="54DABE10"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rFonts w:eastAsia="Trebuchet MS"/>
        </w:rPr>
      </w:pPr>
      <w:r>
        <w:rPr>
          <w:rFonts w:eastAsia="Trebuchet MS"/>
        </w:rPr>
        <w:t>Please let me know if you need support reviewing local arrangements or preparation for guidance for staff.</w:t>
      </w:r>
    </w:p>
    <w:p w14:paraId="54DABE11"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E12"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b/>
          <w:bCs/>
          <w:color w:val="004147"/>
          <w:lang w:val="en-US"/>
        </w:rPr>
        <w:t>Email 9 (AC 4.2)</w:t>
      </w:r>
    </w:p>
    <w:p w14:paraId="54DABE13"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E14"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rPr>
          <w:color w:val="auto"/>
          <w:lang w:val="en-US"/>
        </w:rPr>
      </w:pPr>
      <w:r>
        <w:rPr>
          <w:color w:val="auto"/>
          <w:lang w:val="en-US"/>
        </w:rPr>
        <w:t>Congratulations and thank you for reaching out to discuss your leave options around both maternity leave and shared parental leave. Both offer valuable time to care for your baby, but they differ in structure and flexibility.</w:t>
      </w:r>
    </w:p>
    <w:p w14:paraId="54DABE15" w14:textId="77777777" w:rsidR="00CB5E47" w:rsidRDefault="00F37544">
      <w:pPr>
        <w:pStyle w:val="NormalWeb"/>
        <w:rPr>
          <w:rFonts w:ascii="Arial" w:hAnsi="Arial" w:cs="Arial"/>
          <w:sz w:val="22"/>
          <w:szCs w:val="22"/>
        </w:rPr>
      </w:pPr>
      <w:r>
        <w:rPr>
          <w:rFonts w:ascii="Arial" w:hAnsi="Arial" w:cs="Arial"/>
          <w:sz w:val="22"/>
          <w:szCs w:val="22"/>
        </w:rPr>
        <w:t xml:space="preserve">Maternity leave is a statutory entitlement for pregnant employees. Maternity leave is taken in one continuous block; </w:t>
      </w:r>
      <w:proofErr w:type="gramStart"/>
      <w:r>
        <w:rPr>
          <w:rFonts w:ascii="Arial" w:hAnsi="Arial" w:cs="Arial"/>
          <w:sz w:val="22"/>
          <w:szCs w:val="22"/>
        </w:rPr>
        <w:t>however</w:t>
      </w:r>
      <w:proofErr w:type="gramEnd"/>
      <w:r>
        <w:rPr>
          <w:rFonts w:ascii="Arial" w:hAnsi="Arial" w:cs="Arial"/>
          <w:sz w:val="22"/>
          <w:szCs w:val="22"/>
        </w:rPr>
        <w:t xml:space="preserve"> you can return earlier with notice. Employees are allowed up </w:t>
      </w:r>
      <w:r>
        <w:rPr>
          <w:rFonts w:ascii="Arial" w:hAnsi="Arial" w:cs="Arial"/>
          <w:sz w:val="22"/>
          <w:szCs w:val="22"/>
        </w:rPr>
        <w:lastRenderedPageBreak/>
        <w:t xml:space="preserve">to 52 weeks of leave, which includes 26 weeks of Ordinary Maternity Leave (OML) and 26 weeks of Additional Maternity Leave (AML). During this period of leave, your employment contract remains in place, meaning your terms and conditions remain the same except for pay (Daniels, 2025). Statutory Maternity Pay (SMP) is available for up to 39 weeks, with the first six weeks paid at 90% of your average earnings and the remaining weeks paid at a </w:t>
      </w:r>
      <w:r>
        <w:rPr>
          <w:rFonts w:ascii="Arial" w:hAnsi="Arial" w:cs="Arial"/>
          <w:sz w:val="22"/>
          <w:szCs w:val="22"/>
        </w:rPr>
        <w:t>rate or 90% of earnings, whichever is lower. If you do not qualify for SMP, you may be eligible for Maternity Allowance.</w:t>
      </w:r>
    </w:p>
    <w:p w14:paraId="54DABE16" w14:textId="77777777" w:rsidR="00CB5E47" w:rsidRDefault="00F37544">
      <w:pPr>
        <w:pStyle w:val="NormalWeb"/>
        <w:rPr>
          <w:rFonts w:ascii="Arial" w:hAnsi="Arial" w:cs="Arial"/>
          <w:sz w:val="22"/>
          <w:szCs w:val="22"/>
        </w:rPr>
      </w:pPr>
      <w:r>
        <w:rPr>
          <w:rFonts w:ascii="Arial" w:hAnsi="Arial" w:cs="Arial"/>
          <w:sz w:val="22"/>
          <w:szCs w:val="22"/>
        </w:rPr>
        <w:t>One key benefit of maternity leave is the right to return to the same job if OML is taken or a total of 26 weeks or less of leave, including any period of shared parental leave. If leave exceeds this, and the previous role is no longer available, you must be offered a suitable alternative with no less favourable terms and conditions (CIPD, 2024).</w:t>
      </w:r>
    </w:p>
    <w:p w14:paraId="54DABE17" w14:textId="77777777" w:rsidR="00CB5E47" w:rsidRDefault="00F37544">
      <w:pPr>
        <w:pStyle w:val="NormalWeb"/>
        <w:rPr>
          <w:rFonts w:ascii="Arial" w:hAnsi="Arial" w:cs="Arial"/>
          <w:sz w:val="22"/>
          <w:szCs w:val="22"/>
        </w:rPr>
      </w:pPr>
      <w:r>
        <w:rPr>
          <w:rFonts w:ascii="Arial" w:hAnsi="Arial" w:cs="Arial"/>
          <w:sz w:val="22"/>
          <w:szCs w:val="22"/>
        </w:rPr>
        <w:t>Shared Parental Leave (SPL) is a more flexible option that allows eligible parents to share up to 50 weeks of leave and 37 weeks of pay, which can be taken together or separately. This flexible option lets both parents time off work at the same time or to alternate their leave, ensuring that one parent is always at home with the child during the first year. To qualify for SPL and Shared Parental Pay (</w:t>
      </w:r>
      <w:proofErr w:type="spellStart"/>
      <w:r>
        <w:rPr>
          <w:rFonts w:ascii="Arial" w:hAnsi="Arial" w:cs="Arial"/>
          <w:sz w:val="22"/>
          <w:szCs w:val="22"/>
        </w:rPr>
        <w:t>ShPP</w:t>
      </w:r>
      <w:proofErr w:type="spellEnd"/>
      <w:r>
        <w:rPr>
          <w:rFonts w:ascii="Arial" w:hAnsi="Arial" w:cs="Arial"/>
          <w:sz w:val="22"/>
          <w:szCs w:val="22"/>
        </w:rPr>
        <w:t>), both parents must meet specific eligibility criteria. You and your partner must have worked for at least 26 weeks in the 66 weeks before the due date and earned at least £390 across any 13 of those weeks. Also, both parents must have been continuously employed with the same employer for at least 26 weeks before the 15th week before the due date and earn at least £123 per week on average.</w:t>
      </w:r>
    </w:p>
    <w:p w14:paraId="54DABE18" w14:textId="77777777" w:rsidR="00CB5E47" w:rsidRDefault="00F37544">
      <w:pPr>
        <w:pStyle w:val="NormalWeb"/>
        <w:rPr>
          <w:rFonts w:ascii="Arial" w:hAnsi="Arial" w:cs="Arial"/>
          <w:sz w:val="22"/>
          <w:szCs w:val="22"/>
        </w:rPr>
      </w:pPr>
      <w:r>
        <w:rPr>
          <w:rFonts w:ascii="Arial" w:hAnsi="Arial" w:cs="Arial"/>
          <w:sz w:val="22"/>
          <w:szCs w:val="22"/>
        </w:rPr>
        <w:t>If you want to take the full 12 months off and your partner doesn’t need time off, maternity leave may be simpler. If you would prefer to share the leave and take time off at different stages, then shared parental leave may offer a lot more flexibility. You will need to consider what works best for your family’s needs, your partners employer’s policies, and your financial situation.</w:t>
      </w:r>
    </w:p>
    <w:p w14:paraId="54DABE19"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t xml:space="preserve">I would be more than happy to talk you through in more </w:t>
      </w:r>
      <w:proofErr w:type="gramStart"/>
      <w:r>
        <w:t>detail, or</w:t>
      </w:r>
      <w:proofErr w:type="gramEnd"/>
      <w:r>
        <w:t xml:space="preserve"> help you access any local HR or payroll advice, covering our Maternity and Family friendly provision policy, eligibility and pay entitlement.</w:t>
      </w:r>
    </w:p>
    <w:p w14:paraId="54DABE1A"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E1B"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E1C" w14:textId="77777777" w:rsidR="00CB5E47" w:rsidRDefault="00F37544">
      <w:pPr>
        <w:pStyle w:val="Body"/>
        <w:pBdr>
          <w:top w:val="none" w:sz="0" w:space="0" w:color="auto"/>
          <w:left w:val="none" w:sz="0" w:space="0" w:color="auto"/>
          <w:bottom w:val="none" w:sz="0" w:space="0" w:color="auto"/>
          <w:right w:val="none" w:sz="0" w:space="0" w:color="auto"/>
        </w:pBdr>
        <w:spacing w:line="240" w:lineRule="auto"/>
      </w:pPr>
      <w:r>
        <w:rPr>
          <w:b/>
          <w:bCs/>
          <w:color w:val="004147"/>
          <w:lang w:val="en-US"/>
        </w:rPr>
        <w:t>Email 10 (AC 4.3)</w:t>
      </w:r>
    </w:p>
    <w:p w14:paraId="54DABE1D" w14:textId="77777777" w:rsidR="00CB5E47" w:rsidRDefault="00CB5E47">
      <w:pPr>
        <w:pStyle w:val="Body"/>
        <w:pBdr>
          <w:top w:val="none" w:sz="0" w:space="0" w:color="auto"/>
          <w:left w:val="none" w:sz="0" w:space="0" w:color="auto"/>
          <w:bottom w:val="none" w:sz="0" w:space="0" w:color="auto"/>
          <w:right w:val="none" w:sz="0" w:space="0" w:color="auto"/>
        </w:pBdr>
        <w:spacing w:line="240" w:lineRule="auto"/>
        <w:rPr>
          <w:rFonts w:eastAsia="Trebuchet MS"/>
          <w:b/>
          <w:bCs/>
        </w:rPr>
      </w:pPr>
    </w:p>
    <w:p w14:paraId="54DABE1E" w14:textId="77777777" w:rsidR="00CB5E47" w:rsidRDefault="00F37544">
      <w:pPr>
        <w:pStyle w:val="Listparag"/>
        <w:pBdr>
          <w:top w:val="none" w:sz="0" w:space="0" w:color="auto"/>
          <w:left w:val="none" w:sz="0" w:space="0" w:color="auto"/>
          <w:bottom w:val="none" w:sz="0" w:space="0" w:color="auto"/>
          <w:right w:val="none" w:sz="0" w:space="0" w:color="auto"/>
        </w:pBdr>
        <w:spacing w:after="0" w:line="240" w:lineRule="auto"/>
        <w:rPr>
          <w:rFonts w:cs="Arial"/>
        </w:rPr>
      </w:pPr>
      <w:r>
        <w:rPr>
          <w:rFonts w:cs="Arial"/>
        </w:rPr>
        <w:t xml:space="preserve">Thank you for sharing the flexible working request, I understand your concerns about setting a precedent; however, </w:t>
      </w:r>
      <w:proofErr w:type="spellStart"/>
      <w:proofErr w:type="gramStart"/>
      <w:r>
        <w:rPr>
          <w:rFonts w:cs="Arial"/>
        </w:rPr>
        <w:t>its</w:t>
      </w:r>
      <w:proofErr w:type="spellEnd"/>
      <w:proofErr w:type="gramEnd"/>
      <w:r>
        <w:rPr>
          <w:rFonts w:cs="Arial"/>
        </w:rPr>
        <w:t xml:space="preserve"> important that we manage these requests within the framework of current UK employment law and our responsibility as a public sector employer to deal with such requests fairly and consistently.</w:t>
      </w:r>
    </w:p>
    <w:p w14:paraId="54DABE1F" w14:textId="77777777" w:rsidR="00CB5E47" w:rsidRDefault="00CB5E47">
      <w:pPr>
        <w:pStyle w:val="Listparag"/>
        <w:pBdr>
          <w:top w:val="none" w:sz="0" w:space="0" w:color="auto"/>
          <w:left w:val="none" w:sz="0" w:space="0" w:color="auto"/>
          <w:bottom w:val="none" w:sz="0" w:space="0" w:color="auto"/>
          <w:right w:val="none" w:sz="0" w:space="0" w:color="auto"/>
        </w:pBdr>
        <w:spacing w:after="0" w:line="240" w:lineRule="auto"/>
        <w:rPr>
          <w:rFonts w:cs="Arial"/>
        </w:rPr>
      </w:pPr>
    </w:p>
    <w:p w14:paraId="54DABE20" w14:textId="77777777" w:rsidR="00CB5E47" w:rsidRDefault="00F37544">
      <w:pPr>
        <w:pStyle w:val="Listparag"/>
        <w:pBdr>
          <w:top w:val="none" w:sz="0" w:space="0" w:color="auto"/>
          <w:left w:val="none" w:sz="0" w:space="0" w:color="auto"/>
          <w:bottom w:val="none" w:sz="0" w:space="0" w:color="auto"/>
          <w:right w:val="none" w:sz="0" w:space="0" w:color="auto"/>
        </w:pBdr>
        <w:spacing w:after="0" w:line="240" w:lineRule="auto"/>
        <w:rPr>
          <w:rFonts w:cs="Arial"/>
        </w:rPr>
      </w:pPr>
      <w:r>
        <w:rPr>
          <w:rFonts w:cs="Arial"/>
        </w:rPr>
        <w:t>Under the Employment Relations (Flexible working) Act 2023, which came into effect in April 2024, all employees have a day-one right to request flexible working. Employees no longer need 26 weeks’ continuous service before making a request (GOV.UK 2024).</w:t>
      </w:r>
    </w:p>
    <w:p w14:paraId="54DABE21" w14:textId="77777777" w:rsidR="00CB5E47" w:rsidRDefault="00CB5E47">
      <w:pPr>
        <w:pStyle w:val="Listparag"/>
        <w:pBdr>
          <w:top w:val="none" w:sz="0" w:space="0" w:color="auto"/>
          <w:left w:val="none" w:sz="0" w:space="0" w:color="auto"/>
          <w:bottom w:val="none" w:sz="0" w:space="0" w:color="auto"/>
          <w:right w:val="none" w:sz="0" w:space="0" w:color="auto"/>
        </w:pBdr>
        <w:spacing w:after="0" w:line="240" w:lineRule="auto"/>
        <w:rPr>
          <w:rFonts w:cs="Arial"/>
        </w:rPr>
      </w:pPr>
    </w:p>
    <w:p w14:paraId="54DABE22" w14:textId="77777777" w:rsidR="00CB5E47" w:rsidRDefault="00F37544">
      <w:pPr>
        <w:pStyle w:val="Listparag"/>
        <w:pBdr>
          <w:top w:val="none" w:sz="0" w:space="0" w:color="auto"/>
          <w:left w:val="none" w:sz="0" w:space="0" w:color="auto"/>
          <w:bottom w:val="none" w:sz="0" w:space="0" w:color="auto"/>
          <w:right w:val="none" w:sz="0" w:space="0" w:color="auto"/>
        </w:pBdr>
        <w:spacing w:after="0" w:line="240" w:lineRule="auto"/>
        <w:rPr>
          <w:rFonts w:cs="Arial"/>
        </w:rPr>
      </w:pPr>
      <w:r>
        <w:rPr>
          <w:rFonts w:cs="Arial"/>
        </w:rPr>
        <w:t>Employees can make a maximum of 2 requests per year, and employers need to respond within two months. There is no requirement for the employee to explain the effect of the change on the organisation. Employers must still give the request reasonable consideration and can only refuse it for specific business reasons.</w:t>
      </w:r>
    </w:p>
    <w:p w14:paraId="54DABE23" w14:textId="77777777" w:rsidR="00CB5E47" w:rsidRDefault="00CB5E47">
      <w:pPr>
        <w:pStyle w:val="Listparag"/>
        <w:pBdr>
          <w:top w:val="none" w:sz="0" w:space="0" w:color="auto"/>
          <w:left w:val="none" w:sz="0" w:space="0" w:color="auto"/>
          <w:bottom w:val="none" w:sz="0" w:space="0" w:color="auto"/>
          <w:right w:val="none" w:sz="0" w:space="0" w:color="auto"/>
        </w:pBdr>
        <w:spacing w:after="0" w:line="240" w:lineRule="auto"/>
        <w:rPr>
          <w:rFonts w:cs="Arial"/>
        </w:rPr>
      </w:pPr>
    </w:p>
    <w:p w14:paraId="54DABE24" w14:textId="77777777" w:rsidR="00CB5E47" w:rsidRDefault="00F37544">
      <w:pPr>
        <w:pStyle w:val="Listparag"/>
        <w:pBdr>
          <w:top w:val="none" w:sz="0" w:space="0" w:color="auto"/>
          <w:left w:val="none" w:sz="0" w:space="0" w:color="auto"/>
          <w:bottom w:val="none" w:sz="0" w:space="0" w:color="auto"/>
          <w:right w:val="none" w:sz="0" w:space="0" w:color="auto"/>
        </w:pBdr>
        <w:spacing w:after="0" w:line="240" w:lineRule="auto"/>
        <w:rPr>
          <w:rFonts w:cs="Arial"/>
        </w:rPr>
      </w:pPr>
      <w:r>
        <w:rPr>
          <w:rFonts w:cs="Arial"/>
        </w:rPr>
        <w:t xml:space="preserve">Employers may lawfully refuse a flexible working request only on one or more of these statutory grounds that are; Detrimental on performance, a detrimental impact on ability to meet customer demand, A burden on additional costs, the inability to reorganise work among existing staff, inability to recruit additional staff, insufficiency of work during the periods the employee proposes to work, planned structural changes and a detrimental effect on quality (CIPD, 2024). The reason for refusal must be based on </w:t>
      </w:r>
      <w:r>
        <w:rPr>
          <w:rFonts w:cs="Arial"/>
        </w:rPr>
        <w:t xml:space="preserve">evidence and impact </w:t>
      </w:r>
      <w:r>
        <w:rPr>
          <w:rFonts w:cs="Arial"/>
        </w:rPr>
        <w:lastRenderedPageBreak/>
        <w:t>specific to the role and department, not solely on a general concern that others may make similar flexible working requests.</w:t>
      </w:r>
    </w:p>
    <w:p w14:paraId="54DABE25" w14:textId="77777777" w:rsidR="00CB5E47" w:rsidRDefault="00CB5E47">
      <w:pPr>
        <w:autoSpaceDE w:val="0"/>
        <w:spacing w:after="0" w:line="240" w:lineRule="auto"/>
        <w:rPr>
          <w:rFonts w:ascii="Arial" w:hAnsi="Arial" w:cs="Arial"/>
          <w:kern w:val="0"/>
        </w:rPr>
      </w:pPr>
    </w:p>
    <w:p w14:paraId="54DABE26" w14:textId="77777777" w:rsidR="00CB5E47" w:rsidRDefault="00F37544">
      <w:pPr>
        <w:autoSpaceDE w:val="0"/>
        <w:spacing w:after="0" w:line="240" w:lineRule="auto"/>
        <w:rPr>
          <w:rFonts w:ascii="Arial" w:hAnsi="Arial" w:cs="Arial"/>
          <w:kern w:val="0"/>
        </w:rPr>
      </w:pPr>
      <w:r>
        <w:rPr>
          <w:rFonts w:ascii="Arial" w:hAnsi="Arial" w:cs="Arial"/>
          <w:kern w:val="0"/>
        </w:rPr>
        <w:t xml:space="preserve">When considering the request, assess it objectively, can the </w:t>
      </w:r>
      <w:r>
        <w:rPr>
          <w:rFonts w:ascii="Arial" w:hAnsi="Arial" w:cs="Arial"/>
          <w:kern w:val="0"/>
        </w:rPr>
        <w:t xml:space="preserve">role be performed from home three days per week without negatively affecting service delivery. It is always best practice to meet with the employee to discuss their request, exploring potential compromises such as hybrid working and a trial period, and fully understanding the </w:t>
      </w:r>
      <w:proofErr w:type="gramStart"/>
      <w:r>
        <w:rPr>
          <w:rFonts w:ascii="Arial" w:hAnsi="Arial" w:cs="Arial"/>
          <w:kern w:val="0"/>
        </w:rPr>
        <w:t>employees</w:t>
      </w:r>
      <w:proofErr w:type="gramEnd"/>
      <w:r>
        <w:rPr>
          <w:rFonts w:ascii="Arial" w:hAnsi="Arial" w:cs="Arial"/>
          <w:kern w:val="0"/>
        </w:rPr>
        <w:t xml:space="preserve"> rationale. While consistency is important, each request needs to be considered on its own merits. Refusing a request to deter other asking the same, could be seen as discriminatory or procedurally unfair. Always document your</w:t>
      </w:r>
      <w:r>
        <w:rPr>
          <w:rFonts w:ascii="Arial" w:hAnsi="Arial" w:cs="Arial"/>
          <w:kern w:val="0"/>
        </w:rPr>
        <w:t xml:space="preserve"> final decision. If the request is refused, ensure the reasons fall within the permitted statutory grounds and are backed up by evidence.</w:t>
      </w:r>
    </w:p>
    <w:p w14:paraId="54DABE27" w14:textId="77777777" w:rsidR="00CB5E47" w:rsidRDefault="00CB5E47">
      <w:pPr>
        <w:autoSpaceDE w:val="0"/>
        <w:spacing w:after="0" w:line="240" w:lineRule="auto"/>
        <w:rPr>
          <w:rFonts w:ascii="Arial" w:hAnsi="Arial" w:cs="Arial"/>
          <w:kern w:val="0"/>
        </w:rPr>
      </w:pPr>
    </w:p>
    <w:p w14:paraId="54DABE28" w14:textId="77777777" w:rsidR="00CB5E47" w:rsidRDefault="00F37544">
      <w:pPr>
        <w:autoSpaceDE w:val="0"/>
        <w:spacing w:after="0" w:line="240" w:lineRule="auto"/>
        <w:rPr>
          <w:rFonts w:ascii="Arial" w:hAnsi="Arial" w:cs="Arial"/>
          <w:kern w:val="0"/>
        </w:rPr>
      </w:pPr>
      <w:r>
        <w:rPr>
          <w:rFonts w:ascii="Arial" w:hAnsi="Arial" w:cs="Arial"/>
          <w:kern w:val="0"/>
        </w:rPr>
        <w:t xml:space="preserve">While operational concerns are valid, our obligation is to ensure each request is handled fairly, </w:t>
      </w:r>
      <w:r>
        <w:rPr>
          <w:rFonts w:ascii="Arial" w:hAnsi="Arial" w:cs="Arial"/>
          <w:kern w:val="0"/>
        </w:rPr>
        <w:t>transparently, and in line with legal requirements.</w:t>
      </w:r>
    </w:p>
    <w:p w14:paraId="54DABE29" w14:textId="77777777" w:rsidR="00CB5E47" w:rsidRDefault="00CB5E47">
      <w:pPr>
        <w:autoSpaceDE w:val="0"/>
        <w:spacing w:after="0" w:line="240" w:lineRule="auto"/>
        <w:rPr>
          <w:rFonts w:ascii="Trebuchet MS" w:hAnsi="Trebuchet MS" w:cs="Arial"/>
          <w:kern w:val="0"/>
          <w:sz w:val="23"/>
          <w:szCs w:val="23"/>
        </w:rPr>
      </w:pPr>
    </w:p>
    <w:p w14:paraId="54DABE2A" w14:textId="77777777" w:rsidR="00CB5E47" w:rsidRDefault="00F37544">
      <w:pPr>
        <w:autoSpaceDE w:val="0"/>
        <w:spacing w:after="0" w:line="240" w:lineRule="auto"/>
        <w:rPr>
          <w:rFonts w:ascii="Arial" w:hAnsi="Arial" w:cs="Arial"/>
          <w:kern w:val="0"/>
        </w:rPr>
      </w:pPr>
      <w:r>
        <w:rPr>
          <w:rFonts w:ascii="Arial" w:hAnsi="Arial" w:cs="Arial"/>
          <w:kern w:val="0"/>
        </w:rPr>
        <w:t xml:space="preserve">I would be happy to support you in reviewing this </w:t>
      </w:r>
      <w:proofErr w:type="gramStart"/>
      <w:r>
        <w:rPr>
          <w:rFonts w:ascii="Arial" w:hAnsi="Arial" w:cs="Arial"/>
          <w:kern w:val="0"/>
        </w:rPr>
        <w:t>particular case</w:t>
      </w:r>
      <w:proofErr w:type="gramEnd"/>
      <w:r>
        <w:rPr>
          <w:rFonts w:ascii="Arial" w:hAnsi="Arial" w:cs="Arial"/>
          <w:kern w:val="0"/>
        </w:rPr>
        <w:t xml:space="preserve"> or developing a consistent approach for future requests across the departments.</w:t>
      </w:r>
    </w:p>
    <w:p w14:paraId="54DABE2B" w14:textId="77777777" w:rsidR="00CB5E47" w:rsidRDefault="00CB5E47">
      <w:pPr>
        <w:autoSpaceDE w:val="0"/>
        <w:spacing w:after="0" w:line="240" w:lineRule="auto"/>
        <w:rPr>
          <w:rFonts w:ascii="Trebuchet MS" w:hAnsi="Trebuchet MS" w:cs="Arial"/>
          <w:kern w:val="0"/>
          <w:sz w:val="23"/>
          <w:szCs w:val="23"/>
        </w:rPr>
      </w:pPr>
    </w:p>
    <w:p w14:paraId="54DABE2C" w14:textId="77777777" w:rsidR="00CB5E47" w:rsidRDefault="00CB5E47">
      <w:pPr>
        <w:autoSpaceDE w:val="0"/>
        <w:spacing w:after="0" w:line="240" w:lineRule="auto"/>
        <w:rPr>
          <w:rFonts w:ascii="Trebuchet MS" w:hAnsi="Trebuchet MS" w:cs="Arial"/>
          <w:kern w:val="0"/>
          <w:sz w:val="23"/>
          <w:szCs w:val="23"/>
        </w:rPr>
      </w:pPr>
    </w:p>
    <w:p w14:paraId="54DABE2D" w14:textId="77777777" w:rsidR="00CB5E47" w:rsidRDefault="00F37544">
      <w:pPr>
        <w:autoSpaceDE w:val="0"/>
        <w:spacing w:after="0" w:line="240" w:lineRule="auto"/>
        <w:rPr>
          <w:rFonts w:ascii="Arial" w:hAnsi="Arial" w:cs="Arial"/>
          <w:b/>
          <w:bCs/>
          <w:kern w:val="0"/>
          <w:sz w:val="20"/>
          <w:szCs w:val="20"/>
        </w:rPr>
      </w:pPr>
      <w:r>
        <w:rPr>
          <w:rFonts w:ascii="Arial" w:hAnsi="Arial" w:cs="Arial"/>
          <w:b/>
          <w:bCs/>
          <w:kern w:val="0"/>
          <w:sz w:val="20"/>
          <w:szCs w:val="20"/>
        </w:rPr>
        <w:t>Bibliography</w:t>
      </w:r>
    </w:p>
    <w:p w14:paraId="54DABE2E" w14:textId="77777777" w:rsidR="00CB5E47" w:rsidRDefault="00CB5E47">
      <w:pPr>
        <w:autoSpaceDE w:val="0"/>
        <w:spacing w:after="0" w:line="240" w:lineRule="auto"/>
      </w:pPr>
    </w:p>
    <w:p w14:paraId="54DABE2F" w14:textId="77777777" w:rsidR="00CB5E47" w:rsidRPr="006C16C8" w:rsidRDefault="00F37544">
      <w:pPr>
        <w:suppressAutoHyphens w:val="0"/>
        <w:spacing w:before="100" w:after="100" w:line="240" w:lineRule="auto"/>
        <w:rPr>
          <w:rFonts w:ascii="Times New Roman" w:hAnsi="Times New Roman"/>
          <w:sz w:val="20"/>
          <w:szCs w:val="20"/>
        </w:rPr>
      </w:pPr>
      <w:r w:rsidRPr="006C16C8">
        <w:rPr>
          <w:rFonts w:ascii="Times New Roman" w:eastAsia="Times New Roman" w:hAnsi="Times New Roman"/>
          <w:kern w:val="0"/>
          <w:sz w:val="20"/>
          <w:szCs w:val="20"/>
          <w:lang w:eastAsia="en-GB"/>
        </w:rPr>
        <w:t>ACAS (2025) ‘</w:t>
      </w:r>
      <w:r w:rsidRPr="006C16C8">
        <w:rPr>
          <w:rFonts w:ascii="Times New Roman" w:eastAsia="Times New Roman" w:hAnsi="Times New Roman"/>
          <w:i/>
          <w:iCs/>
          <w:kern w:val="0"/>
          <w:sz w:val="20"/>
          <w:szCs w:val="20"/>
          <w:lang w:eastAsia="en-GB"/>
        </w:rPr>
        <w:t>Constructive Dismissal: Employee Rights and Employer Defences</w:t>
      </w:r>
      <w:r w:rsidRPr="006C16C8">
        <w:rPr>
          <w:rFonts w:ascii="Times New Roman" w:eastAsia="Times New Roman" w:hAnsi="Times New Roman"/>
          <w:kern w:val="0"/>
          <w:sz w:val="20"/>
          <w:szCs w:val="20"/>
          <w:lang w:eastAsia="en-GB"/>
        </w:rPr>
        <w:t xml:space="preserve">.’[online] Available at: </w:t>
      </w:r>
      <w:hyperlink r:id="rId6" w:history="1">
        <w:r w:rsidRPr="006C16C8">
          <w:rPr>
            <w:rStyle w:val="Hyperlink"/>
            <w:rFonts w:ascii="Times New Roman" w:eastAsia="Times New Roman" w:hAnsi="Times New Roman"/>
            <w:color w:val="auto"/>
            <w:kern w:val="0"/>
            <w:sz w:val="20"/>
            <w:szCs w:val="20"/>
            <w:lang w:eastAsia="en-GB"/>
          </w:rPr>
          <w:t>https://www.acas.org.uk/dismissals/constructive-dismissal</w:t>
        </w:r>
      </w:hyperlink>
      <w:r w:rsidRPr="006C16C8">
        <w:rPr>
          <w:rFonts w:ascii="Times New Roman" w:eastAsia="Times New Roman" w:hAnsi="Times New Roman"/>
          <w:kern w:val="0"/>
          <w:sz w:val="20"/>
          <w:szCs w:val="20"/>
          <w:lang w:eastAsia="en-GB"/>
        </w:rPr>
        <w:t xml:space="preserve"> (Accessed 1/5/25)</w:t>
      </w:r>
    </w:p>
    <w:p w14:paraId="54DABE30" w14:textId="77777777" w:rsidR="00CB5E47" w:rsidRPr="006C16C8" w:rsidRDefault="00F37544">
      <w:pPr>
        <w:spacing w:before="100" w:after="100" w:line="240" w:lineRule="auto"/>
        <w:rPr>
          <w:rFonts w:ascii="Times New Roman" w:hAnsi="Times New Roman"/>
          <w:sz w:val="20"/>
          <w:szCs w:val="20"/>
        </w:rPr>
      </w:pPr>
      <w:r w:rsidRPr="006C16C8">
        <w:rPr>
          <w:rFonts w:ascii="Times New Roman" w:eastAsia="Times New Roman" w:hAnsi="Times New Roman"/>
          <w:kern w:val="0"/>
          <w:sz w:val="20"/>
          <w:szCs w:val="20"/>
          <w:lang w:eastAsia="en-GB"/>
        </w:rPr>
        <w:t>ACAS (2025) ‘</w:t>
      </w:r>
      <w:r w:rsidRPr="006C16C8">
        <w:rPr>
          <w:rFonts w:ascii="Times New Roman" w:eastAsia="Times New Roman" w:hAnsi="Times New Roman"/>
          <w:i/>
          <w:iCs/>
          <w:kern w:val="0"/>
          <w:sz w:val="20"/>
          <w:szCs w:val="20"/>
          <w:lang w:eastAsia="en-GB"/>
        </w:rPr>
        <w:t>Equal pay and Gender Gap Guidance’</w:t>
      </w:r>
      <w:r w:rsidRPr="006C16C8">
        <w:rPr>
          <w:rFonts w:ascii="Times New Roman" w:eastAsia="Times New Roman" w:hAnsi="Times New Roman"/>
          <w:kern w:val="0"/>
          <w:sz w:val="20"/>
          <w:szCs w:val="20"/>
          <w:lang w:eastAsia="en-GB"/>
        </w:rPr>
        <w:t xml:space="preserve">. [online] </w:t>
      </w:r>
      <w:hyperlink r:id="rId7" w:history="1">
        <w:r w:rsidRPr="006C16C8">
          <w:rPr>
            <w:rStyle w:val="Hyperlink"/>
            <w:rFonts w:ascii="Times New Roman" w:eastAsia="Times New Roman" w:hAnsi="Times New Roman"/>
            <w:color w:val="auto"/>
            <w:kern w:val="0"/>
            <w:sz w:val="20"/>
            <w:szCs w:val="20"/>
            <w:lang w:eastAsia="en-GB"/>
          </w:rPr>
          <w:t>https://www.acas.org.uk/equal-pay/equal-pay-law</w:t>
        </w:r>
      </w:hyperlink>
      <w:r w:rsidRPr="006C16C8">
        <w:rPr>
          <w:rFonts w:ascii="Times New Roman" w:eastAsia="Times New Roman" w:hAnsi="Times New Roman"/>
          <w:kern w:val="0"/>
          <w:sz w:val="20"/>
          <w:szCs w:val="20"/>
          <w:lang w:eastAsia="en-GB"/>
        </w:rPr>
        <w:t>. (Accessed 3/5/25).</w:t>
      </w:r>
    </w:p>
    <w:p w14:paraId="54DABE31" w14:textId="77777777" w:rsidR="00CB5E47" w:rsidRDefault="00F37544">
      <w:pPr>
        <w:spacing w:before="100" w:after="100" w:line="240" w:lineRule="auto"/>
        <w:rPr>
          <w:rFonts w:ascii="Times New Roman" w:hAnsi="Times New Roman"/>
          <w:sz w:val="20"/>
          <w:szCs w:val="20"/>
        </w:rPr>
      </w:pPr>
      <w:r w:rsidRPr="006C16C8">
        <w:rPr>
          <w:rFonts w:ascii="Times New Roman" w:eastAsia="Times New Roman" w:hAnsi="Times New Roman"/>
          <w:kern w:val="0"/>
          <w:sz w:val="20"/>
          <w:szCs w:val="20"/>
          <w:lang w:eastAsia="en-GB"/>
        </w:rPr>
        <w:t>ACAS (2025) ‘</w:t>
      </w:r>
      <w:r w:rsidRPr="006C16C8">
        <w:rPr>
          <w:rFonts w:ascii="Times New Roman" w:eastAsia="Times New Roman" w:hAnsi="Times New Roman"/>
          <w:i/>
          <w:iCs/>
          <w:kern w:val="0"/>
          <w:sz w:val="20"/>
          <w:szCs w:val="20"/>
          <w:lang w:eastAsia="en-GB"/>
        </w:rPr>
        <w:t>Failure to consult – Collective consultation for redundancy</w:t>
      </w:r>
      <w:r w:rsidRPr="006C16C8">
        <w:rPr>
          <w:rFonts w:ascii="Times New Roman" w:eastAsia="Times New Roman" w:hAnsi="Times New Roman"/>
          <w:kern w:val="0"/>
          <w:sz w:val="20"/>
          <w:szCs w:val="20"/>
          <w:lang w:eastAsia="en-GB"/>
        </w:rPr>
        <w:t xml:space="preserve">.’ [online] Available at: </w:t>
      </w:r>
      <w:hyperlink r:id="rId8" w:history="1">
        <w:r w:rsidRPr="006C16C8">
          <w:rPr>
            <w:rStyle w:val="Hyperlink"/>
            <w:rFonts w:ascii="Times New Roman" w:eastAsia="Times New Roman" w:hAnsi="Times New Roman"/>
            <w:color w:val="auto"/>
            <w:kern w:val="0"/>
            <w:sz w:val="20"/>
            <w:szCs w:val="20"/>
            <w:lang w:eastAsia="en-GB"/>
          </w:rPr>
          <w:t>https://www.acas.org.uk/collective-consultation-redundancy/if-an-employer-does-not-collectively-consult</w:t>
        </w:r>
      </w:hyperlink>
      <w:r w:rsidRPr="006C16C8">
        <w:rPr>
          <w:rFonts w:ascii="Times New Roman" w:hAnsi="Times New Roman"/>
          <w:sz w:val="20"/>
          <w:szCs w:val="20"/>
        </w:rPr>
        <w:t xml:space="preserve"> (Accessed 5/5/25)</w:t>
      </w:r>
    </w:p>
    <w:p w14:paraId="1F79ED02" w14:textId="260F6147" w:rsidR="00765348" w:rsidRPr="006C16C8" w:rsidRDefault="00765348">
      <w:pPr>
        <w:spacing w:before="100" w:after="100" w:line="240" w:lineRule="auto"/>
        <w:rPr>
          <w:rFonts w:ascii="Times New Roman" w:hAnsi="Times New Roman"/>
          <w:sz w:val="20"/>
          <w:szCs w:val="20"/>
        </w:rPr>
      </w:pPr>
      <w:r>
        <w:rPr>
          <w:rFonts w:ascii="Times New Roman" w:hAnsi="Times New Roman"/>
          <w:sz w:val="20"/>
          <w:szCs w:val="20"/>
        </w:rPr>
        <w:t xml:space="preserve">ACAS (2025) ‘TUPE guidance for Employers’ [online] Available at: </w:t>
      </w:r>
      <w:r w:rsidRPr="00765348">
        <w:rPr>
          <w:rFonts w:ascii="Times New Roman" w:hAnsi="Times New Roman"/>
          <w:sz w:val="20"/>
          <w:szCs w:val="20"/>
        </w:rPr>
        <w:t>https://www.acas.org.uk/tupe/advice-for-employers-and-employees</w:t>
      </w:r>
      <w:r>
        <w:rPr>
          <w:rFonts w:ascii="Times New Roman" w:hAnsi="Times New Roman"/>
          <w:sz w:val="20"/>
          <w:szCs w:val="20"/>
        </w:rPr>
        <w:t xml:space="preserve"> . (Accessed 7/9/25)</w:t>
      </w:r>
    </w:p>
    <w:p w14:paraId="54DABE32" w14:textId="77777777" w:rsidR="00CB5E47" w:rsidRPr="006C16C8" w:rsidRDefault="00F37544">
      <w:pPr>
        <w:spacing w:before="100" w:after="100" w:line="240" w:lineRule="auto"/>
        <w:rPr>
          <w:rFonts w:ascii="Times New Roman" w:hAnsi="Times New Roman"/>
          <w:sz w:val="20"/>
          <w:szCs w:val="20"/>
        </w:rPr>
      </w:pPr>
      <w:r w:rsidRPr="006C16C8">
        <w:rPr>
          <w:rFonts w:ascii="Times New Roman" w:eastAsia="Times New Roman" w:hAnsi="Times New Roman"/>
          <w:kern w:val="0"/>
          <w:sz w:val="20"/>
          <w:szCs w:val="20"/>
          <w:lang w:eastAsia="en-GB"/>
        </w:rPr>
        <w:t xml:space="preserve">Armstrong, M. and Taylor, S. (2022) </w:t>
      </w:r>
      <w:r w:rsidRPr="006C16C8">
        <w:rPr>
          <w:rFonts w:ascii="Times New Roman" w:eastAsia="Times New Roman" w:hAnsi="Times New Roman"/>
          <w:i/>
          <w:iCs/>
          <w:kern w:val="0"/>
          <w:sz w:val="20"/>
          <w:szCs w:val="20"/>
          <w:lang w:eastAsia="en-GB"/>
        </w:rPr>
        <w:t>Armstrong’s Handbook of Human Resource Management Practice</w:t>
      </w:r>
      <w:r w:rsidRPr="006C16C8">
        <w:rPr>
          <w:rFonts w:ascii="Times New Roman" w:eastAsia="Times New Roman" w:hAnsi="Times New Roman"/>
          <w:kern w:val="0"/>
          <w:sz w:val="20"/>
          <w:szCs w:val="20"/>
          <w:lang w:eastAsia="en-GB"/>
        </w:rPr>
        <w:t>. 16th edn. London: Kogan Page.</w:t>
      </w:r>
    </w:p>
    <w:p w14:paraId="05F4CA51" w14:textId="77777777" w:rsidR="00660803" w:rsidRDefault="00F37544">
      <w:pPr>
        <w:spacing w:before="100" w:after="100" w:line="240" w:lineRule="auto"/>
        <w:rPr>
          <w:rFonts w:ascii="Times New Roman" w:hAnsi="Times New Roman"/>
          <w:sz w:val="20"/>
          <w:szCs w:val="20"/>
        </w:rPr>
      </w:pPr>
      <w:r w:rsidRPr="006C16C8">
        <w:rPr>
          <w:rFonts w:ascii="Times New Roman" w:eastAsia="Times New Roman" w:hAnsi="Times New Roman"/>
          <w:kern w:val="0"/>
          <w:sz w:val="20"/>
          <w:szCs w:val="20"/>
          <w:lang w:eastAsia="en-GB"/>
        </w:rPr>
        <w:t xml:space="preserve">BrightHR (2025) </w:t>
      </w:r>
      <w:r w:rsidRPr="006C16C8">
        <w:rPr>
          <w:rFonts w:ascii="Times New Roman" w:eastAsia="Times New Roman" w:hAnsi="Times New Roman"/>
          <w:i/>
          <w:iCs/>
          <w:kern w:val="0"/>
          <w:sz w:val="20"/>
          <w:szCs w:val="20"/>
          <w:lang w:eastAsia="en-GB"/>
        </w:rPr>
        <w:t xml:space="preserve">Understanding the Employment rights Act 1996. </w:t>
      </w:r>
      <w:hyperlink r:id="rId9" w:history="1">
        <w:r w:rsidRPr="006C16C8">
          <w:rPr>
            <w:rStyle w:val="Hyperlink"/>
            <w:rFonts w:ascii="Times New Roman" w:eastAsia="Times New Roman" w:hAnsi="Times New Roman"/>
            <w:color w:val="auto"/>
            <w:kern w:val="0"/>
            <w:sz w:val="20"/>
            <w:szCs w:val="20"/>
            <w:u w:val="none"/>
            <w:lang w:eastAsia="en-GB"/>
          </w:rPr>
          <w:t>https://www.brighthr.com/articles/employment-law/employment-rights-act/</w:t>
        </w:r>
      </w:hyperlink>
      <w:r w:rsidRPr="006C16C8">
        <w:rPr>
          <w:rFonts w:ascii="Times New Roman" w:eastAsia="Times New Roman" w:hAnsi="Times New Roman"/>
          <w:kern w:val="0"/>
          <w:sz w:val="20"/>
          <w:szCs w:val="20"/>
          <w:lang w:eastAsia="en-GB"/>
        </w:rPr>
        <w:t>. (Accessed 5/7/25).</w:t>
      </w:r>
    </w:p>
    <w:p w14:paraId="3CE3C365" w14:textId="1272B277" w:rsidR="00660803" w:rsidRPr="00660803" w:rsidRDefault="00660803">
      <w:pPr>
        <w:spacing w:before="100" w:after="100" w:line="240" w:lineRule="auto"/>
        <w:rPr>
          <w:rFonts w:ascii="Times New Roman" w:hAnsi="Times New Roman"/>
          <w:sz w:val="20"/>
          <w:szCs w:val="20"/>
        </w:rPr>
      </w:pPr>
      <w:r>
        <w:rPr>
          <w:rFonts w:ascii="Times New Roman" w:hAnsi="Times New Roman"/>
          <w:sz w:val="20"/>
          <w:szCs w:val="20"/>
        </w:rPr>
        <w:t xml:space="preserve">Croner-I (2025) </w:t>
      </w:r>
      <w:r w:rsidRPr="00660803">
        <w:rPr>
          <w:rFonts w:ascii="Times New Roman" w:hAnsi="Times New Roman"/>
          <w:i/>
          <w:iCs/>
          <w:sz w:val="20"/>
          <w:szCs w:val="20"/>
        </w:rPr>
        <w:t>Litster v Forth Dry Dock and Engineering Co Ltd [1989]</w:t>
      </w:r>
      <w:r>
        <w:rPr>
          <w:rFonts w:ascii="Times New Roman" w:hAnsi="Times New Roman"/>
          <w:sz w:val="20"/>
          <w:szCs w:val="20"/>
        </w:rPr>
        <w:t xml:space="preserve"> [</w:t>
      </w:r>
      <w:proofErr w:type="gramStart"/>
      <w:r>
        <w:rPr>
          <w:rFonts w:ascii="Times New Roman" w:hAnsi="Times New Roman"/>
          <w:sz w:val="20"/>
          <w:szCs w:val="20"/>
        </w:rPr>
        <w:t>online</w:t>
      </w:r>
      <w:proofErr w:type="gramEnd"/>
      <w:r>
        <w:rPr>
          <w:rFonts w:ascii="Times New Roman" w:hAnsi="Times New Roman"/>
          <w:sz w:val="20"/>
          <w:szCs w:val="20"/>
        </w:rPr>
        <w:t>] Available at:</w:t>
      </w:r>
      <w:r w:rsidRPr="00660803">
        <w:t xml:space="preserve"> </w:t>
      </w:r>
      <w:r w:rsidRPr="00660803">
        <w:rPr>
          <w:rFonts w:ascii="Times New Roman" w:hAnsi="Times New Roman"/>
          <w:sz w:val="20"/>
          <w:szCs w:val="20"/>
        </w:rPr>
        <w:t>https://app.croneri.co.uk/law-and-guidance/case-reports/litster-and-others-v-forth-dry-dock-and-engineering-company-limited</w:t>
      </w:r>
      <w:r>
        <w:rPr>
          <w:rFonts w:ascii="Times New Roman" w:hAnsi="Times New Roman"/>
          <w:sz w:val="20"/>
          <w:szCs w:val="20"/>
        </w:rPr>
        <w:t xml:space="preserve"> . (Accessed 6/9/25)</w:t>
      </w:r>
    </w:p>
    <w:p w14:paraId="54DABE34" w14:textId="1B0228CB" w:rsidR="00CB5E47" w:rsidRPr="006C16C8" w:rsidRDefault="00F37544">
      <w:pPr>
        <w:spacing w:before="100" w:after="100" w:line="240" w:lineRule="auto"/>
        <w:rPr>
          <w:rFonts w:ascii="Times New Roman" w:hAnsi="Times New Roman"/>
          <w:sz w:val="20"/>
          <w:szCs w:val="20"/>
        </w:rPr>
      </w:pPr>
      <w:r w:rsidRPr="006C16C8">
        <w:rPr>
          <w:rFonts w:ascii="Times New Roman" w:eastAsia="Times New Roman" w:hAnsi="Times New Roman"/>
          <w:kern w:val="0"/>
          <w:sz w:val="20"/>
          <w:szCs w:val="20"/>
          <w:lang w:eastAsia="en-GB"/>
        </w:rPr>
        <w:t xml:space="preserve">CIPD (2024) ‘A Guide for People Professionals (TUPE).[online] Available at: </w:t>
      </w:r>
      <w:hyperlink r:id="rId10" w:history="1">
        <w:r w:rsidRPr="006C16C8">
          <w:rPr>
            <w:rFonts w:ascii="Times New Roman" w:eastAsia="Times New Roman" w:hAnsi="Times New Roman"/>
            <w:kern w:val="0"/>
            <w:sz w:val="20"/>
            <w:szCs w:val="20"/>
            <w:u w:val="single"/>
            <w:lang w:eastAsia="en-GB"/>
          </w:rPr>
          <w:t>https://www.cipd.co.uk/knowledge/fundamentals/emp-law</w:t>
        </w:r>
      </w:hyperlink>
      <w:r w:rsidRPr="006C16C8">
        <w:rPr>
          <w:rFonts w:ascii="Times New Roman" w:eastAsia="Times New Roman" w:hAnsi="Times New Roman"/>
          <w:kern w:val="0"/>
          <w:sz w:val="20"/>
          <w:szCs w:val="20"/>
          <w:lang w:eastAsia="en-GB"/>
        </w:rPr>
        <w:t>.</w:t>
      </w:r>
      <w:r w:rsidRPr="006C16C8">
        <w:rPr>
          <w:rFonts w:ascii="Times New Roman" w:hAnsi="Times New Roman"/>
          <w:kern w:val="0"/>
          <w:sz w:val="20"/>
          <w:szCs w:val="20"/>
        </w:rPr>
        <w:t>(Accessed 5/5/25).</w:t>
      </w:r>
    </w:p>
    <w:p w14:paraId="54DABE35" w14:textId="2AC74066" w:rsidR="00CB5E47" w:rsidRPr="006C16C8" w:rsidRDefault="00F37544">
      <w:pPr>
        <w:spacing w:before="100" w:after="100" w:line="240" w:lineRule="auto"/>
        <w:rPr>
          <w:rFonts w:ascii="Times New Roman" w:hAnsi="Times New Roman"/>
          <w:kern w:val="0"/>
          <w:sz w:val="20"/>
          <w:szCs w:val="20"/>
        </w:rPr>
      </w:pPr>
      <w:r w:rsidRPr="006C16C8">
        <w:rPr>
          <w:rFonts w:ascii="Times New Roman" w:eastAsia="Times New Roman" w:hAnsi="Times New Roman"/>
          <w:kern w:val="0"/>
          <w:sz w:val="20"/>
          <w:szCs w:val="20"/>
          <w:lang w:eastAsia="en-GB"/>
        </w:rPr>
        <w:t>CIPD (2024) ‘Flexible Working, Understanding the law and best practice’.</w:t>
      </w:r>
      <w:r w:rsidR="006C16C8">
        <w:rPr>
          <w:rFonts w:ascii="Times New Roman" w:eastAsia="Times New Roman" w:hAnsi="Times New Roman"/>
          <w:kern w:val="0"/>
          <w:sz w:val="20"/>
          <w:szCs w:val="20"/>
          <w:lang w:eastAsia="en-GB"/>
        </w:rPr>
        <w:t xml:space="preserve"> </w:t>
      </w:r>
      <w:r w:rsidRPr="006C16C8">
        <w:rPr>
          <w:rFonts w:ascii="Times New Roman" w:eastAsia="Times New Roman" w:hAnsi="Times New Roman"/>
          <w:kern w:val="0"/>
          <w:sz w:val="20"/>
          <w:szCs w:val="20"/>
          <w:lang w:eastAsia="en-GB"/>
        </w:rPr>
        <w:t>[online] Available at:</w:t>
      </w:r>
      <w:r w:rsidRPr="006C16C8">
        <w:rPr>
          <w:rFonts w:ascii="Times New Roman" w:hAnsi="Times New Roman"/>
          <w:sz w:val="20"/>
          <w:szCs w:val="20"/>
        </w:rPr>
        <w:t xml:space="preserve"> https://www.cipd.org.uk/knowledge/factsheets/flexible-working-factsheet/</w:t>
      </w:r>
      <w:r w:rsidRPr="006C16C8">
        <w:rPr>
          <w:rFonts w:ascii="Times New Roman" w:eastAsia="Times New Roman" w:hAnsi="Times New Roman"/>
          <w:kern w:val="0"/>
          <w:sz w:val="20"/>
          <w:szCs w:val="20"/>
          <w:lang w:eastAsia="en-GB"/>
        </w:rPr>
        <w:t>.</w:t>
      </w:r>
      <w:r w:rsidRPr="006C16C8">
        <w:rPr>
          <w:rFonts w:ascii="Times New Roman" w:hAnsi="Times New Roman"/>
          <w:kern w:val="0"/>
          <w:sz w:val="20"/>
          <w:szCs w:val="20"/>
        </w:rPr>
        <w:t>(Accessed 5/5/25).</w:t>
      </w:r>
    </w:p>
    <w:p w14:paraId="14A81473" w14:textId="45E1B767" w:rsidR="00DC42CC" w:rsidRDefault="00DC42CC">
      <w:pPr>
        <w:spacing w:before="100" w:after="100" w:line="240" w:lineRule="auto"/>
        <w:rPr>
          <w:rFonts w:ascii="Times New Roman" w:hAnsi="Times New Roman"/>
          <w:kern w:val="0"/>
          <w:sz w:val="20"/>
          <w:szCs w:val="20"/>
        </w:rPr>
      </w:pPr>
      <w:r w:rsidRPr="006C16C8">
        <w:rPr>
          <w:rFonts w:ascii="Times New Roman" w:hAnsi="Times New Roman"/>
          <w:kern w:val="0"/>
          <w:sz w:val="20"/>
          <w:szCs w:val="20"/>
        </w:rPr>
        <w:t>CIPD (2022) ‘Why Employment Law Matters’. [online] Available at:</w:t>
      </w:r>
      <w:r w:rsidRPr="006C16C8">
        <w:rPr>
          <w:rFonts w:ascii="Times New Roman" w:hAnsi="Times New Roman"/>
          <w:sz w:val="20"/>
          <w:szCs w:val="20"/>
        </w:rPr>
        <w:t xml:space="preserve"> </w:t>
      </w:r>
      <w:r w:rsidRPr="006C16C8">
        <w:rPr>
          <w:rFonts w:ascii="Times New Roman" w:hAnsi="Times New Roman"/>
          <w:kern w:val="0"/>
          <w:sz w:val="20"/>
          <w:szCs w:val="20"/>
        </w:rPr>
        <w:t>https://www.cipd.org/uk/knowledge/employment-law/</w:t>
      </w:r>
      <w:r w:rsidRPr="006C16C8">
        <w:rPr>
          <w:rFonts w:ascii="Times New Roman" w:hAnsi="Times New Roman"/>
          <w:kern w:val="0"/>
          <w:sz w:val="20"/>
          <w:szCs w:val="20"/>
        </w:rPr>
        <w:t xml:space="preserve"> . (Accessed 6/</w:t>
      </w:r>
      <w:r w:rsidR="00D9635B" w:rsidRPr="006C16C8">
        <w:rPr>
          <w:rFonts w:ascii="Times New Roman" w:hAnsi="Times New Roman"/>
          <w:kern w:val="0"/>
          <w:sz w:val="20"/>
          <w:szCs w:val="20"/>
        </w:rPr>
        <w:t>9</w:t>
      </w:r>
      <w:r w:rsidRPr="006C16C8">
        <w:rPr>
          <w:rFonts w:ascii="Times New Roman" w:hAnsi="Times New Roman"/>
          <w:kern w:val="0"/>
          <w:sz w:val="20"/>
          <w:szCs w:val="20"/>
        </w:rPr>
        <w:t>/25)</w:t>
      </w:r>
    </w:p>
    <w:p w14:paraId="1B67E212" w14:textId="50480CAF" w:rsidR="00815410" w:rsidRPr="006C16C8" w:rsidRDefault="00815410">
      <w:pPr>
        <w:spacing w:before="100" w:after="100" w:line="240" w:lineRule="auto"/>
        <w:rPr>
          <w:rFonts w:ascii="Times New Roman" w:hAnsi="Times New Roman"/>
          <w:sz w:val="20"/>
          <w:szCs w:val="20"/>
        </w:rPr>
      </w:pPr>
      <w:r>
        <w:rPr>
          <w:rFonts w:ascii="Times New Roman" w:hAnsi="Times New Roman"/>
          <w:kern w:val="0"/>
          <w:sz w:val="20"/>
          <w:szCs w:val="20"/>
        </w:rPr>
        <w:t>CIPD (2024) ‘Managing the Redundancy Process’ [online] Available at:</w:t>
      </w:r>
      <w:r w:rsidRPr="00815410">
        <w:t xml:space="preserve"> </w:t>
      </w:r>
      <w:r w:rsidRPr="00815410">
        <w:rPr>
          <w:rFonts w:ascii="Times New Roman" w:hAnsi="Times New Roman"/>
          <w:kern w:val="0"/>
          <w:sz w:val="20"/>
          <w:szCs w:val="20"/>
        </w:rPr>
        <w:t>https://www.cipd.org/uk/knowledge/guides/managing-the-redundancy-process/</w:t>
      </w:r>
      <w:r>
        <w:rPr>
          <w:rFonts w:ascii="Times New Roman" w:hAnsi="Times New Roman"/>
          <w:kern w:val="0"/>
          <w:sz w:val="20"/>
          <w:szCs w:val="20"/>
        </w:rPr>
        <w:t xml:space="preserve"> . (Accessed 9/9/25)</w:t>
      </w:r>
    </w:p>
    <w:p w14:paraId="54DABE36" w14:textId="77777777" w:rsidR="00CB5E47" w:rsidRPr="006C16C8" w:rsidRDefault="00F37544">
      <w:pPr>
        <w:spacing w:before="100" w:after="100" w:line="240" w:lineRule="auto"/>
        <w:rPr>
          <w:rFonts w:ascii="Times New Roman" w:eastAsia="Times New Roman" w:hAnsi="Times New Roman"/>
          <w:kern w:val="0"/>
          <w:sz w:val="20"/>
          <w:szCs w:val="20"/>
          <w:lang w:eastAsia="en-GB"/>
        </w:rPr>
      </w:pPr>
      <w:r w:rsidRPr="006C16C8">
        <w:rPr>
          <w:rFonts w:ascii="Times New Roman" w:eastAsia="Times New Roman" w:hAnsi="Times New Roman"/>
          <w:kern w:val="0"/>
          <w:sz w:val="20"/>
          <w:szCs w:val="20"/>
          <w:lang w:eastAsia="en-GB"/>
        </w:rPr>
        <w:t xml:space="preserve">CIPD (2024) ‘Maternity and paternity rights.’ [online] Available at: </w:t>
      </w:r>
      <w:hyperlink r:id="rId11" w:history="1">
        <w:r w:rsidRPr="006C16C8">
          <w:rPr>
            <w:rStyle w:val="Hyperlink"/>
            <w:rFonts w:ascii="Times New Roman" w:eastAsia="Times New Roman" w:hAnsi="Times New Roman"/>
            <w:color w:val="auto"/>
            <w:kern w:val="0"/>
            <w:sz w:val="20"/>
            <w:szCs w:val="20"/>
            <w:lang w:eastAsia="en-GB"/>
          </w:rPr>
          <w:t>https://www.cipd.org.uk/uk/knowledge/factsheets/maternity-paternity-rights-factsheet/</w:t>
        </w:r>
      </w:hyperlink>
      <w:r w:rsidRPr="006C16C8">
        <w:rPr>
          <w:rFonts w:ascii="Times New Roman" w:eastAsia="Times New Roman" w:hAnsi="Times New Roman"/>
          <w:kern w:val="0"/>
          <w:sz w:val="20"/>
          <w:szCs w:val="20"/>
          <w:lang w:eastAsia="en-GB"/>
        </w:rPr>
        <w:t>. (Accessed 25/5/25).</w:t>
      </w:r>
    </w:p>
    <w:p w14:paraId="03666E21" w14:textId="2B725F76" w:rsidR="00D9635B" w:rsidRDefault="00D9635B">
      <w:pPr>
        <w:spacing w:before="100" w:after="100" w:line="240" w:lineRule="auto"/>
        <w:rPr>
          <w:rFonts w:ascii="Times New Roman" w:eastAsia="Times New Roman" w:hAnsi="Times New Roman"/>
          <w:kern w:val="0"/>
          <w:sz w:val="20"/>
          <w:szCs w:val="20"/>
          <w:lang w:eastAsia="en-GB"/>
        </w:rPr>
      </w:pPr>
      <w:r w:rsidRPr="006C16C8">
        <w:rPr>
          <w:rFonts w:ascii="Times New Roman" w:eastAsia="Times New Roman" w:hAnsi="Times New Roman"/>
          <w:kern w:val="0"/>
          <w:sz w:val="20"/>
          <w:szCs w:val="20"/>
          <w:lang w:eastAsia="en-GB"/>
        </w:rPr>
        <w:t xml:space="preserve">CIPD (2023) ‘Recruitment and Selection: Legal Considerations’. [online] Available at: </w:t>
      </w:r>
      <w:hyperlink r:id="rId12" w:history="1">
        <w:r w:rsidRPr="006C16C8">
          <w:rPr>
            <w:rStyle w:val="Hyperlink"/>
            <w:rFonts w:ascii="Times New Roman" w:eastAsia="Times New Roman" w:hAnsi="Times New Roman"/>
            <w:color w:val="auto"/>
            <w:kern w:val="0"/>
            <w:sz w:val="20"/>
            <w:szCs w:val="20"/>
            <w:lang w:eastAsia="en-GB"/>
          </w:rPr>
          <w:t>https://www.cipd.org/uk/knowledge/employment-law/recruitment/</w:t>
        </w:r>
      </w:hyperlink>
      <w:r w:rsidRPr="006C16C8">
        <w:rPr>
          <w:rFonts w:ascii="Times New Roman" w:eastAsia="Times New Roman" w:hAnsi="Times New Roman"/>
          <w:kern w:val="0"/>
          <w:sz w:val="20"/>
          <w:szCs w:val="20"/>
          <w:lang w:eastAsia="en-GB"/>
        </w:rPr>
        <w:t>. (Accessed 6/9/25).</w:t>
      </w:r>
    </w:p>
    <w:p w14:paraId="4B4E6589" w14:textId="70F2AB2C" w:rsidR="00660803" w:rsidRPr="00660803" w:rsidRDefault="00660803">
      <w:pPr>
        <w:spacing w:before="100" w:after="100" w:line="240" w:lineRule="auto"/>
        <w:rPr>
          <w:rFonts w:ascii="Times New Roman" w:eastAsia="Times New Roman" w:hAnsi="Times New Roman"/>
          <w:kern w:val="0"/>
          <w:sz w:val="20"/>
          <w:szCs w:val="20"/>
          <w:lang w:eastAsia="en-GB"/>
        </w:rPr>
      </w:pPr>
      <w:r w:rsidRPr="00660803">
        <w:rPr>
          <w:rFonts w:ascii="Times New Roman" w:eastAsia="Times New Roman" w:hAnsi="Times New Roman"/>
          <w:kern w:val="0"/>
          <w:sz w:val="20"/>
          <w:szCs w:val="20"/>
          <w:lang w:eastAsia="en-GB"/>
        </w:rPr>
        <w:t xml:space="preserve">CIPD HR-inform (2025) </w:t>
      </w:r>
      <w:r w:rsidRPr="00660803">
        <w:rPr>
          <w:rFonts w:ascii="Times New Roman" w:eastAsia="Times New Roman" w:hAnsi="Times New Roman"/>
          <w:i/>
          <w:iCs/>
          <w:kern w:val="0"/>
          <w:sz w:val="20"/>
          <w:szCs w:val="20"/>
          <w:lang w:eastAsia="en-GB"/>
        </w:rPr>
        <w:t xml:space="preserve">Manchester College v Hazel and Huggins [2014] EWCA </w:t>
      </w:r>
      <w:proofErr w:type="spellStart"/>
      <w:r w:rsidRPr="00660803">
        <w:rPr>
          <w:rFonts w:ascii="Times New Roman" w:eastAsia="Times New Roman" w:hAnsi="Times New Roman"/>
          <w:i/>
          <w:iCs/>
          <w:kern w:val="0"/>
          <w:sz w:val="20"/>
          <w:szCs w:val="20"/>
          <w:lang w:eastAsia="en-GB"/>
        </w:rPr>
        <w:t>Civ</w:t>
      </w:r>
      <w:proofErr w:type="spellEnd"/>
      <w:r w:rsidRPr="00660803">
        <w:rPr>
          <w:rFonts w:ascii="Times New Roman" w:eastAsia="Times New Roman" w:hAnsi="Times New Roman"/>
          <w:i/>
          <w:iCs/>
          <w:kern w:val="0"/>
          <w:sz w:val="20"/>
          <w:szCs w:val="20"/>
          <w:lang w:eastAsia="en-GB"/>
        </w:rPr>
        <w:t xml:space="preserve"> 72</w:t>
      </w:r>
      <w:r w:rsidRPr="00660803">
        <w:rPr>
          <w:rFonts w:ascii="Times New Roman" w:eastAsia="Times New Roman" w:hAnsi="Times New Roman"/>
          <w:kern w:val="0"/>
          <w:sz w:val="20"/>
          <w:szCs w:val="20"/>
          <w:lang w:eastAsia="en-GB"/>
        </w:rPr>
        <w:t xml:space="preserve"> [online] Available at: </w:t>
      </w:r>
      <w:hyperlink r:id="rId13" w:history="1">
        <w:r w:rsidRPr="00660803">
          <w:rPr>
            <w:rStyle w:val="Hyperlink"/>
            <w:rFonts w:ascii="Times New Roman" w:eastAsia="Times New Roman" w:hAnsi="Times New Roman"/>
            <w:color w:val="auto"/>
            <w:kern w:val="0"/>
            <w:sz w:val="20"/>
            <w:szCs w:val="20"/>
            <w:lang w:eastAsia="en-GB"/>
          </w:rPr>
          <w:t>https://app.croneri.co.uk/law-and-guidance/case-reports/manchester-college-v-hazel-tupe-transfers?product=283#hri-04f4105c-e12f-44fa-b4a9-1de7e5f35b83</w:t>
        </w:r>
      </w:hyperlink>
      <w:r w:rsidRPr="00660803">
        <w:rPr>
          <w:rFonts w:ascii="Times New Roman" w:eastAsia="Times New Roman" w:hAnsi="Times New Roman"/>
          <w:kern w:val="0"/>
          <w:sz w:val="20"/>
          <w:szCs w:val="20"/>
          <w:lang w:eastAsia="en-GB"/>
        </w:rPr>
        <w:t>. (Accessed 9/9/25).</w:t>
      </w:r>
    </w:p>
    <w:p w14:paraId="54DABE37" w14:textId="77777777" w:rsidR="00CB5E47" w:rsidRDefault="00F37544">
      <w:pPr>
        <w:spacing w:before="100" w:after="100" w:line="240" w:lineRule="auto"/>
        <w:rPr>
          <w:rFonts w:ascii="Times New Roman" w:eastAsia="Times New Roman" w:hAnsi="Times New Roman"/>
          <w:kern w:val="0"/>
          <w:sz w:val="20"/>
          <w:szCs w:val="20"/>
          <w:lang w:eastAsia="en-GB"/>
        </w:rPr>
      </w:pPr>
      <w:r w:rsidRPr="006C16C8">
        <w:rPr>
          <w:rFonts w:ascii="Times New Roman" w:eastAsia="Times New Roman" w:hAnsi="Times New Roman"/>
          <w:kern w:val="0"/>
          <w:sz w:val="20"/>
          <w:szCs w:val="20"/>
          <w:lang w:eastAsia="en-GB"/>
        </w:rPr>
        <w:lastRenderedPageBreak/>
        <w:t xml:space="preserve">Daniels, K. (2025) </w:t>
      </w:r>
      <w:r w:rsidRPr="006C16C8">
        <w:rPr>
          <w:rFonts w:ascii="Times New Roman" w:eastAsia="Times New Roman" w:hAnsi="Times New Roman"/>
          <w:i/>
          <w:iCs/>
          <w:kern w:val="0"/>
          <w:sz w:val="20"/>
          <w:szCs w:val="20"/>
          <w:lang w:eastAsia="en-GB"/>
        </w:rPr>
        <w:t>Introduction to Employment Law: Fundamentals for HR and Business Students</w:t>
      </w:r>
      <w:r w:rsidRPr="006C16C8">
        <w:rPr>
          <w:rFonts w:ascii="Times New Roman" w:eastAsia="Times New Roman" w:hAnsi="Times New Roman"/>
          <w:kern w:val="0"/>
          <w:sz w:val="20"/>
          <w:szCs w:val="20"/>
          <w:lang w:eastAsia="en-GB"/>
        </w:rPr>
        <w:t>. 7th edn. London: CIPD.</w:t>
      </w:r>
    </w:p>
    <w:p w14:paraId="11402A08" w14:textId="77777777" w:rsidR="00765348" w:rsidRDefault="00765348" w:rsidP="00765348">
      <w:pPr>
        <w:spacing w:before="100" w:after="100" w:line="240" w:lineRule="auto"/>
        <w:rPr>
          <w:rFonts w:ascii="Times New Roman" w:eastAsia="Times New Roman" w:hAnsi="Times New Roman"/>
          <w:kern w:val="0"/>
          <w:sz w:val="20"/>
          <w:szCs w:val="20"/>
          <w:lang w:eastAsia="en-GB"/>
        </w:rPr>
      </w:pPr>
      <w:r w:rsidRPr="006C16C8">
        <w:rPr>
          <w:rFonts w:ascii="Times New Roman" w:eastAsia="Times New Roman" w:hAnsi="Times New Roman"/>
          <w:kern w:val="0"/>
          <w:sz w:val="20"/>
          <w:szCs w:val="20"/>
          <w:lang w:eastAsia="en-GB"/>
        </w:rPr>
        <w:t xml:space="preserve">GOV.UK (2023) Flexible Working Act 2023 summary [online] Available at: </w:t>
      </w:r>
      <w:hyperlink r:id="rId14" w:history="1">
        <w:r w:rsidRPr="006C16C8">
          <w:rPr>
            <w:rStyle w:val="Hyperlink"/>
            <w:rFonts w:ascii="Times New Roman" w:eastAsia="Times New Roman" w:hAnsi="Times New Roman"/>
            <w:color w:val="auto"/>
            <w:kern w:val="0"/>
            <w:sz w:val="20"/>
            <w:szCs w:val="20"/>
            <w:lang w:eastAsia="en-GB"/>
          </w:rPr>
          <w:t>https://www.gov.uk/flexible-working</w:t>
        </w:r>
      </w:hyperlink>
      <w:r w:rsidRPr="006C16C8">
        <w:rPr>
          <w:rFonts w:ascii="Times New Roman" w:eastAsia="Times New Roman" w:hAnsi="Times New Roman"/>
          <w:kern w:val="0"/>
          <w:sz w:val="20"/>
          <w:szCs w:val="20"/>
          <w:lang w:eastAsia="en-GB"/>
        </w:rPr>
        <w:t>. (Accessed 4/9/25).</w:t>
      </w:r>
    </w:p>
    <w:p w14:paraId="65993438" w14:textId="77777777" w:rsidR="00765348" w:rsidRPr="00660803" w:rsidRDefault="00765348" w:rsidP="00765348">
      <w:pPr>
        <w:spacing w:before="100" w:after="100" w:line="240" w:lineRule="auto"/>
        <w:rPr>
          <w:rFonts w:ascii="Times New Roman" w:eastAsia="Times New Roman" w:hAnsi="Times New Roman"/>
          <w:kern w:val="0"/>
          <w:sz w:val="20"/>
          <w:szCs w:val="20"/>
          <w:lang w:eastAsia="en-GB"/>
        </w:rPr>
      </w:pPr>
      <w:r>
        <w:rPr>
          <w:rFonts w:ascii="Times New Roman" w:eastAsia="Times New Roman" w:hAnsi="Times New Roman"/>
          <w:kern w:val="0"/>
          <w:sz w:val="20"/>
          <w:szCs w:val="20"/>
          <w:lang w:eastAsia="en-GB"/>
        </w:rPr>
        <w:t>GOV.UK (2022) ‘Employment Tribunal Decisions Donnelly v PQ 2022’. [online] Available at:</w:t>
      </w:r>
      <w:r w:rsidRPr="00815410">
        <w:t xml:space="preserve"> </w:t>
      </w:r>
      <w:r w:rsidRPr="00660803">
        <w:rPr>
          <w:rFonts w:ascii="Times New Roman" w:eastAsia="Times New Roman" w:hAnsi="Times New Roman"/>
          <w:kern w:val="0"/>
          <w:sz w:val="20"/>
          <w:szCs w:val="20"/>
          <w:lang w:eastAsia="en-GB"/>
        </w:rPr>
        <w:t>https://www.gov.uk/employment-tribunal-decisions/mr-s-donnelly-v-pq-2402650-slash-2022  (Accessed 6/9/25)</w:t>
      </w:r>
    </w:p>
    <w:p w14:paraId="5D75DC8C" w14:textId="759F043B" w:rsidR="002B5DF8" w:rsidRPr="00660803" w:rsidRDefault="002B5DF8" w:rsidP="00765348">
      <w:pPr>
        <w:spacing w:before="100" w:after="100" w:line="240" w:lineRule="auto"/>
        <w:rPr>
          <w:rFonts w:ascii="Times New Roman" w:hAnsi="Times New Roman"/>
          <w:sz w:val="20"/>
          <w:szCs w:val="20"/>
        </w:rPr>
      </w:pPr>
      <w:r w:rsidRPr="00660803">
        <w:rPr>
          <w:rFonts w:ascii="Times New Roman" w:eastAsia="Times New Roman" w:hAnsi="Times New Roman"/>
          <w:kern w:val="0"/>
          <w:sz w:val="20"/>
          <w:szCs w:val="20"/>
          <w:lang w:eastAsia="en-GB"/>
        </w:rPr>
        <w:t xml:space="preserve">GOV.UK (2025) Business transfers, takeovers and TUPE: Overview. [online] Available at: </w:t>
      </w:r>
      <w:hyperlink r:id="rId15" w:history="1">
        <w:r w:rsidR="00660803" w:rsidRPr="00660803">
          <w:rPr>
            <w:rStyle w:val="Hyperlink"/>
            <w:rFonts w:ascii="Times New Roman" w:eastAsia="Times New Roman" w:hAnsi="Times New Roman"/>
            <w:color w:val="auto"/>
            <w:kern w:val="0"/>
            <w:sz w:val="20"/>
            <w:szCs w:val="20"/>
            <w:lang w:eastAsia="en-GB"/>
          </w:rPr>
          <w:t>https://www.gov.uk/transfers-takeovers</w:t>
        </w:r>
      </w:hyperlink>
      <w:r w:rsidR="00660803" w:rsidRPr="00660803">
        <w:rPr>
          <w:rFonts w:ascii="Times New Roman" w:eastAsia="Times New Roman" w:hAnsi="Times New Roman"/>
          <w:kern w:val="0"/>
          <w:sz w:val="20"/>
          <w:szCs w:val="20"/>
          <w:lang w:eastAsia="en-GB"/>
        </w:rPr>
        <w:t xml:space="preserve"> (Accessed 9/9/25)</w:t>
      </w:r>
    </w:p>
    <w:p w14:paraId="54DABE38" w14:textId="77777777" w:rsidR="00CB5E47" w:rsidRDefault="00F37544">
      <w:pPr>
        <w:spacing w:line="240" w:lineRule="auto"/>
        <w:rPr>
          <w:rFonts w:ascii="Times New Roman" w:hAnsi="Times New Roman"/>
          <w:sz w:val="20"/>
          <w:szCs w:val="20"/>
        </w:rPr>
      </w:pPr>
      <w:r w:rsidRPr="006C16C8">
        <w:rPr>
          <w:rFonts w:ascii="Times New Roman" w:hAnsi="Times New Roman"/>
          <w:sz w:val="20"/>
          <w:szCs w:val="20"/>
        </w:rPr>
        <w:t xml:space="preserve">HSE, 2020. Health and Safety at Work etc Act 1974- Legislation explained. [online] Available at: </w:t>
      </w:r>
      <w:hyperlink r:id="rId16" w:history="1">
        <w:r w:rsidRPr="006C16C8">
          <w:rPr>
            <w:rStyle w:val="Hyperlink"/>
            <w:rFonts w:ascii="Times New Roman" w:hAnsi="Times New Roman"/>
            <w:color w:val="auto"/>
            <w:sz w:val="20"/>
            <w:szCs w:val="20"/>
          </w:rPr>
          <w:t>https://www.hse.gov.uk/legislation/hswa.htm#:</w:t>
        </w:r>
      </w:hyperlink>
      <w:r w:rsidRPr="006C16C8">
        <w:rPr>
          <w:rFonts w:ascii="Times New Roman" w:hAnsi="Times New Roman"/>
          <w:sz w:val="20"/>
          <w:szCs w:val="20"/>
        </w:rPr>
        <w:t xml:space="preserve"> (Accessed 5/5/25).</w:t>
      </w:r>
    </w:p>
    <w:p w14:paraId="6D3942DC" w14:textId="2729FD61" w:rsidR="00765348" w:rsidRPr="00765348" w:rsidRDefault="00765348" w:rsidP="00765348">
      <w:pPr>
        <w:spacing w:line="240" w:lineRule="auto"/>
        <w:rPr>
          <w:rFonts w:ascii="Times New Roman" w:hAnsi="Times New Roman"/>
          <w:sz w:val="20"/>
          <w:szCs w:val="20"/>
        </w:rPr>
      </w:pPr>
      <w:r w:rsidRPr="00765348">
        <w:rPr>
          <w:rFonts w:ascii="Times New Roman" w:hAnsi="Times New Roman"/>
          <w:sz w:val="20"/>
          <w:szCs w:val="20"/>
        </w:rPr>
        <w:t xml:space="preserve">Legislation.gov.uk (2025) </w:t>
      </w:r>
      <w:r w:rsidRPr="00765348">
        <w:rPr>
          <w:rFonts w:ascii="Times New Roman" w:hAnsi="Times New Roman"/>
          <w:sz w:val="20"/>
          <w:szCs w:val="20"/>
        </w:rPr>
        <w:t>Trade Union and Labour Relations (Consolidation) Act 1992</w:t>
      </w:r>
      <w:r w:rsidRPr="00765348">
        <w:rPr>
          <w:rFonts w:ascii="Times New Roman" w:hAnsi="Times New Roman"/>
          <w:sz w:val="20"/>
          <w:szCs w:val="20"/>
        </w:rPr>
        <w:t>. [online] Available at:</w:t>
      </w:r>
      <w:r w:rsidRPr="00765348">
        <w:t xml:space="preserve"> </w:t>
      </w:r>
      <w:hyperlink r:id="rId17" w:history="1">
        <w:r w:rsidRPr="00765348">
          <w:rPr>
            <w:rStyle w:val="Hyperlink"/>
            <w:rFonts w:ascii="Times New Roman" w:hAnsi="Times New Roman"/>
            <w:color w:val="auto"/>
            <w:sz w:val="20"/>
            <w:szCs w:val="20"/>
          </w:rPr>
          <w:t>https://www.legislation.gov.uk/ukpga/1992/52/section/188</w:t>
        </w:r>
      </w:hyperlink>
      <w:r w:rsidRPr="00765348">
        <w:rPr>
          <w:rFonts w:ascii="Times New Roman" w:hAnsi="Times New Roman"/>
          <w:sz w:val="20"/>
          <w:szCs w:val="20"/>
        </w:rPr>
        <w:t xml:space="preserve"> (Accessed 6/9/25)</w:t>
      </w:r>
    </w:p>
    <w:p w14:paraId="54DABE39" w14:textId="7DE249E1" w:rsidR="00CB5E47" w:rsidRPr="006C16C8" w:rsidRDefault="00F37544" w:rsidP="00765348">
      <w:pPr>
        <w:spacing w:line="240" w:lineRule="auto"/>
        <w:rPr>
          <w:rFonts w:ascii="Times New Roman" w:hAnsi="Times New Roman"/>
          <w:sz w:val="20"/>
          <w:szCs w:val="20"/>
        </w:rPr>
      </w:pPr>
      <w:r w:rsidRPr="006C16C8">
        <w:rPr>
          <w:rFonts w:ascii="Times New Roman" w:eastAsia="Times New Roman" w:hAnsi="Times New Roman"/>
          <w:kern w:val="0"/>
          <w:sz w:val="20"/>
          <w:szCs w:val="20"/>
          <w:lang w:eastAsia="en-GB"/>
        </w:rPr>
        <w:t xml:space="preserve">Personnel Today. (2016) </w:t>
      </w:r>
      <w:r w:rsidRPr="006C16C8">
        <w:rPr>
          <w:rFonts w:ascii="Times New Roman" w:eastAsia="Times New Roman" w:hAnsi="Times New Roman"/>
          <w:i/>
          <w:iCs/>
          <w:kern w:val="0"/>
          <w:sz w:val="20"/>
          <w:szCs w:val="20"/>
          <w:lang w:eastAsia="en-GB"/>
        </w:rPr>
        <w:t>British Gas Trading Ltd v Lock [2016] ICR 503</w:t>
      </w:r>
      <w:r w:rsidRPr="006C16C8">
        <w:rPr>
          <w:rFonts w:ascii="Times New Roman" w:eastAsia="Times New Roman" w:hAnsi="Times New Roman"/>
          <w:kern w:val="0"/>
          <w:sz w:val="20"/>
          <w:szCs w:val="20"/>
          <w:lang w:eastAsia="en-GB"/>
        </w:rPr>
        <w:t xml:space="preserve">. [online] available at </w:t>
      </w:r>
      <w:hyperlink r:id="rId18" w:history="1">
        <w:r w:rsidRPr="006C16C8">
          <w:rPr>
            <w:rStyle w:val="Hyperlink"/>
            <w:rFonts w:ascii="Times New Roman" w:eastAsia="Times New Roman" w:hAnsi="Times New Roman"/>
            <w:color w:val="auto"/>
            <w:kern w:val="0"/>
            <w:sz w:val="20"/>
            <w:szCs w:val="20"/>
            <w:lang w:eastAsia="en-GB"/>
          </w:rPr>
          <w:t>https://www.personneltoday.com/hr/holiday-pay-commission-ruling-court-appeal-judgment-lock-v-british-gas/</w:t>
        </w:r>
      </w:hyperlink>
      <w:r w:rsidRPr="006C16C8">
        <w:rPr>
          <w:rFonts w:ascii="Times New Roman" w:eastAsia="Times New Roman" w:hAnsi="Times New Roman"/>
          <w:kern w:val="0"/>
          <w:sz w:val="20"/>
          <w:szCs w:val="20"/>
          <w:lang w:eastAsia="en-GB"/>
        </w:rPr>
        <w:t xml:space="preserve"> (Accessed 6/5/25).</w:t>
      </w:r>
    </w:p>
    <w:p w14:paraId="54DABE3A" w14:textId="7A169F36" w:rsidR="00CB5E47" w:rsidRPr="006C16C8" w:rsidRDefault="006C16C8">
      <w:pPr>
        <w:spacing w:line="240" w:lineRule="auto"/>
        <w:rPr>
          <w:rFonts w:ascii="Times New Roman" w:hAnsi="Times New Roman"/>
          <w:sz w:val="20"/>
          <w:szCs w:val="20"/>
        </w:rPr>
      </w:pPr>
      <w:r w:rsidRPr="006C16C8">
        <w:rPr>
          <w:rFonts w:ascii="Times New Roman" w:hAnsi="Times New Roman"/>
          <w:sz w:val="20"/>
          <w:szCs w:val="20"/>
        </w:rPr>
        <w:t xml:space="preserve">The Equality and Human Rights Commission (2011). ‘Employment statutory Code of Practice 2011’. [online] Available at </w:t>
      </w:r>
      <w:hyperlink r:id="rId19" w:history="1">
        <w:r w:rsidRPr="006C16C8">
          <w:rPr>
            <w:rStyle w:val="Hyperlink"/>
            <w:rFonts w:ascii="Times New Roman" w:hAnsi="Times New Roman"/>
            <w:color w:val="auto"/>
            <w:sz w:val="20"/>
            <w:szCs w:val="20"/>
          </w:rPr>
          <w:t>https://www.equalityhumanrights.com/sites/default/files/employercode.pdf</w:t>
        </w:r>
      </w:hyperlink>
      <w:r w:rsidRPr="006C16C8">
        <w:rPr>
          <w:rFonts w:ascii="Times New Roman" w:hAnsi="Times New Roman"/>
          <w:sz w:val="20"/>
          <w:szCs w:val="20"/>
        </w:rPr>
        <w:t xml:space="preserve"> (Accessed 6/9/25)</w:t>
      </w:r>
    </w:p>
    <w:p w14:paraId="54DABE3B" w14:textId="77777777" w:rsidR="00CB5E47" w:rsidRPr="006C16C8" w:rsidRDefault="00CB5E47">
      <w:pPr>
        <w:spacing w:line="240" w:lineRule="auto"/>
        <w:rPr>
          <w:rFonts w:ascii="Times New Roman" w:hAnsi="Times New Roman"/>
          <w:sz w:val="20"/>
          <w:szCs w:val="20"/>
        </w:rPr>
      </w:pPr>
    </w:p>
    <w:p w14:paraId="54DABE3C" w14:textId="77777777" w:rsidR="00CB5E47" w:rsidRPr="006C16C8" w:rsidRDefault="00CB5E47">
      <w:pPr>
        <w:spacing w:line="240" w:lineRule="auto"/>
        <w:rPr>
          <w:rFonts w:ascii="Times New Roman" w:hAnsi="Times New Roman"/>
          <w:sz w:val="20"/>
          <w:szCs w:val="20"/>
        </w:rPr>
      </w:pPr>
    </w:p>
    <w:p w14:paraId="54DABE3D" w14:textId="77777777" w:rsidR="00CB5E47" w:rsidRPr="006C16C8" w:rsidRDefault="00CB5E47">
      <w:pPr>
        <w:rPr>
          <w:rFonts w:ascii="Times New Roman" w:hAnsi="Times New Roman"/>
          <w:sz w:val="20"/>
          <w:szCs w:val="20"/>
        </w:rPr>
      </w:pPr>
    </w:p>
    <w:sectPr w:rsidR="00CB5E47" w:rsidRPr="006C16C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ABD7F" w14:textId="77777777" w:rsidR="00F37544" w:rsidRDefault="00F37544">
      <w:pPr>
        <w:spacing w:after="0" w:line="240" w:lineRule="auto"/>
      </w:pPr>
      <w:r>
        <w:separator/>
      </w:r>
    </w:p>
  </w:endnote>
  <w:endnote w:type="continuationSeparator" w:id="0">
    <w:p w14:paraId="54DABD81" w14:textId="77777777" w:rsidR="00F37544" w:rsidRDefault="00F37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ABD7B" w14:textId="77777777" w:rsidR="00F37544" w:rsidRDefault="00F37544">
      <w:pPr>
        <w:spacing w:after="0" w:line="240" w:lineRule="auto"/>
      </w:pPr>
      <w:r>
        <w:rPr>
          <w:color w:val="000000"/>
        </w:rPr>
        <w:separator/>
      </w:r>
    </w:p>
  </w:footnote>
  <w:footnote w:type="continuationSeparator" w:id="0">
    <w:p w14:paraId="54DABD7D" w14:textId="77777777" w:rsidR="00F37544" w:rsidRDefault="00F375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B5E47"/>
    <w:rsid w:val="002B5DF8"/>
    <w:rsid w:val="003747BD"/>
    <w:rsid w:val="003C4B5B"/>
    <w:rsid w:val="00483881"/>
    <w:rsid w:val="00501124"/>
    <w:rsid w:val="00660803"/>
    <w:rsid w:val="006C16C8"/>
    <w:rsid w:val="00765348"/>
    <w:rsid w:val="00791BB4"/>
    <w:rsid w:val="00815410"/>
    <w:rsid w:val="008B0CCA"/>
    <w:rsid w:val="00BE6A21"/>
    <w:rsid w:val="00CB5E47"/>
    <w:rsid w:val="00D9635B"/>
    <w:rsid w:val="00DC42CC"/>
    <w:rsid w:val="00E8492B"/>
    <w:rsid w:val="00F37544"/>
    <w:rsid w:val="00FA6BE8"/>
    <w:rsid w:val="00FB1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ABD7B"/>
  <w15:docId w15:val="{9DEDC959-99AC-4E76-8347-3F92A8695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paragraph" w:customStyle="1" w:styleId="Body">
    <w:name w:val="Body"/>
    <w:pPr>
      <w:pBdr>
        <w:top w:val="single" w:sz="2" w:space="31" w:color="FFFFFF" w:shadow="1"/>
        <w:left w:val="single" w:sz="2" w:space="31" w:color="FFFFFF" w:shadow="1"/>
        <w:bottom w:val="single" w:sz="2" w:space="31" w:color="FFFFFF" w:shadow="1"/>
        <w:right w:val="single" w:sz="2" w:space="31" w:color="FFFFFF" w:shadow="1"/>
      </w:pBdr>
      <w:suppressAutoHyphens/>
      <w:spacing w:after="0"/>
    </w:pPr>
    <w:rPr>
      <w:rFonts w:ascii="Arial" w:eastAsia="Arial" w:hAnsi="Arial" w:cs="Arial"/>
      <w:color w:val="000000"/>
      <w:kern w:val="0"/>
      <w:lang w:eastAsia="en-GB"/>
    </w:rPr>
  </w:style>
  <w:style w:type="paragraph" w:customStyle="1" w:styleId="Listparag">
    <w:name w:val="List parag"/>
    <w:pPr>
      <w:pBdr>
        <w:top w:val="single" w:sz="2" w:space="31" w:color="FFFFFF" w:shadow="1"/>
        <w:left w:val="single" w:sz="2" w:space="31" w:color="FFFFFF" w:shadow="1"/>
        <w:bottom w:val="single" w:sz="2" w:space="31" w:color="FFFFFF" w:shadow="1"/>
        <w:right w:val="single" w:sz="2" w:space="31" w:color="FFFFFF" w:shadow="1"/>
      </w:pBdr>
      <w:suppressAutoHyphens/>
      <w:spacing w:after="120" w:line="264" w:lineRule="auto"/>
    </w:pPr>
    <w:rPr>
      <w:rFonts w:ascii="Arial" w:eastAsia="Arial Unicode MS" w:hAnsi="Arial" w:cs="Arial Unicode MS"/>
      <w:color w:val="000000"/>
      <w:kern w:val="0"/>
      <w:lang w:val="en-US" w:eastAsia="en-GB"/>
    </w:rPr>
  </w:style>
  <w:style w:type="character" w:styleId="UnresolvedMention">
    <w:name w:val="Unresolved Mention"/>
    <w:basedOn w:val="DefaultParagraphFont"/>
    <w:rPr>
      <w:color w:val="605E5C"/>
      <w:shd w:val="clear" w:color="auto" w:fill="E1DFDD"/>
    </w:rPr>
  </w:style>
  <w:style w:type="paragraph" w:styleId="NormalWeb">
    <w:name w:val="Normal (Web)"/>
    <w:basedOn w:val="Normal"/>
    <w:pPr>
      <w:suppressAutoHyphens w:val="0"/>
      <w:spacing w:before="100" w:after="100" w:line="240" w:lineRule="auto"/>
    </w:pPr>
    <w:rPr>
      <w:rFonts w:ascii="Times New Roman" w:eastAsia="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cas.org.uk/collective-consultation-redundancy/if-an-employer-does-not-collectively-consult" TargetMode="External"/><Relationship Id="rId13" Type="http://schemas.openxmlformats.org/officeDocument/2006/relationships/hyperlink" Target="https://app.croneri.co.uk/law-and-guidance/case-reports/manchester-college-v-hazel-tupe-transfers?product=283#hri-04f4105c-e12f-44fa-b4a9-1de7e5f35b83" TargetMode="External"/><Relationship Id="rId18" Type="http://schemas.openxmlformats.org/officeDocument/2006/relationships/hyperlink" Target="https://www.personneltoday.com/hr/holiday-pay-commission-ruling-court-appeal-judgment-lock-v-british-ga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acas.org.uk/equal-pay/equal-pay-law" TargetMode="External"/><Relationship Id="rId12" Type="http://schemas.openxmlformats.org/officeDocument/2006/relationships/hyperlink" Target="https://www.cipd.org/uk/knowledge/employment-law/recruitment/" TargetMode="External"/><Relationship Id="rId17" Type="http://schemas.openxmlformats.org/officeDocument/2006/relationships/hyperlink" Target="https://www.legislation.gov.uk/ukpga/1992/52/section/188" TargetMode="External"/><Relationship Id="rId2" Type="http://schemas.openxmlformats.org/officeDocument/2006/relationships/settings" Target="settings.xml"/><Relationship Id="rId16" Type="http://schemas.openxmlformats.org/officeDocument/2006/relationships/hyperlink" Target="https://www.hse.gov.uk/legislation/hswa.htm#:"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cas.org.uk/dismissals/constructive-dismissal" TargetMode="External"/><Relationship Id="rId11" Type="http://schemas.openxmlformats.org/officeDocument/2006/relationships/hyperlink" Target="https://www.cipd.org.uk/uk/knowledge/factsheets/maternity-paternity-rights-factsheet/" TargetMode="External"/><Relationship Id="rId5" Type="http://schemas.openxmlformats.org/officeDocument/2006/relationships/endnotes" Target="endnotes.xml"/><Relationship Id="rId15" Type="http://schemas.openxmlformats.org/officeDocument/2006/relationships/hyperlink" Target="https://www.gov.uk/transfers-takeovers" TargetMode="External"/><Relationship Id="rId10" Type="http://schemas.openxmlformats.org/officeDocument/2006/relationships/hyperlink" Target="https://www.cipd.co.uk/knowledge/fundamentals/emp-law" TargetMode="External"/><Relationship Id="rId19" Type="http://schemas.openxmlformats.org/officeDocument/2006/relationships/hyperlink" Target="https://www.equalityhumanrights.com/sites/default/files/employercode.pdf" TargetMode="External"/><Relationship Id="rId4" Type="http://schemas.openxmlformats.org/officeDocument/2006/relationships/footnotes" Target="footnotes.xml"/><Relationship Id="rId9" Type="http://schemas.openxmlformats.org/officeDocument/2006/relationships/hyperlink" Target="https://www.brighthr.com/articles/employment-law/employment-rights-act/" TargetMode="External"/><Relationship Id="rId14" Type="http://schemas.openxmlformats.org/officeDocument/2006/relationships/hyperlink" Target="https://www.gov.uk/flexible-worki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15</Pages>
  <Words>8276</Words>
  <Characters>45192</Characters>
  <Application>Microsoft Office Word</Application>
  <DocSecurity>0</DocSecurity>
  <Lines>807</Lines>
  <Paragraphs>214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53254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Drummond, Richard</dc:creator>
  <dc:description/>
  <cp:lastModifiedBy>Drummond, Richard</cp:lastModifiedBy>
  <cp:revision>2</cp:revision>
  <dcterms:created xsi:type="dcterms:W3CDTF">2025-09-30T18:05:00Z</dcterms:created>
  <dcterms:modified xsi:type="dcterms:W3CDTF">2025-09-30T18:05:00Z</dcterms:modified>
</cp:coreProperties>
</file>