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numbering.xml" ContentType="application/vnd.openxmlformats-officedocument.wordprocessingml.numbering+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15E77795" wp14:paraId="202F7522" wp14:textId="485AF977">
      <w:pPr>
        <w:pStyle w:val="Heading3"/>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Assessment Report</w:t>
      </w:r>
    </w:p>
    <w:p xmlns:wp14="http://schemas.microsoft.com/office/word/2010/wordml" w:rsidP="15E77795" wp14:paraId="5760BC9F" wp14:textId="531F3B43">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Stakeholder Engagement for the Global Launch of StaySmart+</w:t>
      </w:r>
    </w:p>
    <w:p xmlns:wp14="http://schemas.microsoft.com/office/word/2010/wordml" w:rsidP="15E77795" wp14:paraId="5D1DA4A8" wp14:textId="233B4F19">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Student Name:</w:t>
      </w:r>
      <w:r w:rsidRPr="15E77795" w:rsidR="6A9D2C9E">
        <w:rPr>
          <w:rFonts w:ascii="Arial Nova" w:hAnsi="Arial Nova" w:eastAsia="Arial Nova" w:cs="Arial Nova"/>
          <w:noProof w:val="0"/>
          <w:color w:val="auto"/>
          <w:sz w:val="22"/>
          <w:szCs w:val="22"/>
          <w:lang w:val="en-US"/>
        </w:rPr>
        <w:t xml:space="preserve"> </w:t>
      </w:r>
      <w:r w:rsidRPr="15E77795" w:rsidR="381D84AC">
        <w:rPr>
          <w:rFonts w:ascii="Arial Nova" w:hAnsi="Arial Nova" w:eastAsia="Arial Nova" w:cs="Arial Nova"/>
          <w:noProof w:val="0"/>
          <w:color w:val="auto"/>
          <w:sz w:val="22"/>
          <w:szCs w:val="22"/>
          <w:lang w:val="en-US"/>
        </w:rPr>
        <w:t>Marvynn Mendes Horta</w:t>
      </w:r>
    </w:p>
    <w:p xmlns:wp14="http://schemas.microsoft.com/office/word/2010/wordml" w:rsidP="15E77795" wp14:paraId="0EBDE151" wp14:textId="14B88A5D">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Student ID</w:t>
      </w:r>
      <w:r w:rsidRPr="15E77795" w:rsidR="1DF98B38">
        <w:rPr>
          <w:rFonts w:ascii="Arial Nova" w:hAnsi="Arial Nova" w:eastAsia="Arial Nova" w:cs="Arial Nova"/>
          <w:b w:val="1"/>
          <w:bCs w:val="1"/>
          <w:noProof w:val="0"/>
          <w:color w:val="auto"/>
          <w:sz w:val="22"/>
          <w:szCs w:val="22"/>
          <w:lang w:val="en-US"/>
        </w:rPr>
        <w:t xml:space="preserve"> 2430201</w:t>
      </w:r>
    </w:p>
    <w:p xmlns:wp14="http://schemas.microsoft.com/office/word/2010/wordml" w:rsidP="15E77795" wp14:paraId="5ED54D5B" wp14:textId="06E4B34B">
      <w:pPr>
        <w:pStyle w:val="Normal"/>
        <w:spacing w:before="240" w:beforeAutospacing="off" w:after="240" w:afterAutospacing="off"/>
      </w:pPr>
      <w:r w:rsidRPr="15E77795" w:rsidR="6A9D2C9E">
        <w:rPr>
          <w:rFonts w:ascii="Arial Nova" w:hAnsi="Arial Nova" w:eastAsia="Arial Nova" w:cs="Arial Nova"/>
          <w:b w:val="1"/>
          <w:bCs w:val="1"/>
          <w:noProof w:val="0"/>
          <w:color w:val="auto"/>
          <w:sz w:val="22"/>
          <w:szCs w:val="22"/>
          <w:lang w:val="en-US"/>
        </w:rPr>
        <w:t>Module:</w:t>
      </w:r>
      <w:r w:rsidRPr="15E77795" w:rsidR="71DFB5D3">
        <w:rPr>
          <w:rFonts w:ascii="Arial Nova" w:hAnsi="Arial Nova" w:eastAsia="Arial Nova" w:cs="Arial Nova"/>
          <w:b w:val="1"/>
          <w:bCs w:val="1"/>
          <w:noProof w:val="0"/>
          <w:color w:val="auto"/>
          <w:sz w:val="22"/>
          <w:szCs w:val="22"/>
          <w:lang w:val="en-US"/>
        </w:rPr>
        <w:t xml:space="preserve"> </w:t>
      </w:r>
      <w:r w:rsidRPr="15E77795" w:rsidR="71DFB5D3">
        <w:rPr>
          <w:rFonts w:ascii="Arial Nova" w:hAnsi="Arial Nova" w:eastAsia="Arial Nova" w:cs="Arial Nova"/>
          <w:noProof w:val="0"/>
          <w:sz w:val="22"/>
          <w:szCs w:val="22"/>
          <w:lang w:val="en-US"/>
        </w:rPr>
        <w:t>Understanding and Engaging Stakeholders</w:t>
      </w:r>
    </w:p>
    <w:p xmlns:wp14="http://schemas.microsoft.com/office/word/2010/wordml" w:rsidP="15E77795" wp14:paraId="2102736C" wp14:textId="628B6A52">
      <w:pPr>
        <w:pStyle w:val="Normal"/>
        <w:spacing w:before="240" w:beforeAutospacing="off" w:after="240" w:afterAutospacing="off"/>
      </w:pPr>
      <w:r w:rsidRPr="15E77795" w:rsidR="6A9D2C9E">
        <w:rPr>
          <w:rFonts w:ascii="Arial Nova" w:hAnsi="Arial Nova" w:eastAsia="Arial Nova" w:cs="Arial Nova"/>
          <w:b w:val="1"/>
          <w:bCs w:val="1"/>
          <w:noProof w:val="0"/>
          <w:color w:val="auto"/>
          <w:sz w:val="22"/>
          <w:szCs w:val="22"/>
          <w:lang w:val="en-US"/>
        </w:rPr>
        <w:t>Module Code:</w:t>
      </w:r>
      <w:r w:rsidRPr="15E77795" w:rsidR="6A9D2C9E">
        <w:rPr>
          <w:rFonts w:ascii="Arial Nova" w:hAnsi="Arial Nova" w:eastAsia="Arial Nova" w:cs="Arial Nova"/>
          <w:noProof w:val="0"/>
          <w:color w:val="auto"/>
          <w:sz w:val="22"/>
          <w:szCs w:val="22"/>
          <w:lang w:val="en-US"/>
        </w:rPr>
        <w:t xml:space="preserve"> </w:t>
      </w:r>
      <w:r w:rsidRPr="15E77795" w:rsidR="7E97BB7E">
        <w:rPr>
          <w:rFonts w:ascii="Arial Nova" w:hAnsi="Arial Nova" w:eastAsia="Arial Nova" w:cs="Arial Nova"/>
          <w:noProof w:val="0"/>
          <w:sz w:val="22"/>
          <w:szCs w:val="22"/>
          <w:lang w:val="en-US"/>
        </w:rPr>
        <w:t>LCLM5001</w:t>
      </w:r>
    </w:p>
    <w:p xmlns:wp14="http://schemas.microsoft.com/office/word/2010/wordml" w:rsidP="15E77795" wp14:paraId="26EFACFE" wp14:textId="073FD0E3">
      <w:pPr>
        <w:pStyle w:val="Normal"/>
        <w:spacing w:before="240" w:beforeAutospacing="off" w:after="240" w:afterAutospacing="off"/>
      </w:pPr>
      <w:r w:rsidRPr="15E77795" w:rsidR="6A9D2C9E">
        <w:rPr>
          <w:rFonts w:ascii="Arial Nova" w:hAnsi="Arial Nova" w:eastAsia="Arial Nova" w:cs="Arial Nova"/>
          <w:b w:val="1"/>
          <w:bCs w:val="1"/>
          <w:noProof w:val="0"/>
          <w:color w:val="auto"/>
          <w:sz w:val="22"/>
          <w:szCs w:val="22"/>
          <w:lang w:val="en-US"/>
        </w:rPr>
        <w:t>Tutor/Lecturer:</w:t>
      </w:r>
      <w:r w:rsidRPr="15E77795" w:rsidR="6A9D2C9E">
        <w:rPr>
          <w:rFonts w:ascii="Arial Nova" w:hAnsi="Arial Nova" w:eastAsia="Arial Nova" w:cs="Arial Nova"/>
          <w:noProof w:val="0"/>
          <w:color w:val="auto"/>
          <w:sz w:val="22"/>
          <w:szCs w:val="22"/>
          <w:lang w:val="en-US"/>
        </w:rPr>
        <w:t xml:space="preserve"> </w:t>
      </w:r>
      <w:r w:rsidRPr="15E77795" w:rsidR="51A80CA1">
        <w:rPr>
          <w:rFonts w:ascii="Arial Nova" w:hAnsi="Arial Nova" w:eastAsia="Arial Nova" w:cs="Arial Nova"/>
          <w:noProof w:val="0"/>
          <w:sz w:val="22"/>
          <w:szCs w:val="22"/>
          <w:lang w:val="en-US"/>
        </w:rPr>
        <w:t>Nishi Ramsurrun</w:t>
      </w:r>
    </w:p>
    <w:p xmlns:wp14="http://schemas.microsoft.com/office/word/2010/wordml" w:rsidP="15E77795" wp14:paraId="1A96B118" wp14:textId="527383BD">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7AAFE0B0" wp14:textId="42E7B500">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24587F25" wp14:textId="45A0B3B2">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5222D75E" wp14:textId="5F10B0AC">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CA59066" wp14:textId="27A3C35C">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51AB5410" wp14:textId="1BFC6A94">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4EADF13" wp14:textId="1D4773A3">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A490FBA" wp14:textId="3E96CD77">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004E1355" wp14:textId="7DEF9ACA">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B1F6814" wp14:textId="5F82B1CA">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7AC322B" wp14:textId="103EF576">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5622C6ED" wp14:textId="422CA73F">
      <w:pPr>
        <w:rPr>
          <w:rFonts w:ascii="Arial Nova" w:hAnsi="Arial Nova" w:eastAsia="Arial Nova" w:cs="Arial Nova"/>
          <w:color w:val="auto"/>
        </w:rPr>
      </w:pPr>
    </w:p>
    <w:p xmlns:wp14="http://schemas.microsoft.com/office/word/2010/wordml" w:rsidP="15E77795" wp14:paraId="120E444D" wp14:textId="73770FEE">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Contents</w:t>
      </w:r>
    </w:p>
    <w:p xmlns:wp14="http://schemas.microsoft.com/office/word/2010/wordml" w:rsidP="15E77795" wp14:paraId="26BEB320" wp14:textId="5E4889F2">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Executive Summary</w:t>
      </w:r>
    </w:p>
    <w:p xmlns:wp14="http://schemas.microsoft.com/office/word/2010/wordml" w:rsidP="15E77795" wp14:paraId="35594122" wp14:textId="719A82E2">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Introduction</w:t>
      </w:r>
    </w:p>
    <w:p xmlns:wp14="http://schemas.microsoft.com/office/word/2010/wordml" w:rsidP="15E77795" wp14:paraId="5630D6DC" wp14:textId="2FDD72E3">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Company and Project Overview</w:t>
      </w:r>
    </w:p>
    <w:p xmlns:wp14="http://schemas.microsoft.com/office/word/2010/wordml" w:rsidP="15E77795" wp14:paraId="5E4CDCF2" wp14:textId="03CDB0DB">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Situational Analysis</w:t>
      </w:r>
    </w:p>
    <w:p xmlns:wp14="http://schemas.microsoft.com/office/word/2010/wordml" w:rsidP="15E77795" wp14:paraId="47795168" wp14:textId="082C562F">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4.1 SWOT Analysis</w:t>
      </w:r>
    </w:p>
    <w:p xmlns:wp14="http://schemas.microsoft.com/office/word/2010/wordml" w:rsidP="15E77795" wp14:paraId="21BF8A9A" wp14:textId="3C88C238">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4.2 PESTLE Analysis</w:t>
      </w:r>
    </w:p>
    <w:p xmlns:wp14="http://schemas.microsoft.com/office/word/2010/wordml" w:rsidP="15E77795" wp14:paraId="1CE3E92D" wp14:textId="0AADD299">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4.3 SMART Objectives</w:t>
      </w:r>
    </w:p>
    <w:p xmlns:wp14="http://schemas.microsoft.com/office/word/2010/wordml" w:rsidP="15E77795" wp14:paraId="2E9D954A" wp14:textId="0B337735">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Identification and Categorisation</w:t>
      </w:r>
    </w:p>
    <w:p xmlns:wp14="http://schemas.microsoft.com/office/word/2010/wordml" w:rsidP="15E77795" wp14:paraId="4922CDFC" wp14:textId="047D8CA9">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Roles, Responsibilities, Benefits and Challenges</w:t>
      </w:r>
    </w:p>
    <w:p xmlns:wp14="http://schemas.microsoft.com/office/word/2010/wordml" w:rsidP="15E77795" wp14:paraId="43DB5A8C" wp14:textId="3A13EB0B">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Frameworks</w:t>
      </w:r>
    </w:p>
    <w:p xmlns:wp14="http://schemas.microsoft.com/office/word/2010/wordml" w:rsidP="15E77795" wp14:paraId="085801BE" wp14:textId="71807AA4">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7.1 Stakeholder Power-Interest Matrix</w:t>
      </w:r>
    </w:p>
    <w:p xmlns:wp14="http://schemas.microsoft.com/office/word/2010/wordml" w:rsidP="15E77795" wp14:paraId="5029719D" wp14:textId="0DB927D9">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7.2 Stakeholder Engagement Plan</w:t>
      </w:r>
    </w:p>
    <w:p xmlns:wp14="http://schemas.microsoft.com/office/word/2010/wordml" w:rsidP="15E77795" wp14:paraId="4D0AFB5A" wp14:textId="76F1B8A9">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7.3 Communication Plan</w:t>
      </w:r>
    </w:p>
    <w:p xmlns:wp14="http://schemas.microsoft.com/office/word/2010/wordml" w:rsidP="15E77795" wp14:paraId="6D3B7FBE" wp14:textId="1DC0B7E6">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7.4 RACI Matrix</w:t>
      </w:r>
    </w:p>
    <w:p xmlns:wp14="http://schemas.microsoft.com/office/word/2010/wordml" w:rsidP="15E77795" wp14:paraId="3A3ABB2B" wp14:textId="711B71D2">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Critical Stakeholder Engagement Process: The 4Cs</w:t>
      </w:r>
    </w:p>
    <w:p xmlns:wp14="http://schemas.microsoft.com/office/word/2010/wordml" w:rsidP="15E77795" wp14:paraId="215E3A37" wp14:textId="1F45B2DB">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8.1 Communication</w:t>
      </w:r>
    </w:p>
    <w:p xmlns:wp14="http://schemas.microsoft.com/office/word/2010/wordml" w:rsidP="15E77795" wp14:paraId="38BE12CA" wp14:textId="02683216">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8.2 Collaboration</w:t>
      </w:r>
    </w:p>
    <w:p xmlns:wp14="http://schemas.microsoft.com/office/word/2010/wordml" w:rsidP="15E77795" wp14:paraId="6E184A23" wp14:textId="01F9C751">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8.3 Consultation</w:t>
      </w:r>
    </w:p>
    <w:p xmlns:wp14="http://schemas.microsoft.com/office/word/2010/wordml" w:rsidP="15E77795" wp14:paraId="2FB41AD0" wp14:textId="41A78F27">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8.4 Commitment</w:t>
      </w:r>
    </w:p>
    <w:p xmlns:wp14="http://schemas.microsoft.com/office/word/2010/wordml" w:rsidP="15E77795" wp14:paraId="27271528" wp14:textId="28C90C18">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8.5 Managing Stakeholder Conflict</w:t>
      </w:r>
    </w:p>
    <w:p xmlns:wp14="http://schemas.microsoft.com/office/word/2010/wordml" w:rsidP="15E77795" wp14:paraId="2116EF3C" wp14:textId="22D9CC38">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Ethical and Cross-Cultural Considerations</w:t>
      </w:r>
    </w:p>
    <w:p xmlns:wp14="http://schemas.microsoft.com/office/word/2010/wordml" w:rsidP="15E77795" wp14:paraId="54F680F9" wp14:textId="4CD6552B">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Impact of Stakeholder Engagement on Business Performance</w:t>
      </w:r>
    </w:p>
    <w:p xmlns:wp14="http://schemas.microsoft.com/office/word/2010/wordml" w:rsidP="15E77795" wp14:paraId="638359E3" wp14:textId="1274AF90">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Recommendations</w:t>
      </w:r>
    </w:p>
    <w:p xmlns:wp14="http://schemas.microsoft.com/office/word/2010/wordml" w:rsidP="15E77795" wp14:paraId="745F9C4A" wp14:textId="2C2FDCF4">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Conclusion</w:t>
      </w:r>
    </w:p>
    <w:p xmlns:wp14="http://schemas.microsoft.com/office/word/2010/wordml" w:rsidP="15E77795" wp14:paraId="4E65A5FA" wp14:textId="1D5DB8AC">
      <w:pPr>
        <w:pStyle w:val="ListParagraph"/>
        <w:numPr>
          <w:ilvl w:val="0"/>
          <w:numId w:val="1"/>
        </w:num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References</w:t>
      </w:r>
    </w:p>
    <w:p xmlns:wp14="http://schemas.microsoft.com/office/word/2010/wordml" w:rsidP="15E77795" wp14:paraId="173EC2E5" wp14:textId="2357EB53">
      <w:pPr>
        <w:rPr>
          <w:rFonts w:ascii="Arial Nova" w:hAnsi="Arial Nova" w:eastAsia="Arial Nova" w:cs="Arial Nova"/>
          <w:color w:val="auto"/>
        </w:rPr>
      </w:pPr>
    </w:p>
    <w:p xmlns:wp14="http://schemas.microsoft.com/office/word/2010/wordml" w:rsidP="15E77795" wp14:paraId="7EB2C849" wp14:textId="7B2CD098">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1. Executive Summary</w:t>
      </w:r>
    </w:p>
    <w:p xmlns:wp14="http://schemas.microsoft.com/office/word/2010/wordml" w:rsidP="15E77795" wp14:paraId="42D401C3" wp14:textId="23580EFC">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This report evaluates the stakeholder engagement requirements associated with the proposed launch of </w:t>
      </w:r>
      <w:r w:rsidRPr="15E77795" w:rsidR="6A9D2C9E">
        <w:rPr>
          <w:rFonts w:ascii="Arial Nova" w:hAnsi="Arial Nova" w:eastAsia="Arial Nova" w:cs="Arial Nova"/>
          <w:b w:val="1"/>
          <w:bCs w:val="1"/>
          <w:noProof w:val="0"/>
          <w:color w:val="auto"/>
          <w:sz w:val="22"/>
          <w:szCs w:val="22"/>
          <w:lang w:val="en-US"/>
        </w:rPr>
        <w:t>StaySmart+</w:t>
      </w:r>
      <w:r w:rsidRPr="15E77795" w:rsidR="6A9D2C9E">
        <w:rPr>
          <w:rFonts w:ascii="Arial Nova" w:hAnsi="Arial Nova" w:eastAsia="Arial Nova" w:cs="Arial Nova"/>
          <w:noProof w:val="0"/>
          <w:color w:val="auto"/>
          <w:sz w:val="22"/>
          <w:szCs w:val="22"/>
          <w:lang w:val="en-US"/>
        </w:rPr>
        <w:t>, a premium customer-experience service for Marriott International. The proposed service combines AI-driven guest interaction, personalised travel planning and sustainability-focused amenities. It is planned for implementation across selected Marriott hotels in international markets within six months.</w:t>
      </w:r>
    </w:p>
    <w:p xmlns:wp14="http://schemas.microsoft.com/office/word/2010/wordml" w:rsidP="15E77795" wp14:paraId="6B319723" wp14:textId="612EE58F">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International provides an appropriate organisational context because its scale, international presence and diverse stakeholder network make stakeholder engagement particularly important. Marriott reported approximately 9,800 properties and more than 1.7 million rooms worldwide at the end of 2025, demonstrating the complexity of implementing a standardised service across different hotels, owners, employees and markets. Marriott also reported worldwide RevPAR growth during 2025, with international markets continuing to be an important source of growth.</w:t>
      </w:r>
    </w:p>
    <w:p xmlns:wp14="http://schemas.microsoft.com/office/word/2010/wordml" w:rsidP="15E77795" wp14:paraId="082FC641" wp14:textId="29444616">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report applies stakeholder theory, particularly Freeman's (1984) stakeholder approach and Mitchell, Agle and Wood's (1997) stakeholder salience model. These are combined with SWOT and PESTLE analysis, SMART objectives, a power-interest matrix, a stakeholder engagement plan, communication plan and RACI matrix. The report also applies the 4Cs of </w:t>
      </w:r>
      <w:r w:rsidRPr="15E77795" w:rsidR="6A9D2C9E">
        <w:rPr>
          <w:rFonts w:ascii="Arial Nova" w:hAnsi="Arial Nova" w:eastAsia="Arial Nova" w:cs="Arial Nova"/>
          <w:b w:val="1"/>
          <w:bCs w:val="1"/>
          <w:noProof w:val="0"/>
          <w:color w:val="auto"/>
          <w:sz w:val="22"/>
          <w:szCs w:val="22"/>
          <w:lang w:val="en-US"/>
        </w:rPr>
        <w:t>communication, collaboration, consultation and commitment</w:t>
      </w:r>
      <w:r w:rsidRPr="15E77795" w:rsidR="6A9D2C9E">
        <w:rPr>
          <w:rFonts w:ascii="Arial Nova" w:hAnsi="Arial Nova" w:eastAsia="Arial Nova" w:cs="Arial Nova"/>
          <w:noProof w:val="0"/>
          <w:color w:val="auto"/>
          <w:sz w:val="22"/>
          <w:szCs w:val="22"/>
          <w:lang w:val="en-US"/>
        </w:rPr>
        <w:t xml:space="preserve"> as the central stakeholder engagement process.</w:t>
      </w:r>
    </w:p>
    <w:p xmlns:wp14="http://schemas.microsoft.com/office/word/2010/wordml" w:rsidP="15E77795" wp14:paraId="52185E42" wp14:textId="1F99A81B">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analysis identifies senior management, project teams, product development, IT, AI and cybersecurity specialists, hotel managers, employees, marketing, sales, HR, finance, legal, data protection and sustainability teams as major internal stakeholders. External stakeholders include guests, hotel owners and franchisees, technology suppliers, sustainability partners, regulators, destination organisations, local communities and investors.</w:t>
      </w:r>
    </w:p>
    <w:p xmlns:wp14="http://schemas.microsoft.com/office/word/2010/wordml" w:rsidP="15E77795" wp14:paraId="7C4E2CD1" wp14:textId="724D1A5A">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 key finding is that stakeholder interests are not automatically aligned. Owners may focus on financial return, employees may be concerned about job security, guests may want personalisation without intrusive data collection, and regulators may prioritise privacy and transparency. Consequently, the project manager must manage trade-offs rather than simply attempt to satisfy all stakeholders.</w:t>
      </w:r>
    </w:p>
    <w:p xmlns:wp14="http://schemas.microsoft.com/office/word/2010/wordml" w:rsidP="15E77795" wp14:paraId="7AA24B06" wp14:textId="26E70ED2">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report recommends a </w:t>
      </w:r>
      <w:r w:rsidRPr="15E77795" w:rsidR="6A9D2C9E">
        <w:rPr>
          <w:rFonts w:ascii="Arial Nova" w:hAnsi="Arial Nova" w:eastAsia="Arial Nova" w:cs="Arial Nova"/>
          <w:b w:val="1"/>
          <w:bCs w:val="1"/>
          <w:noProof w:val="0"/>
          <w:color w:val="auto"/>
          <w:sz w:val="22"/>
          <w:szCs w:val="22"/>
          <w:lang w:val="en-US"/>
        </w:rPr>
        <w:t>global core, local adaptation</w:t>
      </w:r>
      <w:r w:rsidRPr="15E77795" w:rsidR="6A9D2C9E">
        <w:rPr>
          <w:rFonts w:ascii="Arial Nova" w:hAnsi="Arial Nova" w:eastAsia="Arial Nova" w:cs="Arial Nova"/>
          <w:noProof w:val="0"/>
          <w:color w:val="auto"/>
          <w:sz w:val="22"/>
          <w:szCs w:val="22"/>
          <w:lang w:val="en-US"/>
        </w:rPr>
        <w:t xml:space="preserve"> approach. Core standards relating to cybersecurity, privacy, AI governance and brand quality should remain consistent, while local stakeholders should influence communication, destination recommendations and implementation methods. This is important because research demonstrates that cultural differences can influence stakeholder engagement and decision-making in multinational projects (Lückmann and Färber, 2016; Osobajo et al., 2023).</w:t>
      </w:r>
    </w:p>
    <w:p xmlns:wp14="http://schemas.microsoft.com/office/word/2010/wordml" w:rsidP="15E77795" wp14:paraId="5320AE65" wp14:textId="6E74F6D4">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report concludes that effective stakeholder engagement can contribute to customer satisfaction, employee adoption, innovation, operational efficiency, sustainability performance and competitive advantage. However, engagement also creates costs and risks, including slower decision-making, stakeholder conflict, consultation fatigue and ethical concerns involving AI, privacy, employment and greenwashing. Stakeholder engagement should therefore be embedded into project governance throughout the project lifecycle rather than treated as a communication exercise immediately before launch.</w:t>
      </w:r>
    </w:p>
    <w:p xmlns:wp14="http://schemas.microsoft.com/office/word/2010/wordml" w:rsidP="15E77795" wp14:paraId="7F239D71" wp14:textId="414E11A0">
      <w:pPr>
        <w:rPr>
          <w:rFonts w:ascii="Arial Nova" w:hAnsi="Arial Nova" w:eastAsia="Arial Nova" w:cs="Arial Nova"/>
          <w:color w:val="auto"/>
        </w:rPr>
      </w:pPr>
    </w:p>
    <w:p xmlns:wp14="http://schemas.microsoft.com/office/word/2010/wordml" w:rsidP="15E77795" wp14:paraId="0FA66BC1" wp14:textId="31A589EE">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2. Introduction</w:t>
      </w:r>
    </w:p>
    <w:p xmlns:wp14="http://schemas.microsoft.com/office/word/2010/wordml" w:rsidP="15E77795" wp14:paraId="69AEC324" wp14:textId="2913600D">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hospitality industry has experienced significant changes in customer expectations because of digitalisation, changing travel behaviour and increasing interest in personalised and sustainable experiences. Guests are no longer evaluating hotels only on the basis of room quality and price. They increasingly consider convenience, digital interaction, personalisation, sustainability and the quality of the overall travel experience. This creates opportunities for international hotel groups to use technology to improve customer relationships, but it also creates new responsibilities concerning privacy, employee involvement and ethical use of technology.</w:t>
      </w:r>
    </w:p>
    <w:p xmlns:wp14="http://schemas.microsoft.com/office/word/2010/wordml" w:rsidP="15E77795" wp14:paraId="7A0D1A6B" wp14:textId="7AB45619">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This report focuses on </w:t>
      </w:r>
      <w:r w:rsidRPr="15E77795" w:rsidR="6A9D2C9E">
        <w:rPr>
          <w:rFonts w:ascii="Arial Nova" w:hAnsi="Arial Nova" w:eastAsia="Arial Nova" w:cs="Arial Nova"/>
          <w:b w:val="1"/>
          <w:bCs w:val="1"/>
          <w:noProof w:val="0"/>
          <w:color w:val="auto"/>
          <w:sz w:val="22"/>
          <w:szCs w:val="22"/>
          <w:lang w:val="en-US"/>
        </w:rPr>
        <w:t>Marriott International</w:t>
      </w:r>
      <w:r w:rsidRPr="15E77795" w:rsidR="6A9D2C9E">
        <w:rPr>
          <w:rFonts w:ascii="Arial Nova" w:hAnsi="Arial Nova" w:eastAsia="Arial Nova" w:cs="Arial Nova"/>
          <w:noProof w:val="0"/>
          <w:color w:val="auto"/>
          <w:sz w:val="22"/>
          <w:szCs w:val="22"/>
          <w:lang w:val="en-US"/>
        </w:rPr>
        <w:t>, one of the world's largest hospitality organisations. Marriott operates a broad international portfolio of hotel brands across luxury, premium, select-service and longer-stay segments. The organisation uses a combination of managed, franchised, licensed and other arrangements, meaning that the stakeholders involved in a new service extend well beyond Marriott's corporate employees.</w:t>
      </w:r>
    </w:p>
    <w:p xmlns:wp14="http://schemas.microsoft.com/office/word/2010/wordml" w:rsidP="15E77795" wp14:paraId="3799EBC5" wp14:textId="0C34E548">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Marriott's scale makes it an appropriate case for this assessment. At the end of 2025, Marriott reported approximately 9,805 properties and 1,779,936 rooms worldwide. The organisation therefore has considerable potential to benefit from a successful innovation, but the same scale creates challenges involving coordination, standardisation and stakeholder alignment.</w:t>
      </w:r>
    </w:p>
    <w:p xmlns:wp14="http://schemas.microsoft.com/office/word/2010/wordml" w:rsidP="15E77795" wp14:paraId="1DBA512F" wp14:textId="2C98C1F5">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proposed </w:t>
      </w:r>
      <w:r w:rsidRPr="15E77795" w:rsidR="6A9D2C9E">
        <w:rPr>
          <w:rFonts w:ascii="Arial Nova" w:hAnsi="Arial Nova" w:eastAsia="Arial Nova" w:cs="Arial Nova"/>
          <w:b w:val="1"/>
          <w:bCs w:val="1"/>
          <w:noProof w:val="0"/>
          <w:color w:val="auto"/>
          <w:sz w:val="22"/>
          <w:szCs w:val="22"/>
          <w:lang w:val="en-US"/>
        </w:rPr>
        <w:t>StaySmart+</w:t>
      </w:r>
      <w:r w:rsidRPr="15E77795" w:rsidR="6A9D2C9E">
        <w:rPr>
          <w:rFonts w:ascii="Arial Nova" w:hAnsi="Arial Nova" w:eastAsia="Arial Nova" w:cs="Arial Nova"/>
          <w:noProof w:val="0"/>
          <w:color w:val="auto"/>
          <w:sz w:val="22"/>
          <w:szCs w:val="22"/>
          <w:lang w:val="en-US"/>
        </w:rPr>
        <w:t xml:space="preserve"> service is designed as a premium customer-experience initiative. It has three main elements. First, an AI-driven guest interaction tool would provide assistance with routine hotel questions, service requests and destination information. Second, personalised travel planning would allow guests to receive recommendations based on their preferences and trip requirements. Third, sustainability-focused amenities would encourage guests to make lower-impact choices and engage with sustainable local experiences.</w:t>
      </w:r>
    </w:p>
    <w:p xmlns:wp14="http://schemas.microsoft.com/office/word/2010/wordml" w:rsidP="15E77795" wp14:paraId="314A8454" wp14:textId="1ABB5060">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is intended to be launched across selected hotels within six months. The six-month period creates a significant project-management challenge because stakeholder consultation, service design, technical development, testing, training, compliance and marketing must occur within a relatively short timeframe.</w:t>
      </w:r>
    </w:p>
    <w:p xmlns:wp14="http://schemas.microsoft.com/office/word/2010/wordml" w:rsidP="15E77795" wp14:paraId="1FA7DBAE" wp14:textId="0CE9EBC0">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is therefore central to the project's success. Freeman (1984) argues that stakeholders include groups and individuals who can affect or are affected by organisational objectives. This means that customers, employees, owners, suppliers and regulators should not be considered peripheral to the project. Instead, their interests should be incorporated into decision-making.</w:t>
      </w:r>
    </w:p>
    <w:p xmlns:wp14="http://schemas.microsoft.com/office/word/2010/wordml" w:rsidP="15E77795" wp14:paraId="70C106F5" wp14:textId="7879964E">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stakeholder theory also raises an important management problem. Stakeholders do not necessarily have the same interests. A shareholder may prioritise financial returns, an employee may prioritise job security, a customer may prioritise convenience and privacy, while a regulator may prioritise compliance. The project manager must therefore balance competing interests and make decisions that are transparent and defensible.</w:t>
      </w:r>
    </w:p>
    <w:p xmlns:wp14="http://schemas.microsoft.com/office/word/2010/wordml" w:rsidP="15E77795" wp14:paraId="51C18CDE" wp14:textId="25B32711">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purpose of this report is to identify and categorise the key stakeholders associated with StaySmart+, examine their roles and interests, develop appropriate engagement strategies and critically evaluate how stakeholder engagement could influence business performance. The report also considers cultural and ethical issues associated with implementing an AI-enabled hospitality service across international markets.</w:t>
      </w:r>
    </w:p>
    <w:p xmlns:wp14="http://schemas.microsoft.com/office/word/2010/wordml" w:rsidP="15E77795" wp14:paraId="3B112D2D" wp14:textId="3253085A">
      <w:pPr>
        <w:rPr>
          <w:rFonts w:ascii="Arial Nova" w:hAnsi="Arial Nova" w:eastAsia="Arial Nova" w:cs="Arial Nova"/>
          <w:color w:val="auto"/>
        </w:rPr>
      </w:pPr>
    </w:p>
    <w:p xmlns:wp14="http://schemas.microsoft.com/office/word/2010/wordml" w:rsidP="15E77795" wp14:paraId="43BEF445" wp14:textId="5E3EB17A">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3. Company and Project Overview</w:t>
      </w:r>
    </w:p>
    <w:p xmlns:wp14="http://schemas.microsoft.com/office/word/2010/wordml" w:rsidP="15E77795" wp14:paraId="7B379B4E" wp14:textId="335E96ED">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International is a global hospitality organisation with a large and diverse portfolio of hotel brands. Its operating model involves corporate functions, hotel employees, managed properties, franchisees, owners, suppliers and business partners. This creates a stakeholder network that is significantly more complicated than that of a single independent hotel.</w:t>
      </w:r>
    </w:p>
    <w:p xmlns:wp14="http://schemas.microsoft.com/office/word/2010/wordml" w:rsidP="15E77795" wp14:paraId="6E628E16" wp14:textId="7264AAE3">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For the purpose of this project, a London Marriott hotel is used as the initial UK context. London is appropriate because it is an international business and tourism destination with customers from different nationalities, cultures and age groups. A London pilot could therefore provide useful evidence about the suitability of StaySmart+ for diverse customer groups before the service is adapted for other international markets.</w:t>
      </w:r>
    </w:p>
    <w:p xmlns:wp14="http://schemas.microsoft.com/office/word/2010/wordml" w:rsidP="15E77795" wp14:paraId="398D710A" wp14:textId="06D5A721">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project also fits with Marriott's existing strategic direction. The organisation has a major sustainability and social-impact programme, </w:t>
      </w:r>
      <w:r w:rsidRPr="15E77795" w:rsidR="6A9D2C9E">
        <w:rPr>
          <w:rFonts w:ascii="Arial Nova" w:hAnsi="Arial Nova" w:eastAsia="Arial Nova" w:cs="Arial Nova"/>
          <w:b w:val="1"/>
          <w:bCs w:val="1"/>
          <w:noProof w:val="0"/>
          <w:color w:val="auto"/>
          <w:sz w:val="22"/>
          <w:szCs w:val="22"/>
          <w:lang w:val="en-US"/>
        </w:rPr>
        <w:t>Serve 360</w:t>
      </w:r>
      <w:r w:rsidRPr="15E77795" w:rsidR="6A9D2C9E">
        <w:rPr>
          <w:rFonts w:ascii="Arial Nova" w:hAnsi="Arial Nova" w:eastAsia="Arial Nova" w:cs="Arial Nova"/>
          <w:noProof w:val="0"/>
          <w:color w:val="auto"/>
          <w:sz w:val="22"/>
          <w:szCs w:val="22"/>
          <w:lang w:val="en-US"/>
        </w:rPr>
        <w:t>, which is based on the principle that the success of the company, its stakeholders and the planet are interconnected. Marriott identifies responsible operations, community impact, opportunity and human rights as areas of its sustainability and social-impact activity.</w:t>
      </w:r>
    </w:p>
    <w:p xmlns:wp14="http://schemas.microsoft.com/office/word/2010/wordml" w:rsidP="15E77795" wp14:paraId="2ECE5E5B" wp14:textId="17A292C3">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provides an important strategic opportunity for StaySmart+. The sustainability component would not need to operate separately from Marriott's wider strategy. Instead, it could become a customer-facing extension of existing sustainability objectives.</w:t>
      </w:r>
    </w:p>
    <w:p xmlns:wp14="http://schemas.microsoft.com/office/word/2010/wordml" w:rsidP="15E77795" wp14:paraId="528B062C" wp14:textId="2B9D330E">
      <w:pPr>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Marriott's sustainability approach also demonstrates the importance of stakeholder collaboration. The organisation states that it works with associates, hotel owners, franchisees, suppliers, business partners and guests in relation to sustainable hotel operations. This existing stakeholder network could therefore support StaySmart+ if the project is properly aligned with existing relationships.</w:t>
      </w:r>
    </w:p>
    <w:p xmlns:wp14="http://schemas.microsoft.com/office/word/2010/wordml" w:rsidP="15E77795" wp14:paraId="2AFADFD3" wp14:textId="04B47226">
      <w:pPr>
        <w:spacing w:before="240" w:beforeAutospacing="off" w:after="240" w:afterAutospacing="off"/>
      </w:pPr>
      <w:r w:rsidRPr="15E77795" w:rsidR="6A9D2C9E">
        <w:rPr>
          <w:rFonts w:ascii="Arial Nova" w:hAnsi="Arial Nova" w:eastAsia="Arial Nova" w:cs="Arial Nova"/>
          <w:noProof w:val="0"/>
          <w:color w:val="auto"/>
          <w:sz w:val="22"/>
          <w:szCs w:val="22"/>
          <w:lang w:val="en-US"/>
        </w:rPr>
        <w:t>The proposed service should not, however, be considered purely an IT project. It represents an organisational change because it may alter employees' responsibilities, customer expectations, data-management processes, supplier relationships and the way sustainability is communicated.</w:t>
      </w:r>
    </w:p>
    <w:p xmlns:wp14="http://schemas.microsoft.com/office/word/2010/wordml" w:rsidP="15E77795" wp14:paraId="1EAB3FA4" wp14:textId="4F3B40DA">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6DDFB96C" wp14:textId="1DDA77B0">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D5E259D" wp14:textId="37FD777F">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03CD32F" wp14:textId="7DDF8226">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161A39C2" wp14:textId="7C882C3F">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75F017EA" wp14:textId="7C649D68">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723FC440" wp14:textId="7E0C391D">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27545FD4" wp14:textId="1460FAE8">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3CBF880" wp14:textId="06151A32">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5EC9E01" wp14:textId="3771201A">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5F86877" wp14:textId="08D7D1B9">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08EE2AB9" wp14:textId="1DFEE8FA">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577DB577" wp14:textId="4B57D52C">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1BC126F4" wp14:textId="6BC456AE">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6B7A5DDB" wp14:textId="66392BC2">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2A1BF935" wp14:textId="36F60F16">
      <w:pPr>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0455E691" wp14:textId="1674A52D">
      <w:pPr>
        <w:rPr>
          <w:rFonts w:ascii="Arial Nova" w:hAnsi="Arial Nova" w:eastAsia="Arial Nova" w:cs="Arial Nova"/>
          <w:color w:val="auto"/>
        </w:rPr>
      </w:pPr>
    </w:p>
    <w:p xmlns:wp14="http://schemas.microsoft.com/office/word/2010/wordml" w:rsidP="15E77795" wp14:paraId="1B36DA39" wp14:textId="30E1C755">
      <w:pPr>
        <w:pStyle w:val="Heading1"/>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4. Situational Analysis</w:t>
      </w:r>
    </w:p>
    <w:p xmlns:wp14="http://schemas.microsoft.com/office/word/2010/wordml" w:rsidP="15E77795" wp14:paraId="7D022EFC" wp14:textId="22F9478C">
      <w:pPr>
        <w:pStyle w:val="Heading2"/>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4.1 SWOT Analysis</w:t>
      </w:r>
    </w:p>
    <w:tbl>
      <w:tblPr>
        <w:tblStyle w:val="TableNormal"/>
        <w:bidiVisual w:val="0"/>
        <w:tblW w:w="0" w:type="auto"/>
        <w:tblInd w:w="-690" w:type="dxa"/>
        <w:tblLook w:val="06A0" w:firstRow="1" w:lastRow="0" w:firstColumn="1" w:lastColumn="0" w:noHBand="1" w:noVBand="1"/>
      </w:tblPr>
      <w:tblGrid>
        <w:gridCol w:w="5513"/>
        <w:gridCol w:w="5969"/>
      </w:tblGrid>
      <w:tr w:rsidR="15E77795" w:rsidTr="15E77795" w14:paraId="7CCAB193">
        <w:trPr>
          <w:trHeight w:val="300"/>
        </w:trPr>
        <w:tc>
          <w:tcPr>
            <w:tcW w:w="5513" w:type="dxa"/>
            <w:tcMar/>
            <w:vAlign w:val="center"/>
          </w:tcPr>
          <w:p w:rsidR="15E77795" w:rsidP="15E77795" w:rsidRDefault="15E77795" w14:paraId="698922EA" w14:textId="2E36C0DD">
            <w:pPr>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Strengths</w:t>
            </w:r>
          </w:p>
        </w:tc>
        <w:tc>
          <w:tcPr>
            <w:tcW w:w="5969" w:type="dxa"/>
            <w:tcMar/>
            <w:vAlign w:val="center"/>
          </w:tcPr>
          <w:p w:rsidR="15E77795" w:rsidP="15E77795" w:rsidRDefault="15E77795" w14:paraId="5C7D8B90" w14:textId="5D73DF2A">
            <w:pPr>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Weaknesses</w:t>
            </w:r>
          </w:p>
        </w:tc>
      </w:tr>
      <w:tr w:rsidR="15E77795" w:rsidTr="15E77795" w14:paraId="6D532B66">
        <w:trPr>
          <w:trHeight w:val="300"/>
        </w:trPr>
        <w:tc>
          <w:tcPr>
            <w:tcW w:w="5513" w:type="dxa"/>
            <w:tcMar/>
            <w:vAlign w:val="center"/>
          </w:tcPr>
          <w:p w:rsidR="15E77795" w:rsidP="15E77795" w:rsidRDefault="15E77795" w14:paraId="5A103683" w14:textId="102EE23F">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Strong global brand and large international hotel network</w:t>
            </w:r>
          </w:p>
        </w:tc>
        <w:tc>
          <w:tcPr>
            <w:tcW w:w="5969" w:type="dxa"/>
            <w:tcMar/>
            <w:vAlign w:val="center"/>
          </w:tcPr>
          <w:p w:rsidR="15E77795" w:rsidP="15E77795" w:rsidRDefault="15E77795" w14:paraId="5278AE5B" w14:textId="5186E9B0">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Large organisational structure can make decisions slower</w:t>
            </w:r>
          </w:p>
        </w:tc>
      </w:tr>
      <w:tr w:rsidR="15E77795" w:rsidTr="15E77795" w14:paraId="018E3D21">
        <w:trPr>
          <w:trHeight w:val="300"/>
        </w:trPr>
        <w:tc>
          <w:tcPr>
            <w:tcW w:w="5513" w:type="dxa"/>
            <w:tcMar/>
            <w:vAlign w:val="center"/>
          </w:tcPr>
          <w:p w:rsidR="15E77795" w:rsidP="15E77795" w:rsidRDefault="15E77795" w14:paraId="23B2E0B8" w14:textId="0958FC75">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Existing customer relationships through Marriott Bonvoy</w:t>
            </w:r>
          </w:p>
        </w:tc>
        <w:tc>
          <w:tcPr>
            <w:tcW w:w="5969" w:type="dxa"/>
            <w:tcMar/>
            <w:vAlign w:val="center"/>
          </w:tcPr>
          <w:p w:rsidR="15E77795" w:rsidP="15E77795" w:rsidRDefault="15E77795" w14:paraId="42C07FDC" w14:textId="1F10CE29">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Different owners and franchisees may have different priorities</w:t>
            </w:r>
          </w:p>
        </w:tc>
      </w:tr>
      <w:tr w:rsidR="15E77795" w:rsidTr="15E77795" w14:paraId="141090F2">
        <w:trPr>
          <w:trHeight w:val="300"/>
        </w:trPr>
        <w:tc>
          <w:tcPr>
            <w:tcW w:w="5513" w:type="dxa"/>
            <w:tcMar/>
            <w:vAlign w:val="center"/>
          </w:tcPr>
          <w:p w:rsidR="15E77795" w:rsidP="15E77795" w:rsidRDefault="15E77795" w14:paraId="0B380FCD" w14:textId="1E1C74CA">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Established digital and technology capabilities</w:t>
            </w:r>
          </w:p>
        </w:tc>
        <w:tc>
          <w:tcPr>
            <w:tcW w:w="5969" w:type="dxa"/>
            <w:tcMar/>
            <w:vAlign w:val="center"/>
          </w:tcPr>
          <w:p w:rsidR="15E77795" w:rsidP="15E77795" w:rsidRDefault="15E77795" w14:paraId="3B54B290" w14:textId="20B40951">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Dependence on complex technology infrastructure</w:t>
            </w:r>
          </w:p>
        </w:tc>
      </w:tr>
      <w:tr w:rsidR="15E77795" w:rsidTr="15E77795" w14:paraId="06F88C27">
        <w:trPr>
          <w:trHeight w:val="300"/>
        </w:trPr>
        <w:tc>
          <w:tcPr>
            <w:tcW w:w="5513" w:type="dxa"/>
            <w:tcMar/>
            <w:vAlign w:val="center"/>
          </w:tcPr>
          <w:p w:rsidR="15E77795" w:rsidP="15E77795" w:rsidRDefault="15E77795" w14:paraId="698685E8" w14:textId="7C5C274E">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Existing sustainability strategy through Serve 360</w:t>
            </w:r>
          </w:p>
        </w:tc>
        <w:tc>
          <w:tcPr>
            <w:tcW w:w="5969" w:type="dxa"/>
            <w:tcMar/>
            <w:vAlign w:val="center"/>
          </w:tcPr>
          <w:p w:rsidR="15E77795" w:rsidP="15E77795" w:rsidRDefault="15E77795" w14:paraId="40045D41" w14:textId="03EC65E6">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Global scale increases privacy and cybersecurity exposure</w:t>
            </w:r>
          </w:p>
        </w:tc>
      </w:tr>
      <w:tr w:rsidR="15E77795" w:rsidTr="15E77795" w14:paraId="2FD9577B">
        <w:trPr>
          <w:trHeight w:val="300"/>
        </w:trPr>
        <w:tc>
          <w:tcPr>
            <w:tcW w:w="5513" w:type="dxa"/>
            <w:tcMar/>
            <w:vAlign w:val="center"/>
          </w:tcPr>
          <w:p w:rsidR="15E77795" w:rsidP="15E77795" w:rsidRDefault="15E77795" w14:paraId="0FF0FE7D" w14:textId="2B4EB029">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Extensive hospitality and customer-service expertise</w:t>
            </w:r>
          </w:p>
        </w:tc>
        <w:tc>
          <w:tcPr>
            <w:tcW w:w="5969" w:type="dxa"/>
            <w:tcMar/>
            <w:vAlign w:val="center"/>
          </w:tcPr>
          <w:p w:rsidR="15E77795" w:rsidP="15E77795" w:rsidRDefault="15E77795" w14:paraId="2B404ED2" w14:textId="51BA219C">
            <w:pPr>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Technology readiness may differ between properties</w:t>
            </w:r>
          </w:p>
        </w:tc>
      </w:tr>
    </w:tbl>
    <w:tbl>
      <w:tblPr>
        <w:tblStyle w:val="TableNormal"/>
        <w:bidiVisual w:val="0"/>
        <w:tblW w:w="0" w:type="auto"/>
        <w:tblInd w:w="-1335" w:type="dxa"/>
        <w:tblLook w:val="06A0" w:firstRow="1" w:lastRow="0" w:firstColumn="1" w:lastColumn="0" w:noHBand="1" w:noVBand="1"/>
      </w:tblPr>
      <w:tblGrid>
        <w:gridCol w:w="6151"/>
        <w:gridCol w:w="5977"/>
      </w:tblGrid>
      <w:tr w:rsidR="15E77795" w:rsidTr="15E77795" w14:paraId="01B3EAAC">
        <w:trPr>
          <w:trHeight w:val="300"/>
        </w:trPr>
        <w:tc>
          <w:tcPr>
            <w:tcW w:w="6151" w:type="dxa"/>
            <w:tcMar/>
            <w:vAlign w:val="center"/>
          </w:tcPr>
          <w:p w:rsidR="15E77795" w:rsidP="15E77795" w:rsidRDefault="15E77795" w14:paraId="03EC6208" w14:textId="76EAECEF">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Opportunities</w:t>
            </w:r>
          </w:p>
        </w:tc>
        <w:tc>
          <w:tcPr>
            <w:tcW w:w="5977" w:type="dxa"/>
            <w:tcMar/>
            <w:vAlign w:val="center"/>
          </w:tcPr>
          <w:p w:rsidR="15E77795" w:rsidP="15E77795" w:rsidRDefault="15E77795" w14:paraId="10531388" w14:textId="599ED6A5">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Threats</w:t>
            </w:r>
          </w:p>
        </w:tc>
      </w:tr>
      <w:tr w:rsidR="15E77795" w:rsidTr="15E77795" w14:paraId="37C012D0">
        <w:trPr>
          <w:trHeight w:val="300"/>
        </w:trPr>
        <w:tc>
          <w:tcPr>
            <w:tcW w:w="6151" w:type="dxa"/>
            <w:tcMar/>
            <w:vAlign w:val="center"/>
          </w:tcPr>
          <w:p w:rsidR="15E77795" w:rsidP="15E77795" w:rsidRDefault="15E77795" w14:paraId="0EE51B6D" w14:textId="35AF786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AI can improve response speed and personalisation</w:t>
            </w:r>
          </w:p>
        </w:tc>
        <w:tc>
          <w:tcPr>
            <w:tcW w:w="5977" w:type="dxa"/>
            <w:tcMar/>
            <w:vAlign w:val="center"/>
          </w:tcPr>
          <w:p w:rsidR="15E77795" w:rsidP="15E77795" w:rsidRDefault="15E77795" w14:paraId="092C9B93" w14:textId="6ED3EA5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Competitors can introduce similar services</w:t>
            </w:r>
          </w:p>
        </w:tc>
      </w:tr>
      <w:tr w:rsidR="15E77795" w:rsidTr="15E77795" w14:paraId="776DAC82">
        <w:trPr>
          <w:trHeight w:val="300"/>
        </w:trPr>
        <w:tc>
          <w:tcPr>
            <w:tcW w:w="6151" w:type="dxa"/>
            <w:tcMar/>
            <w:vAlign w:val="center"/>
          </w:tcPr>
          <w:p w:rsidR="15E77795" w:rsidP="15E77795" w:rsidRDefault="15E77795" w14:paraId="43A3C90A" w14:textId="1C21C85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 can differentiate the customer proposition</w:t>
            </w:r>
          </w:p>
        </w:tc>
        <w:tc>
          <w:tcPr>
            <w:tcW w:w="5977" w:type="dxa"/>
            <w:tcMar/>
            <w:vAlign w:val="center"/>
          </w:tcPr>
          <w:p w:rsidR="15E77795" w:rsidP="15E77795" w:rsidRDefault="15E77795" w14:paraId="15C75CC1" w14:textId="66B06BD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AI errors can damage customer trust</w:t>
            </w:r>
          </w:p>
        </w:tc>
      </w:tr>
      <w:tr w:rsidR="15E77795" w:rsidTr="15E77795" w14:paraId="4BE4B416">
        <w:trPr>
          <w:trHeight w:val="300"/>
        </w:trPr>
        <w:tc>
          <w:tcPr>
            <w:tcW w:w="6151" w:type="dxa"/>
            <w:tcMar/>
            <w:vAlign w:val="center"/>
          </w:tcPr>
          <w:p w:rsidR="15E77795" w:rsidP="15E77795" w:rsidRDefault="15E77795" w14:paraId="0584827B" w14:textId="06C98EF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Customer and employee co-creation can improve service design</w:t>
            </w:r>
          </w:p>
        </w:tc>
        <w:tc>
          <w:tcPr>
            <w:tcW w:w="5977" w:type="dxa"/>
            <w:tcMar/>
            <w:vAlign w:val="center"/>
          </w:tcPr>
          <w:p w:rsidR="15E77795" w:rsidP="15E77795" w:rsidRDefault="15E77795" w14:paraId="55ABE672" w14:textId="1018A78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Privacy breaches can create financial and reputational damage</w:t>
            </w:r>
          </w:p>
        </w:tc>
      </w:tr>
      <w:tr w:rsidR="15E77795" w:rsidTr="15E77795" w14:paraId="270BE537">
        <w:trPr>
          <w:trHeight w:val="300"/>
        </w:trPr>
        <w:tc>
          <w:tcPr>
            <w:tcW w:w="6151" w:type="dxa"/>
            <w:tcMar/>
            <w:vAlign w:val="center"/>
          </w:tcPr>
          <w:p w:rsidR="15E77795" w:rsidP="15E77795" w:rsidRDefault="15E77795" w14:paraId="533D9D47" w14:textId="1FFDAB7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Integration with existing digital platforms can increase loyalty</w:t>
            </w:r>
          </w:p>
        </w:tc>
        <w:tc>
          <w:tcPr>
            <w:tcW w:w="5977" w:type="dxa"/>
            <w:tcMar/>
            <w:vAlign w:val="center"/>
          </w:tcPr>
          <w:p w:rsidR="15E77795" w:rsidP="15E77795" w:rsidRDefault="15E77795" w14:paraId="58139105" w14:textId="55544A0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Employees may resist perceived job displacement</w:t>
            </w:r>
          </w:p>
        </w:tc>
      </w:tr>
      <w:tr w:rsidR="15E77795" w:rsidTr="15E77795" w14:paraId="1E48E5E6">
        <w:trPr>
          <w:trHeight w:val="300"/>
        </w:trPr>
        <w:tc>
          <w:tcPr>
            <w:tcW w:w="6151" w:type="dxa"/>
            <w:tcMar/>
            <w:vAlign w:val="center"/>
          </w:tcPr>
          <w:p w:rsidR="15E77795" w:rsidP="15E77795" w:rsidRDefault="15E77795" w14:paraId="11648251" w14:textId="10B437B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International pilots can create transferable learning</w:t>
            </w:r>
          </w:p>
        </w:tc>
        <w:tc>
          <w:tcPr>
            <w:tcW w:w="5977" w:type="dxa"/>
            <w:tcMar/>
            <w:vAlign w:val="center"/>
          </w:tcPr>
          <w:p w:rsidR="15E77795" w:rsidP="15E77795" w:rsidRDefault="15E77795" w14:paraId="1CED13B1" w14:textId="6FE7C3C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Different regulations can complicate international deployment</w:t>
            </w:r>
          </w:p>
        </w:tc>
      </w:tr>
    </w:tbl>
    <w:p xmlns:wp14="http://schemas.microsoft.com/office/word/2010/wordml" w:rsidP="15E77795" wp14:paraId="16FBC17C" wp14:textId="495DDE6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SWOT analysis indicates that Marriott has significant resources with which to support StaySmart+. Its international scale, established customer relationships and existing sustainability activities create a strong foundation. However, scale is simultaneously a strength and a weakness. A solution that works effectively in a London property may not work in exactly the same way in another market because of differences in culture, regulation, technology infrastructure and customer behaviour.</w:t>
      </w:r>
    </w:p>
    <w:p xmlns:wp14="http://schemas.microsoft.com/office/word/2010/wordml" w:rsidP="15E77795" wp14:paraId="11069C31" wp14:textId="3D0EF80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should therefore avoid assuming that standardisation automatically produces consistency. Excessive standardisation could make the service unsuitable for local markets, while excessive localisation could increase costs and weaken the Marriott brand. This tension supports the recommendation for a global core with local adaptation.</w:t>
      </w:r>
    </w:p>
    <w:p xmlns:wp14="http://schemas.microsoft.com/office/word/2010/wordml" w:rsidP="15E77795" wp14:paraId="11DD728B" wp14:textId="022D2B87">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4.2 PESTLE Analysis</w:t>
      </w:r>
    </w:p>
    <w:p xmlns:wp14="http://schemas.microsoft.com/office/word/2010/wordml" w:rsidP="15E77795" wp14:paraId="3FA3BD98" wp14:textId="304C93B1">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Political</w:t>
      </w:r>
    </w:p>
    <w:p xmlns:wp14="http://schemas.microsoft.com/office/word/2010/wordml" w:rsidP="15E77795" wp14:paraId="59CC5344" wp14:textId="24D538E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Political instability, government tourism policies and international relations can influence travel demand and hotel operations. International markets may also have different attitudes towards AI and data sharing. The project team should therefore involve regional management and local legal specialists rather than assuming that one political or regulatory environment applies globally.</w:t>
      </w:r>
    </w:p>
    <w:p xmlns:wp14="http://schemas.microsoft.com/office/word/2010/wordml" w:rsidP="15E77795" wp14:paraId="18374469" wp14:textId="63383B85">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Economic</w:t>
      </w:r>
    </w:p>
    <w:p xmlns:wp14="http://schemas.microsoft.com/office/word/2010/wordml" w:rsidP="15E77795" wp14:paraId="43B706C0" wp14:textId="6FB6882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Inflation, exchange rates, labour costs and differences in consumer purchasing power can influence the adoption of premium services. Owners and franchisees may question whether the investment required for StaySmart+ will generate sufficient returns. A clear financial business case is therefore required.</w:t>
      </w:r>
    </w:p>
    <w:p xmlns:wp14="http://schemas.microsoft.com/office/word/2010/wordml" w:rsidP="15E77795" wp14:paraId="3A51EE4C" wp14:textId="22C24BC2">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Social</w:t>
      </w:r>
    </w:p>
    <w:p xmlns:wp14="http://schemas.microsoft.com/office/word/2010/wordml" w:rsidP="15E77795" wp14:paraId="4A7DBD08" wp14:textId="1CA68DD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Customers increasingly expect convenience and personalisation, but hospitality remains highly dependent on human interaction. Some guests may welcome an AI assistant, while others may consider it impersonal. Age, culture, language, accessibility and digital confidence can all influence adoption.</w:t>
      </w:r>
    </w:p>
    <w:p xmlns:wp14="http://schemas.microsoft.com/office/word/2010/wordml" w:rsidP="15E77795" wp14:paraId="58FA367A" wp14:textId="29E08E7A">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Technological</w:t>
      </w:r>
    </w:p>
    <w:p xmlns:wp14="http://schemas.microsoft.com/office/word/2010/wordml" w:rsidP="15E77795" wp14:paraId="2CB7BE6E" wp14:textId="7D34548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AI, mobile technology and data analytics create opportunities for improved service delivery. However, system failures, cybersecurity incidents, inaccurate recommendations and algorithmic bias could undermine customer trust. IT and cybersecurity stakeholders therefore need to be involved from the beginning rather than consulted after the product has already been designed.</w:t>
      </w:r>
    </w:p>
    <w:p xmlns:wp14="http://schemas.microsoft.com/office/word/2010/wordml" w:rsidP="15E77795" wp14:paraId="4F2B4A48" wp14:textId="09140C05">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Legal</w:t>
      </w:r>
    </w:p>
    <w:p xmlns:wp14="http://schemas.microsoft.com/office/word/2010/wordml" w:rsidP="15E77795" wp14:paraId="358E4F8A" wp14:textId="389F1C9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Data protection is a major issue because StaySmart+ may process information relating to customers' preferences, travel plans and interactions. The Information Commissioner's Office identifies principles such as fairness, transparency, data minimisation, security and accountability as important when organisations use AI and personal data.</w:t>
      </w:r>
    </w:p>
    <w:p xmlns:wp14="http://schemas.microsoft.com/office/word/2010/wordml" w:rsidP="15E77795" wp14:paraId="793FC6AA" wp14:textId="285D46A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International deployment creates additional complexity because different jurisdictions have different regulatory requirements. The EU AI Act is particularly relevant to European operations, meaning that the project team needs a market-by-market compliance assessment.</w:t>
      </w:r>
    </w:p>
    <w:p xmlns:wp14="http://schemas.microsoft.com/office/word/2010/wordml" w:rsidP="15E77795" wp14:paraId="3E0865AE" wp14:textId="3FEB047F">
      <w:pPr>
        <w:pStyle w:val="Heading3"/>
        <w:bidi w:val="0"/>
        <w:spacing w:before="281" w:beforeAutospacing="off" w:after="281" w:afterAutospacing="off"/>
        <w:rPr>
          <w:rFonts w:ascii="Arial Nova" w:hAnsi="Arial Nova" w:eastAsia="Arial Nova" w:cs="Arial Nova"/>
          <w:b w:val="1"/>
          <w:bCs w:val="1"/>
          <w:noProof w:val="0"/>
          <w:color w:val="auto"/>
          <w:sz w:val="28"/>
          <w:szCs w:val="28"/>
          <w:lang w:val="en-US"/>
        </w:rPr>
      </w:pPr>
      <w:r w:rsidRPr="15E77795" w:rsidR="6A9D2C9E">
        <w:rPr>
          <w:rFonts w:ascii="Arial Nova" w:hAnsi="Arial Nova" w:eastAsia="Arial Nova" w:cs="Arial Nova"/>
          <w:b w:val="1"/>
          <w:bCs w:val="1"/>
          <w:noProof w:val="0"/>
          <w:color w:val="auto"/>
          <w:sz w:val="28"/>
          <w:szCs w:val="28"/>
          <w:lang w:val="en-US"/>
        </w:rPr>
        <w:t>Environmental</w:t>
      </w:r>
    </w:p>
    <w:p xmlns:wp14="http://schemas.microsoft.com/office/word/2010/wordml" w:rsidP="15E77795" wp14:paraId="0D5707FE" wp14:textId="77B3CFB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Sustainability represents both an opportunity and a responsibility. Marriott already states that it aims to reduce environmental impacts through energy, water, waste and carbon initiatives and works with stakeholders across its hotel network to support responsible operations. StaySmart+ can build on this by making sustainable choices more visible to guests.</w:t>
      </w:r>
    </w:p>
    <w:p xmlns:wp14="http://schemas.microsoft.com/office/word/2010/wordml" w:rsidP="15E77795" wp14:paraId="16AA0F87" wp14:textId="5D65AE54">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4.3 SMART Objectives</w:t>
      </w:r>
    </w:p>
    <w:p xmlns:wp14="http://schemas.microsoft.com/office/word/2010/wordml" w:rsidP="15E77795" wp14:paraId="4D446571" wp14:textId="5ED2976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following SMART objectives are proposed:</w:t>
      </w:r>
    </w:p>
    <w:p xmlns:wp14="http://schemas.microsoft.com/office/word/2010/wordml" w:rsidP="15E77795" wp14:paraId="6B31DFCE" wp14:textId="3CA72B25">
      <w:pPr>
        <w:pStyle w:val="ListParagraph"/>
        <w:numPr>
          <w:ilvl w:val="0"/>
          <w:numId w:val="2"/>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Specific:</w:t>
      </w:r>
      <w:r w:rsidRPr="15E77795" w:rsidR="6A9D2C9E">
        <w:rPr>
          <w:rFonts w:ascii="Arial Nova" w:hAnsi="Arial Nova" w:eastAsia="Arial Nova" w:cs="Arial Nova"/>
          <w:noProof w:val="0"/>
          <w:color w:val="auto"/>
          <w:sz w:val="22"/>
          <w:szCs w:val="22"/>
          <w:lang w:val="en-US"/>
        </w:rPr>
        <w:t xml:space="preserve"> Launch StaySmart+ in selected Marriott hotels across the UK, Europe, Asia-Pacific and North America within six months.</w:t>
      </w:r>
    </w:p>
    <w:p xmlns:wp14="http://schemas.microsoft.com/office/word/2010/wordml" w:rsidP="15E77795" wp14:paraId="5D3022D5" wp14:textId="56B48658">
      <w:pPr>
        <w:pStyle w:val="ListParagraph"/>
        <w:numPr>
          <w:ilvl w:val="0"/>
          <w:numId w:val="2"/>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Measurable:</w:t>
      </w:r>
      <w:r w:rsidRPr="15E77795" w:rsidR="6A9D2C9E">
        <w:rPr>
          <w:rFonts w:ascii="Arial Nova" w:hAnsi="Arial Nova" w:eastAsia="Arial Nova" w:cs="Arial Nova"/>
          <w:noProof w:val="0"/>
          <w:color w:val="auto"/>
          <w:sz w:val="22"/>
          <w:szCs w:val="22"/>
          <w:lang w:val="en-US"/>
        </w:rPr>
        <w:t xml:space="preserve"> Achieve at least 80% completion of employee training before launch and at least 60% adoption among eligible guests within three months of launch.</w:t>
      </w:r>
    </w:p>
    <w:p xmlns:wp14="http://schemas.microsoft.com/office/word/2010/wordml" w:rsidP="15E77795" wp14:paraId="061A721F" wp14:textId="7A48E6F4">
      <w:pPr>
        <w:pStyle w:val="ListParagraph"/>
        <w:numPr>
          <w:ilvl w:val="0"/>
          <w:numId w:val="2"/>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Achievable:</w:t>
      </w:r>
      <w:r w:rsidRPr="15E77795" w:rsidR="6A9D2C9E">
        <w:rPr>
          <w:rFonts w:ascii="Arial Nova" w:hAnsi="Arial Nova" w:eastAsia="Arial Nova" w:cs="Arial Nova"/>
          <w:noProof w:val="0"/>
          <w:color w:val="auto"/>
          <w:sz w:val="22"/>
          <w:szCs w:val="22"/>
          <w:lang w:val="en-US"/>
        </w:rPr>
        <w:t xml:space="preserve"> Complete a controlled pilot before full deployment.</w:t>
      </w:r>
    </w:p>
    <w:p xmlns:wp14="http://schemas.microsoft.com/office/word/2010/wordml" w:rsidP="15E77795" wp14:paraId="6C07D23E" wp14:textId="4A17ABEA">
      <w:pPr>
        <w:pStyle w:val="ListParagraph"/>
        <w:numPr>
          <w:ilvl w:val="0"/>
          <w:numId w:val="2"/>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Relevant:</w:t>
      </w:r>
      <w:r w:rsidRPr="15E77795" w:rsidR="6A9D2C9E">
        <w:rPr>
          <w:rFonts w:ascii="Arial Nova" w:hAnsi="Arial Nova" w:eastAsia="Arial Nova" w:cs="Arial Nova"/>
          <w:noProof w:val="0"/>
          <w:color w:val="auto"/>
          <w:sz w:val="22"/>
          <w:szCs w:val="22"/>
          <w:lang w:val="en-US"/>
        </w:rPr>
        <w:t xml:space="preserve"> Improve guest experience, personalisation, operational efficiency and sustainability participation.</w:t>
      </w:r>
    </w:p>
    <w:p xmlns:wp14="http://schemas.microsoft.com/office/word/2010/wordml" w:rsidP="15E77795" wp14:paraId="005D530F" wp14:textId="320E536E">
      <w:pPr>
        <w:pStyle w:val="ListParagraph"/>
        <w:numPr>
          <w:ilvl w:val="0"/>
          <w:numId w:val="2"/>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Time-bound:</w:t>
      </w:r>
      <w:r w:rsidRPr="15E77795" w:rsidR="6A9D2C9E">
        <w:rPr>
          <w:rFonts w:ascii="Arial Nova" w:hAnsi="Arial Nova" w:eastAsia="Arial Nova" w:cs="Arial Nova"/>
          <w:noProof w:val="0"/>
          <w:color w:val="auto"/>
          <w:sz w:val="22"/>
          <w:szCs w:val="22"/>
          <w:lang w:val="en-US"/>
        </w:rPr>
        <w:t xml:space="preserve"> Complete design, consultation, technical testing, compliance approval and training within six months and conduct a formal 90-day post-launch review.</w:t>
      </w:r>
    </w:p>
    <w:p xmlns:wp14="http://schemas.microsoft.com/office/word/2010/wordml" w:rsidP="15E77795" wp14:paraId="75F1EF1F" wp14:textId="3B250D3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SMART objectives are important because stakeholder engagement should be linked to measurable project outcomes. Simply counting stakeholder meetings would not demonstrate successful engagement.</w:t>
      </w:r>
    </w:p>
    <w:p xmlns:wp14="http://schemas.microsoft.com/office/word/2010/wordml" w:rsidP="15E77795" wp14:paraId="06583763" wp14:textId="5D3CE2C0">
      <w:pPr>
        <w:bidi w:val="0"/>
        <w:rPr>
          <w:rFonts w:ascii="Arial Nova" w:hAnsi="Arial Nova" w:eastAsia="Arial Nova" w:cs="Arial Nova"/>
          <w:color w:val="auto"/>
        </w:rPr>
      </w:pPr>
    </w:p>
    <w:p xmlns:wp14="http://schemas.microsoft.com/office/word/2010/wordml" w:rsidP="15E77795" wp14:paraId="4A4B0D55" wp14:textId="5B27874E">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5. Stakeholder Identification and Categorisation</w:t>
      </w:r>
    </w:p>
    <w:p xmlns:wp14="http://schemas.microsoft.com/office/word/2010/wordml" w:rsidP="15E77795" wp14:paraId="73D360A8" wp14:textId="1C25057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Freeman's (1984) stakeholder theory provides a useful starting point because it recognises that organisational performance depends on relationships with multiple groups. However, the theory alone does not explain which stakeholders should receive the greatest management attention. Mitchell, Agle and Wood (1997) address this issue through stakeholder salience, arguing that power, legitimacy and urgency influence the priority given to different stakeholders.</w:t>
      </w:r>
    </w:p>
    <w:p xmlns:wp14="http://schemas.microsoft.com/office/word/2010/wordml" w:rsidP="15E77795" wp14:paraId="606114E0" wp14:textId="1455257F">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Internal stakeholders</w:t>
      </w:r>
    </w:p>
    <w:p xmlns:wp14="http://schemas.microsoft.com/office/word/2010/wordml" w:rsidP="15E77795" wp14:paraId="373B5D0F" wp14:textId="4B5EF9D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Executive sponsor and senior management</w:t>
      </w:r>
      <w:r w:rsidRPr="15E77795" w:rsidR="6A9D2C9E">
        <w:rPr>
          <w:rFonts w:ascii="Arial Nova" w:hAnsi="Arial Nova" w:eastAsia="Arial Nova" w:cs="Arial Nova"/>
          <w:noProof w:val="0"/>
          <w:color w:val="auto"/>
          <w:sz w:val="22"/>
          <w:szCs w:val="22"/>
          <w:lang w:val="en-US"/>
        </w:rPr>
        <w:t xml:space="preserve"> provide strategic direction, funding and final authority. They have high power because they can approve, modify or terminate the project.</w:t>
      </w:r>
    </w:p>
    <w:p xmlns:wp14="http://schemas.microsoft.com/office/word/2010/wordml" w:rsidP="15E77795" wp14:paraId="33FF35C3" wp14:textId="3286388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Project manager and project team</w:t>
      </w:r>
      <w:r w:rsidRPr="15E77795" w:rsidR="6A9D2C9E">
        <w:rPr>
          <w:rFonts w:ascii="Arial Nova" w:hAnsi="Arial Nova" w:eastAsia="Arial Nova" w:cs="Arial Nova"/>
          <w:noProof w:val="0"/>
          <w:color w:val="auto"/>
          <w:sz w:val="22"/>
          <w:szCs w:val="22"/>
          <w:lang w:val="en-US"/>
        </w:rPr>
        <w:t xml:space="preserve"> coordinate the project, manage risks, monitor progress and maintain stakeholder relationships. Their role is particularly important because they connect different functional areas.</w:t>
      </w:r>
    </w:p>
    <w:p xmlns:wp14="http://schemas.microsoft.com/office/word/2010/wordml" w:rsidP="15E77795" wp14:paraId="61E6B75E" wp14:textId="324595C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Product development and customer-experience teams</w:t>
      </w:r>
      <w:r w:rsidRPr="15E77795" w:rsidR="6A9D2C9E">
        <w:rPr>
          <w:rFonts w:ascii="Arial Nova" w:hAnsi="Arial Nova" w:eastAsia="Arial Nova" w:cs="Arial Nova"/>
          <w:noProof w:val="0"/>
          <w:color w:val="auto"/>
          <w:sz w:val="22"/>
          <w:szCs w:val="22"/>
          <w:lang w:val="en-US"/>
        </w:rPr>
        <w:t xml:space="preserve"> translate customer requirements into the service design. Their importance comes from ensuring that the technology actually solves customer problems.</w:t>
      </w:r>
    </w:p>
    <w:p xmlns:wp14="http://schemas.microsoft.com/office/word/2010/wordml" w:rsidP="15E77795" wp14:paraId="4712D4B6" wp14:textId="520460D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IT, AI and cybersecurity teams</w:t>
      </w:r>
      <w:r w:rsidRPr="15E77795" w:rsidR="6A9D2C9E">
        <w:rPr>
          <w:rFonts w:ascii="Arial Nova" w:hAnsi="Arial Nova" w:eastAsia="Arial Nova" w:cs="Arial Nova"/>
          <w:noProof w:val="0"/>
          <w:color w:val="auto"/>
          <w:sz w:val="22"/>
          <w:szCs w:val="22"/>
          <w:lang w:val="en-US"/>
        </w:rPr>
        <w:t xml:space="preserve"> develop and maintain the technical infrastructure. They are responsible for system integration, security, testing and technical reliability.</w:t>
      </w:r>
    </w:p>
    <w:p xmlns:wp14="http://schemas.microsoft.com/office/word/2010/wordml" w:rsidP="15E77795" wp14:paraId="60E6811B" wp14:textId="1ADA160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Hotel general managers and operations teams</w:t>
      </w:r>
      <w:r w:rsidRPr="15E77795" w:rsidR="6A9D2C9E">
        <w:rPr>
          <w:rFonts w:ascii="Arial Nova" w:hAnsi="Arial Nova" w:eastAsia="Arial Nova" w:cs="Arial Nova"/>
          <w:noProof w:val="0"/>
          <w:color w:val="auto"/>
          <w:sz w:val="22"/>
          <w:szCs w:val="22"/>
          <w:lang w:val="en-US"/>
        </w:rPr>
        <w:t xml:space="preserve"> provide local implementation knowledge. Their involvement is important because corporate teams may not fully understand the operational realities of individual hotels.</w:t>
      </w:r>
    </w:p>
    <w:p xmlns:wp14="http://schemas.microsoft.com/office/word/2010/wordml" w:rsidP="15E77795" wp14:paraId="42268BD3" wp14:textId="16358B1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Front-line employees</w:t>
      </w:r>
      <w:r w:rsidRPr="15E77795" w:rsidR="6A9D2C9E">
        <w:rPr>
          <w:rFonts w:ascii="Arial Nova" w:hAnsi="Arial Nova" w:eastAsia="Arial Nova" w:cs="Arial Nova"/>
          <w:noProof w:val="0"/>
          <w:color w:val="auto"/>
          <w:sz w:val="22"/>
          <w:szCs w:val="22"/>
          <w:lang w:val="en-US"/>
        </w:rPr>
        <w:t>, including reception, concierge and guest-services teams, have direct contact with customers. They are essential because they will deal with situations where the AI cannot respond appropriately.</w:t>
      </w:r>
    </w:p>
    <w:p xmlns:wp14="http://schemas.microsoft.com/office/word/2010/wordml" w:rsidP="15E77795" wp14:paraId="5FDEE09D" wp14:textId="7148510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Marketing and sales teams</w:t>
      </w:r>
      <w:r w:rsidRPr="15E77795" w:rsidR="6A9D2C9E">
        <w:rPr>
          <w:rFonts w:ascii="Arial Nova" w:hAnsi="Arial Nova" w:eastAsia="Arial Nova" w:cs="Arial Nova"/>
          <w:noProof w:val="0"/>
          <w:color w:val="auto"/>
          <w:sz w:val="22"/>
          <w:szCs w:val="22"/>
          <w:lang w:val="en-US"/>
        </w:rPr>
        <w:t xml:space="preserve"> communicate the value of StaySmart+ and support customer adoption.</w:t>
      </w:r>
    </w:p>
    <w:p xmlns:wp14="http://schemas.microsoft.com/office/word/2010/wordml" w:rsidP="15E77795" wp14:paraId="22BD6049" wp14:textId="5F44195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Human resources and learning and development</w:t>
      </w:r>
      <w:r w:rsidRPr="15E77795" w:rsidR="6A9D2C9E">
        <w:rPr>
          <w:rFonts w:ascii="Arial Nova" w:hAnsi="Arial Nova" w:eastAsia="Arial Nova" w:cs="Arial Nova"/>
          <w:noProof w:val="0"/>
          <w:color w:val="auto"/>
          <w:sz w:val="22"/>
          <w:szCs w:val="22"/>
          <w:lang w:val="en-US"/>
        </w:rPr>
        <w:t xml:space="preserve"> manage training and changes to employee responsibilities.</w:t>
      </w:r>
    </w:p>
    <w:p xmlns:wp14="http://schemas.microsoft.com/office/word/2010/wordml" w:rsidP="15E77795" wp14:paraId="06A3BB81" wp14:textId="308B5FF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Finance and procurement</w:t>
      </w:r>
      <w:r w:rsidRPr="15E77795" w:rsidR="6A9D2C9E">
        <w:rPr>
          <w:rFonts w:ascii="Arial Nova" w:hAnsi="Arial Nova" w:eastAsia="Arial Nova" w:cs="Arial Nova"/>
          <w:noProof w:val="0"/>
          <w:color w:val="auto"/>
          <w:sz w:val="22"/>
          <w:szCs w:val="22"/>
          <w:lang w:val="en-US"/>
        </w:rPr>
        <w:t xml:space="preserve"> manage budgets, supplier relationships and financial evaluation.</w:t>
      </w:r>
    </w:p>
    <w:p xmlns:wp14="http://schemas.microsoft.com/office/word/2010/wordml" w:rsidP="15E77795" wp14:paraId="02276E48" wp14:textId="2D651B7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Legal and data-protection teams</w:t>
      </w:r>
      <w:r w:rsidRPr="15E77795" w:rsidR="6A9D2C9E">
        <w:rPr>
          <w:rFonts w:ascii="Arial Nova" w:hAnsi="Arial Nova" w:eastAsia="Arial Nova" w:cs="Arial Nova"/>
          <w:noProof w:val="0"/>
          <w:color w:val="auto"/>
          <w:sz w:val="22"/>
          <w:szCs w:val="22"/>
          <w:lang w:val="en-US"/>
        </w:rPr>
        <w:t xml:space="preserve"> assess privacy, contractual and regulatory requirements.</w:t>
      </w:r>
    </w:p>
    <w:p xmlns:wp14="http://schemas.microsoft.com/office/word/2010/wordml" w:rsidP="15E77795" wp14:paraId="137CEC67" wp14:textId="55F4217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Sustainability specialists</w:t>
      </w:r>
      <w:r w:rsidRPr="15E77795" w:rsidR="6A9D2C9E">
        <w:rPr>
          <w:rFonts w:ascii="Arial Nova" w:hAnsi="Arial Nova" w:eastAsia="Arial Nova" w:cs="Arial Nova"/>
          <w:noProof w:val="0"/>
          <w:color w:val="auto"/>
          <w:sz w:val="22"/>
          <w:szCs w:val="22"/>
          <w:lang w:val="en-US"/>
        </w:rPr>
        <w:t xml:space="preserve"> ensure that environmental claims are credible and consistent with Marriott's sustainability strategy.</w:t>
      </w:r>
    </w:p>
    <w:p xmlns:wp14="http://schemas.microsoft.com/office/word/2010/wordml" w:rsidP="15E77795" wp14:paraId="76584359" wp14:textId="6DCAD28D">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External stakeholders</w:t>
      </w:r>
    </w:p>
    <w:p xmlns:wp14="http://schemas.microsoft.com/office/word/2010/wordml" w:rsidP="15E77795" wp14:paraId="1D52B085" wp14:textId="7F4D1CC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Guests</w:t>
      </w:r>
      <w:r w:rsidRPr="15E77795" w:rsidR="6A9D2C9E">
        <w:rPr>
          <w:rFonts w:ascii="Arial Nova" w:hAnsi="Arial Nova" w:eastAsia="Arial Nova" w:cs="Arial Nova"/>
          <w:noProof w:val="0"/>
          <w:color w:val="auto"/>
          <w:sz w:val="22"/>
          <w:szCs w:val="22"/>
          <w:lang w:val="en-US"/>
        </w:rPr>
        <w:t xml:space="preserve"> are the primary users and beneficiaries. Their adoption determines whether the service generates value.</w:t>
      </w:r>
    </w:p>
    <w:p xmlns:wp14="http://schemas.microsoft.com/office/word/2010/wordml" w:rsidP="15E77795" wp14:paraId="764CCE50" wp14:textId="2C10E80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Owners and franchisees</w:t>
      </w:r>
      <w:r w:rsidRPr="15E77795" w:rsidR="6A9D2C9E">
        <w:rPr>
          <w:rFonts w:ascii="Arial Nova" w:hAnsi="Arial Nova" w:eastAsia="Arial Nova" w:cs="Arial Nova"/>
          <w:noProof w:val="0"/>
          <w:color w:val="auto"/>
          <w:sz w:val="22"/>
          <w:szCs w:val="22"/>
          <w:lang w:val="en-US"/>
        </w:rPr>
        <w:t xml:space="preserve"> are highly influential because they may need to invest in implementation, training and equipment.</w:t>
      </w:r>
    </w:p>
    <w:p xmlns:wp14="http://schemas.microsoft.com/office/word/2010/wordml" w:rsidP="15E77795" wp14:paraId="326D5EB6" wp14:textId="029C732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Technology suppliers</w:t>
      </w:r>
      <w:r w:rsidRPr="15E77795" w:rsidR="6A9D2C9E">
        <w:rPr>
          <w:rFonts w:ascii="Arial Nova" w:hAnsi="Arial Nova" w:eastAsia="Arial Nova" w:cs="Arial Nova"/>
          <w:noProof w:val="0"/>
          <w:color w:val="auto"/>
          <w:sz w:val="22"/>
          <w:szCs w:val="22"/>
          <w:lang w:val="en-US"/>
        </w:rPr>
        <w:t xml:space="preserve"> provide specialist AI and digital capabilities but can also create vendor-dependency risks.</w:t>
      </w:r>
    </w:p>
    <w:p xmlns:wp14="http://schemas.microsoft.com/office/word/2010/wordml" w:rsidP="15E77795" wp14:paraId="62520433" wp14:textId="3E136D2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Sustainability suppliers and local businesses</w:t>
      </w:r>
      <w:r w:rsidRPr="15E77795" w:rsidR="6A9D2C9E">
        <w:rPr>
          <w:rFonts w:ascii="Arial Nova" w:hAnsi="Arial Nova" w:eastAsia="Arial Nova" w:cs="Arial Nova"/>
          <w:noProof w:val="0"/>
          <w:color w:val="auto"/>
          <w:sz w:val="22"/>
          <w:szCs w:val="22"/>
          <w:lang w:val="en-US"/>
        </w:rPr>
        <w:t xml:space="preserve"> can support sustainable travel recommendations and local experiences.</w:t>
      </w:r>
    </w:p>
    <w:p xmlns:wp14="http://schemas.microsoft.com/office/word/2010/wordml" w:rsidP="15E77795" wp14:paraId="286058BC" wp14:textId="4600416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Regulators</w:t>
      </w:r>
      <w:r w:rsidRPr="15E77795" w:rsidR="6A9D2C9E">
        <w:rPr>
          <w:rFonts w:ascii="Arial Nova" w:hAnsi="Arial Nova" w:eastAsia="Arial Nova" w:cs="Arial Nova"/>
          <w:noProof w:val="0"/>
          <w:color w:val="auto"/>
          <w:sz w:val="22"/>
          <w:szCs w:val="22"/>
          <w:lang w:val="en-US"/>
        </w:rPr>
        <w:t xml:space="preserve"> provide legal oversight and can impose requirements that influence service design.</w:t>
      </w:r>
    </w:p>
    <w:p xmlns:wp14="http://schemas.microsoft.com/office/word/2010/wordml" w:rsidP="15E77795" wp14:paraId="4D5080EE" wp14:textId="2A2CBC7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Local communities and destination organisations</w:t>
      </w:r>
      <w:r w:rsidRPr="15E77795" w:rsidR="6A9D2C9E">
        <w:rPr>
          <w:rFonts w:ascii="Arial Nova" w:hAnsi="Arial Nova" w:eastAsia="Arial Nova" w:cs="Arial Nova"/>
          <w:noProof w:val="0"/>
          <w:color w:val="auto"/>
          <w:sz w:val="22"/>
          <w:szCs w:val="22"/>
          <w:lang w:val="en-US"/>
        </w:rPr>
        <w:t xml:space="preserve"> provide local knowledge and may be affected by increased tourism activity.</w:t>
      </w:r>
    </w:p>
    <w:p xmlns:wp14="http://schemas.microsoft.com/office/word/2010/wordml" w:rsidP="15E77795" wp14:paraId="73649DF0" wp14:textId="59D215B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Investors</w:t>
      </w:r>
      <w:r w:rsidRPr="15E77795" w:rsidR="6A9D2C9E">
        <w:rPr>
          <w:rFonts w:ascii="Arial Nova" w:hAnsi="Arial Nova" w:eastAsia="Arial Nova" w:cs="Arial Nova"/>
          <w:noProof w:val="0"/>
          <w:color w:val="auto"/>
          <w:sz w:val="22"/>
          <w:szCs w:val="22"/>
          <w:lang w:val="en-US"/>
        </w:rPr>
        <w:t xml:space="preserve"> are concerned with financial performance, risk and long-term value.</w:t>
      </w:r>
    </w:p>
    <w:p xmlns:wp14="http://schemas.microsoft.com/office/word/2010/wordml" w:rsidP="15E77795" wp14:paraId="1E218BC9" wp14:textId="606F8924">
      <w:pPr>
        <w:bidi w:val="0"/>
        <w:spacing w:before="240" w:beforeAutospacing="off" w:after="240" w:afterAutospacing="off"/>
      </w:pPr>
      <w:r w:rsidRPr="15E77795" w:rsidR="6A9D2C9E">
        <w:rPr>
          <w:rFonts w:ascii="Arial Nova" w:hAnsi="Arial Nova" w:eastAsia="Arial Nova" w:cs="Arial Nova"/>
          <w:noProof w:val="0"/>
          <w:color w:val="auto"/>
          <w:sz w:val="22"/>
          <w:szCs w:val="22"/>
          <w:lang w:val="en-US"/>
        </w:rPr>
        <w:t>The stakeholder network therefore extends from the corporate centre to individual hotel employees, guests and local communities. This supports Christopher, Payne and Ballantyne's (2002) argument that relationship management in service organisations involves multiple stakeholder groups rather than only the customer.</w:t>
      </w:r>
    </w:p>
    <w:p xmlns:wp14="http://schemas.microsoft.com/office/word/2010/wordml" w:rsidP="15E77795" wp14:paraId="42B292F9" wp14:textId="42FA8DBF">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7E11E20C" wp14:textId="733BC6EB">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8C1EE54" wp14:textId="79C59774">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6B5202B2" wp14:textId="5CCA60B0">
      <w:pPr>
        <w:bidi w:val="0"/>
        <w:rPr>
          <w:rFonts w:ascii="Arial Nova" w:hAnsi="Arial Nova" w:eastAsia="Arial Nova" w:cs="Arial Nova"/>
          <w:color w:val="auto"/>
        </w:rPr>
      </w:pPr>
    </w:p>
    <w:p xmlns:wp14="http://schemas.microsoft.com/office/word/2010/wordml" w:rsidP="15E77795" wp14:paraId="18100650" wp14:textId="2E054425">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6. Stakeholder Roles, Responsibilities, Benefits and Challenges</w:t>
      </w:r>
    </w:p>
    <w:tbl>
      <w:tblPr>
        <w:tblStyle w:val="TableNormal"/>
        <w:bidiVisual w:val="0"/>
        <w:tblW w:w="0" w:type="auto"/>
        <w:tblLook w:val="06A0" w:firstRow="1" w:lastRow="0" w:firstColumn="1" w:lastColumn="0" w:noHBand="1" w:noVBand="1"/>
      </w:tblPr>
      <w:tblGrid>
        <w:gridCol w:w="1766"/>
        <w:gridCol w:w="2839"/>
        <w:gridCol w:w="2939"/>
        <w:gridCol w:w="2206"/>
      </w:tblGrid>
      <w:tr w:rsidR="15E77795" w:rsidTr="15E77795" w14:paraId="5FF3D88D">
        <w:trPr>
          <w:trHeight w:val="300"/>
        </w:trPr>
        <w:tc>
          <w:tcPr>
            <w:tcW w:w="1766" w:type="dxa"/>
            <w:tcMar/>
            <w:vAlign w:val="center"/>
          </w:tcPr>
          <w:p w:rsidR="15E77795" w:rsidP="15E77795" w:rsidRDefault="15E77795" w14:paraId="4A9DD5D2" w14:textId="7C66A9DC">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Stakeholder</w:t>
            </w:r>
          </w:p>
        </w:tc>
        <w:tc>
          <w:tcPr>
            <w:tcW w:w="2839" w:type="dxa"/>
            <w:tcMar/>
            <w:vAlign w:val="center"/>
          </w:tcPr>
          <w:p w:rsidR="15E77795" w:rsidP="15E77795" w:rsidRDefault="15E77795" w14:paraId="15B3E4B1" w14:textId="78849E1C">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Main role</w:t>
            </w:r>
          </w:p>
        </w:tc>
        <w:tc>
          <w:tcPr>
            <w:tcW w:w="2939" w:type="dxa"/>
            <w:tcMar/>
            <w:vAlign w:val="center"/>
          </w:tcPr>
          <w:p w:rsidR="15E77795" w:rsidP="15E77795" w:rsidRDefault="15E77795" w14:paraId="7CF5B441" w14:textId="24EE21BC">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Benefit to project</w:t>
            </w:r>
          </w:p>
        </w:tc>
        <w:tc>
          <w:tcPr>
            <w:tcW w:w="2206" w:type="dxa"/>
            <w:tcMar/>
            <w:vAlign w:val="center"/>
          </w:tcPr>
          <w:p w:rsidR="15E77795" w:rsidP="15E77795" w:rsidRDefault="15E77795" w14:paraId="56D48F44" w14:textId="0AD4FA22">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Challenge</w:t>
            </w:r>
          </w:p>
        </w:tc>
      </w:tr>
      <w:tr w:rsidR="15E77795" w:rsidTr="15E77795" w14:paraId="060880F0">
        <w:trPr>
          <w:trHeight w:val="300"/>
        </w:trPr>
        <w:tc>
          <w:tcPr>
            <w:tcW w:w="1766" w:type="dxa"/>
            <w:tcMar/>
            <w:vAlign w:val="center"/>
          </w:tcPr>
          <w:p w:rsidR="15E77795" w:rsidP="15E77795" w:rsidRDefault="15E77795" w14:paraId="2B17A3AE" w14:textId="3CDE8E2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Executive sponsor</w:t>
            </w:r>
          </w:p>
        </w:tc>
        <w:tc>
          <w:tcPr>
            <w:tcW w:w="2839" w:type="dxa"/>
            <w:tcMar/>
            <w:vAlign w:val="center"/>
          </w:tcPr>
          <w:p w:rsidR="15E77795" w:rsidP="15E77795" w:rsidRDefault="15E77795" w14:paraId="227F6384" w14:textId="083C379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Strategic direction</w:t>
            </w:r>
          </w:p>
        </w:tc>
        <w:tc>
          <w:tcPr>
            <w:tcW w:w="2939" w:type="dxa"/>
            <w:tcMar/>
            <w:vAlign w:val="center"/>
          </w:tcPr>
          <w:p w:rsidR="15E77795" w:rsidP="15E77795" w:rsidRDefault="15E77795" w14:paraId="0CC13850" w14:textId="7652AA7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Authority and funding</w:t>
            </w:r>
          </w:p>
        </w:tc>
        <w:tc>
          <w:tcPr>
            <w:tcW w:w="2206" w:type="dxa"/>
            <w:tcMar/>
            <w:vAlign w:val="center"/>
          </w:tcPr>
          <w:p w:rsidR="15E77795" w:rsidP="15E77795" w:rsidRDefault="15E77795" w14:paraId="74FCA392" w14:textId="2590B84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Competing priorities</w:t>
            </w:r>
          </w:p>
        </w:tc>
      </w:tr>
      <w:tr w:rsidR="15E77795" w:rsidTr="15E77795" w14:paraId="3C0FE9CC">
        <w:trPr>
          <w:trHeight w:val="300"/>
        </w:trPr>
        <w:tc>
          <w:tcPr>
            <w:tcW w:w="1766" w:type="dxa"/>
            <w:tcMar/>
            <w:vAlign w:val="center"/>
          </w:tcPr>
          <w:p w:rsidR="15E77795" w:rsidP="15E77795" w:rsidRDefault="15E77795" w14:paraId="1B4AFEF0" w14:textId="1050FE9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Project manager</w:t>
            </w:r>
          </w:p>
        </w:tc>
        <w:tc>
          <w:tcPr>
            <w:tcW w:w="2839" w:type="dxa"/>
            <w:tcMar/>
            <w:vAlign w:val="center"/>
          </w:tcPr>
          <w:p w:rsidR="15E77795" w:rsidP="15E77795" w:rsidRDefault="15E77795" w14:paraId="1038B12A" w14:textId="216FA72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Coordination and governance</w:t>
            </w:r>
          </w:p>
        </w:tc>
        <w:tc>
          <w:tcPr>
            <w:tcW w:w="2939" w:type="dxa"/>
            <w:tcMar/>
            <w:vAlign w:val="center"/>
          </w:tcPr>
          <w:p w:rsidR="15E77795" w:rsidP="15E77795" w:rsidRDefault="15E77795" w14:paraId="61CCBABF" w14:textId="731C120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Integration</w:t>
            </w:r>
          </w:p>
        </w:tc>
        <w:tc>
          <w:tcPr>
            <w:tcW w:w="2206" w:type="dxa"/>
            <w:tcMar/>
            <w:vAlign w:val="center"/>
          </w:tcPr>
          <w:p w:rsidR="15E77795" w:rsidP="15E77795" w:rsidRDefault="15E77795" w14:paraId="740CE529" w14:textId="5E0EC53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Conflicting interests</w:t>
            </w:r>
          </w:p>
        </w:tc>
      </w:tr>
      <w:tr w:rsidR="15E77795" w:rsidTr="15E77795" w14:paraId="58805AC5">
        <w:trPr>
          <w:trHeight w:val="300"/>
        </w:trPr>
        <w:tc>
          <w:tcPr>
            <w:tcW w:w="1766" w:type="dxa"/>
            <w:tcMar/>
            <w:vAlign w:val="center"/>
          </w:tcPr>
          <w:p w:rsidR="15E77795" w:rsidP="15E77795" w:rsidRDefault="15E77795" w14:paraId="05382D8B" w14:textId="51BBFE1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Product team</w:t>
            </w:r>
          </w:p>
        </w:tc>
        <w:tc>
          <w:tcPr>
            <w:tcW w:w="2839" w:type="dxa"/>
            <w:tcMar/>
            <w:vAlign w:val="center"/>
          </w:tcPr>
          <w:p w:rsidR="15E77795" w:rsidP="15E77795" w:rsidRDefault="15E77795" w14:paraId="10819D2E" w14:textId="57EB4F9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Service design</w:t>
            </w:r>
          </w:p>
        </w:tc>
        <w:tc>
          <w:tcPr>
            <w:tcW w:w="2939" w:type="dxa"/>
            <w:tcMar/>
            <w:vAlign w:val="center"/>
          </w:tcPr>
          <w:p w:rsidR="15E77795" w:rsidP="15E77795" w:rsidRDefault="15E77795" w14:paraId="1035696B" w14:textId="44E37FA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Customer focus</w:t>
            </w:r>
          </w:p>
        </w:tc>
        <w:tc>
          <w:tcPr>
            <w:tcW w:w="2206" w:type="dxa"/>
            <w:tcMar/>
            <w:vAlign w:val="center"/>
          </w:tcPr>
          <w:p w:rsidR="15E77795" w:rsidP="15E77795" w:rsidRDefault="15E77795" w14:paraId="39DCEA7A" w14:textId="6CF821C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Scope creep</w:t>
            </w:r>
          </w:p>
        </w:tc>
      </w:tr>
      <w:tr w:rsidR="15E77795" w:rsidTr="15E77795" w14:paraId="5BC42E7E">
        <w:trPr>
          <w:trHeight w:val="300"/>
        </w:trPr>
        <w:tc>
          <w:tcPr>
            <w:tcW w:w="1766" w:type="dxa"/>
            <w:tcMar/>
            <w:vAlign w:val="center"/>
          </w:tcPr>
          <w:p w:rsidR="15E77795" w:rsidP="15E77795" w:rsidRDefault="15E77795" w14:paraId="7ED3CF65" w14:textId="11E902A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IT/AI</w:t>
            </w:r>
          </w:p>
        </w:tc>
        <w:tc>
          <w:tcPr>
            <w:tcW w:w="2839" w:type="dxa"/>
            <w:tcMar/>
            <w:vAlign w:val="center"/>
          </w:tcPr>
          <w:p w:rsidR="15E77795" w:rsidP="15E77795" w:rsidRDefault="15E77795" w14:paraId="5E0B4F23" w14:textId="77D0B72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Technology</w:t>
            </w:r>
          </w:p>
        </w:tc>
        <w:tc>
          <w:tcPr>
            <w:tcW w:w="2939" w:type="dxa"/>
            <w:tcMar/>
            <w:vAlign w:val="center"/>
          </w:tcPr>
          <w:p w:rsidR="15E77795" w:rsidP="15E77795" w:rsidRDefault="15E77795" w14:paraId="4927E21C" w14:textId="634B939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Specialist expertise</w:t>
            </w:r>
          </w:p>
        </w:tc>
        <w:tc>
          <w:tcPr>
            <w:tcW w:w="2206" w:type="dxa"/>
            <w:tcMar/>
            <w:vAlign w:val="center"/>
          </w:tcPr>
          <w:p w:rsidR="15E77795" w:rsidP="15E77795" w:rsidRDefault="15E77795" w14:paraId="2A8F06C4" w14:textId="66D929A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Security and reliability</w:t>
            </w:r>
          </w:p>
        </w:tc>
      </w:tr>
      <w:tr w:rsidR="15E77795" w:rsidTr="15E77795" w14:paraId="6F4C92D8">
        <w:trPr>
          <w:trHeight w:val="300"/>
        </w:trPr>
        <w:tc>
          <w:tcPr>
            <w:tcW w:w="1766" w:type="dxa"/>
            <w:tcMar/>
            <w:vAlign w:val="center"/>
          </w:tcPr>
          <w:p w:rsidR="15E77795" w:rsidP="15E77795" w:rsidRDefault="15E77795" w14:paraId="6F799FF8" w14:textId="02F42EE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Hotel GMs</w:t>
            </w:r>
          </w:p>
        </w:tc>
        <w:tc>
          <w:tcPr>
            <w:tcW w:w="2839" w:type="dxa"/>
            <w:tcMar/>
            <w:vAlign w:val="center"/>
          </w:tcPr>
          <w:p w:rsidR="15E77795" w:rsidP="15E77795" w:rsidRDefault="15E77795" w14:paraId="06092C46" w14:textId="082ED2B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Implementation</w:t>
            </w:r>
          </w:p>
        </w:tc>
        <w:tc>
          <w:tcPr>
            <w:tcW w:w="2939" w:type="dxa"/>
            <w:tcMar/>
            <w:vAlign w:val="center"/>
          </w:tcPr>
          <w:p w:rsidR="15E77795" w:rsidP="15E77795" w:rsidRDefault="15E77795" w14:paraId="68692070" w14:textId="788B311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Local knowledge</w:t>
            </w:r>
          </w:p>
        </w:tc>
        <w:tc>
          <w:tcPr>
            <w:tcW w:w="2206" w:type="dxa"/>
            <w:tcMar/>
            <w:vAlign w:val="center"/>
          </w:tcPr>
          <w:p w:rsidR="15E77795" w:rsidP="15E77795" w:rsidRDefault="15E77795" w14:paraId="6B68F1D0" w14:textId="4574E30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Operational pressure</w:t>
            </w:r>
          </w:p>
        </w:tc>
      </w:tr>
      <w:tr w:rsidR="15E77795" w:rsidTr="15E77795" w14:paraId="3E3A0215">
        <w:trPr>
          <w:trHeight w:val="300"/>
        </w:trPr>
        <w:tc>
          <w:tcPr>
            <w:tcW w:w="1766" w:type="dxa"/>
            <w:tcMar/>
            <w:vAlign w:val="center"/>
          </w:tcPr>
          <w:p w:rsidR="15E77795" w:rsidP="15E77795" w:rsidRDefault="15E77795" w14:paraId="57CA44A4" w14:textId="5153C87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Employees</w:t>
            </w:r>
          </w:p>
        </w:tc>
        <w:tc>
          <w:tcPr>
            <w:tcW w:w="2839" w:type="dxa"/>
            <w:tcMar/>
            <w:vAlign w:val="center"/>
          </w:tcPr>
          <w:p w:rsidR="15E77795" w:rsidP="15E77795" w:rsidRDefault="15E77795" w14:paraId="518EAEF6" w14:textId="2466FF4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Service delivery</w:t>
            </w:r>
          </w:p>
        </w:tc>
        <w:tc>
          <w:tcPr>
            <w:tcW w:w="2939" w:type="dxa"/>
            <w:tcMar/>
            <w:vAlign w:val="center"/>
          </w:tcPr>
          <w:p w:rsidR="15E77795" w:rsidP="15E77795" w:rsidRDefault="15E77795" w14:paraId="02573F46" w14:textId="0E58F33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Human interaction</w:t>
            </w:r>
          </w:p>
        </w:tc>
        <w:tc>
          <w:tcPr>
            <w:tcW w:w="2206" w:type="dxa"/>
            <w:tcMar/>
            <w:vAlign w:val="center"/>
          </w:tcPr>
          <w:p w:rsidR="15E77795" w:rsidP="15E77795" w:rsidRDefault="15E77795" w14:paraId="7162AA26" w14:textId="2444459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Job concerns</w:t>
            </w:r>
          </w:p>
        </w:tc>
      </w:tr>
      <w:tr w:rsidR="15E77795" w:rsidTr="15E77795" w14:paraId="65A4C569">
        <w:trPr>
          <w:trHeight w:val="300"/>
        </w:trPr>
        <w:tc>
          <w:tcPr>
            <w:tcW w:w="1766" w:type="dxa"/>
            <w:tcMar/>
            <w:vAlign w:val="center"/>
          </w:tcPr>
          <w:p w:rsidR="15E77795" w:rsidP="15E77795" w:rsidRDefault="15E77795" w14:paraId="0F58E3EB" w14:textId="08566EC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HR/L&amp;D</w:t>
            </w:r>
          </w:p>
        </w:tc>
        <w:tc>
          <w:tcPr>
            <w:tcW w:w="2839" w:type="dxa"/>
            <w:tcMar/>
            <w:vAlign w:val="center"/>
          </w:tcPr>
          <w:p w:rsidR="15E77795" w:rsidP="15E77795" w:rsidRDefault="15E77795" w14:paraId="35A937F5" w14:textId="5FB48D6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Training</w:t>
            </w:r>
          </w:p>
        </w:tc>
        <w:tc>
          <w:tcPr>
            <w:tcW w:w="2939" w:type="dxa"/>
            <w:tcMar/>
            <w:vAlign w:val="center"/>
          </w:tcPr>
          <w:p w:rsidR="15E77795" w:rsidP="15E77795" w:rsidRDefault="15E77795" w14:paraId="371036E7" w14:textId="190AE52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Capability</w:t>
            </w:r>
          </w:p>
        </w:tc>
        <w:tc>
          <w:tcPr>
            <w:tcW w:w="2206" w:type="dxa"/>
            <w:tcMar/>
            <w:vAlign w:val="center"/>
          </w:tcPr>
          <w:p w:rsidR="15E77795" w:rsidP="15E77795" w:rsidRDefault="15E77795" w14:paraId="4B5930B5" w14:textId="6FBC93B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Training time</w:t>
            </w:r>
          </w:p>
        </w:tc>
      </w:tr>
      <w:tr w:rsidR="15E77795" w:rsidTr="15E77795" w14:paraId="7DE0014D">
        <w:trPr>
          <w:trHeight w:val="300"/>
        </w:trPr>
        <w:tc>
          <w:tcPr>
            <w:tcW w:w="1766" w:type="dxa"/>
            <w:tcMar/>
            <w:vAlign w:val="center"/>
          </w:tcPr>
          <w:p w:rsidR="15E77795" w:rsidP="15E77795" w:rsidRDefault="15E77795" w14:paraId="20C00C62" w14:textId="46781C2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Marketing</w:t>
            </w:r>
          </w:p>
        </w:tc>
        <w:tc>
          <w:tcPr>
            <w:tcW w:w="2839" w:type="dxa"/>
            <w:tcMar/>
            <w:vAlign w:val="center"/>
          </w:tcPr>
          <w:p w:rsidR="15E77795" w:rsidP="15E77795" w:rsidRDefault="15E77795" w14:paraId="019B6725" w14:textId="1EC4D0B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Promotion</w:t>
            </w:r>
          </w:p>
        </w:tc>
        <w:tc>
          <w:tcPr>
            <w:tcW w:w="2939" w:type="dxa"/>
            <w:tcMar/>
            <w:vAlign w:val="center"/>
          </w:tcPr>
          <w:p w:rsidR="15E77795" w:rsidP="15E77795" w:rsidRDefault="15E77795" w14:paraId="4380BF3F" w14:textId="2272EDE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Customer adoption</w:t>
            </w:r>
          </w:p>
        </w:tc>
        <w:tc>
          <w:tcPr>
            <w:tcW w:w="2206" w:type="dxa"/>
            <w:tcMar/>
            <w:vAlign w:val="center"/>
          </w:tcPr>
          <w:p w:rsidR="15E77795" w:rsidP="15E77795" w:rsidRDefault="15E77795" w14:paraId="744831E9" w14:textId="50B9A1C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Over-promising</w:t>
            </w:r>
          </w:p>
        </w:tc>
      </w:tr>
      <w:tr w:rsidR="15E77795" w:rsidTr="15E77795" w14:paraId="731CD8D6">
        <w:trPr>
          <w:trHeight w:val="300"/>
        </w:trPr>
        <w:tc>
          <w:tcPr>
            <w:tcW w:w="1766" w:type="dxa"/>
            <w:tcMar/>
            <w:vAlign w:val="center"/>
          </w:tcPr>
          <w:p w:rsidR="15E77795" w:rsidP="15E77795" w:rsidRDefault="15E77795" w14:paraId="4213EF66" w14:textId="64C0B3C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Legal/DPO</w:t>
            </w:r>
          </w:p>
        </w:tc>
        <w:tc>
          <w:tcPr>
            <w:tcW w:w="2839" w:type="dxa"/>
            <w:tcMar/>
            <w:vAlign w:val="center"/>
          </w:tcPr>
          <w:p w:rsidR="15E77795" w:rsidP="15E77795" w:rsidRDefault="15E77795" w14:paraId="6178FFE8" w14:textId="5D83997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Compliance</w:t>
            </w:r>
          </w:p>
        </w:tc>
        <w:tc>
          <w:tcPr>
            <w:tcW w:w="2939" w:type="dxa"/>
            <w:tcMar/>
            <w:vAlign w:val="center"/>
          </w:tcPr>
          <w:p w:rsidR="15E77795" w:rsidP="15E77795" w:rsidRDefault="15E77795" w14:paraId="5F79D03A" w14:textId="59B8788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Risk reduction</w:t>
            </w:r>
          </w:p>
        </w:tc>
        <w:tc>
          <w:tcPr>
            <w:tcW w:w="2206" w:type="dxa"/>
            <w:tcMar/>
            <w:vAlign w:val="center"/>
          </w:tcPr>
          <w:p w:rsidR="15E77795" w:rsidP="15E77795" w:rsidRDefault="15E77795" w14:paraId="0FE776AA" w14:textId="70E06D7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Regulatory complexity</w:t>
            </w:r>
          </w:p>
        </w:tc>
      </w:tr>
      <w:tr w:rsidR="15E77795" w:rsidTr="15E77795" w14:paraId="773800F3">
        <w:trPr>
          <w:trHeight w:val="300"/>
        </w:trPr>
        <w:tc>
          <w:tcPr>
            <w:tcW w:w="1766" w:type="dxa"/>
            <w:tcMar/>
            <w:vAlign w:val="center"/>
          </w:tcPr>
          <w:p w:rsidR="15E77795" w:rsidP="15E77795" w:rsidRDefault="15E77795" w14:paraId="55738F1E" w14:textId="7DBCE71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w:t>
            </w:r>
          </w:p>
        </w:tc>
        <w:tc>
          <w:tcPr>
            <w:tcW w:w="2839" w:type="dxa"/>
            <w:tcMar/>
            <w:vAlign w:val="center"/>
          </w:tcPr>
          <w:p w:rsidR="15E77795" w:rsidP="15E77795" w:rsidRDefault="15E77795" w14:paraId="559B7728" w14:textId="5225CC8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Environmental design</w:t>
            </w:r>
          </w:p>
        </w:tc>
        <w:tc>
          <w:tcPr>
            <w:tcW w:w="2939" w:type="dxa"/>
            <w:tcMar/>
            <w:vAlign w:val="center"/>
          </w:tcPr>
          <w:p w:rsidR="15E77795" w:rsidP="15E77795" w:rsidRDefault="15E77795" w14:paraId="60D75B9A" w14:textId="161DA02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Credibility</w:t>
            </w:r>
          </w:p>
        </w:tc>
        <w:tc>
          <w:tcPr>
            <w:tcW w:w="2206" w:type="dxa"/>
            <w:tcMar/>
            <w:vAlign w:val="center"/>
          </w:tcPr>
          <w:p w:rsidR="15E77795" w:rsidP="15E77795" w:rsidRDefault="15E77795" w14:paraId="62392FB8" w14:textId="56AE02E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Greenwashing risk</w:t>
            </w:r>
          </w:p>
        </w:tc>
      </w:tr>
      <w:tr w:rsidR="15E77795" w:rsidTr="15E77795" w14:paraId="2FCC9E58">
        <w:trPr>
          <w:trHeight w:val="300"/>
        </w:trPr>
        <w:tc>
          <w:tcPr>
            <w:tcW w:w="1766" w:type="dxa"/>
            <w:tcMar/>
            <w:vAlign w:val="center"/>
          </w:tcPr>
          <w:p w:rsidR="15E77795" w:rsidP="15E77795" w:rsidRDefault="15E77795" w14:paraId="448CEDCB" w14:textId="0CB98C8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Owners</w:t>
            </w:r>
          </w:p>
        </w:tc>
        <w:tc>
          <w:tcPr>
            <w:tcW w:w="2839" w:type="dxa"/>
            <w:tcMar/>
            <w:vAlign w:val="center"/>
          </w:tcPr>
          <w:p w:rsidR="15E77795" w:rsidP="15E77795" w:rsidRDefault="15E77795" w14:paraId="011C30B5" w14:textId="15EAF64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Investment</w:t>
            </w:r>
          </w:p>
        </w:tc>
        <w:tc>
          <w:tcPr>
            <w:tcW w:w="2939" w:type="dxa"/>
            <w:tcMar/>
            <w:vAlign w:val="center"/>
          </w:tcPr>
          <w:p w:rsidR="15E77795" w:rsidP="15E77795" w:rsidRDefault="15E77795" w14:paraId="3FCA721D" w14:textId="5831C19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Capital and market knowledge</w:t>
            </w:r>
          </w:p>
        </w:tc>
        <w:tc>
          <w:tcPr>
            <w:tcW w:w="2206" w:type="dxa"/>
            <w:tcMar/>
            <w:vAlign w:val="center"/>
          </w:tcPr>
          <w:p w:rsidR="15E77795" w:rsidP="15E77795" w:rsidRDefault="15E77795" w14:paraId="1C824D2D" w14:textId="4836B32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ROI concerns</w:t>
            </w:r>
          </w:p>
        </w:tc>
      </w:tr>
      <w:tr w:rsidR="15E77795" w:rsidTr="15E77795" w14:paraId="520C2E16">
        <w:trPr>
          <w:trHeight w:val="300"/>
        </w:trPr>
        <w:tc>
          <w:tcPr>
            <w:tcW w:w="1766" w:type="dxa"/>
            <w:tcMar/>
            <w:vAlign w:val="center"/>
          </w:tcPr>
          <w:p w:rsidR="15E77795" w:rsidP="15E77795" w:rsidRDefault="15E77795" w14:paraId="35FECA9C" w14:textId="7C87EAD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Guests</w:t>
            </w:r>
          </w:p>
        </w:tc>
        <w:tc>
          <w:tcPr>
            <w:tcW w:w="2839" w:type="dxa"/>
            <w:tcMar/>
            <w:vAlign w:val="center"/>
          </w:tcPr>
          <w:p w:rsidR="15E77795" w:rsidP="15E77795" w:rsidRDefault="15E77795" w14:paraId="1F3CC272" w14:textId="143A5E6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Usage and feedback</w:t>
            </w:r>
          </w:p>
        </w:tc>
        <w:tc>
          <w:tcPr>
            <w:tcW w:w="2939" w:type="dxa"/>
            <w:tcMar/>
            <w:vAlign w:val="center"/>
          </w:tcPr>
          <w:p w:rsidR="15E77795" w:rsidP="15E77795" w:rsidRDefault="15E77795" w14:paraId="05C45477" w14:textId="5310378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Customer insight</w:t>
            </w:r>
          </w:p>
        </w:tc>
        <w:tc>
          <w:tcPr>
            <w:tcW w:w="2206" w:type="dxa"/>
            <w:tcMar/>
            <w:vAlign w:val="center"/>
          </w:tcPr>
          <w:p w:rsidR="15E77795" w:rsidP="15E77795" w:rsidRDefault="15E77795" w14:paraId="4A7148B0" w14:textId="769DAB8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Privacy concerns</w:t>
            </w:r>
          </w:p>
        </w:tc>
      </w:tr>
      <w:tr w:rsidR="15E77795" w:rsidTr="15E77795" w14:paraId="45F57E70">
        <w:trPr>
          <w:trHeight w:val="300"/>
        </w:trPr>
        <w:tc>
          <w:tcPr>
            <w:tcW w:w="1766" w:type="dxa"/>
            <w:tcMar/>
            <w:vAlign w:val="center"/>
          </w:tcPr>
          <w:p w:rsidR="15E77795" w:rsidP="15E77795" w:rsidRDefault="15E77795" w14:paraId="4E294AAF" w14:textId="1BF51E1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Suppliers</w:t>
            </w:r>
          </w:p>
        </w:tc>
        <w:tc>
          <w:tcPr>
            <w:tcW w:w="2839" w:type="dxa"/>
            <w:tcMar/>
            <w:vAlign w:val="center"/>
          </w:tcPr>
          <w:p w:rsidR="15E77795" w:rsidP="15E77795" w:rsidRDefault="15E77795" w14:paraId="6E47988A" w14:textId="5948C4B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Technology/services</w:t>
            </w:r>
          </w:p>
        </w:tc>
        <w:tc>
          <w:tcPr>
            <w:tcW w:w="2939" w:type="dxa"/>
            <w:tcMar/>
            <w:vAlign w:val="center"/>
          </w:tcPr>
          <w:p w:rsidR="15E77795" w:rsidP="15E77795" w:rsidRDefault="15E77795" w14:paraId="0BC75EDC" w14:textId="79E5CCD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Specialist capability</w:t>
            </w:r>
          </w:p>
        </w:tc>
        <w:tc>
          <w:tcPr>
            <w:tcW w:w="2206" w:type="dxa"/>
            <w:tcMar/>
            <w:vAlign w:val="center"/>
          </w:tcPr>
          <w:p w:rsidR="15E77795" w:rsidP="15E77795" w:rsidRDefault="15E77795" w14:paraId="03E8D3D1" w14:textId="42701EC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Dependency</w:t>
            </w:r>
          </w:p>
        </w:tc>
      </w:tr>
      <w:tr w:rsidR="15E77795" w:rsidTr="15E77795" w14:paraId="3ED49A52">
        <w:trPr>
          <w:trHeight w:val="300"/>
        </w:trPr>
        <w:tc>
          <w:tcPr>
            <w:tcW w:w="1766" w:type="dxa"/>
            <w:tcMar/>
            <w:vAlign w:val="center"/>
          </w:tcPr>
          <w:p w:rsidR="15E77795" w:rsidP="15E77795" w:rsidRDefault="15E77795" w14:paraId="5C32AA06" w14:textId="37D33EA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Regulators</w:t>
            </w:r>
          </w:p>
        </w:tc>
        <w:tc>
          <w:tcPr>
            <w:tcW w:w="2839" w:type="dxa"/>
            <w:tcMar/>
            <w:vAlign w:val="center"/>
          </w:tcPr>
          <w:p w:rsidR="15E77795" w:rsidP="15E77795" w:rsidRDefault="15E77795" w14:paraId="606CD2C7" w14:textId="312102D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Oversight</w:t>
            </w:r>
          </w:p>
        </w:tc>
        <w:tc>
          <w:tcPr>
            <w:tcW w:w="2939" w:type="dxa"/>
            <w:tcMar/>
            <w:vAlign w:val="center"/>
          </w:tcPr>
          <w:p w:rsidR="15E77795" w:rsidP="15E77795" w:rsidRDefault="15E77795" w14:paraId="54EA5A5F" w14:textId="7B0F6A7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Legitimacy</w:t>
            </w:r>
          </w:p>
        </w:tc>
        <w:tc>
          <w:tcPr>
            <w:tcW w:w="2206" w:type="dxa"/>
            <w:tcMar/>
            <w:vAlign w:val="center"/>
          </w:tcPr>
          <w:p w:rsidR="15E77795" w:rsidP="15E77795" w:rsidRDefault="15E77795" w14:paraId="75474B66" w14:textId="5150116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Different requirements</w:t>
            </w:r>
          </w:p>
        </w:tc>
      </w:tr>
      <w:tr w:rsidR="15E77795" w:rsidTr="15E77795" w14:paraId="23CC14B2">
        <w:trPr>
          <w:trHeight w:val="300"/>
        </w:trPr>
        <w:tc>
          <w:tcPr>
            <w:tcW w:w="1766" w:type="dxa"/>
            <w:tcMar/>
            <w:vAlign w:val="center"/>
          </w:tcPr>
          <w:p w:rsidR="15E77795" w:rsidP="15E77795" w:rsidRDefault="15E77795" w14:paraId="14522E30" w14:textId="5E96520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Communities</w:t>
            </w:r>
          </w:p>
        </w:tc>
        <w:tc>
          <w:tcPr>
            <w:tcW w:w="2839" w:type="dxa"/>
            <w:tcMar/>
            <w:vAlign w:val="center"/>
          </w:tcPr>
          <w:p w:rsidR="15E77795" w:rsidP="15E77795" w:rsidRDefault="15E77795" w14:paraId="76C914B6" w14:textId="2D821C6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Local knowledge</w:t>
            </w:r>
          </w:p>
        </w:tc>
        <w:tc>
          <w:tcPr>
            <w:tcW w:w="2939" w:type="dxa"/>
            <w:tcMar/>
            <w:vAlign w:val="center"/>
          </w:tcPr>
          <w:p w:rsidR="15E77795" w:rsidP="15E77795" w:rsidRDefault="15E77795" w14:paraId="1051D4C3" w14:textId="13FEE0A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Social legitimacy</w:t>
            </w:r>
          </w:p>
        </w:tc>
        <w:tc>
          <w:tcPr>
            <w:tcW w:w="2206" w:type="dxa"/>
            <w:tcMar/>
            <w:vAlign w:val="center"/>
          </w:tcPr>
          <w:p w:rsidR="15E77795" w:rsidP="15E77795" w:rsidRDefault="15E77795" w14:paraId="14CDB6B7" w14:textId="2CF9E92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Tourism impacts</w:t>
            </w:r>
          </w:p>
        </w:tc>
      </w:tr>
    </w:tbl>
    <w:p xmlns:wp14="http://schemas.microsoft.com/office/word/2010/wordml" w:rsidP="15E77795" wp14:paraId="0FFB4F31" wp14:textId="4665CBC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benefits provided by stakeholders are interdependent. Employees provide practical knowledge about customer interactions, customers provide information about expectations, owners provide investment and suppliers provide specialist capabilities. Effective engagement should therefore allow these different resources to be combined.</w:t>
      </w:r>
    </w:p>
    <w:p xmlns:wp14="http://schemas.microsoft.com/office/word/2010/wordml" w:rsidP="15E77795" wp14:paraId="18EB52D2" wp14:textId="5F903F6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the same stakeholders can also create constraints. For example, owners may want fast implementation, while the legal team may want additional testing. Employees may support automation of repetitive work but oppose the removal of human interaction. Guests may request personalised recommendations while being concerned about how much data is collected.</w:t>
      </w:r>
    </w:p>
    <w:p xmlns:wp14="http://schemas.microsoft.com/office/word/2010/wordml" w:rsidP="15E77795" wp14:paraId="17E3384D" wp14:textId="1C9F3F1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illustrates an important limitation of a simplistic stakeholder-management approach. Stakeholders cannot always be “kept happy”. The project manager must sometimes make decisions that disadvantage one stakeholder in order to protect another legitimate interest. Good stakeholder management therefore requires transparency, negotiation and prioritisation.</w:t>
      </w:r>
    </w:p>
    <w:p xmlns:wp14="http://schemas.microsoft.com/office/word/2010/wordml" w:rsidP="15E77795" wp14:paraId="36E30B67" wp14:textId="22968512">
      <w:pPr>
        <w:bidi w:val="0"/>
        <w:rPr>
          <w:rFonts w:ascii="Arial Nova" w:hAnsi="Arial Nova" w:eastAsia="Arial Nova" w:cs="Arial Nova"/>
          <w:color w:val="auto"/>
        </w:rPr>
      </w:pPr>
    </w:p>
    <w:p xmlns:wp14="http://schemas.microsoft.com/office/word/2010/wordml" w:rsidP="15E77795" wp14:paraId="2C403567" wp14:textId="074F938A">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7. Stakeholder Engagement Frameworks</w:t>
      </w:r>
    </w:p>
    <w:p xmlns:wp14="http://schemas.microsoft.com/office/word/2010/wordml" w:rsidP="15E77795" wp14:paraId="0D7BD085" wp14:textId="717B5EFC">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7.1 Stakeholder Power-Interest Matrix</w:t>
      </w:r>
    </w:p>
    <w:tbl>
      <w:tblPr>
        <w:tblStyle w:val="TableNormal"/>
        <w:bidiVisual w:val="0"/>
        <w:tblW w:w="0" w:type="auto"/>
        <w:tblLook w:val="06A0" w:firstRow="1" w:lastRow="0" w:firstColumn="1" w:lastColumn="0" w:noHBand="1" w:noVBand="1"/>
      </w:tblPr>
      <w:tblGrid>
        <w:gridCol w:w="1220"/>
        <w:gridCol w:w="5260"/>
        <w:gridCol w:w="3239"/>
      </w:tblGrid>
      <w:tr w:rsidR="15E77795" w:rsidTr="15E77795" w14:paraId="1AAD0C40">
        <w:trPr>
          <w:trHeight w:val="300"/>
        </w:trPr>
        <w:tc>
          <w:tcPr>
            <w:tcW w:w="1220" w:type="dxa"/>
            <w:tcMar/>
            <w:vAlign w:val="center"/>
          </w:tcPr>
          <w:p w:rsidR="15E77795" w:rsidP="15E77795" w:rsidRDefault="15E77795" w14:paraId="4E72E99B" w14:textId="7730935A">
            <w:pPr>
              <w:bidi w:val="0"/>
              <w:rPr>
                <w:rFonts w:ascii="Arial Nova" w:hAnsi="Arial Nova" w:eastAsia="Arial Nova" w:cs="Arial Nova"/>
                <w:color w:val="auto"/>
              </w:rPr>
            </w:pPr>
          </w:p>
        </w:tc>
        <w:tc>
          <w:tcPr>
            <w:tcW w:w="5260" w:type="dxa"/>
            <w:tcMar/>
            <w:vAlign w:val="center"/>
          </w:tcPr>
          <w:p w:rsidR="15E77795" w:rsidP="15E77795" w:rsidRDefault="15E77795" w14:paraId="791BDED7" w14:textId="07D0441E">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High Interest</w:t>
            </w:r>
          </w:p>
        </w:tc>
        <w:tc>
          <w:tcPr>
            <w:tcW w:w="3239" w:type="dxa"/>
            <w:tcMar/>
            <w:vAlign w:val="center"/>
          </w:tcPr>
          <w:p w:rsidR="15E77795" w:rsidP="15E77795" w:rsidRDefault="15E77795" w14:paraId="28F0A3DF" w14:textId="308BA284">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Low Interest</w:t>
            </w:r>
          </w:p>
        </w:tc>
      </w:tr>
      <w:tr w:rsidR="15E77795" w:rsidTr="15E77795" w14:paraId="178680F9">
        <w:trPr>
          <w:trHeight w:val="300"/>
        </w:trPr>
        <w:tc>
          <w:tcPr>
            <w:tcW w:w="1220" w:type="dxa"/>
            <w:tcMar/>
            <w:vAlign w:val="center"/>
          </w:tcPr>
          <w:p w:rsidR="15E77795" w:rsidP="15E77795" w:rsidRDefault="15E77795" w14:paraId="7E89676F" w14:textId="458FEDB4">
            <w:pPr>
              <w:bidi w:val="0"/>
              <w:spacing w:before="0" w:beforeAutospacing="off" w:after="0" w:afterAutospacing="off"/>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High Power</w:t>
            </w:r>
          </w:p>
        </w:tc>
        <w:tc>
          <w:tcPr>
            <w:tcW w:w="5260" w:type="dxa"/>
            <w:tcMar/>
            <w:vAlign w:val="center"/>
          </w:tcPr>
          <w:p w:rsidR="15E77795" w:rsidP="15E77795" w:rsidRDefault="15E77795" w14:paraId="1F510D8F" w14:textId="04F69D0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Executive sponsor, owners, GMs, IT/AI, legal/DPO</w:t>
            </w:r>
          </w:p>
        </w:tc>
        <w:tc>
          <w:tcPr>
            <w:tcW w:w="3239" w:type="dxa"/>
            <w:tcMar/>
            <w:vAlign w:val="center"/>
          </w:tcPr>
          <w:p w:rsidR="15E77795" w:rsidP="15E77795" w:rsidRDefault="15E77795" w14:paraId="30A1A4D4" w14:textId="1041D39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Investors, some regulators</w:t>
            </w:r>
          </w:p>
        </w:tc>
      </w:tr>
      <w:tr w:rsidR="15E77795" w:rsidTr="15E77795" w14:paraId="14764633">
        <w:trPr>
          <w:trHeight w:val="300"/>
        </w:trPr>
        <w:tc>
          <w:tcPr>
            <w:tcW w:w="1220" w:type="dxa"/>
            <w:tcMar/>
            <w:vAlign w:val="center"/>
          </w:tcPr>
          <w:p w:rsidR="15E77795" w:rsidP="15E77795" w:rsidRDefault="15E77795" w14:paraId="655A7AFB" w14:textId="5524F2D4">
            <w:pPr>
              <w:bidi w:val="0"/>
              <w:spacing w:before="0" w:beforeAutospacing="off" w:after="0" w:afterAutospacing="off"/>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Low Power</w:t>
            </w:r>
          </w:p>
        </w:tc>
        <w:tc>
          <w:tcPr>
            <w:tcW w:w="5260" w:type="dxa"/>
            <w:tcMar/>
            <w:vAlign w:val="center"/>
          </w:tcPr>
          <w:p w:rsidR="15E77795" w:rsidP="15E77795" w:rsidRDefault="15E77795" w14:paraId="4CBFF373" w14:textId="4DD764C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Employees, guests, sustainability groups, communities</w:t>
            </w:r>
          </w:p>
        </w:tc>
        <w:tc>
          <w:tcPr>
            <w:tcW w:w="3239" w:type="dxa"/>
            <w:tcMar/>
            <w:vAlign w:val="center"/>
          </w:tcPr>
          <w:p w:rsidR="15E77795" w:rsidP="15E77795" w:rsidRDefault="15E77795" w14:paraId="7BCB38C0" w14:textId="2FAA72B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Peripheral suppliers, wider public</w:t>
            </w:r>
          </w:p>
        </w:tc>
      </w:tr>
    </w:tbl>
    <w:p xmlns:wp14="http://schemas.microsoft.com/office/word/2010/wordml" w:rsidP="15E77795" wp14:paraId="13D591D0" wp14:textId="5B351CE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High-power/high-interest stakeholders should be </w:t>
      </w:r>
      <w:r w:rsidRPr="15E77795" w:rsidR="6A9D2C9E">
        <w:rPr>
          <w:rFonts w:ascii="Arial Nova" w:hAnsi="Arial Nova" w:eastAsia="Arial Nova" w:cs="Arial Nova"/>
          <w:b w:val="1"/>
          <w:bCs w:val="1"/>
          <w:noProof w:val="0"/>
          <w:color w:val="auto"/>
          <w:sz w:val="22"/>
          <w:szCs w:val="22"/>
          <w:lang w:val="en-US"/>
        </w:rPr>
        <w:t>managed closely</w:t>
      </w:r>
      <w:r w:rsidRPr="15E77795" w:rsidR="6A9D2C9E">
        <w:rPr>
          <w:rFonts w:ascii="Arial Nova" w:hAnsi="Arial Nova" w:eastAsia="Arial Nova" w:cs="Arial Nova"/>
          <w:noProof w:val="0"/>
          <w:color w:val="auto"/>
          <w:sz w:val="22"/>
          <w:szCs w:val="22"/>
          <w:lang w:val="en-US"/>
        </w:rPr>
        <w:t xml:space="preserve"> through steering meetings and decision workshops.</w:t>
      </w:r>
    </w:p>
    <w:p xmlns:wp14="http://schemas.microsoft.com/office/word/2010/wordml" w:rsidP="15E77795" wp14:paraId="7DFDE68D" wp14:textId="1C4E2A0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High-power/low-interest stakeholders should be </w:t>
      </w:r>
      <w:r w:rsidRPr="15E77795" w:rsidR="6A9D2C9E">
        <w:rPr>
          <w:rFonts w:ascii="Arial Nova" w:hAnsi="Arial Nova" w:eastAsia="Arial Nova" w:cs="Arial Nova"/>
          <w:b w:val="1"/>
          <w:bCs w:val="1"/>
          <w:noProof w:val="0"/>
          <w:color w:val="auto"/>
          <w:sz w:val="22"/>
          <w:szCs w:val="22"/>
          <w:lang w:val="en-US"/>
        </w:rPr>
        <w:t>kept satisfied</w:t>
      </w:r>
      <w:r w:rsidRPr="15E77795" w:rsidR="6A9D2C9E">
        <w:rPr>
          <w:rFonts w:ascii="Arial Nova" w:hAnsi="Arial Nova" w:eastAsia="Arial Nova" w:cs="Arial Nova"/>
          <w:noProof w:val="0"/>
          <w:color w:val="auto"/>
          <w:sz w:val="22"/>
          <w:szCs w:val="22"/>
          <w:lang w:val="en-US"/>
        </w:rPr>
        <w:t xml:space="preserve"> through concise reporting.</w:t>
      </w:r>
    </w:p>
    <w:p xmlns:wp14="http://schemas.microsoft.com/office/word/2010/wordml" w:rsidP="15E77795" wp14:paraId="6229024B" wp14:textId="47B41EA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Low-power/high-interest stakeholders should be </w:t>
      </w:r>
      <w:r w:rsidRPr="15E77795" w:rsidR="6A9D2C9E">
        <w:rPr>
          <w:rFonts w:ascii="Arial Nova" w:hAnsi="Arial Nova" w:eastAsia="Arial Nova" w:cs="Arial Nova"/>
          <w:b w:val="1"/>
          <w:bCs w:val="1"/>
          <w:noProof w:val="0"/>
          <w:color w:val="auto"/>
          <w:sz w:val="22"/>
          <w:szCs w:val="22"/>
          <w:lang w:val="en-US"/>
        </w:rPr>
        <w:t>actively involved</w:t>
      </w:r>
      <w:r w:rsidRPr="15E77795" w:rsidR="6A9D2C9E">
        <w:rPr>
          <w:rFonts w:ascii="Arial Nova" w:hAnsi="Arial Nova" w:eastAsia="Arial Nova" w:cs="Arial Nova"/>
          <w:noProof w:val="0"/>
          <w:color w:val="auto"/>
          <w:sz w:val="22"/>
          <w:szCs w:val="22"/>
          <w:lang w:val="en-US"/>
        </w:rPr>
        <w:t xml:space="preserve"> through consultation and feedback. This category is particularly important because low formal power does not mean low influence. Employees can affect implementation through resistance or adoption, while guests can influence reputation through reviews and social media.</w:t>
      </w:r>
    </w:p>
    <w:p xmlns:wp14="http://schemas.microsoft.com/office/word/2010/wordml" w:rsidP="15E77795" wp14:paraId="345088C9" wp14:textId="0760F97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Low-power/low-interest stakeholders should be monitored.</w:t>
      </w:r>
    </w:p>
    <w:p xmlns:wp14="http://schemas.microsoft.com/office/word/2010/wordml" w:rsidP="15E77795" wp14:paraId="6CC925AD" wp14:textId="60EB76F9">
      <w:pPr>
        <w:bidi w:val="0"/>
        <w:spacing w:before="240" w:beforeAutospacing="off" w:after="240" w:afterAutospacing="off"/>
      </w:pPr>
      <w:r w:rsidRPr="15E77795" w:rsidR="6A9D2C9E">
        <w:rPr>
          <w:rFonts w:ascii="Arial Nova" w:hAnsi="Arial Nova" w:eastAsia="Arial Nova" w:cs="Arial Nova"/>
          <w:noProof w:val="0"/>
          <w:color w:val="auto"/>
          <w:sz w:val="22"/>
          <w:szCs w:val="22"/>
          <w:lang w:val="en-US"/>
        </w:rPr>
        <w:t>The limitation of the power-interest matrix is that stakeholder power can change. A customer group may have limited formal power at the beginning of the project but significant reputational power after launch. Therefore, the project manager should review the stakeholder map at every project stage.</w:t>
      </w:r>
    </w:p>
    <w:p xmlns:wp14="http://schemas.microsoft.com/office/word/2010/wordml" w:rsidP="15E77795" wp14:paraId="2F42B83C" wp14:textId="6D4723FE">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B3A4F09" wp14:textId="5EC673C3">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068B2652" wp14:textId="3E640933">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78FEF6A9" wp14:textId="5A2BE35D">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631E2985" wp14:textId="35F78BB2">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39C4869F" wp14:textId="6866071F">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7.2 Stakeholder Engagement Plan</w:t>
      </w:r>
    </w:p>
    <w:tbl>
      <w:tblPr>
        <w:tblStyle w:val="TableNormal"/>
        <w:bidiVisual w:val="0"/>
        <w:tblW w:w="0" w:type="auto"/>
        <w:tblLook w:val="06A0" w:firstRow="1" w:lastRow="0" w:firstColumn="1" w:lastColumn="0" w:noHBand="1" w:noVBand="1"/>
      </w:tblPr>
      <w:tblGrid>
        <w:gridCol w:w="1620"/>
        <w:gridCol w:w="2009"/>
        <w:gridCol w:w="2452"/>
        <w:gridCol w:w="2746"/>
      </w:tblGrid>
      <w:tr w:rsidR="15E77795" w:rsidTr="15E77795" w14:paraId="212FC474">
        <w:trPr>
          <w:trHeight w:val="300"/>
        </w:trPr>
        <w:tc>
          <w:tcPr>
            <w:tcW w:w="1620" w:type="dxa"/>
            <w:tcMar/>
            <w:vAlign w:val="center"/>
          </w:tcPr>
          <w:p w:rsidR="15E77795" w:rsidP="15E77795" w:rsidRDefault="15E77795" w14:paraId="5F3EF34D" w14:textId="4653ADD6">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Stakeholder</w:t>
            </w:r>
          </w:p>
        </w:tc>
        <w:tc>
          <w:tcPr>
            <w:tcW w:w="2009" w:type="dxa"/>
            <w:tcMar/>
            <w:vAlign w:val="center"/>
          </w:tcPr>
          <w:p w:rsidR="15E77795" w:rsidP="15E77795" w:rsidRDefault="15E77795" w14:paraId="51F8DB8A" w14:textId="10D2799E">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Current position</w:t>
            </w:r>
          </w:p>
        </w:tc>
        <w:tc>
          <w:tcPr>
            <w:tcW w:w="2452" w:type="dxa"/>
            <w:tcMar/>
            <w:vAlign w:val="center"/>
          </w:tcPr>
          <w:p w:rsidR="15E77795" w:rsidP="15E77795" w:rsidRDefault="15E77795" w14:paraId="45D8504B" w14:textId="40698C0C">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Desired position</w:t>
            </w:r>
          </w:p>
        </w:tc>
        <w:tc>
          <w:tcPr>
            <w:tcW w:w="2746" w:type="dxa"/>
            <w:tcMar/>
            <w:vAlign w:val="center"/>
          </w:tcPr>
          <w:p w:rsidR="15E77795" w:rsidP="15E77795" w:rsidRDefault="15E77795" w14:paraId="770306BD" w14:textId="58595AAF">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Engagement method</w:t>
            </w:r>
          </w:p>
        </w:tc>
      </w:tr>
      <w:tr w:rsidR="15E77795" w:rsidTr="15E77795" w14:paraId="5F9CA32D">
        <w:trPr>
          <w:trHeight w:val="300"/>
        </w:trPr>
        <w:tc>
          <w:tcPr>
            <w:tcW w:w="1620" w:type="dxa"/>
            <w:tcMar/>
            <w:vAlign w:val="center"/>
          </w:tcPr>
          <w:p w:rsidR="15E77795" w:rsidP="15E77795" w:rsidRDefault="15E77795" w14:paraId="3B8CA5AE" w14:textId="0DC8B80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Executives</w:t>
            </w:r>
          </w:p>
        </w:tc>
        <w:tc>
          <w:tcPr>
            <w:tcW w:w="2009" w:type="dxa"/>
            <w:tcMar/>
            <w:vAlign w:val="center"/>
          </w:tcPr>
          <w:p w:rsidR="15E77795" w:rsidP="15E77795" w:rsidRDefault="15E77795" w14:paraId="1316180C" w14:textId="1CB93FC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452" w:type="dxa"/>
            <w:tcMar/>
            <w:vAlign w:val="center"/>
          </w:tcPr>
          <w:p w:rsidR="15E77795" w:rsidP="15E77795" w:rsidRDefault="15E77795" w14:paraId="115E03DF" w14:textId="1D80FD1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Champion</w:t>
            </w:r>
          </w:p>
        </w:tc>
        <w:tc>
          <w:tcPr>
            <w:tcW w:w="2746" w:type="dxa"/>
            <w:tcMar/>
            <w:vAlign w:val="center"/>
          </w:tcPr>
          <w:p w:rsidR="15E77795" w:rsidP="15E77795" w:rsidRDefault="15E77795" w14:paraId="168C2474" w14:textId="57E98F5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Monthly steering board</w:t>
            </w:r>
          </w:p>
        </w:tc>
      </w:tr>
      <w:tr w:rsidR="15E77795" w:rsidTr="15E77795" w14:paraId="6073D93D">
        <w:trPr>
          <w:trHeight w:val="300"/>
        </w:trPr>
        <w:tc>
          <w:tcPr>
            <w:tcW w:w="1620" w:type="dxa"/>
            <w:tcMar/>
            <w:vAlign w:val="center"/>
          </w:tcPr>
          <w:p w:rsidR="15E77795" w:rsidP="15E77795" w:rsidRDefault="15E77795" w14:paraId="2CBE1726" w14:textId="7597DE4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Owners</w:t>
            </w:r>
          </w:p>
        </w:tc>
        <w:tc>
          <w:tcPr>
            <w:tcW w:w="2009" w:type="dxa"/>
            <w:tcMar/>
            <w:vAlign w:val="center"/>
          </w:tcPr>
          <w:p w:rsidR="15E77795" w:rsidP="15E77795" w:rsidRDefault="15E77795" w14:paraId="51D00EA1" w14:textId="71F712A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Mixed</w:t>
            </w:r>
          </w:p>
        </w:tc>
        <w:tc>
          <w:tcPr>
            <w:tcW w:w="2452" w:type="dxa"/>
            <w:tcMar/>
            <w:vAlign w:val="center"/>
          </w:tcPr>
          <w:p w:rsidR="15E77795" w:rsidP="15E77795" w:rsidRDefault="15E77795" w14:paraId="175D681E" w14:textId="3E69A61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746" w:type="dxa"/>
            <w:tcMar/>
            <w:vAlign w:val="center"/>
          </w:tcPr>
          <w:p w:rsidR="15E77795" w:rsidP="15E77795" w:rsidRDefault="15E77795" w14:paraId="7A84CD67" w14:textId="270ADAD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Business-case workshops</w:t>
            </w:r>
          </w:p>
        </w:tc>
      </w:tr>
      <w:tr w:rsidR="15E77795" w:rsidTr="15E77795" w14:paraId="432B64FA">
        <w:trPr>
          <w:trHeight w:val="300"/>
        </w:trPr>
        <w:tc>
          <w:tcPr>
            <w:tcW w:w="1620" w:type="dxa"/>
            <w:tcMar/>
            <w:vAlign w:val="center"/>
          </w:tcPr>
          <w:p w:rsidR="15E77795" w:rsidP="15E77795" w:rsidRDefault="15E77795" w14:paraId="4581572A" w14:textId="03EEF57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GMs</w:t>
            </w:r>
          </w:p>
        </w:tc>
        <w:tc>
          <w:tcPr>
            <w:tcW w:w="2009" w:type="dxa"/>
            <w:tcMar/>
            <w:vAlign w:val="center"/>
          </w:tcPr>
          <w:p w:rsidR="15E77795" w:rsidP="15E77795" w:rsidRDefault="15E77795" w14:paraId="1606D87B" w14:textId="373E634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Mixed</w:t>
            </w:r>
          </w:p>
        </w:tc>
        <w:tc>
          <w:tcPr>
            <w:tcW w:w="2452" w:type="dxa"/>
            <w:tcMar/>
            <w:vAlign w:val="center"/>
          </w:tcPr>
          <w:p w:rsidR="15E77795" w:rsidP="15E77795" w:rsidRDefault="15E77795" w14:paraId="70706A76" w14:textId="38E9464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Champion</w:t>
            </w:r>
          </w:p>
        </w:tc>
        <w:tc>
          <w:tcPr>
            <w:tcW w:w="2746" w:type="dxa"/>
            <w:tcMar/>
            <w:vAlign w:val="center"/>
          </w:tcPr>
          <w:p w:rsidR="15E77795" w:rsidP="15E77795" w:rsidRDefault="15E77795" w14:paraId="05D7DAFB" w14:textId="65FD01F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Regional forums</w:t>
            </w:r>
          </w:p>
        </w:tc>
      </w:tr>
      <w:tr w:rsidR="15E77795" w:rsidTr="15E77795" w14:paraId="57DE9EE9">
        <w:trPr>
          <w:trHeight w:val="300"/>
        </w:trPr>
        <w:tc>
          <w:tcPr>
            <w:tcW w:w="1620" w:type="dxa"/>
            <w:tcMar/>
            <w:vAlign w:val="center"/>
          </w:tcPr>
          <w:p w:rsidR="15E77795" w:rsidP="15E77795" w:rsidRDefault="15E77795" w14:paraId="0C672422" w14:textId="607A825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Employees</w:t>
            </w:r>
          </w:p>
        </w:tc>
        <w:tc>
          <w:tcPr>
            <w:tcW w:w="2009" w:type="dxa"/>
            <w:tcMar/>
            <w:vAlign w:val="center"/>
          </w:tcPr>
          <w:p w:rsidR="15E77795" w:rsidP="15E77795" w:rsidRDefault="15E77795" w14:paraId="019969AA" w14:textId="6AE719B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Uncertain</w:t>
            </w:r>
          </w:p>
        </w:tc>
        <w:tc>
          <w:tcPr>
            <w:tcW w:w="2452" w:type="dxa"/>
            <w:tcMar/>
            <w:vAlign w:val="center"/>
          </w:tcPr>
          <w:p w:rsidR="15E77795" w:rsidP="15E77795" w:rsidRDefault="15E77795" w14:paraId="4A4A4DEC" w14:textId="7F4F03B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Committed</w:t>
            </w:r>
          </w:p>
        </w:tc>
        <w:tc>
          <w:tcPr>
            <w:tcW w:w="2746" w:type="dxa"/>
            <w:tcMar/>
            <w:vAlign w:val="center"/>
          </w:tcPr>
          <w:p w:rsidR="15E77795" w:rsidP="15E77795" w:rsidRDefault="15E77795" w14:paraId="60DEDF28" w14:textId="25C6136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Workshops and training</w:t>
            </w:r>
          </w:p>
        </w:tc>
      </w:tr>
      <w:tr w:rsidR="15E77795" w:rsidTr="15E77795" w14:paraId="7F152FD7">
        <w:trPr>
          <w:trHeight w:val="300"/>
        </w:trPr>
        <w:tc>
          <w:tcPr>
            <w:tcW w:w="1620" w:type="dxa"/>
            <w:tcMar/>
            <w:vAlign w:val="center"/>
          </w:tcPr>
          <w:p w:rsidR="15E77795" w:rsidP="15E77795" w:rsidRDefault="15E77795" w14:paraId="1F441414" w14:textId="5DD3D9F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Guests</w:t>
            </w:r>
          </w:p>
        </w:tc>
        <w:tc>
          <w:tcPr>
            <w:tcW w:w="2009" w:type="dxa"/>
            <w:tcMar/>
            <w:vAlign w:val="center"/>
          </w:tcPr>
          <w:p w:rsidR="15E77795" w:rsidP="15E77795" w:rsidRDefault="15E77795" w14:paraId="762F3D49" w14:textId="7345826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Unaware</w:t>
            </w:r>
          </w:p>
        </w:tc>
        <w:tc>
          <w:tcPr>
            <w:tcW w:w="2452" w:type="dxa"/>
            <w:tcMar/>
            <w:vAlign w:val="center"/>
          </w:tcPr>
          <w:p w:rsidR="15E77795" w:rsidP="15E77795" w:rsidRDefault="15E77795" w14:paraId="50285113" w14:textId="1794217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Active users</w:t>
            </w:r>
          </w:p>
        </w:tc>
        <w:tc>
          <w:tcPr>
            <w:tcW w:w="2746" w:type="dxa"/>
            <w:tcMar/>
            <w:vAlign w:val="center"/>
          </w:tcPr>
          <w:p w:rsidR="15E77795" w:rsidP="15E77795" w:rsidRDefault="15E77795" w14:paraId="4EAD18D7" w14:textId="7C7E02E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Focus groups and pilots</w:t>
            </w:r>
          </w:p>
        </w:tc>
      </w:tr>
      <w:tr w:rsidR="15E77795" w:rsidTr="15E77795" w14:paraId="70753CB1">
        <w:trPr>
          <w:trHeight w:val="300"/>
        </w:trPr>
        <w:tc>
          <w:tcPr>
            <w:tcW w:w="1620" w:type="dxa"/>
            <w:tcMar/>
            <w:vAlign w:val="center"/>
          </w:tcPr>
          <w:p w:rsidR="15E77795" w:rsidP="15E77795" w:rsidRDefault="15E77795" w14:paraId="587EEF26" w14:textId="10D0557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IT/AI</w:t>
            </w:r>
          </w:p>
        </w:tc>
        <w:tc>
          <w:tcPr>
            <w:tcW w:w="2009" w:type="dxa"/>
            <w:tcMar/>
            <w:vAlign w:val="center"/>
          </w:tcPr>
          <w:p w:rsidR="15E77795" w:rsidP="15E77795" w:rsidRDefault="15E77795" w14:paraId="4D9AC7F7" w14:textId="16F6B54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452" w:type="dxa"/>
            <w:tcMar/>
            <w:vAlign w:val="center"/>
          </w:tcPr>
          <w:p w:rsidR="15E77795" w:rsidP="15E77795" w:rsidRDefault="15E77795" w14:paraId="62F7367E" w14:textId="45A1735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Co-owner</w:t>
            </w:r>
          </w:p>
        </w:tc>
        <w:tc>
          <w:tcPr>
            <w:tcW w:w="2746" w:type="dxa"/>
            <w:tcMar/>
            <w:vAlign w:val="center"/>
          </w:tcPr>
          <w:p w:rsidR="15E77795" w:rsidP="15E77795" w:rsidRDefault="15E77795" w14:paraId="61679CAB" w14:textId="3BE6EDB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Agile meetings</w:t>
            </w:r>
          </w:p>
        </w:tc>
      </w:tr>
      <w:tr w:rsidR="15E77795" w:rsidTr="15E77795" w14:paraId="5AA067AB">
        <w:trPr>
          <w:trHeight w:val="300"/>
        </w:trPr>
        <w:tc>
          <w:tcPr>
            <w:tcW w:w="1620" w:type="dxa"/>
            <w:tcMar/>
            <w:vAlign w:val="center"/>
          </w:tcPr>
          <w:p w:rsidR="15E77795" w:rsidP="15E77795" w:rsidRDefault="15E77795" w14:paraId="59106685" w14:textId="32A796D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Legal/DPO</w:t>
            </w:r>
          </w:p>
        </w:tc>
        <w:tc>
          <w:tcPr>
            <w:tcW w:w="2009" w:type="dxa"/>
            <w:tcMar/>
            <w:vAlign w:val="center"/>
          </w:tcPr>
          <w:p w:rsidR="15E77795" w:rsidP="15E77795" w:rsidRDefault="15E77795" w14:paraId="3080D386" w14:textId="049F273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Cautious</w:t>
            </w:r>
          </w:p>
        </w:tc>
        <w:tc>
          <w:tcPr>
            <w:tcW w:w="2452" w:type="dxa"/>
            <w:tcMar/>
            <w:vAlign w:val="center"/>
          </w:tcPr>
          <w:p w:rsidR="15E77795" w:rsidP="15E77795" w:rsidRDefault="15E77795" w14:paraId="4B802906" w14:textId="209D3AD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 gatekeeper</w:t>
            </w:r>
          </w:p>
        </w:tc>
        <w:tc>
          <w:tcPr>
            <w:tcW w:w="2746" w:type="dxa"/>
            <w:tcMar/>
            <w:vAlign w:val="center"/>
          </w:tcPr>
          <w:p w:rsidR="15E77795" w:rsidP="15E77795" w:rsidRDefault="15E77795" w14:paraId="6EA9097D" w14:textId="603FB98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Compliance reviews</w:t>
            </w:r>
          </w:p>
        </w:tc>
      </w:tr>
      <w:tr w:rsidR="15E77795" w:rsidTr="15E77795" w14:paraId="770DF1BB">
        <w:trPr>
          <w:trHeight w:val="300"/>
        </w:trPr>
        <w:tc>
          <w:tcPr>
            <w:tcW w:w="1620" w:type="dxa"/>
            <w:tcMar/>
            <w:vAlign w:val="center"/>
          </w:tcPr>
          <w:p w:rsidR="15E77795" w:rsidP="15E77795" w:rsidRDefault="15E77795" w14:paraId="441798E5" w14:textId="0A8BC6D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w:t>
            </w:r>
          </w:p>
        </w:tc>
        <w:tc>
          <w:tcPr>
            <w:tcW w:w="2009" w:type="dxa"/>
            <w:tcMar/>
            <w:vAlign w:val="center"/>
          </w:tcPr>
          <w:p w:rsidR="15E77795" w:rsidP="15E77795" w:rsidRDefault="15E77795" w14:paraId="77ACF865" w14:textId="6A509A9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452" w:type="dxa"/>
            <w:tcMar/>
            <w:vAlign w:val="center"/>
          </w:tcPr>
          <w:p w:rsidR="15E77795" w:rsidP="15E77795" w:rsidRDefault="15E77795" w14:paraId="7BBB0E60" w14:textId="2AA97EB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Co-owner</w:t>
            </w:r>
          </w:p>
        </w:tc>
        <w:tc>
          <w:tcPr>
            <w:tcW w:w="2746" w:type="dxa"/>
            <w:tcMar/>
            <w:vAlign w:val="center"/>
          </w:tcPr>
          <w:p w:rsidR="15E77795" w:rsidP="15E77795" w:rsidRDefault="15E77795" w14:paraId="11810ED8" w14:textId="477B5A1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 reviews</w:t>
            </w:r>
          </w:p>
        </w:tc>
      </w:tr>
      <w:tr w:rsidR="15E77795" w:rsidTr="15E77795" w14:paraId="63EAA49C">
        <w:trPr>
          <w:trHeight w:val="300"/>
        </w:trPr>
        <w:tc>
          <w:tcPr>
            <w:tcW w:w="1620" w:type="dxa"/>
            <w:tcMar/>
            <w:vAlign w:val="center"/>
          </w:tcPr>
          <w:p w:rsidR="15E77795" w:rsidP="15E77795" w:rsidRDefault="15E77795" w14:paraId="30339A08" w14:textId="28156BB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Suppliers</w:t>
            </w:r>
          </w:p>
        </w:tc>
        <w:tc>
          <w:tcPr>
            <w:tcW w:w="2009" w:type="dxa"/>
            <w:tcMar/>
            <w:vAlign w:val="center"/>
          </w:tcPr>
          <w:p w:rsidR="15E77795" w:rsidP="15E77795" w:rsidRDefault="15E77795" w14:paraId="0BAE4106" w14:textId="5E979B7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452" w:type="dxa"/>
            <w:tcMar/>
            <w:vAlign w:val="center"/>
          </w:tcPr>
          <w:p w:rsidR="15E77795" w:rsidP="15E77795" w:rsidRDefault="15E77795" w14:paraId="2B556368" w14:textId="43AEC30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Integrated</w:t>
            </w:r>
          </w:p>
        </w:tc>
        <w:tc>
          <w:tcPr>
            <w:tcW w:w="2746" w:type="dxa"/>
            <w:tcMar/>
            <w:vAlign w:val="center"/>
          </w:tcPr>
          <w:p w:rsidR="15E77795" w:rsidP="15E77795" w:rsidRDefault="15E77795" w14:paraId="44B9AF97" w14:textId="0FF4287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Joint planning</w:t>
            </w:r>
          </w:p>
        </w:tc>
      </w:tr>
      <w:tr w:rsidR="15E77795" w:rsidTr="15E77795" w14:paraId="3B220360">
        <w:trPr>
          <w:trHeight w:val="300"/>
        </w:trPr>
        <w:tc>
          <w:tcPr>
            <w:tcW w:w="1620" w:type="dxa"/>
            <w:tcMar/>
            <w:vAlign w:val="center"/>
          </w:tcPr>
          <w:p w:rsidR="15E77795" w:rsidP="15E77795" w:rsidRDefault="15E77795" w14:paraId="5E23A57A" w14:textId="4EFD1AB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Communities</w:t>
            </w:r>
          </w:p>
        </w:tc>
        <w:tc>
          <w:tcPr>
            <w:tcW w:w="2009" w:type="dxa"/>
            <w:tcMar/>
            <w:vAlign w:val="center"/>
          </w:tcPr>
          <w:p w:rsidR="15E77795" w:rsidP="15E77795" w:rsidRDefault="15E77795" w14:paraId="2E80A037" w14:textId="11028C3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Neutral</w:t>
            </w:r>
          </w:p>
        </w:tc>
        <w:tc>
          <w:tcPr>
            <w:tcW w:w="2452" w:type="dxa"/>
            <w:tcMar/>
            <w:vAlign w:val="center"/>
          </w:tcPr>
          <w:p w:rsidR="15E77795" w:rsidP="15E77795" w:rsidRDefault="15E77795" w14:paraId="4FC3CAFD" w14:textId="7FE0F5B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Supportive</w:t>
            </w:r>
          </w:p>
        </w:tc>
        <w:tc>
          <w:tcPr>
            <w:tcW w:w="2746" w:type="dxa"/>
            <w:tcMar/>
            <w:vAlign w:val="center"/>
          </w:tcPr>
          <w:p w:rsidR="15E77795" w:rsidP="15E77795" w:rsidRDefault="15E77795" w14:paraId="69C666EE" w14:textId="380FAAF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Local consultation</w:t>
            </w:r>
          </w:p>
        </w:tc>
      </w:tr>
    </w:tbl>
    <w:p xmlns:wp14="http://schemas.microsoft.com/office/word/2010/wordml" w:rsidP="15E77795" wp14:paraId="398A35A8" wp14:textId="0915EC3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engagement plan demonstrates that different stakeholders require different levels of involvement. This is more appropriate than using a single communication strategy for everyone.</w:t>
      </w:r>
    </w:p>
    <w:p xmlns:wp14="http://schemas.microsoft.com/office/word/2010/wordml" w:rsidP="15E77795" wp14:paraId="3F0C613A" wp14:textId="104968A5">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7.3 Communication Plan</w:t>
      </w:r>
    </w:p>
    <w:tbl>
      <w:tblPr>
        <w:tblStyle w:val="TableNormal"/>
        <w:bidiVisual w:val="0"/>
        <w:tblW w:w="0" w:type="auto"/>
        <w:tblLook w:val="06A0" w:firstRow="1" w:lastRow="0" w:firstColumn="1" w:lastColumn="0" w:noHBand="1" w:noVBand="1"/>
      </w:tblPr>
      <w:tblGrid>
        <w:gridCol w:w="1913"/>
        <w:gridCol w:w="2699"/>
        <w:gridCol w:w="1879"/>
        <w:gridCol w:w="1893"/>
      </w:tblGrid>
      <w:tr w:rsidR="15E77795" w:rsidTr="15E77795" w14:paraId="0430D567">
        <w:trPr>
          <w:trHeight w:val="300"/>
        </w:trPr>
        <w:tc>
          <w:tcPr>
            <w:tcW w:w="1913" w:type="dxa"/>
            <w:tcMar/>
            <w:vAlign w:val="center"/>
          </w:tcPr>
          <w:p w:rsidR="15E77795" w:rsidP="15E77795" w:rsidRDefault="15E77795" w14:paraId="04BB2C25" w14:textId="71FC98C2">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Audience</w:t>
            </w:r>
          </w:p>
        </w:tc>
        <w:tc>
          <w:tcPr>
            <w:tcW w:w="2699" w:type="dxa"/>
            <w:tcMar/>
            <w:vAlign w:val="center"/>
          </w:tcPr>
          <w:p w:rsidR="15E77795" w:rsidP="15E77795" w:rsidRDefault="15E77795" w14:paraId="1AE5410B" w14:textId="7ED57501">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Key information</w:t>
            </w:r>
          </w:p>
        </w:tc>
        <w:tc>
          <w:tcPr>
            <w:tcW w:w="1879" w:type="dxa"/>
            <w:tcMar/>
            <w:vAlign w:val="center"/>
          </w:tcPr>
          <w:p w:rsidR="15E77795" w:rsidP="15E77795" w:rsidRDefault="15E77795" w14:paraId="0916B041" w14:textId="1897D317">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Method</w:t>
            </w:r>
          </w:p>
        </w:tc>
        <w:tc>
          <w:tcPr>
            <w:tcW w:w="1893" w:type="dxa"/>
            <w:tcMar/>
            <w:vAlign w:val="center"/>
          </w:tcPr>
          <w:p w:rsidR="15E77795" w:rsidP="15E77795" w:rsidRDefault="15E77795" w14:paraId="4F05660D" w14:textId="482F47D9">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Frequency</w:t>
            </w:r>
          </w:p>
        </w:tc>
      </w:tr>
      <w:tr w:rsidR="15E77795" w:rsidTr="15E77795" w14:paraId="7F96D0D7">
        <w:trPr>
          <w:trHeight w:val="300"/>
        </w:trPr>
        <w:tc>
          <w:tcPr>
            <w:tcW w:w="1913" w:type="dxa"/>
            <w:tcMar/>
            <w:vAlign w:val="center"/>
          </w:tcPr>
          <w:p w:rsidR="15E77795" w:rsidP="15E77795" w:rsidRDefault="15E77795" w14:paraId="70FAA489" w14:textId="4308C58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Senior management</w:t>
            </w:r>
          </w:p>
        </w:tc>
        <w:tc>
          <w:tcPr>
            <w:tcW w:w="2699" w:type="dxa"/>
            <w:tcMar/>
            <w:vAlign w:val="center"/>
          </w:tcPr>
          <w:p w:rsidR="15E77795" w:rsidP="15E77795" w:rsidRDefault="15E77795" w14:paraId="66CF35CE" w14:textId="659672E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Progress, budget and risks</w:t>
            </w:r>
          </w:p>
        </w:tc>
        <w:tc>
          <w:tcPr>
            <w:tcW w:w="1879" w:type="dxa"/>
            <w:tcMar/>
            <w:vAlign w:val="center"/>
          </w:tcPr>
          <w:p w:rsidR="15E77795" w:rsidP="15E77795" w:rsidRDefault="15E77795" w14:paraId="055B0547" w14:textId="7A3224B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Dashboard/meeting</w:t>
            </w:r>
          </w:p>
        </w:tc>
        <w:tc>
          <w:tcPr>
            <w:tcW w:w="1893" w:type="dxa"/>
            <w:tcMar/>
            <w:vAlign w:val="center"/>
          </w:tcPr>
          <w:p w:rsidR="15E77795" w:rsidP="15E77795" w:rsidRDefault="15E77795" w14:paraId="7242745F" w14:textId="37754E5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Monthly</w:t>
            </w:r>
          </w:p>
        </w:tc>
      </w:tr>
      <w:tr w:rsidR="15E77795" w:rsidTr="15E77795" w14:paraId="2A8AC5A3">
        <w:trPr>
          <w:trHeight w:val="300"/>
        </w:trPr>
        <w:tc>
          <w:tcPr>
            <w:tcW w:w="1913" w:type="dxa"/>
            <w:tcMar/>
            <w:vAlign w:val="center"/>
          </w:tcPr>
          <w:p w:rsidR="15E77795" w:rsidP="15E77795" w:rsidRDefault="15E77795" w14:paraId="0972CF9A" w14:textId="172242B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Owners</w:t>
            </w:r>
          </w:p>
        </w:tc>
        <w:tc>
          <w:tcPr>
            <w:tcW w:w="2699" w:type="dxa"/>
            <w:tcMar/>
            <w:vAlign w:val="center"/>
          </w:tcPr>
          <w:p w:rsidR="15E77795" w:rsidP="15E77795" w:rsidRDefault="15E77795" w14:paraId="234BDF91" w14:textId="6E28870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ROI and readiness</w:t>
            </w:r>
          </w:p>
        </w:tc>
        <w:tc>
          <w:tcPr>
            <w:tcW w:w="1879" w:type="dxa"/>
            <w:tcMar/>
            <w:vAlign w:val="center"/>
          </w:tcPr>
          <w:p w:rsidR="15E77795" w:rsidP="15E77795" w:rsidRDefault="15E77795" w14:paraId="3353084E" w14:textId="07B7B05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Workshop/webinar</w:t>
            </w:r>
          </w:p>
        </w:tc>
        <w:tc>
          <w:tcPr>
            <w:tcW w:w="1893" w:type="dxa"/>
            <w:tcMar/>
            <w:vAlign w:val="center"/>
          </w:tcPr>
          <w:p w:rsidR="15E77795" w:rsidP="15E77795" w:rsidRDefault="15E77795" w14:paraId="49012A75" w14:textId="4DB71F7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Monthly</w:t>
            </w:r>
          </w:p>
        </w:tc>
      </w:tr>
      <w:tr w:rsidR="15E77795" w:rsidTr="15E77795" w14:paraId="2B3AC1FC">
        <w:trPr>
          <w:trHeight w:val="300"/>
        </w:trPr>
        <w:tc>
          <w:tcPr>
            <w:tcW w:w="1913" w:type="dxa"/>
            <w:tcMar/>
            <w:vAlign w:val="center"/>
          </w:tcPr>
          <w:p w:rsidR="15E77795" w:rsidP="15E77795" w:rsidRDefault="15E77795" w14:paraId="088286A3" w14:textId="5BBCCB0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GMs</w:t>
            </w:r>
          </w:p>
        </w:tc>
        <w:tc>
          <w:tcPr>
            <w:tcW w:w="2699" w:type="dxa"/>
            <w:tcMar/>
            <w:vAlign w:val="center"/>
          </w:tcPr>
          <w:p w:rsidR="15E77795" w:rsidP="15E77795" w:rsidRDefault="15E77795" w14:paraId="41F490D5" w14:textId="18F289A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Operational changes</w:t>
            </w:r>
          </w:p>
        </w:tc>
        <w:tc>
          <w:tcPr>
            <w:tcW w:w="1879" w:type="dxa"/>
            <w:tcMar/>
            <w:vAlign w:val="center"/>
          </w:tcPr>
          <w:p w:rsidR="15E77795" w:rsidP="15E77795" w:rsidRDefault="15E77795" w14:paraId="71B15FB0" w14:textId="31374FA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Regional forum</w:t>
            </w:r>
          </w:p>
        </w:tc>
        <w:tc>
          <w:tcPr>
            <w:tcW w:w="1893" w:type="dxa"/>
            <w:tcMar/>
            <w:vAlign w:val="center"/>
          </w:tcPr>
          <w:p w:rsidR="15E77795" w:rsidP="15E77795" w:rsidRDefault="15E77795" w14:paraId="1D3C74A4" w14:textId="33D3C77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Fortnightly</w:t>
            </w:r>
          </w:p>
        </w:tc>
      </w:tr>
      <w:tr w:rsidR="15E77795" w:rsidTr="15E77795" w14:paraId="2A3FDC57">
        <w:trPr>
          <w:trHeight w:val="300"/>
        </w:trPr>
        <w:tc>
          <w:tcPr>
            <w:tcW w:w="1913" w:type="dxa"/>
            <w:tcMar/>
            <w:vAlign w:val="center"/>
          </w:tcPr>
          <w:p w:rsidR="15E77795" w:rsidP="15E77795" w:rsidRDefault="15E77795" w14:paraId="5DED6AEC" w14:textId="6046551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Employees</w:t>
            </w:r>
          </w:p>
        </w:tc>
        <w:tc>
          <w:tcPr>
            <w:tcW w:w="2699" w:type="dxa"/>
            <w:tcMar/>
            <w:vAlign w:val="center"/>
          </w:tcPr>
          <w:p w:rsidR="15E77795" w:rsidP="15E77795" w:rsidRDefault="15E77795" w14:paraId="101BF7AF" w14:textId="726A70A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Role changes and training</w:t>
            </w:r>
          </w:p>
        </w:tc>
        <w:tc>
          <w:tcPr>
            <w:tcW w:w="1879" w:type="dxa"/>
            <w:tcMar/>
            <w:vAlign w:val="center"/>
          </w:tcPr>
          <w:p w:rsidR="15E77795" w:rsidP="15E77795" w:rsidRDefault="15E77795" w14:paraId="412FBECF" w14:textId="05346D7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Town halls/intranet</w:t>
            </w:r>
          </w:p>
        </w:tc>
        <w:tc>
          <w:tcPr>
            <w:tcW w:w="1893" w:type="dxa"/>
            <w:tcMar/>
            <w:vAlign w:val="center"/>
          </w:tcPr>
          <w:p w:rsidR="15E77795" w:rsidP="15E77795" w:rsidRDefault="15E77795" w14:paraId="60AE9316" w14:textId="3BAE6C8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Bi-weekly</w:t>
            </w:r>
          </w:p>
        </w:tc>
      </w:tr>
      <w:tr w:rsidR="15E77795" w:rsidTr="15E77795" w14:paraId="54E068AC">
        <w:trPr>
          <w:trHeight w:val="300"/>
        </w:trPr>
        <w:tc>
          <w:tcPr>
            <w:tcW w:w="1913" w:type="dxa"/>
            <w:tcMar/>
            <w:vAlign w:val="center"/>
          </w:tcPr>
          <w:p w:rsidR="15E77795" w:rsidP="15E77795" w:rsidRDefault="15E77795" w14:paraId="5360766F" w14:textId="20D0107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Guests</w:t>
            </w:r>
          </w:p>
        </w:tc>
        <w:tc>
          <w:tcPr>
            <w:tcW w:w="2699" w:type="dxa"/>
            <w:tcMar/>
            <w:vAlign w:val="center"/>
          </w:tcPr>
          <w:p w:rsidR="15E77795" w:rsidP="15E77795" w:rsidRDefault="15E77795" w14:paraId="19A887A5" w14:textId="1AFCDE8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Benefits and privacy</w:t>
            </w:r>
          </w:p>
        </w:tc>
        <w:tc>
          <w:tcPr>
            <w:tcW w:w="1879" w:type="dxa"/>
            <w:tcMar/>
            <w:vAlign w:val="center"/>
          </w:tcPr>
          <w:p w:rsidR="15E77795" w:rsidP="15E77795" w:rsidRDefault="15E77795" w14:paraId="131CA505" w14:textId="361BB8A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App/email/website</w:t>
            </w:r>
          </w:p>
        </w:tc>
        <w:tc>
          <w:tcPr>
            <w:tcW w:w="1893" w:type="dxa"/>
            <w:tcMar/>
            <w:vAlign w:val="center"/>
          </w:tcPr>
          <w:p w:rsidR="15E77795" w:rsidP="15E77795" w:rsidRDefault="15E77795" w14:paraId="7514E559" w14:textId="2A10055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Pre-launch/ongoing</w:t>
            </w:r>
          </w:p>
        </w:tc>
      </w:tr>
      <w:tr w:rsidR="15E77795" w:rsidTr="15E77795" w14:paraId="5BC84A4A">
        <w:trPr>
          <w:trHeight w:val="300"/>
        </w:trPr>
        <w:tc>
          <w:tcPr>
            <w:tcW w:w="1913" w:type="dxa"/>
            <w:tcMar/>
            <w:vAlign w:val="center"/>
          </w:tcPr>
          <w:p w:rsidR="15E77795" w:rsidP="15E77795" w:rsidRDefault="15E77795" w14:paraId="683B2BB8" w14:textId="5459F10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IT/suppliers</w:t>
            </w:r>
          </w:p>
        </w:tc>
        <w:tc>
          <w:tcPr>
            <w:tcW w:w="2699" w:type="dxa"/>
            <w:tcMar/>
            <w:vAlign w:val="center"/>
          </w:tcPr>
          <w:p w:rsidR="15E77795" w:rsidP="15E77795" w:rsidRDefault="15E77795" w14:paraId="16A286C1" w14:textId="775F485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Technical requirements</w:t>
            </w:r>
          </w:p>
        </w:tc>
        <w:tc>
          <w:tcPr>
            <w:tcW w:w="1879" w:type="dxa"/>
            <w:tcMar/>
            <w:vAlign w:val="center"/>
          </w:tcPr>
          <w:p w:rsidR="15E77795" w:rsidP="15E77795" w:rsidRDefault="15E77795" w14:paraId="6EB591A6" w14:textId="17027C4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Agile meetings</w:t>
            </w:r>
          </w:p>
        </w:tc>
        <w:tc>
          <w:tcPr>
            <w:tcW w:w="1893" w:type="dxa"/>
            <w:tcMar/>
            <w:vAlign w:val="center"/>
          </w:tcPr>
          <w:p w:rsidR="15E77795" w:rsidP="15E77795" w:rsidRDefault="15E77795" w14:paraId="28FFF846" w14:textId="2DB8F9E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Weekly</w:t>
            </w:r>
          </w:p>
        </w:tc>
      </w:tr>
      <w:tr w:rsidR="15E77795" w:rsidTr="15E77795" w14:paraId="58FE20AF">
        <w:trPr>
          <w:trHeight w:val="300"/>
        </w:trPr>
        <w:tc>
          <w:tcPr>
            <w:tcW w:w="1913" w:type="dxa"/>
            <w:tcMar/>
            <w:vAlign w:val="center"/>
          </w:tcPr>
          <w:p w:rsidR="15E77795" w:rsidP="15E77795" w:rsidRDefault="15E77795" w14:paraId="6A56FF55" w14:textId="54A06C7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Legal/DPO</w:t>
            </w:r>
          </w:p>
        </w:tc>
        <w:tc>
          <w:tcPr>
            <w:tcW w:w="2699" w:type="dxa"/>
            <w:tcMar/>
            <w:vAlign w:val="center"/>
          </w:tcPr>
          <w:p w:rsidR="15E77795" w:rsidP="15E77795" w:rsidRDefault="15E77795" w14:paraId="560EE627" w14:textId="5CEACCD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Compliance</w:t>
            </w:r>
          </w:p>
        </w:tc>
        <w:tc>
          <w:tcPr>
            <w:tcW w:w="1879" w:type="dxa"/>
            <w:tcMar/>
            <w:vAlign w:val="center"/>
          </w:tcPr>
          <w:p w:rsidR="15E77795" w:rsidP="15E77795" w:rsidRDefault="15E77795" w14:paraId="678FB965" w14:textId="5A78C16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Stage-gate reviews</w:t>
            </w:r>
          </w:p>
        </w:tc>
        <w:tc>
          <w:tcPr>
            <w:tcW w:w="1893" w:type="dxa"/>
            <w:tcMar/>
            <w:vAlign w:val="center"/>
          </w:tcPr>
          <w:p w:rsidR="15E77795" w:rsidP="15E77795" w:rsidRDefault="15E77795" w14:paraId="2F22951A" w14:textId="1F341B5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Monthly</w:t>
            </w:r>
          </w:p>
        </w:tc>
      </w:tr>
      <w:tr w:rsidR="15E77795" w:rsidTr="15E77795" w14:paraId="2CE99160">
        <w:trPr>
          <w:trHeight w:val="300"/>
        </w:trPr>
        <w:tc>
          <w:tcPr>
            <w:tcW w:w="1913" w:type="dxa"/>
            <w:tcMar/>
            <w:vAlign w:val="center"/>
          </w:tcPr>
          <w:p w:rsidR="15E77795" w:rsidP="15E77795" w:rsidRDefault="15E77795" w14:paraId="0B396489" w14:textId="6B6E5C7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w:t>
            </w:r>
          </w:p>
        </w:tc>
        <w:tc>
          <w:tcPr>
            <w:tcW w:w="2699" w:type="dxa"/>
            <w:tcMar/>
            <w:vAlign w:val="center"/>
          </w:tcPr>
          <w:p w:rsidR="15E77795" w:rsidP="15E77795" w:rsidRDefault="15E77795" w14:paraId="68510266" w14:textId="1DB0886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Environmental performance</w:t>
            </w:r>
          </w:p>
        </w:tc>
        <w:tc>
          <w:tcPr>
            <w:tcW w:w="1879" w:type="dxa"/>
            <w:tcMar/>
            <w:vAlign w:val="center"/>
          </w:tcPr>
          <w:p w:rsidR="15E77795" w:rsidP="15E77795" w:rsidRDefault="15E77795" w14:paraId="398F3DA6" w14:textId="39BB9F4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Review meetings</w:t>
            </w:r>
          </w:p>
        </w:tc>
        <w:tc>
          <w:tcPr>
            <w:tcW w:w="1893" w:type="dxa"/>
            <w:tcMar/>
            <w:vAlign w:val="center"/>
          </w:tcPr>
          <w:p w:rsidR="15E77795" w:rsidP="15E77795" w:rsidRDefault="15E77795" w14:paraId="740A93FF" w14:textId="07007BC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Monthly</w:t>
            </w:r>
          </w:p>
        </w:tc>
      </w:tr>
    </w:tbl>
    <w:p xmlns:wp14="http://schemas.microsoft.com/office/word/2010/wordml" w:rsidP="15E77795" wp14:paraId="67E9BFCF" wp14:textId="7834E314">
      <w:pPr>
        <w:bidi w:val="0"/>
        <w:spacing w:before="240" w:beforeAutospacing="off" w:after="240" w:afterAutospacing="off"/>
      </w:pPr>
      <w:r w:rsidRPr="15E77795" w:rsidR="6A9D2C9E">
        <w:rPr>
          <w:rFonts w:ascii="Arial Nova" w:hAnsi="Arial Nova" w:eastAsia="Arial Nova" w:cs="Arial Nova"/>
          <w:noProof w:val="0"/>
          <w:color w:val="auto"/>
          <w:sz w:val="22"/>
          <w:szCs w:val="22"/>
          <w:lang w:val="en-US"/>
        </w:rPr>
        <w:t>The communication strategy should be two-way. Communication should not simply inform stakeholders about decisions that have already been made. Stakeholders should be able to question assumptions and suggest improvements.</w:t>
      </w:r>
    </w:p>
    <w:p xmlns:wp14="http://schemas.microsoft.com/office/word/2010/wordml" w:rsidP="15E77795" wp14:paraId="298B2D1B" wp14:textId="628613CC">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4521A205" wp14:textId="7E41E604">
      <w:pPr>
        <w:bidi w:val="0"/>
        <w:spacing w:before="240" w:beforeAutospacing="off" w:after="240" w:afterAutospacing="off"/>
        <w:rPr>
          <w:rFonts w:ascii="Arial Nova" w:hAnsi="Arial Nova" w:eastAsia="Arial Nova" w:cs="Arial Nova"/>
          <w:noProof w:val="0"/>
          <w:color w:val="auto"/>
          <w:sz w:val="22"/>
          <w:szCs w:val="22"/>
          <w:lang w:val="en-US"/>
        </w:rPr>
      </w:pPr>
    </w:p>
    <w:p xmlns:wp14="http://schemas.microsoft.com/office/word/2010/wordml" w:rsidP="15E77795" wp14:paraId="179BE6C2" wp14:textId="0CA4C957">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7.4 RACI Matrix</w:t>
      </w:r>
    </w:p>
    <w:tbl>
      <w:tblPr>
        <w:tblStyle w:val="TableNormal"/>
        <w:bidiVisual w:val="0"/>
        <w:tblW w:w="0" w:type="auto"/>
        <w:tblLook w:val="06A0" w:firstRow="1" w:lastRow="0" w:firstColumn="1" w:lastColumn="0" w:noHBand="1" w:noVBand="1"/>
      </w:tblPr>
      <w:tblGrid>
        <w:gridCol w:w="2007"/>
        <w:gridCol w:w="840"/>
        <w:gridCol w:w="400"/>
        <w:gridCol w:w="822"/>
        <w:gridCol w:w="254"/>
        <w:gridCol w:w="1147"/>
        <w:gridCol w:w="360"/>
        <w:gridCol w:w="573"/>
        <w:gridCol w:w="1414"/>
        <w:gridCol w:w="1093"/>
      </w:tblGrid>
      <w:tr w:rsidR="15E77795" w:rsidTr="15E77795" w14:paraId="3EE4AEC8">
        <w:trPr>
          <w:trHeight w:val="300"/>
        </w:trPr>
        <w:tc>
          <w:tcPr>
            <w:tcW w:w="2007" w:type="dxa"/>
            <w:tcMar/>
            <w:vAlign w:val="center"/>
          </w:tcPr>
          <w:p w:rsidR="15E77795" w:rsidP="15E77795" w:rsidRDefault="15E77795" w14:paraId="60E408C9" w14:textId="4D333DF4">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Activity</w:t>
            </w:r>
          </w:p>
        </w:tc>
        <w:tc>
          <w:tcPr>
            <w:tcW w:w="840" w:type="dxa"/>
            <w:tcMar/>
            <w:vAlign w:val="center"/>
          </w:tcPr>
          <w:p w:rsidR="15E77795" w:rsidP="15E77795" w:rsidRDefault="15E77795" w14:paraId="6BC55292" w14:textId="11B1430F">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Sponsor</w:t>
            </w:r>
          </w:p>
        </w:tc>
        <w:tc>
          <w:tcPr>
            <w:tcW w:w="400" w:type="dxa"/>
            <w:tcMar/>
            <w:vAlign w:val="center"/>
          </w:tcPr>
          <w:p w:rsidR="15E77795" w:rsidP="15E77795" w:rsidRDefault="15E77795" w14:paraId="03E86493" w14:textId="7C0B3200">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PM</w:t>
            </w:r>
          </w:p>
        </w:tc>
        <w:tc>
          <w:tcPr>
            <w:tcW w:w="822" w:type="dxa"/>
            <w:tcMar/>
            <w:vAlign w:val="center"/>
          </w:tcPr>
          <w:p w:rsidR="15E77795" w:rsidP="15E77795" w:rsidRDefault="15E77795" w14:paraId="7DA01E9C" w14:textId="650C95CA">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Product</w:t>
            </w:r>
          </w:p>
        </w:tc>
        <w:tc>
          <w:tcPr>
            <w:tcW w:w="254" w:type="dxa"/>
            <w:tcMar/>
            <w:vAlign w:val="center"/>
          </w:tcPr>
          <w:p w:rsidR="15E77795" w:rsidP="15E77795" w:rsidRDefault="15E77795" w14:paraId="4EA48669" w14:textId="202BA698">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IT</w:t>
            </w:r>
          </w:p>
        </w:tc>
        <w:tc>
          <w:tcPr>
            <w:tcW w:w="1147" w:type="dxa"/>
            <w:tcMar/>
            <w:vAlign w:val="center"/>
          </w:tcPr>
          <w:p w:rsidR="15E77795" w:rsidP="15E77795" w:rsidRDefault="15E77795" w14:paraId="22C28C57" w14:textId="30E6E13E">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Operations</w:t>
            </w:r>
          </w:p>
        </w:tc>
        <w:tc>
          <w:tcPr>
            <w:tcW w:w="360" w:type="dxa"/>
            <w:tcMar/>
            <w:vAlign w:val="center"/>
          </w:tcPr>
          <w:p w:rsidR="15E77795" w:rsidP="15E77795" w:rsidRDefault="15E77795" w14:paraId="63685330" w14:textId="1CBD2DB0">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HR</w:t>
            </w:r>
          </w:p>
        </w:tc>
        <w:tc>
          <w:tcPr>
            <w:tcW w:w="573" w:type="dxa"/>
            <w:tcMar/>
            <w:vAlign w:val="center"/>
          </w:tcPr>
          <w:p w:rsidR="15E77795" w:rsidP="15E77795" w:rsidRDefault="15E77795" w14:paraId="7895AF8F" w14:textId="38F74F18">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Legal</w:t>
            </w:r>
          </w:p>
        </w:tc>
        <w:tc>
          <w:tcPr>
            <w:tcW w:w="1414" w:type="dxa"/>
            <w:tcMar/>
            <w:vAlign w:val="center"/>
          </w:tcPr>
          <w:p w:rsidR="15E77795" w:rsidP="15E77795" w:rsidRDefault="15E77795" w14:paraId="48D3DEE9" w14:textId="0C40D119">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Sustainability</w:t>
            </w:r>
          </w:p>
        </w:tc>
        <w:tc>
          <w:tcPr>
            <w:tcW w:w="1093" w:type="dxa"/>
            <w:tcMar/>
            <w:vAlign w:val="center"/>
          </w:tcPr>
          <w:p w:rsidR="15E77795" w:rsidP="15E77795" w:rsidRDefault="15E77795" w14:paraId="1361D7B8" w14:textId="1F940368">
            <w:pPr>
              <w:bidi w:val="0"/>
              <w:spacing w:before="0" w:beforeAutospacing="off" w:after="0" w:afterAutospacing="off"/>
              <w:jc w:val="center"/>
              <w:rPr>
                <w:rFonts w:ascii="Arial Nova" w:hAnsi="Arial Nova" w:eastAsia="Arial Nova" w:cs="Arial Nova"/>
                <w:b w:val="1"/>
                <w:bCs w:val="1"/>
                <w:color w:val="auto"/>
              </w:rPr>
            </w:pPr>
            <w:r w:rsidRPr="15E77795" w:rsidR="15E77795">
              <w:rPr>
                <w:rFonts w:ascii="Arial Nova" w:hAnsi="Arial Nova" w:eastAsia="Arial Nova" w:cs="Arial Nova"/>
                <w:b w:val="1"/>
                <w:bCs w:val="1"/>
                <w:color w:val="auto"/>
              </w:rPr>
              <w:t>Marketing</w:t>
            </w:r>
          </w:p>
        </w:tc>
      </w:tr>
      <w:tr w:rsidR="15E77795" w:rsidTr="15E77795" w14:paraId="0724896B">
        <w:trPr>
          <w:trHeight w:val="300"/>
        </w:trPr>
        <w:tc>
          <w:tcPr>
            <w:tcW w:w="2007" w:type="dxa"/>
            <w:tcMar/>
            <w:vAlign w:val="center"/>
          </w:tcPr>
          <w:p w:rsidR="15E77795" w:rsidP="15E77795" w:rsidRDefault="15E77795" w14:paraId="6B5F7D09" w14:textId="2904D4D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Business case</w:t>
            </w:r>
          </w:p>
        </w:tc>
        <w:tc>
          <w:tcPr>
            <w:tcW w:w="840" w:type="dxa"/>
            <w:tcMar/>
            <w:vAlign w:val="center"/>
          </w:tcPr>
          <w:p w:rsidR="15E77795" w:rsidP="15E77795" w:rsidRDefault="15E77795" w14:paraId="3EFA02BE" w14:textId="53479F4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400" w:type="dxa"/>
            <w:tcMar/>
            <w:vAlign w:val="center"/>
          </w:tcPr>
          <w:p w:rsidR="15E77795" w:rsidP="15E77795" w:rsidRDefault="15E77795" w14:paraId="48148448" w14:textId="77730C0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822" w:type="dxa"/>
            <w:tcMar/>
            <w:vAlign w:val="center"/>
          </w:tcPr>
          <w:p w:rsidR="15E77795" w:rsidP="15E77795" w:rsidRDefault="15E77795" w14:paraId="27FB97E5" w14:textId="72CDEC5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4E30A170" w14:textId="646F118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7A42652F" w14:textId="3B6D8AC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4D5D8667" w14:textId="18F5286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573" w:type="dxa"/>
            <w:tcMar/>
            <w:vAlign w:val="center"/>
          </w:tcPr>
          <w:p w:rsidR="15E77795" w:rsidP="15E77795" w:rsidRDefault="15E77795" w14:paraId="21452A1F" w14:textId="35A3F59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5D172ABD" w14:textId="329BECE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6AE7C19E" w14:textId="453E8C9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r>
      <w:tr w:rsidR="15E77795" w:rsidTr="15E77795" w14:paraId="3C86590B">
        <w:trPr>
          <w:trHeight w:val="300"/>
        </w:trPr>
        <w:tc>
          <w:tcPr>
            <w:tcW w:w="2007" w:type="dxa"/>
            <w:tcMar/>
            <w:vAlign w:val="center"/>
          </w:tcPr>
          <w:p w:rsidR="15E77795" w:rsidP="15E77795" w:rsidRDefault="15E77795" w14:paraId="39A57CCE" w14:textId="6F4E02D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Stakeholder analysis</w:t>
            </w:r>
          </w:p>
        </w:tc>
        <w:tc>
          <w:tcPr>
            <w:tcW w:w="840" w:type="dxa"/>
            <w:tcMar/>
            <w:vAlign w:val="center"/>
          </w:tcPr>
          <w:p w:rsidR="15E77795" w:rsidP="15E77795" w:rsidRDefault="15E77795" w14:paraId="68FCDB96" w14:textId="4F42A22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400" w:type="dxa"/>
            <w:tcMar/>
            <w:vAlign w:val="center"/>
          </w:tcPr>
          <w:p w:rsidR="15E77795" w:rsidP="15E77795" w:rsidRDefault="15E77795" w14:paraId="0DB9A335" w14:textId="22EEE3A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A/R</w:t>
            </w:r>
          </w:p>
        </w:tc>
        <w:tc>
          <w:tcPr>
            <w:tcW w:w="822" w:type="dxa"/>
            <w:tcMar/>
            <w:vAlign w:val="center"/>
          </w:tcPr>
          <w:p w:rsidR="15E77795" w:rsidP="15E77795" w:rsidRDefault="15E77795" w14:paraId="5687E07A" w14:textId="7042B17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027E738F" w14:textId="019EB53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03984964" w14:textId="1FFC3EA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59A8D556" w14:textId="34EFA89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573" w:type="dxa"/>
            <w:tcMar/>
            <w:vAlign w:val="center"/>
          </w:tcPr>
          <w:p w:rsidR="15E77795" w:rsidP="15E77795" w:rsidRDefault="15E77795" w14:paraId="3573806E" w14:textId="568DEC1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47C1E55B" w14:textId="60B09F5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7B100E11" w14:textId="752FA8F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r>
      <w:tr w:rsidR="15E77795" w:rsidTr="15E77795" w14:paraId="7D1BBC8D">
        <w:trPr>
          <w:trHeight w:val="300"/>
        </w:trPr>
        <w:tc>
          <w:tcPr>
            <w:tcW w:w="2007" w:type="dxa"/>
            <w:tcMar/>
            <w:vAlign w:val="center"/>
          </w:tcPr>
          <w:p w:rsidR="15E77795" w:rsidP="15E77795" w:rsidRDefault="15E77795" w14:paraId="19ED305D" w14:textId="2E7CFA7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Service design</w:t>
            </w:r>
          </w:p>
        </w:tc>
        <w:tc>
          <w:tcPr>
            <w:tcW w:w="840" w:type="dxa"/>
            <w:tcMar/>
            <w:vAlign w:val="center"/>
          </w:tcPr>
          <w:p w:rsidR="15E77795" w:rsidP="15E77795" w:rsidRDefault="15E77795" w14:paraId="36E52652" w14:textId="5C23F44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400" w:type="dxa"/>
            <w:tcMar/>
            <w:vAlign w:val="center"/>
          </w:tcPr>
          <w:p w:rsidR="15E77795" w:rsidP="15E77795" w:rsidRDefault="15E77795" w14:paraId="1C884933" w14:textId="6BC1EDA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822" w:type="dxa"/>
            <w:tcMar/>
            <w:vAlign w:val="center"/>
          </w:tcPr>
          <w:p w:rsidR="15E77795" w:rsidP="15E77795" w:rsidRDefault="15E77795" w14:paraId="01D3C684" w14:textId="217BD7A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254" w:type="dxa"/>
            <w:tcMar/>
            <w:vAlign w:val="center"/>
          </w:tcPr>
          <w:p w:rsidR="15E77795" w:rsidP="15E77795" w:rsidRDefault="15E77795" w14:paraId="70548E0C" w14:textId="484DDD5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1147" w:type="dxa"/>
            <w:tcMar/>
            <w:vAlign w:val="center"/>
          </w:tcPr>
          <w:p w:rsidR="15E77795" w:rsidP="15E77795" w:rsidRDefault="15E77795" w14:paraId="6F573F31" w14:textId="0BA60F2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7D98AD93" w14:textId="00FE5CD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573" w:type="dxa"/>
            <w:tcMar/>
            <w:vAlign w:val="center"/>
          </w:tcPr>
          <w:p w:rsidR="15E77795" w:rsidP="15E77795" w:rsidRDefault="15E77795" w14:paraId="6A88F968" w14:textId="5B950A4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217C75E0" w14:textId="31A2334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4E65FDFB" w14:textId="24A172E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r>
      <w:tr w:rsidR="15E77795" w:rsidTr="15E77795" w14:paraId="53B57424">
        <w:trPr>
          <w:trHeight w:val="300"/>
        </w:trPr>
        <w:tc>
          <w:tcPr>
            <w:tcW w:w="2007" w:type="dxa"/>
            <w:tcMar/>
            <w:vAlign w:val="center"/>
          </w:tcPr>
          <w:p w:rsidR="15E77795" w:rsidP="15E77795" w:rsidRDefault="15E77795" w14:paraId="55F8E196" w14:textId="6DE3996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AI/privacy testing</w:t>
            </w:r>
          </w:p>
        </w:tc>
        <w:tc>
          <w:tcPr>
            <w:tcW w:w="840" w:type="dxa"/>
            <w:tcMar/>
            <w:vAlign w:val="center"/>
          </w:tcPr>
          <w:p w:rsidR="15E77795" w:rsidP="15E77795" w:rsidRDefault="15E77795" w14:paraId="20562A46" w14:textId="3F68126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400" w:type="dxa"/>
            <w:tcMar/>
            <w:vAlign w:val="center"/>
          </w:tcPr>
          <w:p w:rsidR="15E77795" w:rsidP="15E77795" w:rsidRDefault="15E77795" w14:paraId="39CDA29B" w14:textId="10BD3D6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822" w:type="dxa"/>
            <w:tcMar/>
            <w:vAlign w:val="center"/>
          </w:tcPr>
          <w:p w:rsidR="15E77795" w:rsidP="15E77795" w:rsidRDefault="15E77795" w14:paraId="78C96844" w14:textId="09E1435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6A1D4B96" w14:textId="6022738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1147" w:type="dxa"/>
            <w:tcMar/>
            <w:vAlign w:val="center"/>
          </w:tcPr>
          <w:p w:rsidR="15E77795" w:rsidP="15E77795" w:rsidRDefault="15E77795" w14:paraId="61494B59" w14:textId="3C0046F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360" w:type="dxa"/>
            <w:tcMar/>
            <w:vAlign w:val="center"/>
          </w:tcPr>
          <w:p w:rsidR="15E77795" w:rsidP="15E77795" w:rsidRDefault="15E77795" w14:paraId="53F59415" w14:textId="1FA39EA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573" w:type="dxa"/>
            <w:tcMar/>
            <w:vAlign w:val="center"/>
          </w:tcPr>
          <w:p w:rsidR="15E77795" w:rsidP="15E77795" w:rsidRDefault="15E77795" w14:paraId="392A98BE" w14:textId="5E31F64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A/R</w:t>
            </w:r>
          </w:p>
        </w:tc>
        <w:tc>
          <w:tcPr>
            <w:tcW w:w="1414" w:type="dxa"/>
            <w:tcMar/>
            <w:vAlign w:val="center"/>
          </w:tcPr>
          <w:p w:rsidR="15E77795" w:rsidP="15E77795" w:rsidRDefault="15E77795" w14:paraId="245FABF0" w14:textId="338FB54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1093" w:type="dxa"/>
            <w:tcMar/>
            <w:vAlign w:val="center"/>
          </w:tcPr>
          <w:p w:rsidR="15E77795" w:rsidP="15E77795" w:rsidRDefault="15E77795" w14:paraId="4470E239" w14:textId="0E3B1AA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r>
      <w:tr w:rsidR="15E77795" w:rsidTr="15E77795" w14:paraId="6D238B87">
        <w:trPr>
          <w:trHeight w:val="300"/>
        </w:trPr>
        <w:tc>
          <w:tcPr>
            <w:tcW w:w="2007" w:type="dxa"/>
            <w:tcMar/>
            <w:vAlign w:val="center"/>
          </w:tcPr>
          <w:p w:rsidR="15E77795" w:rsidP="15E77795" w:rsidRDefault="15E77795" w14:paraId="207947A4" w14:textId="1ADA2E5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Sustainability design</w:t>
            </w:r>
          </w:p>
        </w:tc>
        <w:tc>
          <w:tcPr>
            <w:tcW w:w="840" w:type="dxa"/>
            <w:tcMar/>
            <w:vAlign w:val="center"/>
          </w:tcPr>
          <w:p w:rsidR="15E77795" w:rsidP="15E77795" w:rsidRDefault="15E77795" w14:paraId="13DC1D86" w14:textId="6CB278E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400" w:type="dxa"/>
            <w:tcMar/>
            <w:vAlign w:val="center"/>
          </w:tcPr>
          <w:p w:rsidR="15E77795" w:rsidP="15E77795" w:rsidRDefault="15E77795" w14:paraId="1797CB79" w14:textId="7EDDFE9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822" w:type="dxa"/>
            <w:tcMar/>
            <w:vAlign w:val="center"/>
          </w:tcPr>
          <w:p w:rsidR="15E77795" w:rsidP="15E77795" w:rsidRDefault="15E77795" w14:paraId="635DF949" w14:textId="450297A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31E87299" w14:textId="5958A74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7B60BFA0" w14:textId="3A97AF5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6D4A5E14" w14:textId="2BA720C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573" w:type="dxa"/>
            <w:tcMar/>
            <w:vAlign w:val="center"/>
          </w:tcPr>
          <w:p w:rsidR="15E77795" w:rsidP="15E77795" w:rsidRDefault="15E77795" w14:paraId="307DA02B" w14:textId="6A54A17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62908F3E" w14:textId="72F1470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A/R</w:t>
            </w:r>
          </w:p>
        </w:tc>
        <w:tc>
          <w:tcPr>
            <w:tcW w:w="1093" w:type="dxa"/>
            <w:tcMar/>
            <w:vAlign w:val="center"/>
          </w:tcPr>
          <w:p w:rsidR="15E77795" w:rsidP="15E77795" w:rsidRDefault="15E77795" w14:paraId="778DDD70" w14:textId="0421A30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r>
      <w:tr w:rsidR="15E77795" w:rsidTr="15E77795" w14:paraId="1EEC8841">
        <w:trPr>
          <w:trHeight w:val="300"/>
        </w:trPr>
        <w:tc>
          <w:tcPr>
            <w:tcW w:w="2007" w:type="dxa"/>
            <w:tcMar/>
            <w:vAlign w:val="center"/>
          </w:tcPr>
          <w:p w:rsidR="15E77795" w:rsidP="15E77795" w:rsidRDefault="15E77795" w14:paraId="3E42C2D1" w14:textId="5C8E024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Pilot</w:t>
            </w:r>
          </w:p>
        </w:tc>
        <w:tc>
          <w:tcPr>
            <w:tcW w:w="840" w:type="dxa"/>
            <w:tcMar/>
            <w:vAlign w:val="center"/>
          </w:tcPr>
          <w:p w:rsidR="15E77795" w:rsidP="15E77795" w:rsidRDefault="15E77795" w14:paraId="6414F994" w14:textId="6CC6C49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400" w:type="dxa"/>
            <w:tcMar/>
            <w:vAlign w:val="center"/>
          </w:tcPr>
          <w:p w:rsidR="15E77795" w:rsidP="15E77795" w:rsidRDefault="15E77795" w14:paraId="47D35B79" w14:textId="522481E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822" w:type="dxa"/>
            <w:tcMar/>
            <w:vAlign w:val="center"/>
          </w:tcPr>
          <w:p w:rsidR="15E77795" w:rsidP="15E77795" w:rsidRDefault="15E77795" w14:paraId="17B4FEB1" w14:textId="37413A9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254" w:type="dxa"/>
            <w:tcMar/>
            <w:vAlign w:val="center"/>
          </w:tcPr>
          <w:p w:rsidR="15E77795" w:rsidP="15E77795" w:rsidRDefault="15E77795" w14:paraId="33291002" w14:textId="539626B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1147" w:type="dxa"/>
            <w:tcMar/>
            <w:vAlign w:val="center"/>
          </w:tcPr>
          <w:p w:rsidR="15E77795" w:rsidP="15E77795" w:rsidRDefault="15E77795" w14:paraId="0506CE6A" w14:textId="65B4218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360" w:type="dxa"/>
            <w:tcMar/>
            <w:vAlign w:val="center"/>
          </w:tcPr>
          <w:p w:rsidR="15E77795" w:rsidP="15E77795" w:rsidRDefault="15E77795" w14:paraId="51C4DB6D" w14:textId="7152C196">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573" w:type="dxa"/>
            <w:tcMar/>
            <w:vAlign w:val="center"/>
          </w:tcPr>
          <w:p w:rsidR="15E77795" w:rsidP="15E77795" w:rsidRDefault="15E77795" w14:paraId="7F225B02" w14:textId="7A4689B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4346AE33" w14:textId="1D19112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69D466D5" w14:textId="5FFD25D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r>
      <w:tr w:rsidR="15E77795" w:rsidTr="15E77795" w14:paraId="72335E04">
        <w:trPr>
          <w:trHeight w:val="300"/>
        </w:trPr>
        <w:tc>
          <w:tcPr>
            <w:tcW w:w="2007" w:type="dxa"/>
            <w:tcMar/>
            <w:vAlign w:val="center"/>
          </w:tcPr>
          <w:p w:rsidR="15E77795" w:rsidP="15E77795" w:rsidRDefault="15E77795" w14:paraId="56397216" w14:textId="49AC8BA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Training</w:t>
            </w:r>
          </w:p>
        </w:tc>
        <w:tc>
          <w:tcPr>
            <w:tcW w:w="840" w:type="dxa"/>
            <w:tcMar/>
            <w:vAlign w:val="center"/>
          </w:tcPr>
          <w:p w:rsidR="15E77795" w:rsidP="15E77795" w:rsidRDefault="15E77795" w14:paraId="024ABB4E" w14:textId="49E554F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400" w:type="dxa"/>
            <w:tcMar/>
            <w:vAlign w:val="center"/>
          </w:tcPr>
          <w:p w:rsidR="15E77795" w:rsidP="15E77795" w:rsidRDefault="15E77795" w14:paraId="6B3D7B6A" w14:textId="214B71E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822" w:type="dxa"/>
            <w:tcMar/>
            <w:vAlign w:val="center"/>
          </w:tcPr>
          <w:p w:rsidR="15E77795" w:rsidP="15E77795" w:rsidRDefault="15E77795" w14:paraId="30AF6B3B" w14:textId="1FD2766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223684F8" w14:textId="2311D11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1CA07857" w14:textId="485677D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360" w:type="dxa"/>
            <w:tcMar/>
            <w:vAlign w:val="center"/>
          </w:tcPr>
          <w:p w:rsidR="15E77795" w:rsidP="15E77795" w:rsidRDefault="15E77795" w14:paraId="1CBAD407" w14:textId="55144F50">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573" w:type="dxa"/>
            <w:tcMar/>
            <w:vAlign w:val="center"/>
          </w:tcPr>
          <w:p w:rsidR="15E77795" w:rsidP="15E77795" w:rsidRDefault="15E77795" w14:paraId="79DF3B90" w14:textId="1D3E5E0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242FF048" w14:textId="3BBC8F9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4FFFE452" w14:textId="012FD99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r>
      <w:tr w:rsidR="15E77795" w:rsidTr="15E77795" w14:paraId="51194B7B">
        <w:trPr>
          <w:trHeight w:val="300"/>
        </w:trPr>
        <w:tc>
          <w:tcPr>
            <w:tcW w:w="2007" w:type="dxa"/>
            <w:tcMar/>
            <w:vAlign w:val="center"/>
          </w:tcPr>
          <w:p w:rsidR="15E77795" w:rsidP="15E77795" w:rsidRDefault="15E77795" w14:paraId="526A4678" w14:textId="5977B0B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Marketing launch</w:t>
            </w:r>
          </w:p>
        </w:tc>
        <w:tc>
          <w:tcPr>
            <w:tcW w:w="840" w:type="dxa"/>
            <w:tcMar/>
            <w:vAlign w:val="center"/>
          </w:tcPr>
          <w:p w:rsidR="15E77795" w:rsidP="15E77795" w:rsidRDefault="15E77795" w14:paraId="2CE21A25" w14:textId="12FBFE4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400" w:type="dxa"/>
            <w:tcMar/>
            <w:vAlign w:val="center"/>
          </w:tcPr>
          <w:p w:rsidR="15E77795" w:rsidP="15E77795" w:rsidRDefault="15E77795" w14:paraId="35CAD22E" w14:textId="68DCB06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822" w:type="dxa"/>
            <w:tcMar/>
            <w:vAlign w:val="center"/>
          </w:tcPr>
          <w:p w:rsidR="15E77795" w:rsidP="15E77795" w:rsidRDefault="15E77795" w14:paraId="65974E7E" w14:textId="37489DC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44068946" w14:textId="73004F7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742FCE06" w14:textId="1856AFD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73332E4B" w14:textId="5614F69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I</w:t>
            </w:r>
          </w:p>
        </w:tc>
        <w:tc>
          <w:tcPr>
            <w:tcW w:w="573" w:type="dxa"/>
            <w:tcMar/>
            <w:vAlign w:val="center"/>
          </w:tcPr>
          <w:p w:rsidR="15E77795" w:rsidP="15E77795" w:rsidRDefault="15E77795" w14:paraId="1871EC91" w14:textId="6DEBD5E2">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23B741F0" w14:textId="4F3D8D4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01311E6F" w14:textId="78BF390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r>
      <w:tr w:rsidR="15E77795" w:rsidTr="15E77795" w14:paraId="79DA9CB5">
        <w:trPr>
          <w:trHeight w:val="300"/>
        </w:trPr>
        <w:tc>
          <w:tcPr>
            <w:tcW w:w="2007" w:type="dxa"/>
            <w:tcMar/>
            <w:vAlign w:val="center"/>
          </w:tcPr>
          <w:p w:rsidR="15E77795" w:rsidP="15E77795" w:rsidRDefault="15E77795" w14:paraId="40DC89A9" w14:textId="631900C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Go/no-go decision</w:t>
            </w:r>
          </w:p>
        </w:tc>
        <w:tc>
          <w:tcPr>
            <w:tcW w:w="840" w:type="dxa"/>
            <w:tcMar/>
            <w:vAlign w:val="center"/>
          </w:tcPr>
          <w:p w:rsidR="15E77795" w:rsidP="15E77795" w:rsidRDefault="15E77795" w14:paraId="0E320B6D" w14:textId="6E54D643">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400" w:type="dxa"/>
            <w:tcMar/>
            <w:vAlign w:val="center"/>
          </w:tcPr>
          <w:p w:rsidR="15E77795" w:rsidP="15E77795" w:rsidRDefault="15E77795" w14:paraId="4A7C38E3" w14:textId="577F396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822" w:type="dxa"/>
            <w:tcMar/>
            <w:vAlign w:val="center"/>
          </w:tcPr>
          <w:p w:rsidR="15E77795" w:rsidP="15E77795" w:rsidRDefault="15E77795" w14:paraId="520C2A92" w14:textId="47B5D05C">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254" w:type="dxa"/>
            <w:tcMar/>
            <w:vAlign w:val="center"/>
          </w:tcPr>
          <w:p w:rsidR="15E77795" w:rsidP="15E77795" w:rsidRDefault="15E77795" w14:paraId="17F34B07" w14:textId="1C6D0481">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147" w:type="dxa"/>
            <w:tcMar/>
            <w:vAlign w:val="center"/>
          </w:tcPr>
          <w:p w:rsidR="15E77795" w:rsidP="15E77795" w:rsidRDefault="15E77795" w14:paraId="53C2C86D" w14:textId="65C283F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360" w:type="dxa"/>
            <w:tcMar/>
            <w:vAlign w:val="center"/>
          </w:tcPr>
          <w:p w:rsidR="15E77795" w:rsidP="15E77795" w:rsidRDefault="15E77795" w14:paraId="4F950E5C" w14:textId="529B4F78">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573" w:type="dxa"/>
            <w:tcMar/>
            <w:vAlign w:val="center"/>
          </w:tcPr>
          <w:p w:rsidR="15E77795" w:rsidP="15E77795" w:rsidRDefault="15E77795" w14:paraId="06703DBA" w14:textId="0A1E16A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4DE05FD2" w14:textId="4673A2A4">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093" w:type="dxa"/>
            <w:tcMar/>
            <w:vAlign w:val="center"/>
          </w:tcPr>
          <w:p w:rsidR="15E77795" w:rsidP="15E77795" w:rsidRDefault="15E77795" w14:paraId="453808B3" w14:textId="09C745AE">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r>
      <w:tr w:rsidR="15E77795" w:rsidTr="15E77795" w14:paraId="0795EF5F">
        <w:trPr>
          <w:trHeight w:val="300"/>
        </w:trPr>
        <w:tc>
          <w:tcPr>
            <w:tcW w:w="2007" w:type="dxa"/>
            <w:tcMar/>
            <w:vAlign w:val="center"/>
          </w:tcPr>
          <w:p w:rsidR="15E77795" w:rsidP="15E77795" w:rsidRDefault="15E77795" w14:paraId="6B30FAEC" w14:textId="514B3349">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Post-launch review</w:t>
            </w:r>
          </w:p>
        </w:tc>
        <w:tc>
          <w:tcPr>
            <w:tcW w:w="840" w:type="dxa"/>
            <w:tcMar/>
            <w:vAlign w:val="center"/>
          </w:tcPr>
          <w:p w:rsidR="15E77795" w:rsidP="15E77795" w:rsidRDefault="15E77795" w14:paraId="37E06DDD" w14:textId="46B41B0B">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A</w:t>
            </w:r>
          </w:p>
        </w:tc>
        <w:tc>
          <w:tcPr>
            <w:tcW w:w="400" w:type="dxa"/>
            <w:tcMar/>
            <w:vAlign w:val="center"/>
          </w:tcPr>
          <w:p w:rsidR="15E77795" w:rsidP="15E77795" w:rsidRDefault="15E77795" w14:paraId="14DE9E2B" w14:textId="0BDEEB2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822" w:type="dxa"/>
            <w:tcMar/>
            <w:vAlign w:val="center"/>
          </w:tcPr>
          <w:p w:rsidR="15E77795" w:rsidP="15E77795" w:rsidRDefault="15E77795" w14:paraId="4E5A0801" w14:textId="6929552D">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254" w:type="dxa"/>
            <w:tcMar/>
            <w:vAlign w:val="center"/>
          </w:tcPr>
          <w:p w:rsidR="15E77795" w:rsidP="15E77795" w:rsidRDefault="15E77795" w14:paraId="3BEACF95" w14:textId="56AEAB3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1147" w:type="dxa"/>
            <w:tcMar/>
            <w:vAlign w:val="center"/>
          </w:tcPr>
          <w:p w:rsidR="15E77795" w:rsidP="15E77795" w:rsidRDefault="15E77795" w14:paraId="6C821F0A" w14:textId="36E2F7E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360" w:type="dxa"/>
            <w:tcMar/>
            <w:vAlign w:val="center"/>
          </w:tcPr>
          <w:p w:rsidR="15E77795" w:rsidP="15E77795" w:rsidRDefault="15E77795" w14:paraId="3107973C" w14:textId="14CE9B65">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573" w:type="dxa"/>
            <w:tcMar/>
            <w:vAlign w:val="center"/>
          </w:tcPr>
          <w:p w:rsidR="15E77795" w:rsidP="15E77795" w:rsidRDefault="15E77795" w14:paraId="51D45F97" w14:textId="2FDCA7CF">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C</w:t>
            </w:r>
          </w:p>
        </w:tc>
        <w:tc>
          <w:tcPr>
            <w:tcW w:w="1414" w:type="dxa"/>
            <w:tcMar/>
            <w:vAlign w:val="center"/>
          </w:tcPr>
          <w:p w:rsidR="15E77795" w:rsidP="15E77795" w:rsidRDefault="15E77795" w14:paraId="542DB60E" w14:textId="560359E7">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c>
          <w:tcPr>
            <w:tcW w:w="1093" w:type="dxa"/>
            <w:tcMar/>
            <w:vAlign w:val="center"/>
          </w:tcPr>
          <w:p w:rsidR="15E77795" w:rsidP="15E77795" w:rsidRDefault="15E77795" w14:paraId="7010597A" w14:textId="3CC820FA">
            <w:pPr>
              <w:bidi w:val="0"/>
              <w:spacing w:before="0" w:beforeAutospacing="off" w:after="0" w:afterAutospacing="off"/>
              <w:rPr>
                <w:rFonts w:ascii="Arial Nova" w:hAnsi="Arial Nova" w:eastAsia="Arial Nova" w:cs="Arial Nova"/>
                <w:color w:val="auto"/>
              </w:rPr>
            </w:pPr>
            <w:r w:rsidRPr="15E77795" w:rsidR="15E77795">
              <w:rPr>
                <w:rFonts w:ascii="Arial Nova" w:hAnsi="Arial Nova" w:eastAsia="Arial Nova" w:cs="Arial Nova"/>
                <w:color w:val="auto"/>
              </w:rPr>
              <w:t>R</w:t>
            </w:r>
          </w:p>
        </w:tc>
      </w:tr>
    </w:tbl>
    <w:p xmlns:wp14="http://schemas.microsoft.com/office/word/2010/wordml" w:rsidP="15E77795" wp14:paraId="47EB1214" wp14:textId="14A83E45">
      <w:pPr>
        <w:bidi w:val="0"/>
        <w:spacing w:before="240" w:beforeAutospacing="off" w:after="240" w:afterAutospacing="off"/>
        <w:rPr>
          <w:rFonts w:ascii="Arial Nova" w:hAnsi="Arial Nova" w:eastAsia="Arial Nova" w:cs="Arial Nova"/>
          <w:b w:val="1"/>
          <w:bCs w:val="1"/>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R = Responsible; A = Accountable; C = Consulted; I = Informed.</w:t>
      </w:r>
    </w:p>
    <w:p xmlns:wp14="http://schemas.microsoft.com/office/word/2010/wordml" w:rsidP="15E77795" wp14:paraId="532F389E" wp14:textId="22FD88E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RACI matrix is particularly useful because Marriott's operating model involves different organisational levels. Without clear accountability, issues could be passed between corporate functions, hotel management and suppliers. The project manager should therefore ensure that the RACI is agreed before implementation begins.</w:t>
      </w:r>
    </w:p>
    <w:p xmlns:wp14="http://schemas.microsoft.com/office/word/2010/wordml" w:rsidP="15E77795" wp14:paraId="3A79A102" wp14:textId="641A7CF9">
      <w:pPr>
        <w:bidi w:val="0"/>
        <w:rPr>
          <w:rFonts w:ascii="Arial Nova" w:hAnsi="Arial Nova" w:eastAsia="Arial Nova" w:cs="Arial Nova"/>
          <w:color w:val="auto"/>
        </w:rPr>
      </w:pPr>
    </w:p>
    <w:p xmlns:wp14="http://schemas.microsoft.com/office/word/2010/wordml" w:rsidP="15E77795" wp14:paraId="4C963E52" wp14:textId="59CEAE05">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8. Critical Stakeholder Engagement Process: The 4Cs</w:t>
      </w:r>
    </w:p>
    <w:p xmlns:wp14="http://schemas.microsoft.com/office/word/2010/wordml" w:rsidP="15E77795" wp14:paraId="03C6C60C" wp14:textId="2B4581F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proposed stakeholder engagement process is based on four interconnected activities: </w:t>
      </w:r>
      <w:r w:rsidRPr="15E77795" w:rsidR="6A9D2C9E">
        <w:rPr>
          <w:rFonts w:ascii="Arial Nova" w:hAnsi="Arial Nova" w:eastAsia="Arial Nova" w:cs="Arial Nova"/>
          <w:b w:val="1"/>
          <w:bCs w:val="1"/>
          <w:noProof w:val="0"/>
          <w:color w:val="auto"/>
          <w:sz w:val="22"/>
          <w:szCs w:val="22"/>
          <w:lang w:val="en-US"/>
        </w:rPr>
        <w:t>communication, collaboration, consultation and commitment</w:t>
      </w:r>
      <w:r w:rsidRPr="15E77795" w:rsidR="6A9D2C9E">
        <w:rPr>
          <w:rFonts w:ascii="Arial Nova" w:hAnsi="Arial Nova" w:eastAsia="Arial Nova" w:cs="Arial Nova"/>
          <w:noProof w:val="0"/>
          <w:color w:val="auto"/>
          <w:sz w:val="22"/>
          <w:szCs w:val="22"/>
          <w:lang w:val="en-US"/>
        </w:rPr>
        <w:t>. The model should not be treated as a simple sequence because the activities need to continue throughout the project.</w:t>
      </w:r>
    </w:p>
    <w:p xmlns:wp14="http://schemas.microsoft.com/office/word/2010/wordml" w:rsidP="15E77795" wp14:paraId="3986BAD9" wp14:textId="133DD9A7">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8.1 Communication</w:t>
      </w:r>
    </w:p>
    <w:p xmlns:wp14="http://schemas.microsoft.com/office/word/2010/wordml" w:rsidP="15E77795" wp14:paraId="7BEB094B" wp14:textId="7589A68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first responsibility of the project manager is to establish a clear and consistent explanation of why StaySmart+ is being introduced.</w:t>
      </w:r>
    </w:p>
    <w:p xmlns:wp14="http://schemas.microsoft.com/office/word/2010/wordml" w:rsidP="15E77795" wp14:paraId="4066180C" wp14:textId="7BFB1FB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Employees should understand that the objective is not simply to reduce staffing costs. If employees believe AI is being introduced primarily to remove jobs, resistance is likely to increase. Instead, Marriott should position StaySmart+ as a tool that can remove repetitive tasks and allow employees to focus on more complex and personal aspects of hospitality.</w:t>
      </w:r>
    </w:p>
    <w:p xmlns:wp14="http://schemas.microsoft.com/office/word/2010/wordml" w:rsidP="15E77795" wp14:paraId="52221DDE" wp14:textId="3C5A500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Communication should be adapted according to stakeholder needs. Senior management requires information about strategic value and return on investment. Owners need financial information. Employees need practical information about their roles. Guests need simple explanations about benefits, privacy and access to human assistance.</w:t>
      </w:r>
    </w:p>
    <w:p xmlns:wp14="http://schemas.microsoft.com/office/word/2010/wordml" w:rsidP="15E77795" wp14:paraId="24BB52B0" wp14:textId="0615F7D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International communication presents an additional challenge. Lückmann and Färber (2016) found that cultural differences can influence stakeholder engagement in international projects. Osobajo et al. (2023) also highlight the influence of culture on stakeholder engagement and decision-making in multinational environments.</w:t>
      </w:r>
    </w:p>
    <w:p xmlns:wp14="http://schemas.microsoft.com/office/word/2010/wordml" w:rsidP="15E77795" wp14:paraId="0391077F" wp14:textId="20D96AF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Therefore, Marriott should maintain consistent core messages while allowing local project teams to adapt communication styles. A highly direct communication approach may be effective in one culture but less effective in another. Local stakeholder representatives should therefore help shape implementation.</w:t>
      </w:r>
    </w:p>
    <w:p xmlns:wp14="http://schemas.microsoft.com/office/word/2010/wordml" w:rsidP="15E77795" wp14:paraId="0A1AF1E2" wp14:textId="5749572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Communication about AI must also be transparent. Guests should know when they are interacting with AI and how their data is being used. This is increasingly important because AI regulation is developing internationally. The project should therefore involve legal and data-protection stakeholders at the beginning rather than treating compliance as a final approval stage.</w:t>
      </w:r>
    </w:p>
    <w:p xmlns:wp14="http://schemas.microsoft.com/office/word/2010/wordml" w:rsidP="15E77795" wp14:paraId="70143B64" wp14:textId="04238EDC">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8.2 Collaboration</w:t>
      </w:r>
    </w:p>
    <w:p xmlns:wp14="http://schemas.microsoft.com/office/word/2010/wordml" w:rsidP="15E77795" wp14:paraId="1AC572AD" wp14:textId="1521717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Collaboration should move stakeholders from being recipients of information to participants in the design of StaySmart+.</w:t>
      </w:r>
    </w:p>
    <w:p xmlns:wp14="http://schemas.microsoft.com/office/word/2010/wordml" w:rsidP="15E77795" wp14:paraId="33BD7E6F" wp14:textId="119CF07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project manager should establish a </w:t>
      </w:r>
      <w:r w:rsidRPr="15E77795" w:rsidR="6A9D2C9E">
        <w:rPr>
          <w:rFonts w:ascii="Arial Nova" w:hAnsi="Arial Nova" w:eastAsia="Arial Nova" w:cs="Arial Nova"/>
          <w:b w:val="1"/>
          <w:bCs w:val="1"/>
          <w:noProof w:val="0"/>
          <w:color w:val="auto"/>
          <w:sz w:val="22"/>
          <w:szCs w:val="22"/>
          <w:lang w:val="en-US"/>
        </w:rPr>
        <w:t>StaySmart+ Stakeholder Council</w:t>
      </w:r>
      <w:r w:rsidRPr="15E77795" w:rsidR="6A9D2C9E">
        <w:rPr>
          <w:rFonts w:ascii="Arial Nova" w:hAnsi="Arial Nova" w:eastAsia="Arial Nova" w:cs="Arial Nova"/>
          <w:noProof w:val="0"/>
          <w:color w:val="auto"/>
          <w:sz w:val="22"/>
          <w:szCs w:val="22"/>
          <w:lang w:val="en-US"/>
        </w:rPr>
        <w:t xml:space="preserve"> containing representatives from product development, hotel operations, front-line employees, IT, marketing, HR, sustainability, legal, owners and customers.</w:t>
      </w:r>
    </w:p>
    <w:p xmlns:wp14="http://schemas.microsoft.com/office/word/2010/wordml" w:rsidP="15E77795" wp14:paraId="50B29BA2" wp14:textId="6F28D96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council could use workshops to develop customer and employee user stories. For example:</w:t>
      </w:r>
    </w:p>
    <w:p xmlns:wp14="http://schemas.microsoft.com/office/word/2010/wordml" w:rsidP="15E77795" wp14:paraId="5EF9439E" wp14:textId="0085FC0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“As a guest, I want the system to recommend restaurants that meet my dietary requirements.”</w:t>
      </w:r>
    </w:p>
    <w:p xmlns:wp14="http://schemas.microsoft.com/office/word/2010/wordml" w:rsidP="15E77795" wp14:paraId="4B7F7BE8" wp14:textId="3982800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“As an employee, I want the AI to transfer complicated complaints to me rather than providing an inappropriate automated response.”</w:t>
      </w:r>
    </w:p>
    <w:p xmlns:wp14="http://schemas.microsoft.com/office/word/2010/wordml" w:rsidP="15E77795" wp14:paraId="3904AB73" wp14:textId="3D562B0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“As a sustainability manager, I want environmental claims to be based on measurable evidence.”</w:t>
      </w:r>
    </w:p>
    <w:p xmlns:wp14="http://schemas.microsoft.com/office/word/2010/wordml" w:rsidP="15E77795" wp14:paraId="36B1FCC5" wp14:textId="7247EE4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approach allows stakeholders to identify problems before launch. Employees may recognise operational issues that developers have missed, while customers may identify privacy concerns.</w:t>
      </w:r>
    </w:p>
    <w:p xmlns:wp14="http://schemas.microsoft.com/office/word/2010/wordml" w:rsidP="15E77795" wp14:paraId="1A1DB2D8" wp14:textId="4CA7D33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collaboration also has limitations. More stakeholders can mean more opinions, longer meetings and slower decisions. Therefore, the project manager should establish clear decision rights. Collaboration should influence decisions without removing accountability.</w:t>
      </w:r>
    </w:p>
    <w:p xmlns:wp14="http://schemas.microsoft.com/office/word/2010/wordml" w:rsidP="15E77795" wp14:paraId="7F587D4F" wp14:textId="72112563">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8.3 Consultation</w:t>
      </w:r>
    </w:p>
    <w:p xmlns:wp14="http://schemas.microsoft.com/office/word/2010/wordml" w:rsidP="15E77795" wp14:paraId="2DC7579D" wp14:textId="03BBDDF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Consultation should test whether the proposed service works in practice.</w:t>
      </w:r>
    </w:p>
    <w:p xmlns:wp14="http://schemas.microsoft.com/office/word/2010/wordml" w:rsidP="15E77795" wp14:paraId="799E0CE6" wp14:textId="4ADC16C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should use customer focus groups, employee workshops, owner interviews, supplier assessments, legal reviews and local community discussions.</w:t>
      </w:r>
    </w:p>
    <w:p xmlns:wp14="http://schemas.microsoft.com/office/word/2010/wordml" w:rsidP="15E77795" wp14:paraId="27CE1F7E" wp14:textId="1BB41C9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 controlled pilot should be implemented before full deployment. It should include hotels from different markets to identify differences in customer expectations, employee readiness and regulatory requirements.</w:t>
      </w:r>
    </w:p>
    <w:p xmlns:wp14="http://schemas.microsoft.com/office/word/2010/wordml" w:rsidP="15E77795" wp14:paraId="223CD011" wp14:textId="6DC4A19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pilot should measure:</w:t>
      </w:r>
    </w:p>
    <w:p xmlns:wp14="http://schemas.microsoft.com/office/word/2010/wordml" w:rsidP="15E77795" wp14:paraId="3F3C412E" wp14:textId="7B2A1A20">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customer satisfaction;</w:t>
      </w:r>
    </w:p>
    <w:p xmlns:wp14="http://schemas.microsoft.com/office/word/2010/wordml" w:rsidP="15E77795" wp14:paraId="4006C48F" wp14:textId="17E8066E">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adoption rates;</w:t>
      </w:r>
    </w:p>
    <w:p xmlns:wp14="http://schemas.microsoft.com/office/word/2010/wordml" w:rsidP="15E77795" wp14:paraId="497AF477" wp14:textId="6099100C">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AI accuracy;</w:t>
      </w:r>
    </w:p>
    <w:p xmlns:wp14="http://schemas.microsoft.com/office/word/2010/wordml" w:rsidP="15E77795" wp14:paraId="697A8F10" wp14:textId="06514591">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employee workload;</w:t>
      </w:r>
    </w:p>
    <w:p xmlns:wp14="http://schemas.microsoft.com/office/word/2010/wordml" w:rsidP="15E77795" wp14:paraId="6EAF393A" wp14:textId="0287579B">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escalation rates;</w:t>
      </w:r>
    </w:p>
    <w:p xmlns:wp14="http://schemas.microsoft.com/office/word/2010/wordml" w:rsidP="15E77795" wp14:paraId="3B0D13CB" wp14:textId="15B50066">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privacy concerns;</w:t>
      </w:r>
    </w:p>
    <w:p xmlns:wp14="http://schemas.microsoft.com/office/word/2010/wordml" w:rsidP="15E77795" wp14:paraId="22E44FA6" wp14:textId="4A4B2317">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technical reliability;</w:t>
      </w:r>
    </w:p>
    <w:p xmlns:wp14="http://schemas.microsoft.com/office/word/2010/wordml" w:rsidP="15E77795" wp14:paraId="209EAB50" wp14:textId="55C71A09">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sustainability participation; and</w:t>
      </w:r>
    </w:p>
    <w:p xmlns:wp14="http://schemas.microsoft.com/office/word/2010/wordml" w:rsidP="15E77795" wp14:paraId="3FA0871D" wp14:textId="6C3DCBF9">
      <w:pPr>
        <w:pStyle w:val="ListParagraph"/>
        <w:numPr>
          <w:ilvl w:val="0"/>
          <w:numId w:val="3"/>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financial outcomes.</w:t>
      </w:r>
    </w:p>
    <w:p xmlns:wp14="http://schemas.microsoft.com/office/word/2010/wordml" w:rsidP="15E77795" wp14:paraId="6F50EDAB" wp14:textId="4E2893F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Consultation is particularly important for stakeholders with lower formal power. Employees, guests and communities may not control budgets, but they can provide information that prevents costly mistakes.</w:t>
      </w:r>
    </w:p>
    <w:p xmlns:wp14="http://schemas.microsoft.com/office/word/2010/wordml" w:rsidP="15E77795" wp14:paraId="53BDA108" wp14:textId="2067411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project manager should maintain a </w:t>
      </w:r>
      <w:r w:rsidRPr="15E77795" w:rsidR="6A9D2C9E">
        <w:rPr>
          <w:rFonts w:ascii="Arial Nova" w:hAnsi="Arial Nova" w:eastAsia="Arial Nova" w:cs="Arial Nova"/>
          <w:b w:val="1"/>
          <w:bCs w:val="1"/>
          <w:noProof w:val="0"/>
          <w:color w:val="auto"/>
          <w:sz w:val="22"/>
          <w:szCs w:val="22"/>
          <w:lang w:val="en-US"/>
        </w:rPr>
        <w:t>feedback register</w:t>
      </w:r>
      <w:r w:rsidRPr="15E77795" w:rsidR="6A9D2C9E">
        <w:rPr>
          <w:rFonts w:ascii="Arial Nova" w:hAnsi="Arial Nova" w:eastAsia="Arial Nova" w:cs="Arial Nova"/>
          <w:noProof w:val="0"/>
          <w:color w:val="auto"/>
          <w:sz w:val="22"/>
          <w:szCs w:val="22"/>
          <w:lang w:val="en-US"/>
        </w:rPr>
        <w:t xml:space="preserve"> showing each significant stakeholder recommendation, the decision made and the reason for accepting or rejecting it. This helps prevent tokenistic consultation.</w:t>
      </w:r>
    </w:p>
    <w:p xmlns:wp14="http://schemas.microsoft.com/office/word/2010/wordml" w:rsidP="15E77795" wp14:paraId="0B7221D3" wp14:textId="273B6C7B">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8.4 Commitment</w:t>
      </w:r>
    </w:p>
    <w:p xmlns:wp14="http://schemas.microsoft.com/office/word/2010/wordml" w:rsidP="15E77795" wp14:paraId="53701352" wp14:textId="21D4C26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final C converts engagement into measurable responsibility.</w:t>
      </w:r>
    </w:p>
    <w:p xmlns:wp14="http://schemas.microsoft.com/office/word/2010/wordml" w:rsidP="15E77795" wp14:paraId="64C6F5DB" wp14:textId="06F2B95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Senior management should commit funding and strategic support. Owners should commit implementation resources. GMs should commit operational capacity. HR should commit training. IT should commit technical support. Legal should approve compliance arrangements.</w:t>
      </w:r>
    </w:p>
    <w:p xmlns:wp14="http://schemas.microsoft.com/office/word/2010/wordml" w:rsidP="15E77795" wp14:paraId="29E55BDC" wp14:textId="54077B0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Commitment should be measured through:</w:t>
      </w:r>
    </w:p>
    <w:p xmlns:wp14="http://schemas.microsoft.com/office/word/2010/wordml" w:rsidP="15E77795" wp14:paraId="6A0AC489" wp14:textId="7667C86F">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employee training completion;</w:t>
      </w:r>
    </w:p>
    <w:p xmlns:wp14="http://schemas.microsoft.com/office/word/2010/wordml" w:rsidP="15E77795" wp14:paraId="40AAA792" wp14:textId="5238313C">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attendance;</w:t>
      </w:r>
    </w:p>
    <w:p xmlns:wp14="http://schemas.microsoft.com/office/word/2010/wordml" w:rsidP="15E77795" wp14:paraId="3618A2DD" wp14:textId="72D65389">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number of unresolved concerns;</w:t>
      </w:r>
    </w:p>
    <w:p xmlns:wp14="http://schemas.microsoft.com/office/word/2010/wordml" w:rsidP="15E77795" wp14:paraId="7D3A6194" wp14:textId="7342ACA6">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satisfaction;</w:t>
      </w:r>
    </w:p>
    <w:p xmlns:wp14="http://schemas.microsoft.com/office/word/2010/wordml" w:rsidP="15E77795" wp14:paraId="7F099394" wp14:textId="3232292F">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agreed actions completed;</w:t>
      </w:r>
    </w:p>
    <w:p xmlns:wp14="http://schemas.microsoft.com/office/word/2010/wordml" w:rsidP="15E77795" wp14:paraId="61FBF378" wp14:textId="74EFDA1B">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pilot participation; and</w:t>
      </w:r>
    </w:p>
    <w:p xmlns:wp14="http://schemas.microsoft.com/office/word/2010/wordml" w:rsidP="15E77795" wp14:paraId="33AE0436" wp14:textId="115E230D">
      <w:pPr>
        <w:pStyle w:val="ListParagraph"/>
        <w:numPr>
          <w:ilvl w:val="0"/>
          <w:numId w:val="4"/>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adoption levels.</w:t>
      </w:r>
    </w:p>
    <w:p xmlns:wp14="http://schemas.microsoft.com/office/word/2010/wordml" w:rsidP="15E77795" wp14:paraId="53FB4756" wp14:textId="477ECFC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Kotter's (1996) change-management approach is useful here because successful organisational change requires leadership support, a guiding coalition, a clear vision, removal of barriers and reinforcement of new behaviours.</w:t>
      </w:r>
    </w:p>
    <w:p xmlns:wp14="http://schemas.microsoft.com/office/word/2010/wordml" w:rsidP="15E77795" wp14:paraId="0FCB1B60" wp14:textId="76F6D75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Early pilot successes should therefore be communicated to stakeholders. For example, if the pilot reduces response times while increasing employee satisfaction, this evidence can strengthen support for wider deployment.</w:t>
      </w:r>
    </w:p>
    <w:p xmlns:wp14="http://schemas.microsoft.com/office/word/2010/wordml" w:rsidP="15E77795" wp14:paraId="0F549B34" wp14:textId="4A15B067">
      <w:pPr>
        <w:bidi w:val="0"/>
        <w:rPr>
          <w:rFonts w:ascii="Arial Nova" w:hAnsi="Arial Nova" w:eastAsia="Arial Nova" w:cs="Arial Nova"/>
          <w:color w:val="auto"/>
        </w:rPr>
      </w:pPr>
    </w:p>
    <w:p xmlns:wp14="http://schemas.microsoft.com/office/word/2010/wordml" w:rsidP="15E77795" wp14:paraId="566CA7A8" wp14:textId="29DF7333">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8.5 Managing Stakeholder Conflict</w:t>
      </w:r>
    </w:p>
    <w:p xmlns:wp14="http://schemas.microsoft.com/office/word/2010/wordml" w:rsidP="15E77795" wp14:paraId="279B1FDA" wp14:textId="0A31B23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Conflict should be expected because stakeholder interests are different.</w:t>
      </w:r>
    </w:p>
    <w:p xmlns:wp14="http://schemas.microsoft.com/office/word/2010/wordml" w:rsidP="15E77795" wp14:paraId="6C514240" wp14:textId="42F0CE4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One likely conflict is between employees and senior management. Management may see AI as an efficiency tool, while employees may fear job displacement. The project manager should avoid labelling employees as simply “resistant to change”. Instead, their concerns should be treated as information that may reveal genuine risks.</w:t>
      </w:r>
    </w:p>
    <w:p xmlns:wp14="http://schemas.microsoft.com/office/word/2010/wordml" w:rsidP="15E77795" wp14:paraId="074CFC93" wp14:textId="7DF9535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 second conflict could occur between owners and legal teams. Owners may want rapid implementation to achieve financial returns, while legal teams may require additional privacy testing.</w:t>
      </w:r>
    </w:p>
    <w:p xmlns:wp14="http://schemas.microsoft.com/office/word/2010/wordml" w:rsidP="15E77795" wp14:paraId="591FFE4D" wp14:textId="0532BC6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Thomas-Kilmann model identifies five approaches to conflict: competing, collaborating, compromising, avoiding and accommodating. Collaboration should normally be preferred for important StaySmart+ conflicts because it seeks to identify a solution that addresses the underlying interests of both parties.</w:t>
      </w:r>
    </w:p>
    <w:p xmlns:wp14="http://schemas.microsoft.com/office/word/2010/wordml" w:rsidP="15E77795" wp14:paraId="57D7934B" wp14:textId="59B58F5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Fisher, Ury and Patton (2011) similarly recommend focusing on interests rather than positions. For example, if an owner demands immediate implementation, the project manager should identify the reason. The underlying concern may be a financial target rather than an actual requirement for immediate global deployment.</w:t>
      </w:r>
    </w:p>
    <w:p xmlns:wp14="http://schemas.microsoft.com/office/word/2010/wordml" w:rsidP="15E77795" wp14:paraId="68B71F32" wp14:textId="454BC63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 compromise could involve a controlled pilot with measurable financial targets while compliance testing continues.</w:t>
      </w:r>
    </w:p>
    <w:p xmlns:wp14="http://schemas.microsoft.com/office/word/2010/wordml" w:rsidP="15E77795" wp14:paraId="7A7860DB" wp14:textId="625F11B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manager should use the following conflict process:</w:t>
      </w:r>
    </w:p>
    <w:p xmlns:wp14="http://schemas.microsoft.com/office/word/2010/wordml" w:rsidP="15E77795" wp14:paraId="32EB8294" wp14:textId="7E5F2A77">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Identify the disagreement early.</w:t>
      </w:r>
    </w:p>
    <w:p xmlns:wp14="http://schemas.microsoft.com/office/word/2010/wordml" w:rsidP="15E77795" wp14:paraId="2F3B0A9A" wp14:textId="779380B0">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Meet stakeholders separately where necessary.</w:t>
      </w:r>
    </w:p>
    <w:p xmlns:wp14="http://schemas.microsoft.com/office/word/2010/wordml" w:rsidP="15E77795" wp14:paraId="53F0534C" wp14:textId="7A78FD26">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Clarify underlying interests.</w:t>
      </w:r>
    </w:p>
    <w:p xmlns:wp14="http://schemas.microsoft.com/office/word/2010/wordml" w:rsidP="15E77795" wp14:paraId="2FF4D65F" wp14:textId="2C2FE284">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Gather objective evidence.</w:t>
      </w:r>
    </w:p>
    <w:p xmlns:wp14="http://schemas.microsoft.com/office/word/2010/wordml" w:rsidP="15E77795" wp14:paraId="00EB7BDF" wp14:textId="1F5BB3C0">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Develop alternative solutions.</w:t>
      </w:r>
    </w:p>
    <w:p xmlns:wp14="http://schemas.microsoft.com/office/word/2010/wordml" w:rsidP="15E77795" wp14:paraId="0D011F78" wp14:textId="2567FCA4">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Evaluate solutions against agreed criteria.</w:t>
      </w:r>
    </w:p>
    <w:p xmlns:wp14="http://schemas.microsoft.com/office/word/2010/wordml" w:rsidP="15E77795" wp14:paraId="1F06A0E9" wp14:textId="69A5316E">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Document the decision.</w:t>
      </w:r>
    </w:p>
    <w:p xmlns:wp14="http://schemas.microsoft.com/office/word/2010/wordml" w:rsidP="15E77795" wp14:paraId="32184E56" wp14:textId="37CDFBB0">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Escalate unresolved issues to the steering committee.</w:t>
      </w:r>
    </w:p>
    <w:p xmlns:wp14="http://schemas.microsoft.com/office/word/2010/wordml" w:rsidP="15E77795" wp14:paraId="7950A0E4" wp14:textId="733562F5">
      <w:pPr>
        <w:pStyle w:val="ListParagraph"/>
        <w:numPr>
          <w:ilvl w:val="0"/>
          <w:numId w:val="5"/>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Review the stakeholder relationship afterwards.</w:t>
      </w:r>
    </w:p>
    <w:p xmlns:wp14="http://schemas.microsoft.com/office/word/2010/wordml" w:rsidP="15E77795" wp14:paraId="6202E337" wp14:textId="0B5CFE6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process protects the project from destructive conflict while allowing constructive disagreement to improve decision-making.</w:t>
      </w:r>
    </w:p>
    <w:p xmlns:wp14="http://schemas.microsoft.com/office/word/2010/wordml" w:rsidP="15E77795" wp14:paraId="2A4018C2" wp14:textId="67DCA38D">
      <w:pPr>
        <w:bidi w:val="0"/>
        <w:rPr>
          <w:rFonts w:ascii="Arial Nova" w:hAnsi="Arial Nova" w:eastAsia="Arial Nova" w:cs="Arial Nova"/>
          <w:color w:val="auto"/>
        </w:rPr>
      </w:pPr>
    </w:p>
    <w:p xmlns:wp14="http://schemas.microsoft.com/office/word/2010/wordml" w:rsidP="15E77795" wp14:paraId="44C1E629" wp14:textId="07398761">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9. Ethical and Cross-Cultural Considerations</w:t>
      </w:r>
    </w:p>
    <w:p xmlns:wp14="http://schemas.microsoft.com/office/word/2010/wordml" w:rsidP="15E77795" wp14:paraId="0A53FEDA" wp14:textId="33D48F0A">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Data privacy</w:t>
      </w:r>
    </w:p>
    <w:p xmlns:wp14="http://schemas.microsoft.com/office/word/2010/wordml" w:rsidP="15E77795" wp14:paraId="1E2A1630" wp14:textId="1E296CA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Privacy is one of the most important ethical issues because StaySmart+ will potentially process information about customer preferences and behaviour. Marriott already operates a global privacy framework, but StaySmart+ would increase the importance of ensuring that data collection is proportionate and transparent.</w:t>
      </w:r>
    </w:p>
    <w:p xmlns:wp14="http://schemas.microsoft.com/office/word/2010/wordml" w:rsidP="15E77795" wp14:paraId="672CCBC2" wp14:textId="266B7FD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ICO's AI guidance highlights principles including fairness, transparency, data minimisation, security and accountability. Therefore, privacy should be considered during service design rather than after development.</w:t>
      </w:r>
    </w:p>
    <w:p xmlns:wp14="http://schemas.microsoft.com/office/word/2010/wordml" w:rsidP="15E77795" wp14:paraId="141F40FA" wp14:textId="5F03557F">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AI bias</w:t>
      </w:r>
    </w:p>
    <w:p xmlns:wp14="http://schemas.microsoft.com/office/word/2010/wordml" w:rsidP="15E77795" wp14:paraId="67E1A0C7" wp14:textId="3077B4B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AI recommendations could unintentionally favour certain businesses, destinations or customer profiles. Testing should therefore be carried out across different markets, languages and customer groups.</w:t>
      </w:r>
    </w:p>
    <w:p xmlns:wp14="http://schemas.microsoft.com/office/word/2010/wordml" w:rsidP="15E77795" wp14:paraId="73BF4E7C" wp14:textId="5156C40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Human oversight should also remain available where AI recommendations are inappropriate or where customers require more complex support.</w:t>
      </w:r>
    </w:p>
    <w:p xmlns:wp14="http://schemas.microsoft.com/office/word/2010/wordml" w:rsidP="15E77795" wp14:paraId="02B02B78" wp14:textId="35408F7D">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Employment</w:t>
      </w:r>
    </w:p>
    <w:p xmlns:wp14="http://schemas.microsoft.com/office/word/2010/wordml" w:rsidP="15E77795" wp14:paraId="48ED222C" wp14:textId="75FA3B6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introduction of AI could affect employee perceptions of job security. Marriott should therefore provide training and explain how employee roles are expected to change.</w:t>
      </w:r>
    </w:p>
    <w:p xmlns:wp14="http://schemas.microsoft.com/office/word/2010/wordml" w:rsidP="15E77795" wp14:paraId="52A8555B" wp14:textId="13F41AA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ethical objective should be to use AI to remove repetitive activities rather than simply reduce human interaction. This supports the concept of </w:t>
      </w:r>
      <w:r w:rsidRPr="15E77795" w:rsidR="6A9D2C9E">
        <w:rPr>
          <w:rFonts w:ascii="Arial Nova" w:hAnsi="Arial Nova" w:eastAsia="Arial Nova" w:cs="Arial Nova"/>
          <w:b w:val="1"/>
          <w:bCs w:val="1"/>
          <w:noProof w:val="0"/>
          <w:color w:val="auto"/>
          <w:sz w:val="22"/>
          <w:szCs w:val="22"/>
          <w:lang w:val="en-US"/>
        </w:rPr>
        <w:t>technology-enabled hospitality</w:t>
      </w:r>
      <w:r w:rsidRPr="15E77795" w:rsidR="6A9D2C9E">
        <w:rPr>
          <w:rFonts w:ascii="Arial Nova" w:hAnsi="Arial Nova" w:eastAsia="Arial Nova" w:cs="Arial Nova"/>
          <w:noProof w:val="0"/>
          <w:color w:val="auto"/>
          <w:sz w:val="22"/>
          <w:szCs w:val="22"/>
          <w:lang w:val="en-US"/>
        </w:rPr>
        <w:t xml:space="preserve"> rather than technology replacing hospitality.</w:t>
      </w:r>
    </w:p>
    <w:p xmlns:wp14="http://schemas.microsoft.com/office/word/2010/wordml" w:rsidP="15E77795" wp14:paraId="741DB4A3" wp14:textId="5AB4C0FE">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Sustainability and greenwashing</w:t>
      </w:r>
    </w:p>
    <w:p xmlns:wp14="http://schemas.microsoft.com/office/word/2010/wordml" w:rsidP="15E77795" wp14:paraId="315A42D2" wp14:textId="7722D50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StaySmart+ should not make environmental claims that cannot be supported by evidence. Marriott's existing Serve 360 programme provides a useful framework because it includes environmental, social and community objectives. Marriott's sustainability reporting also includes climate-related goals and property-level initiatives.</w:t>
      </w:r>
    </w:p>
    <w:p xmlns:wp14="http://schemas.microsoft.com/office/word/2010/wordml" w:rsidP="15E77795" wp14:paraId="2CC97B7A" wp14:textId="27E30CF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should therefore identify measurable environmental outcomes for each sustainability feature.</w:t>
      </w:r>
    </w:p>
    <w:p xmlns:wp14="http://schemas.microsoft.com/office/word/2010/wordml" w:rsidP="15E77795" wp14:paraId="4A4142FC" wp14:textId="250EF455">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Digital exclusion</w:t>
      </w:r>
    </w:p>
    <w:p xmlns:wp14="http://schemas.microsoft.com/office/word/2010/wordml" w:rsidP="15E77795" wp14:paraId="4CD50363" wp14:textId="1810837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Not every guest will want to interact with AI. Some customers may have limited digital skills, disabilities or simply prefer speaking to an employee.</w:t>
      </w:r>
    </w:p>
    <w:p xmlns:wp14="http://schemas.microsoft.com/office/word/2010/wordml" w:rsidP="15E77795" wp14:paraId="0488E45E" wp14:textId="51BFA62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 premium service should therefore provide a human alternative. Making AI compulsory could undermine the inclusiveness of the service.</w:t>
      </w:r>
    </w:p>
    <w:p xmlns:wp14="http://schemas.microsoft.com/office/word/2010/wordml" w:rsidP="15E77795" wp14:paraId="2FD37F08" wp14:textId="192FB71C">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Cultural differences</w:t>
      </w:r>
    </w:p>
    <w:p xmlns:wp14="http://schemas.microsoft.com/office/word/2010/wordml" w:rsidP="15E77795" wp14:paraId="09646B1B" wp14:textId="102CD6C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Cultural differences can affect how customers and employees perceive AI, authority, communication and participation. Research by Lückmann and Färber (2016) demonstrates the challenges of stakeholder engagement across national cultures.</w:t>
      </w:r>
    </w:p>
    <w:p xmlns:wp14="http://schemas.microsoft.com/office/word/2010/wordml" w:rsidP="15E77795" wp14:paraId="7F95EC67" wp14:textId="6DC8B75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should therefore avoid assuming that a single engagement approach will work everywhere. Local employees and managers should have sufficient influence to adapt implementation to local expectations.</w:t>
      </w:r>
    </w:p>
    <w:p xmlns:wp14="http://schemas.microsoft.com/office/word/2010/wordml" w:rsidP="15E77795" wp14:paraId="41015DE2" wp14:textId="35452033">
      <w:pPr>
        <w:bidi w:val="0"/>
        <w:rPr>
          <w:rFonts w:ascii="Arial Nova" w:hAnsi="Arial Nova" w:eastAsia="Arial Nova" w:cs="Arial Nova"/>
          <w:color w:val="auto"/>
        </w:rPr>
      </w:pPr>
    </w:p>
    <w:p xmlns:wp14="http://schemas.microsoft.com/office/word/2010/wordml" w:rsidP="15E77795" wp14:paraId="26DAAE8B" wp14:textId="13D06063">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10. Impact of Stakeholder Engagement on Business Performance</w:t>
      </w:r>
    </w:p>
    <w:p xmlns:wp14="http://schemas.microsoft.com/office/word/2010/wordml" w:rsidP="15E77795" wp14:paraId="04C02C40" wp14:textId="17FE9EE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can influence business performance through customer experience, employee performance, financial outcomes, innovation, reputation and sustainability.</w:t>
      </w:r>
    </w:p>
    <w:p xmlns:wp14="http://schemas.microsoft.com/office/word/2010/wordml" w:rsidP="15E77795" wp14:paraId="294D9785" wp14:textId="0A5F06B2">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Customer experience</w:t>
      </w:r>
    </w:p>
    <w:p xmlns:wp14="http://schemas.microsoft.com/office/word/2010/wordml" w:rsidP="15E77795" wp14:paraId="23F20466" wp14:textId="05FE5A1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Involving customers in design should increase the probability that StaySmart+ meets genuine needs. Personalised travel planning could reduce the effort involved in researching destinations and create a more convenient experience.</w:t>
      </w:r>
    </w:p>
    <w:p xmlns:wp14="http://schemas.microsoft.com/office/word/2010/wordml" w:rsidP="15E77795" wp14:paraId="751F48E9" wp14:textId="73A4489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Performance should be measured through customer satisfaction, Net Promoter Score, adoption, repeat bookings, complaints and digital engagement.</w:t>
      </w:r>
    </w:p>
    <w:p xmlns:wp14="http://schemas.microsoft.com/office/word/2010/wordml" w:rsidP="15E77795" wp14:paraId="7C1DD9AB" wp14:textId="00BF050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engagement also reveals a potential negative relationship. Customers may appreciate useful personalisation but reject excessive data collection. Therefore, Marriott needs to balance convenience with privacy.</w:t>
      </w:r>
    </w:p>
    <w:p xmlns:wp14="http://schemas.microsoft.com/office/word/2010/wordml" w:rsidP="15E77795" wp14:paraId="7F07A88A" wp14:textId="45E5B1A5">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Employee performance</w:t>
      </w:r>
    </w:p>
    <w:p xmlns:wp14="http://schemas.microsoft.com/office/word/2010/wordml" w:rsidP="15E77795" wp14:paraId="108FA7F4" wp14:textId="753FF6A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Employee engagement can improve adoption because employees understand why the technology is being introduced and have opportunities to influence it.</w:t>
      </w:r>
    </w:p>
    <w:p xmlns:wp14="http://schemas.microsoft.com/office/word/2010/wordml" w:rsidP="15E77795" wp14:paraId="591E223E" wp14:textId="6E62448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AI may reduce the amount of time employees spend answering routine questions, allowing them to focus on complex customer interactions. However, if the AI produces inaccurate information, employees may have to spend additional time correcting it.</w:t>
      </w:r>
    </w:p>
    <w:p xmlns:wp14="http://schemas.microsoft.com/office/word/2010/wordml" w:rsidP="15E77795" wp14:paraId="587ACCA6" wp14:textId="2B2A386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Measures should include employee satisfaction, turnover, training completion, response times, productivity and AI escalation rates.</w:t>
      </w:r>
    </w:p>
    <w:p xmlns:wp14="http://schemas.microsoft.com/office/word/2010/wordml" w:rsidP="15E77795" wp14:paraId="025A886D" wp14:textId="7435C80E">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Financial performance</w:t>
      </w:r>
    </w:p>
    <w:p xmlns:wp14="http://schemas.microsoft.com/office/word/2010/wordml" w:rsidP="15E77795" wp14:paraId="7577A484" wp14:textId="28DB7D2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can support financial performance by reducing implementation failure and increasing adoption.</w:t>
      </w:r>
    </w:p>
    <w:p xmlns:wp14="http://schemas.microsoft.com/office/word/2010/wordml" w:rsidP="15E77795" wp14:paraId="60F9D540" wp14:textId="37F58D0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Potential benefits include:</w:t>
      </w:r>
    </w:p>
    <w:p xmlns:wp14="http://schemas.microsoft.com/office/word/2010/wordml" w:rsidP="15E77795" wp14:paraId="244F19AC" wp14:textId="1416398B">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increased direct bookings;</w:t>
      </w:r>
    </w:p>
    <w:p xmlns:wp14="http://schemas.microsoft.com/office/word/2010/wordml" w:rsidP="15E77795" wp14:paraId="38E73340" wp14:textId="13DCB541">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improved customer retention;</w:t>
      </w:r>
    </w:p>
    <w:p xmlns:wp14="http://schemas.microsoft.com/office/word/2010/wordml" w:rsidP="15E77795" wp14:paraId="000B62B7" wp14:textId="3BC5C00E">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higher loyalty engagement;</w:t>
      </w:r>
    </w:p>
    <w:p xmlns:wp14="http://schemas.microsoft.com/office/word/2010/wordml" w:rsidP="15E77795" wp14:paraId="5B427BCB" wp14:textId="42B81748">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additional hotel spending;</w:t>
      </w:r>
    </w:p>
    <w:p xmlns:wp14="http://schemas.microsoft.com/office/word/2010/wordml" w:rsidP="15E77795" wp14:paraId="6FDD83DB" wp14:textId="3EB3C021">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reduced repetitive service costs;</w:t>
      </w:r>
    </w:p>
    <w:p xmlns:wp14="http://schemas.microsoft.com/office/word/2010/wordml" w:rsidP="15E77795" wp14:paraId="2566FC81" wp14:textId="798E0CAC">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increased efficiency; and</w:t>
      </w:r>
    </w:p>
    <w:p xmlns:wp14="http://schemas.microsoft.com/office/word/2010/wordml" w:rsidP="15E77795" wp14:paraId="570FFFD5" wp14:textId="1DD1C519">
      <w:pPr>
        <w:pStyle w:val="ListParagraph"/>
        <w:numPr>
          <w:ilvl w:val="0"/>
          <w:numId w:val="6"/>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stronger differentiation.</w:t>
      </w:r>
    </w:p>
    <w:p xmlns:wp14="http://schemas.microsoft.com/office/word/2010/wordml" w:rsidP="15E77795" wp14:paraId="10043B86" wp14:textId="3F54A45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Costs include technology development, training, consultation, cybersecurity, supplier contracts and system integration.</w:t>
      </w:r>
    </w:p>
    <w:p xmlns:wp14="http://schemas.microsoft.com/office/word/2010/wordml" w:rsidP="15E77795" wp14:paraId="5DB0BEDF" wp14:textId="3BB25E2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project should therefore use a benefits-realisation dashboard to measure whether expected returns are actually achieved.</w:t>
      </w:r>
    </w:p>
    <w:p xmlns:wp14="http://schemas.microsoft.com/office/word/2010/wordml" w:rsidP="15E77795" wp14:paraId="7A5120F6" wp14:textId="2733CB1F">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Brand reputation</w:t>
      </w:r>
    </w:p>
    <w:p xmlns:wp14="http://schemas.microsoft.com/office/word/2010/wordml" w:rsidP="15E77795" wp14:paraId="01888A98" wp14:textId="57810EC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Effective stakeholder engagement can strengthen Marriott's reputation for innovation and responsible hospitality.</w:t>
      </w:r>
    </w:p>
    <w:p xmlns:wp14="http://schemas.microsoft.com/office/word/2010/wordml" w:rsidP="15E77795" wp14:paraId="71BE654B" wp14:textId="347BE4D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failure could damage the brand. A major privacy incident, discriminatory AI output or false sustainability claim could undermine trust.</w:t>
      </w:r>
    </w:p>
    <w:p xmlns:wp14="http://schemas.microsoft.com/office/word/2010/wordml" w:rsidP="15E77795" wp14:paraId="27BD5A7D" wp14:textId="66EABA1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therefore acts as a risk-management mechanism as well as a method of generating innovation.</w:t>
      </w:r>
    </w:p>
    <w:p xmlns:wp14="http://schemas.microsoft.com/office/word/2010/wordml" w:rsidP="15E77795" wp14:paraId="27477DE6" wp14:textId="19DC4668">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Sustainability</w:t>
      </w:r>
    </w:p>
    <w:p xmlns:wp14="http://schemas.microsoft.com/office/word/2010/wordml" w:rsidP="15E77795" wp14:paraId="6C3300D8" wp14:textId="40803BE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engagement can improve the credibility of StaySmart+'s sustainability component. Local communities can identify destination concerns, sustainability specialists can test claims and suppliers can provide lower-impact products.</w:t>
      </w:r>
    </w:p>
    <w:p xmlns:wp14="http://schemas.microsoft.com/office/word/2010/wordml" w:rsidP="15E77795" wp14:paraId="692E6B72" wp14:textId="64DE72F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Marriott's Serve 360 programme already states that sustainable operations involve collaboration with associates, owners, franchisees, suppliers, business partners and guests. This provides an existing foundation for the project.</w:t>
      </w:r>
    </w:p>
    <w:p xmlns:wp14="http://schemas.microsoft.com/office/word/2010/wordml" w:rsidP="15E77795" wp14:paraId="0BB71FDB" wp14:textId="26A49344">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Competitive advantage</w:t>
      </w:r>
    </w:p>
    <w:p xmlns:wp14="http://schemas.microsoft.com/office/word/2010/wordml" w:rsidP="15E77795" wp14:paraId="2445643C" wp14:textId="47C4B83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Harrison, Bosse and Phillips (2010) argue that stakeholder-oriented management can contribute to competitive advantage through better relationships, information and cooperation.</w:t>
      </w:r>
    </w:p>
    <w:p xmlns:wp14="http://schemas.microsoft.com/office/word/2010/wordml" w:rsidP="15E77795" wp14:paraId="1A79A351" wp14:textId="68E34B5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For StaySmart+, this could mean that Marriott gains customer insights and operational knowledge that competitors do not possess.</w:t>
      </w:r>
    </w:p>
    <w:p xmlns:wp14="http://schemas.microsoft.com/office/word/2010/wordml" w:rsidP="15E77795" wp14:paraId="2A7E26B5" wp14:textId="67AFEB23">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Nevertheless, stakeholder engagement has costs. Too much consultation can create stakeholder fatigue, increase project expenditure and slow implementation. The project manager must therefore use proportionate engagement.</w:t>
      </w:r>
    </w:p>
    <w:p xmlns:wp14="http://schemas.microsoft.com/office/word/2010/wordml" w:rsidP="15E77795" wp14:paraId="6171F05E" wp14:textId="3E5B8E71">
      <w:pPr>
        <w:bidi w:val="0"/>
        <w:rPr>
          <w:rFonts w:ascii="Arial Nova" w:hAnsi="Arial Nova" w:eastAsia="Arial Nova" w:cs="Arial Nova"/>
          <w:color w:val="auto"/>
        </w:rPr>
      </w:pPr>
    </w:p>
    <w:p xmlns:wp14="http://schemas.microsoft.com/office/word/2010/wordml" w:rsidP="15E77795" wp14:paraId="41564B6F" wp14:textId="3AB38358">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11. Recommendations</w:t>
      </w:r>
    </w:p>
    <w:p xmlns:wp14="http://schemas.microsoft.com/office/word/2010/wordml" w:rsidP="15E77795" wp14:paraId="04577F4F" wp14:textId="483AE5DB">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1: Establish a permanent StaySmart+ Stakeholder Council</w:t>
      </w:r>
    </w:p>
    <w:p xmlns:wp14="http://schemas.microsoft.com/office/word/2010/wordml" w:rsidP="15E77795" wp14:paraId="12528AF0" wp14:textId="3103633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should establish a stakeholder council that remains active after launch. It should include representatives from employees, customers, owners, technology, sustainability and regional management.</w:t>
      </w:r>
    </w:p>
    <w:p xmlns:wp14="http://schemas.microsoft.com/office/word/2010/wordml" w:rsidP="15E77795" wp14:paraId="536C0EF3" wp14:textId="7826DC3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recommendation addresses the risk that stakeholder engagement ends once the service has launched.</w:t>
      </w:r>
    </w:p>
    <w:p xmlns:wp14="http://schemas.microsoft.com/office/word/2010/wordml" w:rsidP="15E77795" wp14:paraId="2996B253" wp14:textId="00DBAF6E">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2: Use a global core with local adaptation</w:t>
      </w:r>
    </w:p>
    <w:p xmlns:wp14="http://schemas.microsoft.com/office/word/2010/wordml" w:rsidP="15E77795" wp14:paraId="0C1CC9C3" wp14:textId="074A0DD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should standardise core requirements such as cybersecurity, privacy, AI governance and brand standards.</w:t>
      </w:r>
    </w:p>
    <w:p xmlns:wp14="http://schemas.microsoft.com/office/word/2010/wordml" w:rsidP="15E77795" wp14:paraId="73834454" wp14:textId="47E9666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However, local markets should be allowed to adapt language, destination recommendations, customer communication and sustainability initiatives.</w:t>
      </w:r>
    </w:p>
    <w:p xmlns:wp14="http://schemas.microsoft.com/office/word/2010/wordml" w:rsidP="15E77795" wp14:paraId="2312C9F9" wp14:textId="1079BBDF">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approach balances consistency with cultural sensitivity.</w:t>
      </w:r>
    </w:p>
    <w:p xmlns:wp14="http://schemas.microsoft.com/office/word/2010/wordml" w:rsidP="15E77795" wp14:paraId="6C2EE1FA" wp14:textId="229B1BD3">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3: Introduce mandatory AI governance gates</w:t>
      </w:r>
    </w:p>
    <w:p xmlns:wp14="http://schemas.microsoft.com/office/word/2010/wordml" w:rsidP="15E77795" wp14:paraId="382DEDC0" wp14:textId="3827F31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Every major development should pass privacy, cybersecurity, accuracy, bias and transparency testing before launch.</w:t>
      </w:r>
    </w:p>
    <w:p xmlns:wp14="http://schemas.microsoft.com/office/word/2010/wordml" w:rsidP="15E77795" wp14:paraId="1DAF4CD7" wp14:textId="421DB09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Legal and data-protection specialists should have formal authority to stop deployment where significant risks remain unresolved.</w:t>
      </w:r>
    </w:p>
    <w:p xmlns:wp14="http://schemas.microsoft.com/office/word/2010/wordml" w:rsidP="15E77795" wp14:paraId="6144868C" wp14:textId="0649999A">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4: Establish employee StaySmart+ champions</w:t>
      </w:r>
    </w:p>
    <w:p xmlns:wp14="http://schemas.microsoft.com/office/word/2010/wordml" w:rsidP="15E77795" wp14:paraId="08084E3B" wp14:textId="6AC58AF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Each participating hotel should nominate trained employees to act as StaySmart+ champions.</w:t>
      </w:r>
    </w:p>
    <w:p xmlns:wp14="http://schemas.microsoft.com/office/word/2010/wordml" w:rsidP="15E77795" wp14:paraId="4C880D6D" wp14:textId="15E954C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They should support colleagues, report technical issues and collect customer feedback.</w:t>
      </w:r>
    </w:p>
    <w:p xmlns:wp14="http://schemas.microsoft.com/office/word/2010/wordml" w:rsidP="15E77795" wp14:paraId="53D9BB1E" wp14:textId="57CFE08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can increase employee ownership and reduce resistance.</w:t>
      </w:r>
    </w:p>
    <w:p xmlns:wp14="http://schemas.microsoft.com/office/word/2010/wordml" w:rsidP="15E77795" wp14:paraId="37A5ED79" wp14:textId="147C7A73">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5: Introduce a stakeholder dashboard</w:t>
      </w:r>
    </w:p>
    <w:p xmlns:wp14="http://schemas.microsoft.com/office/word/2010/wordml" w:rsidP="15E77795" wp14:paraId="3D8770F8" wp14:textId="18A4A32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 should monitor:</w:t>
      </w:r>
    </w:p>
    <w:p xmlns:wp14="http://schemas.microsoft.com/office/word/2010/wordml" w:rsidP="15E77795" wp14:paraId="4645BE0D" wp14:textId="6DA31939">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stakeholder satisfaction;</w:t>
      </w:r>
    </w:p>
    <w:p xmlns:wp14="http://schemas.microsoft.com/office/word/2010/wordml" w:rsidP="15E77795" wp14:paraId="57749869" wp14:textId="580DCB32">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training completion;</w:t>
      </w:r>
    </w:p>
    <w:p xmlns:wp14="http://schemas.microsoft.com/office/word/2010/wordml" w:rsidP="15E77795" wp14:paraId="1CAD545E" wp14:textId="6EC27F18">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unresolved concerns;</w:t>
      </w:r>
    </w:p>
    <w:p xmlns:wp14="http://schemas.microsoft.com/office/word/2010/wordml" w:rsidP="15E77795" wp14:paraId="0AA347C9" wp14:textId="244279BF">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participation;</w:t>
      </w:r>
    </w:p>
    <w:p xmlns:wp14="http://schemas.microsoft.com/office/word/2010/wordml" w:rsidP="15E77795" wp14:paraId="6DBDDA92" wp14:textId="260AA7D6">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adoption;</w:t>
      </w:r>
    </w:p>
    <w:p xmlns:wp14="http://schemas.microsoft.com/office/word/2010/wordml" w:rsidP="15E77795" wp14:paraId="053A5AA7" wp14:textId="3E6B3C18">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employee confidence;</w:t>
      </w:r>
    </w:p>
    <w:p xmlns:wp14="http://schemas.microsoft.com/office/word/2010/wordml" w:rsidP="15E77795" wp14:paraId="5E2847D3" wp14:textId="5D4247D5">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customer satisfaction; and</w:t>
      </w:r>
    </w:p>
    <w:p xmlns:wp14="http://schemas.microsoft.com/office/word/2010/wordml" w:rsidP="15E77795" wp14:paraId="6F6AA08A" wp14:textId="0A5B7153">
      <w:pPr>
        <w:pStyle w:val="ListParagraph"/>
        <w:numPr>
          <w:ilvl w:val="0"/>
          <w:numId w:val="7"/>
        </w:num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commitment to agreed actions.</w:t>
      </w:r>
    </w:p>
    <w:p xmlns:wp14="http://schemas.microsoft.com/office/word/2010/wordml" w:rsidP="15E77795" wp14:paraId="57E79CE7" wp14:textId="4A3B8F9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dashboard should be reviewed by the project steering committee.</w:t>
      </w:r>
    </w:p>
    <w:p xmlns:wp14="http://schemas.microsoft.com/office/word/2010/wordml" w:rsidP="15E77795" wp14:paraId="167E4847" wp14:textId="1A8472A3">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6: Link sustainability claims to measurable outcomes</w:t>
      </w:r>
    </w:p>
    <w:p xmlns:wp14="http://schemas.microsoft.com/office/word/2010/wordml" w:rsidP="15E77795" wp14:paraId="28EF2140" wp14:textId="727767A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Each sustainability feature should have a measurable environmental or social objective. Marketing claims should be reviewed by sustainability specialists before publication.</w:t>
      </w:r>
    </w:p>
    <w:p xmlns:wp14="http://schemas.microsoft.com/office/word/2010/wordml" w:rsidP="15E77795" wp14:paraId="2DCDCEFD" wp14:textId="35668DEA">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7: Use staged deployment</w:t>
      </w:r>
    </w:p>
    <w:p xmlns:wp14="http://schemas.microsoft.com/office/word/2010/wordml" w:rsidP="15E77795" wp14:paraId="36B447B4" wp14:textId="65120FE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service should progress through:</w:t>
      </w:r>
    </w:p>
    <w:p xmlns:wp14="http://schemas.microsoft.com/office/word/2010/wordml" w:rsidP="15E77795" wp14:paraId="7807FFAE" wp14:textId="4429BEC0">
      <w:pPr>
        <w:bidi w:val="0"/>
        <w:spacing w:before="240" w:beforeAutospacing="off" w:after="240" w:afterAutospacing="off"/>
        <w:rPr>
          <w:rFonts w:ascii="Arial Nova" w:hAnsi="Arial Nova" w:eastAsia="Arial Nova" w:cs="Arial Nova"/>
          <w:b w:val="1"/>
          <w:bCs w:val="1"/>
          <w:noProof w:val="0"/>
          <w:color w:val="auto"/>
          <w:sz w:val="22"/>
          <w:szCs w:val="22"/>
          <w:lang w:val="en-US"/>
        </w:rPr>
      </w:pPr>
      <w:r w:rsidRPr="15E77795" w:rsidR="6A9D2C9E">
        <w:rPr>
          <w:rFonts w:ascii="Arial Nova" w:hAnsi="Arial Nova" w:eastAsia="Arial Nova" w:cs="Arial Nova"/>
          <w:b w:val="1"/>
          <w:bCs w:val="1"/>
          <w:noProof w:val="0"/>
          <w:color w:val="auto"/>
          <w:sz w:val="22"/>
          <w:szCs w:val="22"/>
          <w:lang w:val="en-US"/>
        </w:rPr>
        <w:t>Design → Pilot → Evaluation → Improvement → Wider Launch → 90-Day Review</w:t>
      </w:r>
    </w:p>
    <w:p xmlns:wp14="http://schemas.microsoft.com/office/word/2010/wordml" w:rsidP="15E77795" wp14:paraId="0B2F0F3E" wp14:textId="6A31E3D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reduces the risk of a major international failure.</w:t>
      </w:r>
    </w:p>
    <w:p xmlns:wp14="http://schemas.microsoft.com/office/word/2010/wordml" w:rsidP="15E77795" wp14:paraId="2833FD0A" wp14:textId="404633D5">
      <w:pPr>
        <w:pStyle w:val="Heading2"/>
        <w:bidi w:val="0"/>
        <w:spacing w:before="299" w:beforeAutospacing="off" w:after="299" w:afterAutospacing="off"/>
        <w:rPr>
          <w:rFonts w:ascii="Arial Nova" w:hAnsi="Arial Nova" w:eastAsia="Arial Nova" w:cs="Arial Nova"/>
          <w:b w:val="1"/>
          <w:bCs w:val="1"/>
          <w:noProof w:val="0"/>
          <w:color w:val="auto"/>
          <w:sz w:val="36"/>
          <w:szCs w:val="36"/>
          <w:lang w:val="en-US"/>
        </w:rPr>
      </w:pPr>
      <w:r w:rsidRPr="15E77795" w:rsidR="6A9D2C9E">
        <w:rPr>
          <w:rFonts w:ascii="Arial Nova" w:hAnsi="Arial Nova" w:eastAsia="Arial Nova" w:cs="Arial Nova"/>
          <w:b w:val="1"/>
          <w:bCs w:val="1"/>
          <w:noProof w:val="0"/>
          <w:color w:val="auto"/>
          <w:sz w:val="36"/>
          <w:szCs w:val="36"/>
          <w:lang w:val="en-US"/>
        </w:rPr>
        <w:t>Recommendation 8: Protect human hospitality</w:t>
      </w:r>
    </w:p>
    <w:p xmlns:wp14="http://schemas.microsoft.com/office/word/2010/wordml" w:rsidP="15E77795" wp14:paraId="185C7FC1" wp14:textId="0C84002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service should be positioned as </w:t>
      </w:r>
      <w:r w:rsidRPr="15E77795" w:rsidR="6A9D2C9E">
        <w:rPr>
          <w:rFonts w:ascii="Arial Nova" w:hAnsi="Arial Nova" w:eastAsia="Arial Nova" w:cs="Arial Nova"/>
          <w:b w:val="1"/>
          <w:bCs w:val="1"/>
          <w:noProof w:val="0"/>
          <w:color w:val="auto"/>
          <w:sz w:val="22"/>
          <w:szCs w:val="22"/>
          <w:lang w:val="en-US"/>
        </w:rPr>
        <w:t>AI-enabled hospitality rather than AI-replaced hospitality</w:t>
      </w:r>
      <w:r w:rsidRPr="15E77795" w:rsidR="6A9D2C9E">
        <w:rPr>
          <w:rFonts w:ascii="Arial Nova" w:hAnsi="Arial Nova" w:eastAsia="Arial Nova" w:cs="Arial Nova"/>
          <w:noProof w:val="0"/>
          <w:color w:val="auto"/>
          <w:sz w:val="22"/>
          <w:szCs w:val="22"/>
          <w:lang w:val="en-US"/>
        </w:rPr>
        <w:t>.</w:t>
      </w:r>
    </w:p>
    <w:p xmlns:wp14="http://schemas.microsoft.com/office/word/2010/wordml" w:rsidP="15E77795" wp14:paraId="7FB695E1" wp14:textId="3981BDC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Customers should retain access to employees, especially for complaints, complex requests, accessibility requirements and situations where empathy is important.</w:t>
      </w:r>
    </w:p>
    <w:p xmlns:wp14="http://schemas.microsoft.com/office/word/2010/wordml" w:rsidP="15E77795" wp14:paraId="2FD9345B" wp14:textId="51CC248F">
      <w:pPr>
        <w:bidi w:val="0"/>
        <w:rPr>
          <w:rFonts w:ascii="Arial Nova" w:hAnsi="Arial Nova" w:eastAsia="Arial Nova" w:cs="Arial Nova"/>
          <w:color w:val="auto"/>
        </w:rPr>
      </w:pPr>
    </w:p>
    <w:p xmlns:wp14="http://schemas.microsoft.com/office/word/2010/wordml" w:rsidP="15E77795" wp14:paraId="1FF6E945" wp14:textId="03D6A280">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12. Conclusion</w:t>
      </w:r>
    </w:p>
    <w:p xmlns:wp14="http://schemas.microsoft.com/office/word/2010/wordml" w:rsidP="15E77795" wp14:paraId="5F936E5C" wp14:textId="2064333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This report has evaluated stakeholder engagement in relation to the proposed global launch of StaySmart+ at Marriott International. The service represents an opportunity to combine AI, personalised travel planning and sustainability to create a differentiated premium customer experience. However, its success depends on more than the quality of the technology.</w:t>
      </w:r>
    </w:p>
    <w:p xmlns:wp14="http://schemas.microsoft.com/office/word/2010/wordml" w:rsidP="15E77795" wp14:paraId="7219BCE8" wp14:textId="38E4A33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Marriott's international scale provides significant opportunities but also creates complexity. The organisation has thousands of properties, a diverse employee base, multiple owners and franchisees, international suppliers and customers from different cultural backgrounds. Consequently, a standardised stakeholder-management approach would not be sufficient.</w:t>
      </w:r>
    </w:p>
    <w:p xmlns:wp14="http://schemas.microsoft.com/office/word/2010/wordml" w:rsidP="15E77795" wp14:paraId="53A30B95" wp14:textId="18B1CD1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Freeman's (1984) stakeholder theory provides a strong foundation because it recognises that organisations depend on relationships with multiple groups. Mitchell, Agle and Wood's (1997) model adds a useful prioritisation mechanism by considering power, legitimacy and urgency. However, these models should be applied critically because stakeholder influence is not always reflected by formal organisational power.</w:t>
      </w:r>
    </w:p>
    <w:p xmlns:wp14="http://schemas.microsoft.com/office/word/2010/wordml" w:rsidP="15E77795" wp14:paraId="623D673B" wp14:textId="25B1D354">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power-interest matrix, stakeholder engagement plan, communication plan and RACI matrix provide practical tools for managing the stakeholder network. Their value is greatest when they are reviewed continuously rather than created once at the beginning of the project.</w:t>
      </w:r>
    </w:p>
    <w:p xmlns:wp14="http://schemas.microsoft.com/office/word/2010/wordml" w:rsidP="15E77795" wp14:paraId="661CF513" wp14:textId="180C67B6">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4Cs framework provides a useful process for stakeholder engagement. Communication creates understanding, collaboration allows stakeholders to contribute to design, consultation tests assumptions and commitment converts participation into measurable responsibility. Importantly, these activities should be continuous rather than treated as separate project stages.</w:t>
      </w:r>
    </w:p>
    <w:p xmlns:wp14="http://schemas.microsoft.com/office/word/2010/wordml" w:rsidP="15E77795" wp14:paraId="2B77B230" wp14:textId="2FFF0E2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Conflict should also be recognised as a normal part of stakeholder management. Employees, owners, regulators, customers and managers may have legitimate but conflicting interests. The project manager should therefore use collaboration and principled negotiation wherever possible and ensure that decisions are based on evidence rather than organisational power alone.</w:t>
      </w:r>
    </w:p>
    <w:p xmlns:wp14="http://schemas.microsoft.com/office/word/2010/wordml" w:rsidP="15E77795" wp14:paraId="21672D76" wp14:textId="68137B7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international nature of the project makes cultural awareness essential. Research indicates that culture can affect stakeholder interaction, communication and decision-making in multinational projects. Marriott should therefore use a global core with local adaptation.</w:t>
      </w:r>
    </w:p>
    <w:p xmlns:wp14="http://schemas.microsoft.com/office/word/2010/wordml" w:rsidP="15E77795" wp14:paraId="2D5A6BDD" wp14:textId="0E374EC2">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Ethical issues are equally important. Privacy, AI bias, employment, greenwashing and digital exclusion could all affect stakeholder trust. These issues should be considered during design rather than treated as problems after launch.</w:t>
      </w:r>
    </w:p>
    <w:p xmlns:wp14="http://schemas.microsoft.com/office/word/2010/wordml" w:rsidP="15E77795" wp14:paraId="5A2B55F7" wp14:textId="34E3FDD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Overall, effective stakeholder engagement can create value for Marriott by improving customer satisfaction, employee adoption, innovation, risk management, sustainability and competitive advantage. However, engagement is not automatically beneficial. It requires resources, time and effective governance.</w:t>
      </w:r>
    </w:p>
    <w:p xmlns:wp14="http://schemas.microsoft.com/office/word/2010/wordml" w:rsidP="15E77795" wp14:paraId="33646268" wp14:textId="5A887A2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The most appropriate strategy is therefore to treat stakeholders as </w:t>
      </w:r>
      <w:r w:rsidRPr="15E77795" w:rsidR="6A9D2C9E">
        <w:rPr>
          <w:rFonts w:ascii="Arial Nova" w:hAnsi="Arial Nova" w:eastAsia="Arial Nova" w:cs="Arial Nova"/>
          <w:b w:val="1"/>
          <w:bCs w:val="1"/>
          <w:noProof w:val="0"/>
          <w:color w:val="auto"/>
          <w:sz w:val="22"/>
          <w:szCs w:val="22"/>
          <w:lang w:val="en-US"/>
        </w:rPr>
        <w:t>partners in the development of StaySmart+ rather than audiences for corporate communication</w:t>
      </w:r>
      <w:r w:rsidRPr="15E77795" w:rsidR="6A9D2C9E">
        <w:rPr>
          <w:rFonts w:ascii="Arial Nova" w:hAnsi="Arial Nova" w:eastAsia="Arial Nova" w:cs="Arial Nova"/>
          <w:noProof w:val="0"/>
          <w:color w:val="auto"/>
          <w:sz w:val="22"/>
          <w:szCs w:val="22"/>
          <w:lang w:val="en-US"/>
        </w:rPr>
        <w:t>. By combining structured stakeholder analysis, continuous communication, co-design, consultation, conflict management and measurable commitment, Marriott can increase the likelihood that StaySmart+ will be accepted by employees, valued by customers and supported by owners and regulators.</w:t>
      </w:r>
    </w:p>
    <w:p xmlns:wp14="http://schemas.microsoft.com/office/word/2010/wordml" w:rsidP="15E77795" wp14:paraId="44749A96" wp14:textId="3841D3F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The ultimate measure of project success should not simply be whether StaySmart+ launches within six months. Success should be demonstrated through measurable customer value, employee acceptance, financial performance, ethical governance and credible sustainability outcomes. If these conditions are achieved, StaySmart+ could develop from a technology initiative into a sustainable source of competitive advantage for Marriott International.</w:t>
      </w:r>
    </w:p>
    <w:p xmlns:wp14="http://schemas.microsoft.com/office/word/2010/wordml" w:rsidP="15E77795" wp14:paraId="77DC5D20" wp14:textId="0280699B">
      <w:pPr>
        <w:bidi w:val="0"/>
        <w:rPr>
          <w:rFonts w:ascii="Arial Nova" w:hAnsi="Arial Nova" w:eastAsia="Arial Nova" w:cs="Arial Nova"/>
          <w:color w:val="auto"/>
        </w:rPr>
      </w:pPr>
    </w:p>
    <w:p xmlns:wp14="http://schemas.microsoft.com/office/word/2010/wordml" w:rsidP="15E77795" wp14:paraId="1586C66E" wp14:textId="486924A0">
      <w:pPr>
        <w:pStyle w:val="Heading1"/>
        <w:bidi w:val="0"/>
        <w:spacing w:before="322" w:beforeAutospacing="off" w:after="322" w:afterAutospacing="off"/>
        <w:rPr>
          <w:rFonts w:ascii="Arial Nova" w:hAnsi="Arial Nova" w:eastAsia="Arial Nova" w:cs="Arial Nova"/>
          <w:b w:val="1"/>
          <w:bCs w:val="1"/>
          <w:noProof w:val="0"/>
          <w:color w:val="auto"/>
          <w:sz w:val="48"/>
          <w:szCs w:val="48"/>
          <w:lang w:val="en-US"/>
        </w:rPr>
      </w:pPr>
      <w:r w:rsidRPr="15E77795" w:rsidR="6A9D2C9E">
        <w:rPr>
          <w:rFonts w:ascii="Arial Nova" w:hAnsi="Arial Nova" w:eastAsia="Arial Nova" w:cs="Arial Nova"/>
          <w:b w:val="1"/>
          <w:bCs w:val="1"/>
          <w:noProof w:val="0"/>
          <w:color w:val="auto"/>
          <w:sz w:val="48"/>
          <w:szCs w:val="48"/>
          <w:lang w:val="en-US"/>
        </w:rPr>
        <w:t>13. References</w:t>
      </w:r>
    </w:p>
    <w:p xmlns:wp14="http://schemas.microsoft.com/office/word/2010/wordml" w:rsidP="15E77795" wp14:paraId="5180AE7B" wp14:textId="61D562CB">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AccountAbility (2015) </w:t>
      </w:r>
      <w:r w:rsidRPr="15E77795" w:rsidR="6A9D2C9E">
        <w:rPr>
          <w:rFonts w:ascii="Arial Nova" w:hAnsi="Arial Nova" w:eastAsia="Arial Nova" w:cs="Arial Nova"/>
          <w:i w:val="1"/>
          <w:iCs w:val="1"/>
          <w:noProof w:val="0"/>
          <w:color w:val="auto"/>
          <w:sz w:val="22"/>
          <w:szCs w:val="22"/>
          <w:lang w:val="en-US"/>
        </w:rPr>
        <w:t>AA1000 Stakeholder Engagement Standard</w:t>
      </w:r>
      <w:r w:rsidRPr="15E77795" w:rsidR="6A9D2C9E">
        <w:rPr>
          <w:rFonts w:ascii="Arial Nova" w:hAnsi="Arial Nova" w:eastAsia="Arial Nova" w:cs="Arial Nova"/>
          <w:noProof w:val="0"/>
          <w:color w:val="auto"/>
          <w:sz w:val="22"/>
          <w:szCs w:val="22"/>
          <w:lang w:val="en-US"/>
        </w:rPr>
        <w:t xml:space="preserve">. Available via: </w:t>
      </w:r>
      <w:hyperlink r:id="R85baff35ef16476f">
        <w:r w:rsidRPr="15E77795" w:rsidR="6A9D2C9E">
          <w:rPr>
            <w:rStyle w:val="Hyperlink"/>
            <w:rFonts w:ascii="Arial Nova" w:hAnsi="Arial Nova" w:eastAsia="Arial Nova" w:cs="Arial Nova"/>
            <w:noProof w:val="0"/>
            <w:color w:val="auto"/>
            <w:lang w:val="en-US"/>
          </w:rPr>
          <w:t>AccountAbility – Stakeholder Engagement Standard</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58561C2E" wp14:textId="02B7F23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Ashcroft, J., Childs, R., Myers, A. and Schluter, M. (2016) </w:t>
      </w:r>
      <w:r w:rsidRPr="15E77795" w:rsidR="6A9D2C9E">
        <w:rPr>
          <w:rFonts w:ascii="Arial Nova" w:hAnsi="Arial Nova" w:eastAsia="Arial Nova" w:cs="Arial Nova"/>
          <w:i w:val="1"/>
          <w:iCs w:val="1"/>
          <w:noProof w:val="0"/>
          <w:color w:val="auto"/>
          <w:sz w:val="22"/>
          <w:szCs w:val="22"/>
          <w:lang w:val="en-US"/>
        </w:rPr>
        <w:t>The Relational Lens: Understanding, Managing and Measuring Stakeholder Relationships</w:t>
      </w:r>
      <w:r w:rsidRPr="15E77795" w:rsidR="6A9D2C9E">
        <w:rPr>
          <w:rFonts w:ascii="Arial Nova" w:hAnsi="Arial Nova" w:eastAsia="Arial Nova" w:cs="Arial Nova"/>
          <w:noProof w:val="0"/>
          <w:color w:val="auto"/>
          <w:sz w:val="22"/>
          <w:szCs w:val="22"/>
          <w:lang w:val="en-US"/>
        </w:rPr>
        <w:t>. Cambridge: Cambridge University Press.</w:t>
      </w:r>
    </w:p>
    <w:p xmlns:wp14="http://schemas.microsoft.com/office/word/2010/wordml" w:rsidP="15E77795" wp14:paraId="2FC4E828" wp14:textId="612FD2C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Christopher, M., Payne, A. and Ballantyne, D. (2002) </w:t>
      </w:r>
      <w:r w:rsidRPr="15E77795" w:rsidR="6A9D2C9E">
        <w:rPr>
          <w:rFonts w:ascii="Arial Nova" w:hAnsi="Arial Nova" w:eastAsia="Arial Nova" w:cs="Arial Nova"/>
          <w:i w:val="1"/>
          <w:iCs w:val="1"/>
          <w:noProof w:val="0"/>
          <w:color w:val="auto"/>
          <w:sz w:val="22"/>
          <w:szCs w:val="22"/>
          <w:lang w:val="en-US"/>
        </w:rPr>
        <w:t>Relationship Marketing: Creating Stakeholder Value</w:t>
      </w:r>
      <w:r w:rsidRPr="15E77795" w:rsidR="6A9D2C9E">
        <w:rPr>
          <w:rFonts w:ascii="Arial Nova" w:hAnsi="Arial Nova" w:eastAsia="Arial Nova" w:cs="Arial Nova"/>
          <w:noProof w:val="0"/>
          <w:color w:val="auto"/>
          <w:sz w:val="22"/>
          <w:szCs w:val="22"/>
          <w:lang w:val="en-US"/>
        </w:rPr>
        <w:t>. Oxford: Butterworth-Heinemann.</w:t>
      </w:r>
    </w:p>
    <w:p xmlns:wp14="http://schemas.microsoft.com/office/word/2010/wordml" w:rsidP="15E77795" wp14:paraId="208EA790" wp14:textId="0A2A23C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Doran, G.T. (1981) ‘There's a S.M.A.R.T. way to write management's goals and objectives’, </w:t>
      </w:r>
      <w:r w:rsidRPr="15E77795" w:rsidR="6A9D2C9E">
        <w:rPr>
          <w:rFonts w:ascii="Arial Nova" w:hAnsi="Arial Nova" w:eastAsia="Arial Nova" w:cs="Arial Nova"/>
          <w:i w:val="1"/>
          <w:iCs w:val="1"/>
          <w:noProof w:val="0"/>
          <w:color w:val="auto"/>
          <w:sz w:val="22"/>
          <w:szCs w:val="22"/>
          <w:lang w:val="en-US"/>
        </w:rPr>
        <w:t>Management Review</w:t>
      </w:r>
      <w:r w:rsidRPr="15E77795" w:rsidR="6A9D2C9E">
        <w:rPr>
          <w:rFonts w:ascii="Arial Nova" w:hAnsi="Arial Nova" w:eastAsia="Arial Nova" w:cs="Arial Nova"/>
          <w:noProof w:val="0"/>
          <w:color w:val="auto"/>
          <w:sz w:val="22"/>
          <w:szCs w:val="22"/>
          <w:lang w:val="en-US"/>
        </w:rPr>
        <w:t>, 70(11), pp. 35–36.</w:t>
      </w:r>
    </w:p>
    <w:p xmlns:wp14="http://schemas.microsoft.com/office/word/2010/wordml" w:rsidP="15E77795" wp14:paraId="728250EF" wp14:textId="6ED1F219">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Fisher, R., Ury, W. and Patton, B. (2011) </w:t>
      </w:r>
      <w:r w:rsidRPr="15E77795" w:rsidR="6A9D2C9E">
        <w:rPr>
          <w:rFonts w:ascii="Arial Nova" w:hAnsi="Arial Nova" w:eastAsia="Arial Nova" w:cs="Arial Nova"/>
          <w:i w:val="1"/>
          <w:iCs w:val="1"/>
          <w:noProof w:val="0"/>
          <w:color w:val="auto"/>
          <w:sz w:val="22"/>
          <w:szCs w:val="22"/>
          <w:lang w:val="en-US"/>
        </w:rPr>
        <w:t>Getting to Yes: Negotiating Agreement Without Giving In</w:t>
      </w:r>
      <w:r w:rsidRPr="15E77795" w:rsidR="6A9D2C9E">
        <w:rPr>
          <w:rFonts w:ascii="Arial Nova" w:hAnsi="Arial Nova" w:eastAsia="Arial Nova" w:cs="Arial Nova"/>
          <w:noProof w:val="0"/>
          <w:color w:val="auto"/>
          <w:sz w:val="22"/>
          <w:szCs w:val="22"/>
          <w:lang w:val="en-US"/>
        </w:rPr>
        <w:t>. 3rd edn. London: Random House.</w:t>
      </w:r>
    </w:p>
    <w:p xmlns:wp14="http://schemas.microsoft.com/office/word/2010/wordml" w:rsidP="15E77795" wp14:paraId="67931CCB" wp14:textId="451CFCB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Freeman, R.E. (1984) </w:t>
      </w:r>
      <w:r w:rsidRPr="15E77795" w:rsidR="6A9D2C9E">
        <w:rPr>
          <w:rFonts w:ascii="Arial Nova" w:hAnsi="Arial Nova" w:eastAsia="Arial Nova" w:cs="Arial Nova"/>
          <w:i w:val="1"/>
          <w:iCs w:val="1"/>
          <w:noProof w:val="0"/>
          <w:color w:val="auto"/>
          <w:sz w:val="22"/>
          <w:szCs w:val="22"/>
          <w:lang w:val="en-US"/>
        </w:rPr>
        <w:t>Strategic Management: A Stakeholder Approach</w:t>
      </w:r>
      <w:r w:rsidRPr="15E77795" w:rsidR="6A9D2C9E">
        <w:rPr>
          <w:rFonts w:ascii="Arial Nova" w:hAnsi="Arial Nova" w:eastAsia="Arial Nova" w:cs="Arial Nova"/>
          <w:noProof w:val="0"/>
          <w:color w:val="auto"/>
          <w:sz w:val="22"/>
          <w:szCs w:val="22"/>
          <w:lang w:val="en-US"/>
        </w:rPr>
        <w:t>. Boston: Pitman.</w:t>
      </w:r>
    </w:p>
    <w:p xmlns:wp14="http://schemas.microsoft.com/office/word/2010/wordml" w:rsidP="15E77795" wp14:paraId="0409B96B" wp14:textId="1D93D72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Harrison, J.S., Bosse, D.A. and Phillips, R.A. (2010) ‘Managing for stakeholders, stakeholder utility functions, and competitive advantage’, </w:t>
      </w:r>
      <w:r w:rsidRPr="15E77795" w:rsidR="6A9D2C9E">
        <w:rPr>
          <w:rFonts w:ascii="Arial Nova" w:hAnsi="Arial Nova" w:eastAsia="Arial Nova" w:cs="Arial Nova"/>
          <w:i w:val="1"/>
          <w:iCs w:val="1"/>
          <w:noProof w:val="0"/>
          <w:color w:val="auto"/>
          <w:sz w:val="22"/>
          <w:szCs w:val="22"/>
          <w:lang w:val="en-US"/>
        </w:rPr>
        <w:t>Strategic Management Journal</w:t>
      </w:r>
      <w:r w:rsidRPr="15E77795" w:rsidR="6A9D2C9E">
        <w:rPr>
          <w:rFonts w:ascii="Arial Nova" w:hAnsi="Arial Nova" w:eastAsia="Arial Nova" w:cs="Arial Nova"/>
          <w:noProof w:val="0"/>
          <w:color w:val="auto"/>
          <w:sz w:val="22"/>
          <w:szCs w:val="22"/>
          <w:lang w:val="en-US"/>
        </w:rPr>
        <w:t>, 31(1), pp. 58–74. DOI: 10.1002/smj.801.</w:t>
      </w:r>
    </w:p>
    <w:p xmlns:wp14="http://schemas.microsoft.com/office/word/2010/wordml" w:rsidP="15E77795" wp14:paraId="5CF76B32" wp14:textId="0DF95F4D">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Kotter, J.P. (1996) </w:t>
      </w:r>
      <w:r w:rsidRPr="15E77795" w:rsidR="6A9D2C9E">
        <w:rPr>
          <w:rFonts w:ascii="Arial Nova" w:hAnsi="Arial Nova" w:eastAsia="Arial Nova" w:cs="Arial Nova"/>
          <w:i w:val="1"/>
          <w:iCs w:val="1"/>
          <w:noProof w:val="0"/>
          <w:color w:val="auto"/>
          <w:sz w:val="22"/>
          <w:szCs w:val="22"/>
          <w:lang w:val="en-US"/>
        </w:rPr>
        <w:t>Leading Change</w:t>
      </w:r>
      <w:r w:rsidRPr="15E77795" w:rsidR="6A9D2C9E">
        <w:rPr>
          <w:rFonts w:ascii="Arial Nova" w:hAnsi="Arial Nova" w:eastAsia="Arial Nova" w:cs="Arial Nova"/>
          <w:noProof w:val="0"/>
          <w:color w:val="auto"/>
          <w:sz w:val="22"/>
          <w:szCs w:val="22"/>
          <w:lang w:val="en-US"/>
        </w:rPr>
        <w:t>. Boston: Harvard Business School Press.</w:t>
      </w:r>
    </w:p>
    <w:p xmlns:wp14="http://schemas.microsoft.com/office/word/2010/wordml" w:rsidP="15E77795" wp14:paraId="0156E7B1" wp14:textId="1AFC7F5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Lückmann, P. and Färber, K. (2016) ‘The impact of cultural differences on project stakeholder engagement: a review of case study research in international project management’, </w:t>
      </w:r>
      <w:r w:rsidRPr="15E77795" w:rsidR="6A9D2C9E">
        <w:rPr>
          <w:rFonts w:ascii="Arial Nova" w:hAnsi="Arial Nova" w:eastAsia="Arial Nova" w:cs="Arial Nova"/>
          <w:i w:val="1"/>
          <w:iCs w:val="1"/>
          <w:noProof w:val="0"/>
          <w:color w:val="auto"/>
          <w:sz w:val="22"/>
          <w:szCs w:val="22"/>
          <w:lang w:val="en-US"/>
        </w:rPr>
        <w:t>Procedia Computer Science</w:t>
      </w:r>
      <w:r w:rsidRPr="15E77795" w:rsidR="6A9D2C9E">
        <w:rPr>
          <w:rFonts w:ascii="Arial Nova" w:hAnsi="Arial Nova" w:eastAsia="Arial Nova" w:cs="Arial Nova"/>
          <w:noProof w:val="0"/>
          <w:color w:val="auto"/>
          <w:sz w:val="22"/>
          <w:szCs w:val="22"/>
          <w:lang w:val="en-US"/>
        </w:rPr>
        <w:t>, 100, pp. 85–94. DOI: 10.1016/j.procs.2016.09.127.</w:t>
      </w:r>
    </w:p>
    <w:p xmlns:wp14="http://schemas.microsoft.com/office/word/2010/wordml" w:rsidP="15E77795" wp14:paraId="6539934E" wp14:textId="3F0A0F1E">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Marriott International (2026a) </w:t>
      </w:r>
      <w:r w:rsidRPr="15E77795" w:rsidR="6A9D2C9E">
        <w:rPr>
          <w:rFonts w:ascii="Arial Nova" w:hAnsi="Arial Nova" w:eastAsia="Arial Nova" w:cs="Arial Nova"/>
          <w:i w:val="1"/>
          <w:iCs w:val="1"/>
          <w:noProof w:val="0"/>
          <w:color w:val="auto"/>
          <w:sz w:val="22"/>
          <w:szCs w:val="22"/>
          <w:lang w:val="en-US"/>
        </w:rPr>
        <w:t>Marriott International Reports Fourth Quarter and Full Year 2025 Results</w:t>
      </w:r>
      <w:r w:rsidRPr="15E77795" w:rsidR="6A9D2C9E">
        <w:rPr>
          <w:rFonts w:ascii="Arial Nova" w:hAnsi="Arial Nova" w:eastAsia="Arial Nova" w:cs="Arial Nova"/>
          <w:noProof w:val="0"/>
          <w:color w:val="auto"/>
          <w:sz w:val="22"/>
          <w:szCs w:val="22"/>
          <w:lang w:val="en-US"/>
        </w:rPr>
        <w:t xml:space="preserve">. Available via: </w:t>
      </w:r>
      <w:hyperlink r:id="R27698a9b90ab4718">
        <w:r w:rsidRPr="15E77795" w:rsidR="6A9D2C9E">
          <w:rPr>
            <w:rStyle w:val="Hyperlink"/>
            <w:rFonts w:ascii="Arial Nova" w:hAnsi="Arial Nova" w:eastAsia="Arial Nova" w:cs="Arial Nova"/>
            <w:noProof w:val="0"/>
            <w:color w:val="auto"/>
            <w:lang w:val="en-US"/>
          </w:rPr>
          <w:t>Marriott International – 2025 Results</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55806F3F" wp14:textId="6AEA64DC">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Marriott International (2026b) </w:t>
      </w:r>
      <w:r w:rsidRPr="15E77795" w:rsidR="6A9D2C9E">
        <w:rPr>
          <w:rFonts w:ascii="Arial Nova" w:hAnsi="Arial Nova" w:eastAsia="Arial Nova" w:cs="Arial Nova"/>
          <w:i w:val="1"/>
          <w:iCs w:val="1"/>
          <w:noProof w:val="0"/>
          <w:color w:val="auto"/>
          <w:sz w:val="22"/>
          <w:szCs w:val="22"/>
          <w:lang w:val="en-US"/>
        </w:rPr>
        <w:t>Serve 360: Sustainability and Social Impact</w:t>
      </w:r>
      <w:r w:rsidRPr="15E77795" w:rsidR="6A9D2C9E">
        <w:rPr>
          <w:rFonts w:ascii="Arial Nova" w:hAnsi="Arial Nova" w:eastAsia="Arial Nova" w:cs="Arial Nova"/>
          <w:noProof w:val="0"/>
          <w:color w:val="auto"/>
          <w:sz w:val="22"/>
          <w:szCs w:val="22"/>
          <w:lang w:val="en-US"/>
        </w:rPr>
        <w:t xml:space="preserve">. Available via: </w:t>
      </w:r>
      <w:hyperlink r:id="R972d30017bb94bfa">
        <w:r w:rsidRPr="15E77795" w:rsidR="6A9D2C9E">
          <w:rPr>
            <w:rStyle w:val="Hyperlink"/>
            <w:rFonts w:ascii="Arial Nova" w:hAnsi="Arial Nova" w:eastAsia="Arial Nova" w:cs="Arial Nova"/>
            <w:noProof w:val="0"/>
            <w:color w:val="auto"/>
            <w:lang w:val="en-US"/>
          </w:rPr>
          <w:t>Marriott Serve 360</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50849004" wp14:textId="2C4B2DC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Marriott International (2026c) </w:t>
      </w:r>
      <w:r w:rsidRPr="15E77795" w:rsidR="6A9D2C9E">
        <w:rPr>
          <w:rFonts w:ascii="Arial Nova" w:hAnsi="Arial Nova" w:eastAsia="Arial Nova" w:cs="Arial Nova"/>
          <w:i w:val="1"/>
          <w:iCs w:val="1"/>
          <w:noProof w:val="0"/>
          <w:color w:val="auto"/>
          <w:sz w:val="22"/>
          <w:szCs w:val="22"/>
          <w:lang w:val="en-US"/>
        </w:rPr>
        <w:t>Sustain Responsible Operations</w:t>
      </w:r>
      <w:r w:rsidRPr="15E77795" w:rsidR="6A9D2C9E">
        <w:rPr>
          <w:rFonts w:ascii="Arial Nova" w:hAnsi="Arial Nova" w:eastAsia="Arial Nova" w:cs="Arial Nova"/>
          <w:noProof w:val="0"/>
          <w:color w:val="auto"/>
          <w:sz w:val="22"/>
          <w:szCs w:val="22"/>
          <w:lang w:val="en-US"/>
        </w:rPr>
        <w:t xml:space="preserve">. Available via: </w:t>
      </w:r>
      <w:hyperlink r:id="R964a0f8ef6454b19">
        <w:r w:rsidRPr="15E77795" w:rsidR="6A9D2C9E">
          <w:rPr>
            <w:rStyle w:val="Hyperlink"/>
            <w:rFonts w:ascii="Arial Nova" w:hAnsi="Arial Nova" w:eastAsia="Arial Nova" w:cs="Arial Nova"/>
            <w:noProof w:val="0"/>
            <w:color w:val="auto"/>
            <w:lang w:val="en-US"/>
          </w:rPr>
          <w:t>Marriott Serve 360 – Responsible Operations</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715DC33C" wp14:textId="27A96837">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Mitchell, R.K., Agle, B.R. and Wood, D.J. (1997) ‘Toward a theory of stakeholder identification and salience: defining the principle of who and what really counts’, </w:t>
      </w:r>
      <w:r w:rsidRPr="15E77795" w:rsidR="6A9D2C9E">
        <w:rPr>
          <w:rFonts w:ascii="Arial Nova" w:hAnsi="Arial Nova" w:eastAsia="Arial Nova" w:cs="Arial Nova"/>
          <w:i w:val="1"/>
          <w:iCs w:val="1"/>
          <w:noProof w:val="0"/>
          <w:color w:val="auto"/>
          <w:sz w:val="22"/>
          <w:szCs w:val="22"/>
          <w:lang w:val="en-US"/>
        </w:rPr>
        <w:t>Academy of Management Review</w:t>
      </w:r>
      <w:r w:rsidRPr="15E77795" w:rsidR="6A9D2C9E">
        <w:rPr>
          <w:rFonts w:ascii="Arial Nova" w:hAnsi="Arial Nova" w:eastAsia="Arial Nova" w:cs="Arial Nova"/>
          <w:noProof w:val="0"/>
          <w:color w:val="auto"/>
          <w:sz w:val="22"/>
          <w:szCs w:val="22"/>
          <w:lang w:val="en-US"/>
        </w:rPr>
        <w:t>, 22(4), pp. 853–886. DOI: 10.5465/amr.1997.9711022105.</w:t>
      </w:r>
    </w:p>
    <w:p xmlns:wp14="http://schemas.microsoft.com/office/word/2010/wordml" w:rsidP="15E77795" wp14:paraId="2FE3CE89" wp14:textId="3D3CA2CA">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Olander, S. (2007) ‘Stakeholder impact analysis in construction project management’, </w:t>
      </w:r>
      <w:r w:rsidRPr="15E77795" w:rsidR="6A9D2C9E">
        <w:rPr>
          <w:rFonts w:ascii="Arial Nova" w:hAnsi="Arial Nova" w:eastAsia="Arial Nova" w:cs="Arial Nova"/>
          <w:i w:val="1"/>
          <w:iCs w:val="1"/>
          <w:noProof w:val="0"/>
          <w:color w:val="auto"/>
          <w:sz w:val="22"/>
          <w:szCs w:val="22"/>
          <w:lang w:val="en-US"/>
        </w:rPr>
        <w:t>Construction Management and Economics</w:t>
      </w:r>
      <w:r w:rsidRPr="15E77795" w:rsidR="6A9D2C9E">
        <w:rPr>
          <w:rFonts w:ascii="Arial Nova" w:hAnsi="Arial Nova" w:eastAsia="Arial Nova" w:cs="Arial Nova"/>
          <w:noProof w:val="0"/>
          <w:color w:val="auto"/>
          <w:sz w:val="22"/>
          <w:szCs w:val="22"/>
          <w:lang w:val="en-US"/>
        </w:rPr>
        <w:t>, 25(3), pp. 277–287.</w:t>
      </w:r>
    </w:p>
    <w:p xmlns:wp14="http://schemas.microsoft.com/office/word/2010/wordml" w:rsidP="15E77795" wp14:paraId="4CECC2DD" wp14:textId="6A93096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Osobajo, O.A., Oke, A., Ajimmy, M., Otitoju, A. and Adeyanju, G.C. (2023) ‘The role of culture in stakeholder engagement: its implication for open innovation’, </w:t>
      </w:r>
      <w:r w:rsidRPr="15E77795" w:rsidR="6A9D2C9E">
        <w:rPr>
          <w:rFonts w:ascii="Arial Nova" w:hAnsi="Arial Nova" w:eastAsia="Arial Nova" w:cs="Arial Nova"/>
          <w:i w:val="1"/>
          <w:iCs w:val="1"/>
          <w:noProof w:val="0"/>
          <w:color w:val="auto"/>
          <w:sz w:val="22"/>
          <w:szCs w:val="22"/>
          <w:lang w:val="en-US"/>
        </w:rPr>
        <w:t>Journal of Open Innovation: Technology, Market, and Complexity</w:t>
      </w:r>
      <w:r w:rsidRPr="15E77795" w:rsidR="6A9D2C9E">
        <w:rPr>
          <w:rFonts w:ascii="Arial Nova" w:hAnsi="Arial Nova" w:eastAsia="Arial Nova" w:cs="Arial Nova"/>
          <w:noProof w:val="0"/>
          <w:color w:val="auto"/>
          <w:sz w:val="22"/>
          <w:szCs w:val="22"/>
          <w:lang w:val="en-US"/>
        </w:rPr>
        <w:t>, 9(2), 100058. DOI: 10.1016/j.joitmc.2023.100058.</w:t>
      </w:r>
    </w:p>
    <w:p xmlns:wp14="http://schemas.microsoft.com/office/word/2010/wordml" w:rsidP="15E77795" wp14:paraId="6E86A3E2" wp14:textId="1888AE30">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Porter, M.E. and Kramer, M.R. (2011) ‘Creating shared value’, </w:t>
      </w:r>
      <w:r w:rsidRPr="15E77795" w:rsidR="6A9D2C9E">
        <w:rPr>
          <w:rFonts w:ascii="Arial Nova" w:hAnsi="Arial Nova" w:eastAsia="Arial Nova" w:cs="Arial Nova"/>
          <w:i w:val="1"/>
          <w:iCs w:val="1"/>
          <w:noProof w:val="0"/>
          <w:color w:val="auto"/>
          <w:sz w:val="22"/>
          <w:szCs w:val="22"/>
          <w:lang w:val="en-US"/>
        </w:rPr>
        <w:t>Harvard Business Review</w:t>
      </w:r>
      <w:r w:rsidRPr="15E77795" w:rsidR="6A9D2C9E">
        <w:rPr>
          <w:rFonts w:ascii="Arial Nova" w:hAnsi="Arial Nova" w:eastAsia="Arial Nova" w:cs="Arial Nova"/>
          <w:noProof w:val="0"/>
          <w:color w:val="auto"/>
          <w:sz w:val="22"/>
          <w:szCs w:val="22"/>
          <w:lang w:val="en-US"/>
        </w:rPr>
        <w:t>, 89(1–2), pp. 62–77.</w:t>
      </w:r>
    </w:p>
    <w:p xmlns:wp14="http://schemas.microsoft.com/office/word/2010/wordml" w:rsidP="15E77795" wp14:paraId="74A0AB15" wp14:textId="4D3BF4E8">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Thomas, K.W. and Kilmann, R.H. (1974) </w:t>
      </w:r>
      <w:r w:rsidRPr="15E77795" w:rsidR="6A9D2C9E">
        <w:rPr>
          <w:rFonts w:ascii="Arial Nova" w:hAnsi="Arial Nova" w:eastAsia="Arial Nova" w:cs="Arial Nova"/>
          <w:i w:val="1"/>
          <w:iCs w:val="1"/>
          <w:noProof w:val="0"/>
          <w:color w:val="auto"/>
          <w:sz w:val="22"/>
          <w:szCs w:val="22"/>
          <w:lang w:val="en-US"/>
        </w:rPr>
        <w:t>Thomas-Kilmann Conflict Mode Instrument</w:t>
      </w:r>
      <w:r w:rsidRPr="15E77795" w:rsidR="6A9D2C9E">
        <w:rPr>
          <w:rFonts w:ascii="Arial Nova" w:hAnsi="Arial Nova" w:eastAsia="Arial Nova" w:cs="Arial Nova"/>
          <w:noProof w:val="0"/>
          <w:color w:val="auto"/>
          <w:sz w:val="22"/>
          <w:szCs w:val="22"/>
          <w:lang w:val="en-US"/>
        </w:rPr>
        <w:t>. Tuxedo, NY: Xicom.</w:t>
      </w:r>
    </w:p>
    <w:p xmlns:wp14="http://schemas.microsoft.com/office/word/2010/wordml" w:rsidP="15E77795" wp14:paraId="4A42FE26" wp14:textId="0176EA55">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Information Commissioner's Office (2026) </w:t>
      </w:r>
      <w:r w:rsidRPr="15E77795" w:rsidR="6A9D2C9E">
        <w:rPr>
          <w:rFonts w:ascii="Arial Nova" w:hAnsi="Arial Nova" w:eastAsia="Arial Nova" w:cs="Arial Nova"/>
          <w:i w:val="1"/>
          <w:iCs w:val="1"/>
          <w:noProof w:val="0"/>
          <w:color w:val="auto"/>
          <w:sz w:val="22"/>
          <w:szCs w:val="22"/>
          <w:lang w:val="en-US"/>
        </w:rPr>
        <w:t>Guidance on AI and Data Protection</w:t>
      </w:r>
      <w:r w:rsidRPr="15E77795" w:rsidR="6A9D2C9E">
        <w:rPr>
          <w:rFonts w:ascii="Arial Nova" w:hAnsi="Arial Nova" w:eastAsia="Arial Nova" w:cs="Arial Nova"/>
          <w:noProof w:val="0"/>
          <w:color w:val="auto"/>
          <w:sz w:val="22"/>
          <w:szCs w:val="22"/>
          <w:lang w:val="en-US"/>
        </w:rPr>
        <w:t xml:space="preserve">. Available via: </w:t>
      </w:r>
      <w:hyperlink r:id="Red934a0937444796">
        <w:r w:rsidRPr="15E77795" w:rsidR="6A9D2C9E">
          <w:rPr>
            <w:rStyle w:val="Hyperlink"/>
            <w:rFonts w:ascii="Arial Nova" w:hAnsi="Arial Nova" w:eastAsia="Arial Nova" w:cs="Arial Nova"/>
            <w:noProof w:val="0"/>
            <w:color w:val="auto"/>
            <w:lang w:val="en-US"/>
          </w:rPr>
          <w:t>ICO – AI and Data Protection Guidance</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1709F1E9" wp14:textId="765CF641">
      <w:pPr>
        <w:bidi w:val="0"/>
        <w:spacing w:before="240" w:beforeAutospacing="off" w:after="240" w:afterAutospacing="off"/>
        <w:rPr>
          <w:rFonts w:ascii="Arial Nova" w:hAnsi="Arial Nova" w:eastAsia="Arial Nova" w:cs="Arial Nova"/>
          <w:noProof w:val="0"/>
          <w:color w:val="auto"/>
          <w:sz w:val="22"/>
          <w:szCs w:val="22"/>
          <w:lang w:val="en-US"/>
        </w:rPr>
      </w:pPr>
      <w:r w:rsidRPr="15E77795" w:rsidR="6A9D2C9E">
        <w:rPr>
          <w:rFonts w:ascii="Arial Nova" w:hAnsi="Arial Nova" w:eastAsia="Arial Nova" w:cs="Arial Nova"/>
          <w:noProof w:val="0"/>
          <w:color w:val="auto"/>
          <w:sz w:val="22"/>
          <w:szCs w:val="22"/>
          <w:lang w:val="en-US"/>
        </w:rPr>
        <w:t xml:space="preserve">European Commission (2026) </w:t>
      </w:r>
      <w:r w:rsidRPr="15E77795" w:rsidR="6A9D2C9E">
        <w:rPr>
          <w:rFonts w:ascii="Arial Nova" w:hAnsi="Arial Nova" w:eastAsia="Arial Nova" w:cs="Arial Nova"/>
          <w:i w:val="1"/>
          <w:iCs w:val="1"/>
          <w:noProof w:val="0"/>
          <w:color w:val="auto"/>
          <w:sz w:val="22"/>
          <w:szCs w:val="22"/>
          <w:lang w:val="en-US"/>
        </w:rPr>
        <w:t>Guidelines on Transparency Obligations for Providers and Deployers of AI Systems</w:t>
      </w:r>
      <w:r w:rsidRPr="15E77795" w:rsidR="6A9D2C9E">
        <w:rPr>
          <w:rFonts w:ascii="Arial Nova" w:hAnsi="Arial Nova" w:eastAsia="Arial Nova" w:cs="Arial Nova"/>
          <w:noProof w:val="0"/>
          <w:color w:val="auto"/>
          <w:sz w:val="22"/>
          <w:szCs w:val="22"/>
          <w:lang w:val="en-US"/>
        </w:rPr>
        <w:t xml:space="preserve">. Available via: </w:t>
      </w:r>
      <w:hyperlink r:id="R86d407fe9b3e4890">
        <w:r w:rsidRPr="15E77795" w:rsidR="6A9D2C9E">
          <w:rPr>
            <w:rStyle w:val="Hyperlink"/>
            <w:rFonts w:ascii="Arial Nova" w:hAnsi="Arial Nova" w:eastAsia="Arial Nova" w:cs="Arial Nova"/>
            <w:noProof w:val="0"/>
            <w:color w:val="auto"/>
            <w:lang w:val="en-US"/>
          </w:rPr>
          <w:t>European Commission – AI Act Transparency Guidance</w:t>
        </w:r>
      </w:hyperlink>
      <w:r w:rsidRPr="15E77795" w:rsidR="6A9D2C9E">
        <w:rPr>
          <w:rFonts w:ascii="Arial Nova" w:hAnsi="Arial Nova" w:eastAsia="Arial Nova" w:cs="Arial Nova"/>
          <w:noProof w:val="0"/>
          <w:color w:val="auto"/>
          <w:sz w:val="22"/>
          <w:szCs w:val="22"/>
          <w:lang w:val="en-US"/>
        </w:rPr>
        <w:t xml:space="preserve"> (Accessed: 13 August 2026).</w:t>
      </w:r>
    </w:p>
    <w:p xmlns:wp14="http://schemas.microsoft.com/office/word/2010/wordml" w:rsidP="15E77795" wp14:paraId="2C078E63" wp14:textId="053D508A">
      <w:pPr>
        <w:rPr>
          <w:rFonts w:ascii="Arial Nova" w:hAnsi="Arial Nova" w:eastAsia="Arial Nova" w:cs="Arial Nova"/>
          <w:color w:val="auto"/>
          <w:sz w:val="22"/>
          <w:szCs w:val="22"/>
        </w:rPr>
      </w:pPr>
    </w:p>
    <w:sectPr>
      <w:pgSz w:w="12240" w:h="15840" w:orient="portrait"/>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 xmlns:w="http://schemas.openxmlformats.org/wordprocessingml/2006/main" w:name="Symbol">
    <w:panose1 w:val="05050102010706020507"/>
    <w:charset w:val="02"/>
    <w:family w:val="roman"/>
    <w:pitch w:val="variable"/>
    <w:sig w:usb0="00000000" w:usb1="10000000" w:usb2="00000000" w:usb3="00000000" w:csb0="80000000" w:csb1="00000000"/>
  </w:font>
  <w:font xmlns:w="http://schemas.openxmlformats.org/wordprocessingml/2006/main" w:name="Courier New">
    <w:panose1 w:val="02070309020205020404"/>
    <w:charset w:val="00"/>
    <w:family w:val="modern"/>
    <w:pitch w:val="fixed"/>
    <w:sig w:usb0="E0002AFF" w:usb1="C0007843" w:usb2="00000009" w:usb3="00000000" w:csb0="000001FF" w:csb1="00000000"/>
  </w:font>
  <w:font xmlns:w="http://schemas.openxmlformats.org/wordprocessingml/2006/main" w:name="Wingdings">
    <w:panose1 w:val="05000000000000000000"/>
    <w:charset w:val="02"/>
    <w:family w:val="auto"/>
    <w:pitch w:val="variable"/>
    <w:sig w:usb0="00000000" w:usb1="10000000" w:usb2="00000000" w:usb3="00000000" w:csb0="80000000" w:csb1="00000000"/>
  </w:font>
</w:fonts>
</file>

<file path=word/numbering.xml><?xml version="1.0" encoding="utf-8"?>
<w:numbering xmlns:w="http://schemas.openxmlformats.org/wordprocessingml/2006/main">
  <w:abstractNum xmlns:w="http://schemas.openxmlformats.org/wordprocessingml/2006/main" w:abstractNumId="7">
    <w:nsid w:val="e5d39b2"/>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6">
    <w:nsid w:val="3310cab6"/>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5">
    <w:nsid w:val="1d8f8b5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4">
    <w:nsid w:val="7fef1777"/>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3">
    <w:nsid w:val="7c431c61"/>
    <w:multiLevelType xmlns:w="http://schemas.openxmlformats.org/wordprocessingml/2006/main" w:val="hybridMultilevel"/>
    <w:lvl xmlns:w="http://schemas.openxmlformats.org/wordprocessingml/2006/main" w:ilvl="0">
      <w:start w:val="1"/>
      <w:numFmt w:val="bullet"/>
      <w:lvlText w:val=""/>
      <w:lvlJc w:val="left"/>
      <w:pPr>
        <w:ind w:left="720" w:hanging="360"/>
      </w:pPr>
      <w:rPr>
        <w:rFonts w:hint="default" w:ascii="Symbol" w:hAnsi="Symbol"/>
      </w:rPr>
    </w:lvl>
    <w:lvl xmlns:w="http://schemas.openxmlformats.org/wordprocessingml/2006/main" w:ilvl="1">
      <w:start w:val="1"/>
      <w:numFmt w:val="bullet"/>
      <w:lvlText w:val="o"/>
      <w:lvlJc w:val="left"/>
      <w:pPr>
        <w:ind w:left="1440" w:hanging="360"/>
      </w:pPr>
      <w:rPr>
        <w:rFonts w:hint="default" w:ascii="Courier New" w:hAnsi="Courier New"/>
      </w:rPr>
    </w:lvl>
    <w:lvl xmlns:w="http://schemas.openxmlformats.org/wordprocessingml/2006/main" w:ilvl="2">
      <w:start w:val="1"/>
      <w:numFmt w:val="bullet"/>
      <w:lvlText w:val=""/>
      <w:lvlJc w:val="left"/>
      <w:pPr>
        <w:ind w:left="2160" w:hanging="360"/>
      </w:pPr>
      <w:rPr>
        <w:rFonts w:hint="default" w:ascii="Wingdings" w:hAnsi="Wingdings"/>
      </w:rPr>
    </w:lvl>
    <w:lvl xmlns:w="http://schemas.openxmlformats.org/wordprocessingml/2006/main" w:ilvl="3">
      <w:start w:val="1"/>
      <w:numFmt w:val="bullet"/>
      <w:lvlText w:val=""/>
      <w:lvlJc w:val="left"/>
      <w:pPr>
        <w:ind w:left="2880" w:hanging="360"/>
      </w:pPr>
      <w:rPr>
        <w:rFonts w:hint="default" w:ascii="Symbol" w:hAnsi="Symbol"/>
      </w:rPr>
    </w:lvl>
    <w:lvl xmlns:w="http://schemas.openxmlformats.org/wordprocessingml/2006/main" w:ilvl="4">
      <w:start w:val="1"/>
      <w:numFmt w:val="bullet"/>
      <w:lvlText w:val="o"/>
      <w:lvlJc w:val="left"/>
      <w:pPr>
        <w:ind w:left="3600" w:hanging="360"/>
      </w:pPr>
      <w:rPr>
        <w:rFonts w:hint="default" w:ascii="Courier New" w:hAnsi="Courier New"/>
      </w:rPr>
    </w:lvl>
    <w:lvl xmlns:w="http://schemas.openxmlformats.org/wordprocessingml/2006/main" w:ilvl="5">
      <w:start w:val="1"/>
      <w:numFmt w:val="bullet"/>
      <w:lvlText w:val=""/>
      <w:lvlJc w:val="left"/>
      <w:pPr>
        <w:ind w:left="4320" w:hanging="360"/>
      </w:pPr>
      <w:rPr>
        <w:rFonts w:hint="default" w:ascii="Wingdings" w:hAnsi="Wingdings"/>
      </w:rPr>
    </w:lvl>
    <w:lvl xmlns:w="http://schemas.openxmlformats.org/wordprocessingml/2006/main" w:ilvl="6">
      <w:start w:val="1"/>
      <w:numFmt w:val="bullet"/>
      <w:lvlText w:val=""/>
      <w:lvlJc w:val="left"/>
      <w:pPr>
        <w:ind w:left="5040" w:hanging="360"/>
      </w:pPr>
      <w:rPr>
        <w:rFonts w:hint="default" w:ascii="Symbol" w:hAnsi="Symbol"/>
      </w:rPr>
    </w:lvl>
    <w:lvl xmlns:w="http://schemas.openxmlformats.org/wordprocessingml/2006/main" w:ilvl="7">
      <w:start w:val="1"/>
      <w:numFmt w:val="bullet"/>
      <w:lvlText w:val="o"/>
      <w:lvlJc w:val="left"/>
      <w:pPr>
        <w:ind w:left="5760" w:hanging="360"/>
      </w:pPr>
      <w:rPr>
        <w:rFonts w:hint="default" w:ascii="Courier New" w:hAnsi="Courier New"/>
      </w:rPr>
    </w:lvl>
    <w:lvl xmlns:w="http://schemas.openxmlformats.org/wordprocessingml/2006/main" w:ilvl="8">
      <w:start w:val="1"/>
      <w:numFmt w:val="bullet"/>
      <w:lvlText w:val=""/>
      <w:lvlJc w:val="left"/>
      <w:pPr>
        <w:ind w:left="6480" w:hanging="360"/>
      </w:pPr>
      <w:rPr>
        <w:rFonts w:hint="default" w:ascii="Wingdings" w:hAnsi="Wingdings"/>
      </w:rPr>
    </w:lvl>
  </w:abstractNum>
  <w:abstractNum xmlns:w="http://schemas.openxmlformats.org/wordprocessingml/2006/main" w:abstractNumId="2">
    <w:nsid w:val="2528b9b3"/>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abstractNum xmlns:w="http://schemas.openxmlformats.org/wordprocessingml/2006/main" w:abstractNumId="1">
    <w:nsid w:val="7bc01f85"/>
    <w:multiLevelType xmlns:w="http://schemas.openxmlformats.org/wordprocessingml/2006/main" w:val="hybridMultilevel"/>
    <w:lvl xmlns:w="http://schemas.openxmlformats.org/wordprocessingml/2006/main" w:ilvl="0">
      <w:start w:val="1"/>
      <w:numFmt w:val="decimal"/>
      <w:lvlText w:val="%1."/>
      <w:lvlJc w:val="left"/>
      <w:pPr>
        <w:ind w:left="720" w:hanging="360"/>
      </w:pPr>
    </w:lvl>
    <w:lvl xmlns:w="http://schemas.openxmlformats.org/wordprocessingml/2006/main" w:ilvl="1">
      <w:start w:val="1"/>
      <w:numFmt w:val="lowerLetter"/>
      <w:lvlText w:val="%2."/>
      <w:lvlJc w:val="left"/>
      <w:pPr>
        <w:ind w:left="1440" w:hanging="360"/>
      </w:pPr>
    </w:lvl>
    <w:lvl xmlns:w="http://schemas.openxmlformats.org/wordprocessingml/2006/main" w:ilvl="2">
      <w:start w:val="1"/>
      <w:numFmt w:val="lowerRoman"/>
      <w:lvlText w:val="%3."/>
      <w:lvlJc w:val="right"/>
      <w:pPr>
        <w:ind w:left="2160" w:hanging="180"/>
      </w:pPr>
    </w:lvl>
    <w:lvl xmlns:w="http://schemas.openxmlformats.org/wordprocessingml/2006/main" w:ilvl="3">
      <w:start w:val="1"/>
      <w:numFmt w:val="decimal"/>
      <w:lvlText w:val="%4."/>
      <w:lvlJc w:val="left"/>
      <w:pPr>
        <w:ind w:left="2880" w:hanging="360"/>
      </w:pPr>
    </w:lvl>
    <w:lvl xmlns:w="http://schemas.openxmlformats.org/wordprocessingml/2006/main" w:ilvl="4">
      <w:start w:val="1"/>
      <w:numFmt w:val="lowerLetter"/>
      <w:lvlText w:val="%5."/>
      <w:lvlJc w:val="left"/>
      <w:pPr>
        <w:ind w:left="3600" w:hanging="360"/>
      </w:pPr>
    </w:lvl>
    <w:lvl xmlns:w="http://schemas.openxmlformats.org/wordprocessingml/2006/main" w:ilvl="5">
      <w:start w:val="1"/>
      <w:numFmt w:val="lowerRoman"/>
      <w:lvlText w:val="%6."/>
      <w:lvlJc w:val="right"/>
      <w:pPr>
        <w:ind w:left="4320" w:hanging="180"/>
      </w:pPr>
    </w:lvl>
    <w:lvl xmlns:w="http://schemas.openxmlformats.org/wordprocessingml/2006/main" w:ilvl="6">
      <w:start w:val="1"/>
      <w:numFmt w:val="decimal"/>
      <w:lvlText w:val="%7."/>
      <w:lvlJc w:val="left"/>
      <w:pPr>
        <w:ind w:left="5040" w:hanging="360"/>
      </w:pPr>
    </w:lvl>
    <w:lvl xmlns:w="http://schemas.openxmlformats.org/wordprocessingml/2006/main" w:ilvl="7">
      <w:start w:val="1"/>
      <w:numFmt w:val="lowerLetter"/>
      <w:lvlText w:val="%8."/>
      <w:lvlJc w:val="left"/>
      <w:pPr>
        <w:ind w:left="5760" w:hanging="360"/>
      </w:pPr>
    </w:lvl>
    <w:lvl xmlns:w="http://schemas.openxmlformats.org/wordprocessingml/2006/main" w:ilvl="8">
      <w:start w:val="1"/>
      <w:numFmt w:val="lowerRoman"/>
      <w:lvlText w:val="%9."/>
      <w:lvlJc w:val="right"/>
      <w:pPr>
        <w:ind w:left="6480" w:hanging="180"/>
      </w:pPr>
    </w:lvl>
  </w:abstractNum>
  <w:num w:numId="7">
    <w:abstractNumId w:val="7"/>
  </w:num>
  <w:num w:numId="6">
    <w:abstractNumId w:val="6"/>
  </w:num>
  <w:num w:numId="5">
    <w:abstractNumId w:val="5"/>
  </w:num>
  <w:num w:numId="4">
    <w:abstractNumId w:val="4"/>
  </w:num>
  <w:num w:numId="3">
    <w:abstractNumId w:val="3"/>
  </w:num>
  <w:num w:numId="2">
    <w:abstractNumId w:val="2"/>
  </w:num>
  <w:num w:numId="1">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62FC424"/>
    <w:rsid w:val="052FE165"/>
    <w:rsid w:val="052FE165"/>
    <w:rsid w:val="0618D8A0"/>
    <w:rsid w:val="15E77795"/>
    <w:rsid w:val="1C8EF071"/>
    <w:rsid w:val="1C8EF071"/>
    <w:rsid w:val="1DF98B38"/>
    <w:rsid w:val="1F04BC2E"/>
    <w:rsid w:val="228D95C6"/>
    <w:rsid w:val="37A917FA"/>
    <w:rsid w:val="381D84AC"/>
    <w:rsid w:val="39729DC7"/>
    <w:rsid w:val="3E3BF939"/>
    <w:rsid w:val="51A80CA1"/>
    <w:rsid w:val="562FC424"/>
    <w:rsid w:val="5828EB11"/>
    <w:rsid w:val="5C044305"/>
    <w:rsid w:val="5C044305"/>
    <w:rsid w:val="669CB9D7"/>
    <w:rsid w:val="6A9D2C9E"/>
    <w:rsid w:val="6B899851"/>
    <w:rsid w:val="6F9FB774"/>
    <w:rsid w:val="6FE8DCE5"/>
    <w:rsid w:val="71DFB5D3"/>
    <w:rsid w:val="73A24764"/>
    <w:rsid w:val="7B6EE9C6"/>
    <w:rsid w:val="7E97BB7E"/>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2BC8CDFF"/>
  <w15:chartTrackingRefBased/>
  <w15:docId w15:val="{85079A9C-1D03-4F00-8244-CE98198DFC5B}"/>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xmlns:w14="http://schemas.microsoft.com/office/word/2010/wordml" xmlns:mc="http://schemas.openxmlformats.org/markup-compatibility/2006" xmlns:w="http://schemas.openxmlformats.org/wordprocessingml/2006/main" w:type="character" w:styleId="Heading3Char" w:customStyle="1" mc:Ignorable="w14">
    <w:name xmlns:w="http://schemas.openxmlformats.org/wordprocessingml/2006/main" w:val="Heading 3 Char"/>
    <w:basedOn xmlns:w="http://schemas.openxmlformats.org/wordprocessingml/2006/main" w:val="DefaultParagraphFont"/>
    <w:link xmlns:w="http://schemas.openxmlformats.org/wordprocessingml/2006/main" w:val="Heading3"/>
    <w:uiPriority xmlns:w="http://schemas.openxmlformats.org/wordprocessingml/2006/main" w:val="9"/>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paragraph" w:styleId="Heading3" mc:Ignorable="w14">
    <w:name xmlns:w="http://schemas.openxmlformats.org/wordprocessingml/2006/main" w:val="heading 3"/>
    <w:basedOn xmlns:w="http://schemas.openxmlformats.org/wordprocessingml/2006/main" w:val="Normal"/>
    <w:next xmlns:w="http://schemas.openxmlformats.org/wordprocessingml/2006/main" w:val="Normal"/>
    <w:link xmlns:w="http://schemas.openxmlformats.org/wordprocessingml/2006/main" w:val="Heading3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2"/>
    </w:pPr>
    <w:rPr xmlns:w="http://schemas.openxmlformats.org/wordprocessingml/2006/main">
      <w:rFonts w:eastAsiaTheme="majorEastAsia" w:cstheme="majorBidi"/>
      <w:color w:val="0F4761" w:themeColor="accent1" w:themeShade="BF"/>
      <w:sz w:val="28"/>
      <w:szCs w:val="28"/>
    </w:rPr>
  </w:style>
  <w:style xmlns:w14="http://schemas.microsoft.com/office/word/2010/wordml" xmlns:mc="http://schemas.openxmlformats.org/markup-compatibility/2006" xmlns:w="http://schemas.openxmlformats.org/wordprocessingml/2006/main" w:type="character" w:styleId="Heading1Char" w:customStyle="1" mc:Ignorable="w14">
    <w:name xmlns:w="http://schemas.openxmlformats.org/wordprocessingml/2006/main" w:val="Heading 1 Char"/>
    <w:basedOn xmlns:w="http://schemas.openxmlformats.org/wordprocessingml/2006/main" w:val="DefaultParagraphFont"/>
    <w:link xmlns:w="http://schemas.openxmlformats.org/wordprocessingml/2006/main" w:val="Heading1"/>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Heading1" mc:Ignorable="w14">
    <w:name xmlns:w="http://schemas.openxmlformats.org/wordprocessingml/2006/main" w:val="heading 1"/>
    <w:basedOn xmlns:w="http://schemas.openxmlformats.org/wordprocessingml/2006/main" w:val="Normal"/>
    <w:next xmlns:w="http://schemas.openxmlformats.org/wordprocessingml/2006/main" w:val="Normal"/>
    <w:link xmlns:w="http://schemas.openxmlformats.org/wordprocessingml/2006/main" w:val="Heading1Char"/>
    <w:uiPriority xmlns:w="http://schemas.openxmlformats.org/wordprocessingml/2006/main" w:val="9"/>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360" w:after="80"/>
      <w:outlineLvl xmlns:w="http://schemas.openxmlformats.org/wordprocessingml/2006/main" w:val="0"/>
    </w:pPr>
    <w:rPr xmlns:w="http://schemas.openxmlformats.org/wordprocessingml/2006/main">
      <w:rFonts w:asciiTheme="majorHAnsi" w:hAnsiTheme="majorHAnsi" w:eastAsiaTheme="majorEastAsia" w:cstheme="majorBidi"/>
      <w:color w:val="0F4761" w:themeColor="accent1" w:themeShade="BF"/>
      <w:sz w:val="40"/>
      <w:szCs w:val="40"/>
    </w:rPr>
  </w:style>
  <w:style xmlns:w14="http://schemas.microsoft.com/office/word/2010/wordml" xmlns:mc="http://schemas.openxmlformats.org/markup-compatibility/2006" xmlns:w="http://schemas.openxmlformats.org/wordprocessingml/2006/main" w:type="paragraph" w:styleId="ListParagraph" mc:Ignorable="w14">
    <w:name xmlns:w="http://schemas.openxmlformats.org/wordprocessingml/2006/main" w:val="List Paragraph"/>
    <w:basedOn xmlns:w="http://schemas.openxmlformats.org/wordprocessingml/2006/main" w:val="Normal"/>
    <w:uiPriority xmlns:w="http://schemas.openxmlformats.org/wordprocessingml/2006/main" w:val="34"/>
    <w:qFormat xmlns:w="http://schemas.openxmlformats.org/wordprocessingml/2006/main"/>
    <w:pPr xmlns:w="http://schemas.openxmlformats.org/wordprocessingml/2006/main">
      <w:ind xmlns:w="http://schemas.openxmlformats.org/wordprocessingml/2006/main" w:left="720"/>
      <w:contextualSpacing xmlns:w="http://schemas.openxmlformats.org/wordprocessingml/2006/main"/>
    </w:pPr>
  </w:style>
  <w:style xmlns:w14="http://schemas.microsoft.com/office/word/2010/wordml" xmlns:mc="http://schemas.openxmlformats.org/markup-compatibility/2006" xmlns:w="http://schemas.openxmlformats.org/wordprocessingml/2006/main" w:type="character" w:styleId="Heading2Char" w:customStyle="1" mc:Ignorable="w14">
    <w:name xmlns:w="http://schemas.openxmlformats.org/wordprocessingml/2006/main" w:val="Heading 2 Char"/>
    <w:basedOn xmlns:w="http://schemas.openxmlformats.org/wordprocessingml/2006/main" w:val="DefaultParagraphFont"/>
    <w:link xmlns:w="http://schemas.openxmlformats.org/wordprocessingml/2006/main" w:val="Heading2"/>
    <w:uiPriority xmlns:w="http://schemas.openxmlformats.org/wordprocessingml/2006/main" w:val="9"/>
    <w:rPr xmlns:w="http://schemas.openxmlformats.org/wordprocessingml/2006/main">
      <w:rFonts w:asciiTheme="majorHAnsi" w:hAnsiTheme="majorHAnsi" w:eastAsiaTheme="majorEastAsia" w:cstheme="majorBidi"/>
      <w:color w:val="0F4761" w:themeColor="accent1" w:themeShade="BF"/>
      <w:sz w:val="32"/>
      <w:szCs w:val="32"/>
    </w:rPr>
  </w:style>
  <w:style xmlns:w14="http://schemas.microsoft.com/office/word/2010/wordml" xmlns:mc="http://schemas.openxmlformats.org/markup-compatibility/2006" xmlns:w="http://schemas.openxmlformats.org/wordprocessingml/2006/main" w:type="paragraph" w:styleId="Heading2" mc:Ignorable="w14">
    <w:name xmlns:w="http://schemas.openxmlformats.org/wordprocessingml/2006/main" w:val="heading 2"/>
    <w:basedOn xmlns:w="http://schemas.openxmlformats.org/wordprocessingml/2006/main" w:val="Normal"/>
    <w:next xmlns:w="http://schemas.openxmlformats.org/wordprocessingml/2006/main" w:val="Normal"/>
    <w:link xmlns:w="http://schemas.openxmlformats.org/wordprocessingml/2006/main" w:val="Heading2Char"/>
    <w:uiPriority xmlns:w="http://schemas.openxmlformats.org/wordprocessingml/2006/main" w:val="9"/>
    <w:unhideWhenUsed xmlns:w="http://schemas.openxmlformats.org/wordprocessingml/2006/main"/>
    <w:qFormat xmlns:w="http://schemas.openxmlformats.org/wordprocessingml/2006/main"/>
    <w:pPr xmlns:w="http://schemas.openxmlformats.org/wordprocessingml/2006/main">
      <w:keepNext xmlns:w="http://schemas.openxmlformats.org/wordprocessingml/2006/main"/>
      <w:keepLines xmlns:w="http://schemas.openxmlformats.org/wordprocessingml/2006/main"/>
      <w:spacing xmlns:w="http://schemas.openxmlformats.org/wordprocessingml/2006/main" w:before="160" w:after="80"/>
      <w:outlineLvl xmlns:w="http://schemas.openxmlformats.org/wordprocessingml/2006/main" w:val="1"/>
    </w:pPr>
    <w:rPr xmlns:w="http://schemas.openxmlformats.org/wordprocessingml/2006/main">
      <w:rFonts w:asciiTheme="majorHAnsi" w:hAnsiTheme="majorHAnsi" w:eastAsiaTheme="majorEastAsia" w:cstheme="majorBidi"/>
      <w:color w:val="0F4761" w:themeColor="accent1" w:themeShade="BF"/>
      <w:sz w:val="32"/>
      <w:szCs w:val="32"/>
    </w:r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 xmlns:w14="http://schemas.microsoft.com/office/word/2010/wordml" xmlns:mc="http://schemas.openxmlformats.org/markup-compatibility/2006" xmlns:w="http://schemas.openxmlformats.org/wordprocessingml/2006/main" w:type="character" w:styleId="Hyperlink" mc:Ignorable="w14">
    <w:name xmlns:w="http://schemas.openxmlformats.org/wordprocessingml/2006/main" w:val="Hyperlink"/>
    <w:basedOn xmlns:w="http://schemas.openxmlformats.org/wordprocessingml/2006/main" w:val="DefaultParagraphFont"/>
    <w:uiPriority xmlns:w="http://schemas.openxmlformats.org/wordprocessingml/2006/main" w:val="99"/>
    <w:unhideWhenUsed xmlns:w="http://schemas.openxmlformats.org/wordprocessingml/2006/main"/>
    <w:rPr xmlns:w="http://schemas.openxmlformats.org/wordprocessingml/2006/main">
      <w:color w:val="0563C1" w:themeColor="hyperlink"/>
      <w:u w:val="single"/>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yperlink" Target="https://www.accountability.org/standards/aa1000-stakeholder-engagement?utm_source=chatgpt.com" TargetMode="External" Id="R85baff35ef16476f" /><Relationship Type="http://schemas.openxmlformats.org/officeDocument/2006/relationships/hyperlink" Target="https://marriott.gcs-web.com/news-releases/news-release-details/marriott-international-reports-fourth-quarter-and-full-year-2025?utm_source=chatgpt.com" TargetMode="External" Id="R27698a9b90ab4718" /><Relationship Type="http://schemas.openxmlformats.org/officeDocument/2006/relationships/hyperlink" Target="https://serve360.marriott.com/?utm_source=chatgpt.com" TargetMode="External" Id="R972d30017bb94bfa" /><Relationship Type="http://schemas.openxmlformats.org/officeDocument/2006/relationships/hyperlink" Target="https://serve360.marriott.com/sustain/?utm_source=chatgpt.com" TargetMode="External" Id="R964a0f8ef6454b19" /><Relationship Type="http://schemas.openxmlformats.org/officeDocument/2006/relationships/hyperlink" Target="https://ico.org.uk/for-organisations/uk-gdpr-guidance-and-resources/artificial-intelligence/guidance-on-ai-and-data-protection/?utm_source=chatgpt.com" TargetMode="External" Id="Red934a0937444796" /><Relationship Type="http://schemas.openxmlformats.org/officeDocument/2006/relationships/hyperlink" Target="https://digital-strategy.ec.europa.eu/en/library/guidelines-transparency-obligations-providers-and-deployers-ai-systems?utm_source=chatgpt.com" TargetMode="External" Id="R86d407fe9b3e4890" /><Relationship Type="http://schemas.openxmlformats.org/officeDocument/2006/relationships/numbering" Target="numbering.xml" Id="R5721d1e5c6a34c54"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2026-08-13T13:33:24.1677596Z</dcterms:created>
  <dcterms:modified xsi:type="dcterms:W3CDTF">2026-08-13T13:48:53.9264059Z</dcterms:modified>
  <dc:creator>Marvynn Bruno Junior Mendes Horta (2430201)</dc:creator>
  <lastModifiedBy>Marvynn Bruno Junior Mendes Horta (2430201)</lastModifiedBy>
</coreProperties>
</file>