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6785" w:rsidRDefault="00BC6785" w:rsidP="00481CE2">
      <w:pPr>
        <w:pBdr>
          <w:top w:val="nil"/>
          <w:left w:val="nil"/>
          <w:bottom w:val="nil"/>
          <w:right w:val="nil"/>
          <w:between w:val="nil"/>
        </w:pBdr>
        <w:jc w:val="center"/>
        <w:rPr>
          <w:b/>
          <w:color w:val="000000" w:themeColor="text1"/>
          <w:sz w:val="36"/>
          <w:szCs w:val="36"/>
        </w:rPr>
      </w:pPr>
    </w:p>
    <w:p w:rsidR="00BC6785" w:rsidRDefault="00BC6785" w:rsidP="00481CE2">
      <w:pPr>
        <w:pBdr>
          <w:top w:val="nil"/>
          <w:left w:val="nil"/>
          <w:bottom w:val="nil"/>
          <w:right w:val="nil"/>
          <w:between w:val="nil"/>
        </w:pBdr>
        <w:jc w:val="center"/>
        <w:rPr>
          <w:b/>
          <w:color w:val="000000" w:themeColor="text1"/>
          <w:sz w:val="36"/>
          <w:szCs w:val="36"/>
        </w:rPr>
      </w:pPr>
    </w:p>
    <w:p w:rsidR="00B03088" w:rsidRPr="00E70FA1" w:rsidRDefault="00361367" w:rsidP="00481CE2">
      <w:pPr>
        <w:pBdr>
          <w:top w:val="nil"/>
          <w:left w:val="nil"/>
          <w:bottom w:val="nil"/>
          <w:right w:val="nil"/>
          <w:between w:val="nil"/>
        </w:pBdr>
        <w:jc w:val="center"/>
        <w:rPr>
          <w:b/>
          <w:color w:val="000000" w:themeColor="text1"/>
          <w:sz w:val="36"/>
          <w:szCs w:val="36"/>
        </w:rPr>
      </w:pPr>
      <w:r w:rsidRPr="00E70FA1">
        <w:rPr>
          <w:b/>
          <w:color w:val="000000" w:themeColor="text1"/>
          <w:sz w:val="36"/>
          <w:szCs w:val="36"/>
        </w:rPr>
        <w:t>Module: Financial Management for the Hotel Industry</w:t>
      </w:r>
    </w:p>
    <w:p w:rsidR="00B03088" w:rsidRPr="00E70FA1" w:rsidRDefault="00361367" w:rsidP="00E70FA1">
      <w:pPr>
        <w:pBdr>
          <w:top w:val="nil"/>
          <w:left w:val="nil"/>
          <w:bottom w:val="nil"/>
          <w:right w:val="nil"/>
          <w:between w:val="nil"/>
        </w:pBdr>
        <w:jc w:val="center"/>
        <w:rPr>
          <w:b/>
          <w:color w:val="000000" w:themeColor="text1"/>
          <w:sz w:val="36"/>
          <w:szCs w:val="36"/>
        </w:rPr>
      </w:pPr>
      <w:r w:rsidRPr="00E70FA1">
        <w:rPr>
          <w:b/>
          <w:color w:val="000000" w:themeColor="text1"/>
          <w:sz w:val="36"/>
          <w:szCs w:val="36"/>
        </w:rPr>
        <w:t>Module code: BMIH5007</w:t>
      </w:r>
    </w:p>
    <w:p w:rsidR="00BC6785" w:rsidRDefault="00BC6785" w:rsidP="00E70FA1">
      <w:pPr>
        <w:pBdr>
          <w:top w:val="nil"/>
          <w:left w:val="nil"/>
          <w:bottom w:val="nil"/>
          <w:right w:val="nil"/>
          <w:between w:val="nil"/>
        </w:pBdr>
        <w:jc w:val="center"/>
        <w:rPr>
          <w:b/>
          <w:color w:val="000000" w:themeColor="text1"/>
          <w:sz w:val="36"/>
          <w:szCs w:val="36"/>
        </w:rPr>
      </w:pPr>
    </w:p>
    <w:p w:rsidR="00B03088" w:rsidRPr="00E70FA1" w:rsidRDefault="00BC6785" w:rsidP="00E70FA1">
      <w:pPr>
        <w:pBdr>
          <w:top w:val="nil"/>
          <w:left w:val="nil"/>
          <w:bottom w:val="nil"/>
          <w:right w:val="nil"/>
          <w:between w:val="nil"/>
        </w:pBdr>
        <w:jc w:val="center"/>
        <w:rPr>
          <w:b/>
          <w:color w:val="000000" w:themeColor="text1"/>
          <w:sz w:val="36"/>
          <w:szCs w:val="36"/>
        </w:rPr>
      </w:pPr>
      <w:r>
        <w:rPr>
          <w:b/>
          <w:color w:val="000000" w:themeColor="text1"/>
          <w:sz w:val="36"/>
          <w:szCs w:val="36"/>
        </w:rPr>
        <w:t>Case Study: The Seacrest Lodge</w:t>
      </w:r>
    </w:p>
    <w:p w:rsidR="00B03088" w:rsidRPr="00E70FA1" w:rsidRDefault="00361367" w:rsidP="00E70FA1">
      <w:pPr>
        <w:pBdr>
          <w:top w:val="nil"/>
          <w:left w:val="nil"/>
          <w:bottom w:val="nil"/>
          <w:right w:val="nil"/>
          <w:between w:val="nil"/>
        </w:pBdr>
        <w:jc w:val="center"/>
        <w:rPr>
          <w:b/>
          <w:color w:val="000000" w:themeColor="text1"/>
          <w:sz w:val="36"/>
          <w:szCs w:val="36"/>
        </w:rPr>
      </w:pPr>
      <w:r w:rsidRPr="00E70FA1">
        <w:rPr>
          <w:b/>
          <w:color w:val="000000" w:themeColor="text1"/>
          <w:sz w:val="36"/>
          <w:szCs w:val="36"/>
        </w:rPr>
        <w:t>Student Name:</w:t>
      </w:r>
      <w:r w:rsidR="00461E98">
        <w:rPr>
          <w:b/>
          <w:color w:val="000000" w:themeColor="text1"/>
          <w:sz w:val="36"/>
          <w:szCs w:val="36"/>
        </w:rPr>
        <w:t xml:space="preserve"> Zakia shirin Nishai</w:t>
      </w:r>
    </w:p>
    <w:p w:rsidR="00461E98" w:rsidRDefault="00361367" w:rsidP="00E70FA1">
      <w:pPr>
        <w:pBdr>
          <w:top w:val="nil"/>
          <w:left w:val="nil"/>
          <w:bottom w:val="nil"/>
          <w:right w:val="nil"/>
          <w:between w:val="nil"/>
        </w:pBdr>
        <w:jc w:val="center"/>
        <w:rPr>
          <w:b/>
          <w:color w:val="000000" w:themeColor="text1"/>
          <w:sz w:val="36"/>
          <w:szCs w:val="36"/>
        </w:rPr>
      </w:pPr>
      <w:r w:rsidRPr="00E70FA1">
        <w:rPr>
          <w:b/>
          <w:color w:val="000000" w:themeColor="text1"/>
          <w:sz w:val="36"/>
          <w:szCs w:val="36"/>
        </w:rPr>
        <w:t>Student ID:</w:t>
      </w:r>
      <w:r w:rsidR="00461E98">
        <w:rPr>
          <w:b/>
          <w:color w:val="000000" w:themeColor="text1"/>
          <w:sz w:val="36"/>
          <w:szCs w:val="36"/>
        </w:rPr>
        <w:t xml:space="preserve"> 2208336</w:t>
      </w:r>
    </w:p>
    <w:p w:rsidR="00B03088" w:rsidRPr="00E70FA1" w:rsidRDefault="00461E98" w:rsidP="00E70FA1">
      <w:pPr>
        <w:pBdr>
          <w:top w:val="nil"/>
          <w:left w:val="nil"/>
          <w:bottom w:val="nil"/>
          <w:right w:val="nil"/>
          <w:between w:val="nil"/>
        </w:pBdr>
        <w:jc w:val="center"/>
        <w:rPr>
          <w:b/>
          <w:color w:val="000000" w:themeColor="text1"/>
          <w:sz w:val="36"/>
          <w:szCs w:val="36"/>
        </w:rPr>
      </w:pPr>
      <w:r>
        <w:rPr>
          <w:b/>
          <w:color w:val="000000" w:themeColor="text1"/>
          <w:sz w:val="36"/>
          <w:szCs w:val="36"/>
        </w:rPr>
        <w:t>Lecturer Name: Tristan Hawkins</w:t>
      </w:r>
      <w:r w:rsidR="00361367" w:rsidRPr="00E70FA1">
        <w:rPr>
          <w:color w:val="000000" w:themeColor="text1"/>
        </w:rPr>
        <w:br w:type="page"/>
      </w:r>
    </w:p>
    <w:bookmarkStart w:id="0" w:name="_heading=h.30j0zll" w:colFirst="0" w:colLast="0" w:displacedByCustomXml="next"/>
    <w:bookmarkEnd w:id="0" w:displacedByCustomXml="next"/>
    <w:sdt>
      <w:sdtPr>
        <w:rPr>
          <w:rFonts w:ascii="Times New Roman" w:eastAsia="Times New Roman" w:hAnsi="Times New Roman" w:cs="Times New Roman"/>
          <w:color w:val="auto"/>
          <w:sz w:val="24"/>
          <w:szCs w:val="24"/>
          <w:lang w:val="en-GB" w:eastAsia="en-GB"/>
        </w:rPr>
        <w:id w:val="-2128303514"/>
        <w:docPartObj>
          <w:docPartGallery w:val="Table of Contents"/>
          <w:docPartUnique/>
        </w:docPartObj>
      </w:sdtPr>
      <w:sdtEndPr>
        <w:rPr>
          <w:b/>
          <w:bCs/>
          <w:noProof/>
        </w:rPr>
      </w:sdtEndPr>
      <w:sdtContent>
        <w:p w:rsidR="00E0622B" w:rsidRPr="00E0622B" w:rsidRDefault="00E0622B" w:rsidP="00E0622B">
          <w:pPr>
            <w:pStyle w:val="TOCHeading"/>
            <w:jc w:val="center"/>
            <w:rPr>
              <w:b/>
              <w:bCs/>
            </w:rPr>
          </w:pPr>
          <w:r w:rsidRPr="00E0622B">
            <w:rPr>
              <w:b/>
              <w:bCs/>
            </w:rPr>
            <w:t>Table of Contents</w:t>
          </w:r>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r w:rsidRPr="00B73374">
            <w:fldChar w:fldCharType="begin"/>
          </w:r>
          <w:r w:rsidR="00E0622B">
            <w:instrText xml:space="preserve"> TOC \o "1-3" \h \z \u </w:instrText>
          </w:r>
          <w:r w:rsidRPr="00B73374">
            <w:fldChar w:fldCharType="separate"/>
          </w:r>
          <w:hyperlink w:anchor="_Toc160067197" w:history="1">
            <w:r w:rsidR="00701DD1" w:rsidRPr="001011A9">
              <w:rPr>
                <w:rStyle w:val="Hyperlink"/>
                <w:noProof/>
              </w:rPr>
              <w:t>Introduction</w:t>
            </w:r>
            <w:r w:rsidR="00701DD1">
              <w:rPr>
                <w:noProof/>
                <w:webHidden/>
              </w:rPr>
              <w:tab/>
            </w:r>
            <w:r>
              <w:rPr>
                <w:noProof/>
                <w:webHidden/>
              </w:rPr>
              <w:fldChar w:fldCharType="begin"/>
            </w:r>
            <w:r w:rsidR="00701DD1">
              <w:rPr>
                <w:noProof/>
                <w:webHidden/>
              </w:rPr>
              <w:instrText xml:space="preserve"> PAGEREF _Toc160067197 \h </w:instrText>
            </w:r>
            <w:r>
              <w:rPr>
                <w:noProof/>
                <w:webHidden/>
              </w:rPr>
            </w:r>
            <w:r>
              <w:rPr>
                <w:noProof/>
                <w:webHidden/>
              </w:rPr>
              <w:fldChar w:fldCharType="separate"/>
            </w:r>
            <w:r w:rsidR="00701DD1">
              <w:rPr>
                <w:noProof/>
                <w:webHidden/>
              </w:rPr>
              <w:t>1</w:t>
            </w:r>
            <w:r>
              <w:rPr>
                <w:noProof/>
                <w:webHidden/>
              </w:rPr>
              <w:fldChar w:fldCharType="end"/>
            </w:r>
          </w:hyperlink>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hyperlink w:anchor="_Toc160067198" w:history="1">
            <w:r w:rsidR="00701DD1" w:rsidRPr="001011A9">
              <w:rPr>
                <w:rStyle w:val="Hyperlink"/>
                <w:noProof/>
              </w:rPr>
              <w:t>Financial Analysis for “Seacrest Lodge” over the last three years</w:t>
            </w:r>
            <w:r w:rsidR="00701DD1">
              <w:rPr>
                <w:noProof/>
                <w:webHidden/>
              </w:rPr>
              <w:tab/>
            </w:r>
            <w:r>
              <w:rPr>
                <w:noProof/>
                <w:webHidden/>
              </w:rPr>
              <w:fldChar w:fldCharType="begin"/>
            </w:r>
            <w:r w:rsidR="00701DD1">
              <w:rPr>
                <w:noProof/>
                <w:webHidden/>
              </w:rPr>
              <w:instrText xml:space="preserve"> PAGEREF _Toc160067198 \h </w:instrText>
            </w:r>
            <w:r>
              <w:rPr>
                <w:noProof/>
                <w:webHidden/>
              </w:rPr>
            </w:r>
            <w:r>
              <w:rPr>
                <w:noProof/>
                <w:webHidden/>
              </w:rPr>
              <w:fldChar w:fldCharType="separate"/>
            </w:r>
            <w:r w:rsidR="00701DD1">
              <w:rPr>
                <w:noProof/>
                <w:webHidden/>
              </w:rPr>
              <w:t>1</w:t>
            </w:r>
            <w:r>
              <w:rPr>
                <w:noProof/>
                <w:webHidden/>
              </w:rPr>
              <w:fldChar w:fldCharType="end"/>
            </w:r>
          </w:hyperlink>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hyperlink w:anchor="_Toc160067199" w:history="1">
            <w:r w:rsidR="00701DD1" w:rsidRPr="001011A9">
              <w:rPr>
                <w:rStyle w:val="Hyperlink"/>
                <w:noProof/>
              </w:rPr>
              <w:t>Key reasons behind the declining profit position of the business</w:t>
            </w:r>
            <w:r w:rsidR="00701DD1">
              <w:rPr>
                <w:noProof/>
                <w:webHidden/>
              </w:rPr>
              <w:tab/>
            </w:r>
            <w:r>
              <w:rPr>
                <w:noProof/>
                <w:webHidden/>
              </w:rPr>
              <w:fldChar w:fldCharType="begin"/>
            </w:r>
            <w:r w:rsidR="00701DD1">
              <w:rPr>
                <w:noProof/>
                <w:webHidden/>
              </w:rPr>
              <w:instrText xml:space="preserve"> PAGEREF _Toc160067199 \h </w:instrText>
            </w:r>
            <w:r>
              <w:rPr>
                <w:noProof/>
                <w:webHidden/>
              </w:rPr>
            </w:r>
            <w:r>
              <w:rPr>
                <w:noProof/>
                <w:webHidden/>
              </w:rPr>
              <w:fldChar w:fldCharType="separate"/>
            </w:r>
            <w:r w:rsidR="00701DD1">
              <w:rPr>
                <w:noProof/>
                <w:webHidden/>
              </w:rPr>
              <w:t>3</w:t>
            </w:r>
            <w:r>
              <w:rPr>
                <w:noProof/>
                <w:webHidden/>
              </w:rPr>
              <w:fldChar w:fldCharType="end"/>
            </w:r>
          </w:hyperlink>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hyperlink w:anchor="_Toc160067200" w:history="1">
            <w:r w:rsidR="00701DD1" w:rsidRPr="001011A9">
              <w:rPr>
                <w:rStyle w:val="Hyperlink"/>
                <w:noProof/>
              </w:rPr>
              <w:t>Applied turnaround strategy implemented in “Seacrest Lodge” for further support</w:t>
            </w:r>
            <w:r w:rsidR="00701DD1">
              <w:rPr>
                <w:noProof/>
                <w:webHidden/>
              </w:rPr>
              <w:tab/>
            </w:r>
            <w:r>
              <w:rPr>
                <w:noProof/>
                <w:webHidden/>
              </w:rPr>
              <w:fldChar w:fldCharType="begin"/>
            </w:r>
            <w:r w:rsidR="00701DD1">
              <w:rPr>
                <w:noProof/>
                <w:webHidden/>
              </w:rPr>
              <w:instrText xml:space="preserve"> PAGEREF _Toc160067200 \h </w:instrText>
            </w:r>
            <w:r>
              <w:rPr>
                <w:noProof/>
                <w:webHidden/>
              </w:rPr>
            </w:r>
            <w:r>
              <w:rPr>
                <w:noProof/>
                <w:webHidden/>
              </w:rPr>
              <w:fldChar w:fldCharType="separate"/>
            </w:r>
            <w:r w:rsidR="00701DD1">
              <w:rPr>
                <w:noProof/>
                <w:webHidden/>
              </w:rPr>
              <w:t>6</w:t>
            </w:r>
            <w:r>
              <w:rPr>
                <w:noProof/>
                <w:webHidden/>
              </w:rPr>
              <w:fldChar w:fldCharType="end"/>
            </w:r>
          </w:hyperlink>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hyperlink w:anchor="_Toc160067201" w:history="1">
            <w:r w:rsidR="00701DD1" w:rsidRPr="001011A9">
              <w:rPr>
                <w:rStyle w:val="Hyperlink"/>
                <w:noProof/>
              </w:rPr>
              <w:t>Conclusions and Recommendations</w:t>
            </w:r>
            <w:r w:rsidR="00701DD1">
              <w:rPr>
                <w:noProof/>
                <w:webHidden/>
              </w:rPr>
              <w:tab/>
            </w:r>
            <w:r>
              <w:rPr>
                <w:noProof/>
                <w:webHidden/>
              </w:rPr>
              <w:fldChar w:fldCharType="begin"/>
            </w:r>
            <w:r w:rsidR="00701DD1">
              <w:rPr>
                <w:noProof/>
                <w:webHidden/>
              </w:rPr>
              <w:instrText xml:space="preserve"> PAGEREF _Toc160067201 \h </w:instrText>
            </w:r>
            <w:r>
              <w:rPr>
                <w:noProof/>
                <w:webHidden/>
              </w:rPr>
            </w:r>
            <w:r>
              <w:rPr>
                <w:noProof/>
                <w:webHidden/>
              </w:rPr>
              <w:fldChar w:fldCharType="separate"/>
            </w:r>
            <w:r w:rsidR="00701DD1">
              <w:rPr>
                <w:noProof/>
                <w:webHidden/>
              </w:rPr>
              <w:t>7</w:t>
            </w:r>
            <w:r>
              <w:rPr>
                <w:noProof/>
                <w:webHidden/>
              </w:rPr>
              <w:fldChar w:fldCharType="end"/>
            </w:r>
          </w:hyperlink>
        </w:p>
        <w:p w:rsidR="00701DD1" w:rsidRDefault="00B73374">
          <w:pPr>
            <w:pStyle w:val="TOC1"/>
            <w:tabs>
              <w:tab w:val="right" w:leader="dot" w:pos="9350"/>
            </w:tabs>
            <w:rPr>
              <w:rFonts w:asciiTheme="minorHAnsi" w:eastAsiaTheme="minorEastAsia" w:hAnsiTheme="minorHAnsi" w:cstheme="minorBidi"/>
              <w:noProof/>
              <w:kern w:val="2"/>
              <w:sz w:val="22"/>
              <w:szCs w:val="22"/>
              <w:lang w:val="en-US" w:eastAsia="en-US"/>
            </w:rPr>
          </w:pPr>
          <w:hyperlink w:anchor="_Toc160067202" w:history="1">
            <w:r w:rsidR="00701DD1" w:rsidRPr="001011A9">
              <w:rPr>
                <w:rStyle w:val="Hyperlink"/>
                <w:noProof/>
              </w:rPr>
              <w:t>References</w:t>
            </w:r>
            <w:r w:rsidR="00701DD1">
              <w:rPr>
                <w:noProof/>
                <w:webHidden/>
              </w:rPr>
              <w:tab/>
            </w:r>
            <w:r>
              <w:rPr>
                <w:noProof/>
                <w:webHidden/>
              </w:rPr>
              <w:fldChar w:fldCharType="begin"/>
            </w:r>
            <w:r w:rsidR="00701DD1">
              <w:rPr>
                <w:noProof/>
                <w:webHidden/>
              </w:rPr>
              <w:instrText xml:space="preserve"> PAGEREF _Toc160067202 \h </w:instrText>
            </w:r>
            <w:r>
              <w:rPr>
                <w:noProof/>
                <w:webHidden/>
              </w:rPr>
            </w:r>
            <w:r>
              <w:rPr>
                <w:noProof/>
                <w:webHidden/>
              </w:rPr>
              <w:fldChar w:fldCharType="separate"/>
            </w:r>
            <w:r w:rsidR="00701DD1">
              <w:rPr>
                <w:noProof/>
                <w:webHidden/>
              </w:rPr>
              <w:t>8</w:t>
            </w:r>
            <w:r>
              <w:rPr>
                <w:noProof/>
                <w:webHidden/>
              </w:rPr>
              <w:fldChar w:fldCharType="end"/>
            </w:r>
          </w:hyperlink>
        </w:p>
        <w:p w:rsidR="00E0622B" w:rsidRDefault="00B73374">
          <w:r>
            <w:rPr>
              <w:b/>
              <w:bCs/>
              <w:noProof/>
            </w:rPr>
            <w:fldChar w:fldCharType="end"/>
          </w:r>
        </w:p>
      </w:sdtContent>
    </w:sdt>
    <w:p w:rsidR="00E0622B" w:rsidRDefault="00E0622B" w:rsidP="00481CE2">
      <w:pPr>
        <w:pStyle w:val="Heading1"/>
        <w:rPr>
          <w:color w:val="000000" w:themeColor="text1"/>
        </w:rPr>
        <w:sectPr w:rsidR="00E0622B" w:rsidSect="00AF5490">
          <w:footerReference w:type="default" r:id="rId9"/>
          <w:pgSz w:w="12240" w:h="15840"/>
          <w:pgMar w:top="1440" w:right="1440" w:bottom="1440" w:left="1440" w:header="720" w:footer="720" w:gutter="0"/>
          <w:pgNumType w:start="1"/>
          <w:cols w:space="720"/>
        </w:sectPr>
      </w:pPr>
    </w:p>
    <w:p w:rsidR="00B03088" w:rsidRPr="00E70FA1" w:rsidRDefault="00361367" w:rsidP="00481CE2">
      <w:pPr>
        <w:pStyle w:val="Heading1"/>
        <w:rPr>
          <w:color w:val="000000" w:themeColor="text1"/>
        </w:rPr>
      </w:pPr>
      <w:bookmarkStart w:id="1" w:name="_Toc160067197"/>
      <w:r w:rsidRPr="00E70FA1">
        <w:rPr>
          <w:color w:val="000000" w:themeColor="text1"/>
        </w:rPr>
        <w:lastRenderedPageBreak/>
        <w:t>Introduction</w:t>
      </w:r>
      <w:bookmarkEnd w:id="1"/>
    </w:p>
    <w:p w:rsidR="00B03088" w:rsidRDefault="00AB4F19" w:rsidP="00481CE2">
      <w:pPr>
        <w:pBdr>
          <w:top w:val="nil"/>
          <w:left w:val="nil"/>
          <w:bottom w:val="nil"/>
          <w:right w:val="nil"/>
          <w:between w:val="nil"/>
        </w:pBdr>
        <w:rPr>
          <w:color w:val="000000" w:themeColor="text1"/>
        </w:rPr>
      </w:pPr>
      <w:r w:rsidRPr="00AB4F19">
        <w:rPr>
          <w:color w:val="000000" w:themeColor="text1"/>
        </w:rPr>
        <w:t>One of the most well-known hospitality organisations in the world, Seacrest Lodge has stunning event venues as well as a bar that views out over the ocean. The purpose of this study is to investigate the lodge's potential for strategic development as well as the challenges that it faces in terms of operational growth. Despite the resort's exceptional location and high-end attraction, Seacrest Lodge has seen a decrease in revenue as a result of the global pandemic. By conducting an analysis of the market dynamics that are having an effect on the operations of the firm, the purpose of this study is to pinpoint actionable strategies that can be used to boost the lodge's income. The purpose of the analysis is to assist Seacrest Lodge in improving its financial health and reclaiming its market position in the rapidly evolving hospitality business. This will be accomplished by studying financial trends, client preferences, and competition challenges.</w:t>
      </w:r>
    </w:p>
    <w:p w:rsidR="00AB4F19" w:rsidRPr="00E70FA1" w:rsidRDefault="00AB4F19" w:rsidP="00481CE2">
      <w:pPr>
        <w:pBdr>
          <w:top w:val="nil"/>
          <w:left w:val="nil"/>
          <w:bottom w:val="nil"/>
          <w:right w:val="nil"/>
          <w:between w:val="nil"/>
        </w:pBdr>
        <w:rPr>
          <w:color w:val="000000" w:themeColor="text1"/>
        </w:rPr>
      </w:pPr>
    </w:p>
    <w:p w:rsidR="00B03088" w:rsidRPr="00E70FA1" w:rsidRDefault="00361367" w:rsidP="00481CE2">
      <w:pPr>
        <w:pStyle w:val="Heading1"/>
        <w:rPr>
          <w:color w:val="000000" w:themeColor="text1"/>
        </w:rPr>
      </w:pPr>
      <w:bookmarkStart w:id="2" w:name="_heading=h.1fob9te" w:colFirst="0" w:colLast="0"/>
      <w:bookmarkStart w:id="3" w:name="_Toc160067198"/>
      <w:bookmarkEnd w:id="2"/>
      <w:r w:rsidRPr="00E70FA1">
        <w:rPr>
          <w:color w:val="000000" w:themeColor="text1"/>
        </w:rPr>
        <w:t>Financial Analysis for “Seacrest Lodge” over the last three years</w:t>
      </w:r>
      <w:bookmarkEnd w:id="3"/>
    </w:p>
    <w:p w:rsidR="00B03088" w:rsidRPr="00E70FA1" w:rsidRDefault="00361367" w:rsidP="00481CE2">
      <w:pPr>
        <w:pBdr>
          <w:top w:val="nil"/>
          <w:left w:val="nil"/>
          <w:bottom w:val="nil"/>
          <w:right w:val="nil"/>
          <w:between w:val="nil"/>
        </w:pBdr>
        <w:rPr>
          <w:b/>
          <w:color w:val="000000" w:themeColor="text1"/>
        </w:rPr>
      </w:pPr>
      <w:r w:rsidRPr="00E70FA1">
        <w:rPr>
          <w:color w:val="000000" w:themeColor="text1"/>
        </w:rPr>
        <w:t xml:space="preserve">The general formulation and maintenance support of positive accounting evaluation support for every business enables the operating growth approach that manages the value positioning support in general. Importance to the identified processing of general accounting structure about the ratios is mainly formulated for the operating value purpose that determines the financial health determination structure on a proper basis (Drury, 2021). Formulation of the general financial position at the present situation represents the competitive marketing approach mainly indicates a certain volume of insufficiencies that generally impact the operating position on a negative basis. Associated with the general operating approach the financial health position of this hospitality business is mainly evaluated with the following accounting ratios support.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“Net profit ratio = (Net profit/revenue) x 100”</w:t>
      </w:r>
    </w:p>
    <w:p w:rsidR="00B03088" w:rsidRPr="00E70FA1" w:rsidRDefault="00361367" w:rsidP="00481CE2">
      <w:pPr>
        <w:numPr>
          <w:ilvl w:val="0"/>
          <w:numId w:val="5"/>
        </w:numPr>
        <w:pBdr>
          <w:top w:val="nil"/>
          <w:left w:val="nil"/>
          <w:bottom w:val="nil"/>
          <w:right w:val="nil"/>
          <w:between w:val="nil"/>
        </w:pBdr>
        <w:rPr>
          <w:color w:val="000000" w:themeColor="text1"/>
        </w:rPr>
      </w:pPr>
      <w:r w:rsidRPr="00E70FA1">
        <w:rPr>
          <w:color w:val="000000" w:themeColor="text1"/>
        </w:rPr>
        <w:t>“For 2021: (300000 / 1200000) x 100 = 25%”</w:t>
      </w:r>
    </w:p>
    <w:p w:rsidR="00B03088" w:rsidRPr="00E70FA1" w:rsidRDefault="00361367" w:rsidP="00481CE2">
      <w:pPr>
        <w:numPr>
          <w:ilvl w:val="0"/>
          <w:numId w:val="5"/>
        </w:numPr>
        <w:pBdr>
          <w:top w:val="nil"/>
          <w:left w:val="nil"/>
          <w:bottom w:val="nil"/>
          <w:right w:val="nil"/>
          <w:between w:val="nil"/>
        </w:pBdr>
        <w:rPr>
          <w:color w:val="000000" w:themeColor="text1"/>
        </w:rPr>
      </w:pPr>
      <w:r w:rsidRPr="00E70FA1">
        <w:rPr>
          <w:color w:val="000000" w:themeColor="text1"/>
        </w:rPr>
        <w:t>“For 2022: (150000 / 1100000) x 100 = 13.63%”</w:t>
      </w:r>
    </w:p>
    <w:p w:rsidR="00B03088" w:rsidRPr="00E70FA1" w:rsidRDefault="00361367" w:rsidP="00481CE2">
      <w:pPr>
        <w:numPr>
          <w:ilvl w:val="0"/>
          <w:numId w:val="5"/>
        </w:numPr>
        <w:pBdr>
          <w:top w:val="nil"/>
          <w:left w:val="nil"/>
          <w:bottom w:val="nil"/>
          <w:right w:val="nil"/>
          <w:between w:val="nil"/>
        </w:pBdr>
        <w:rPr>
          <w:color w:val="000000" w:themeColor="text1"/>
        </w:rPr>
      </w:pPr>
      <w:r w:rsidRPr="00E70FA1">
        <w:rPr>
          <w:color w:val="000000" w:themeColor="text1"/>
        </w:rPr>
        <w:t>“For 2023: (-150000 / 950000) x 100 = (-15.79%)”</w:t>
      </w:r>
    </w:p>
    <w:p w:rsidR="00B03088" w:rsidRPr="00E70FA1" w:rsidRDefault="00361367" w:rsidP="00481CE2">
      <w:pPr>
        <w:pBdr>
          <w:top w:val="nil"/>
          <w:left w:val="nil"/>
          <w:bottom w:val="nil"/>
          <w:right w:val="nil"/>
          <w:between w:val="nil"/>
        </w:pBdr>
        <w:rPr>
          <w:color w:val="000000" w:themeColor="text1"/>
        </w:rPr>
      </w:pPr>
      <w:r w:rsidRPr="00E70FA1">
        <w:rPr>
          <w:b/>
          <w:color w:val="000000" w:themeColor="text1"/>
        </w:rPr>
        <w:t>Interpretation</w:t>
      </w:r>
      <w:r w:rsidRPr="00E70FA1">
        <w:rPr>
          <w:color w:val="000000" w:themeColor="text1"/>
        </w:rPr>
        <w:t xml:space="preserve">: The general standardised structure of the business operating position including the earning competencies determined with the support of this financial measurement support formulates the value-optimised position (Seal, 2019). As per the basic accounting structure and </w:t>
      </w:r>
      <w:r w:rsidRPr="00E70FA1">
        <w:rPr>
          <w:color w:val="000000" w:themeColor="text1"/>
        </w:rPr>
        <w:lastRenderedPageBreak/>
        <w:t xml:space="preserve">operating growth the present measurement mainly indicates a high volume of declined approach from the level of 25% to the level of (-15.79%) that is uncertain concerning the present position.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“Current ratio = (Current assets / Current liabilities)”</w:t>
      </w:r>
    </w:p>
    <w:p w:rsidR="00B03088" w:rsidRPr="00E70FA1" w:rsidRDefault="00361367" w:rsidP="00481CE2">
      <w:pPr>
        <w:numPr>
          <w:ilvl w:val="0"/>
          <w:numId w:val="2"/>
        </w:numPr>
        <w:pBdr>
          <w:top w:val="nil"/>
          <w:left w:val="nil"/>
          <w:bottom w:val="nil"/>
          <w:right w:val="nil"/>
          <w:between w:val="nil"/>
        </w:pBdr>
        <w:rPr>
          <w:color w:val="000000" w:themeColor="text1"/>
        </w:rPr>
      </w:pPr>
      <w:r w:rsidRPr="00E70FA1">
        <w:rPr>
          <w:color w:val="000000" w:themeColor="text1"/>
        </w:rPr>
        <w:t>“For 2021: (150000 / 30000) = 5.00:1”</w:t>
      </w:r>
    </w:p>
    <w:p w:rsidR="00B03088" w:rsidRPr="00E70FA1" w:rsidRDefault="00361367" w:rsidP="00481CE2">
      <w:pPr>
        <w:numPr>
          <w:ilvl w:val="0"/>
          <w:numId w:val="2"/>
        </w:numPr>
        <w:pBdr>
          <w:top w:val="nil"/>
          <w:left w:val="nil"/>
          <w:bottom w:val="nil"/>
          <w:right w:val="nil"/>
          <w:between w:val="nil"/>
        </w:pBdr>
        <w:rPr>
          <w:color w:val="000000" w:themeColor="text1"/>
        </w:rPr>
      </w:pPr>
      <w:r w:rsidRPr="00E70FA1">
        <w:rPr>
          <w:color w:val="000000" w:themeColor="text1"/>
        </w:rPr>
        <w:t>“For 2022: (120000 / 40000) = 3.00:1”</w:t>
      </w:r>
    </w:p>
    <w:p w:rsidR="00B03088" w:rsidRPr="00E70FA1" w:rsidRDefault="00361367" w:rsidP="00481CE2">
      <w:pPr>
        <w:numPr>
          <w:ilvl w:val="0"/>
          <w:numId w:val="2"/>
        </w:numPr>
        <w:pBdr>
          <w:top w:val="nil"/>
          <w:left w:val="nil"/>
          <w:bottom w:val="nil"/>
          <w:right w:val="nil"/>
          <w:between w:val="nil"/>
        </w:pBdr>
        <w:rPr>
          <w:color w:val="000000" w:themeColor="text1"/>
        </w:rPr>
      </w:pPr>
      <w:r w:rsidRPr="00E70FA1">
        <w:rPr>
          <w:color w:val="000000" w:themeColor="text1"/>
        </w:rPr>
        <w:t>“For 2023: (50000 / 50000) = 1.00:1”</w:t>
      </w:r>
    </w:p>
    <w:p w:rsidR="00B03088" w:rsidRPr="00E70FA1" w:rsidRDefault="00361367" w:rsidP="00481CE2">
      <w:pPr>
        <w:pBdr>
          <w:top w:val="nil"/>
          <w:left w:val="nil"/>
          <w:bottom w:val="nil"/>
          <w:right w:val="nil"/>
          <w:between w:val="nil"/>
        </w:pBdr>
        <w:rPr>
          <w:color w:val="000000" w:themeColor="text1"/>
        </w:rPr>
      </w:pPr>
      <w:r w:rsidRPr="00E70FA1">
        <w:rPr>
          <w:b/>
          <w:color w:val="000000" w:themeColor="text1"/>
        </w:rPr>
        <w:t>Interpretation</w:t>
      </w:r>
      <w:r w:rsidRPr="00E70FA1">
        <w:rPr>
          <w:color w:val="000000" w:themeColor="text1"/>
        </w:rPr>
        <w:t xml:space="preserve">: it mainly indicates the position of business liquidity processing and consistency values with the working capital approach that identifies the values of business accounting competencies. The present measurement indicates a declined value from 5 times to 1 time currently indicates a significant level of declined approach with the value positioning level of current assets.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“Debt-equity ratio = (Long-term debt/equity)”</w:t>
      </w:r>
    </w:p>
    <w:p w:rsidR="00B03088" w:rsidRPr="00E70FA1" w:rsidRDefault="00361367" w:rsidP="00481CE2">
      <w:pPr>
        <w:numPr>
          <w:ilvl w:val="0"/>
          <w:numId w:val="3"/>
        </w:numPr>
        <w:pBdr>
          <w:top w:val="nil"/>
          <w:left w:val="nil"/>
          <w:bottom w:val="nil"/>
          <w:right w:val="nil"/>
          <w:between w:val="nil"/>
        </w:pBdr>
        <w:rPr>
          <w:color w:val="000000" w:themeColor="text1"/>
        </w:rPr>
      </w:pPr>
      <w:r w:rsidRPr="00E70FA1">
        <w:rPr>
          <w:color w:val="000000" w:themeColor="text1"/>
        </w:rPr>
        <w:t>“For 2021 = (1500000 / 620000) = 2.41.”</w:t>
      </w:r>
    </w:p>
    <w:p w:rsidR="00B03088" w:rsidRPr="00E70FA1" w:rsidRDefault="00361367" w:rsidP="00481CE2">
      <w:pPr>
        <w:numPr>
          <w:ilvl w:val="0"/>
          <w:numId w:val="3"/>
        </w:numPr>
        <w:pBdr>
          <w:top w:val="nil"/>
          <w:left w:val="nil"/>
          <w:bottom w:val="nil"/>
          <w:right w:val="nil"/>
          <w:between w:val="nil"/>
        </w:pBdr>
        <w:rPr>
          <w:color w:val="000000" w:themeColor="text1"/>
        </w:rPr>
      </w:pPr>
      <w:r w:rsidRPr="00E70FA1">
        <w:rPr>
          <w:color w:val="000000" w:themeColor="text1"/>
        </w:rPr>
        <w:t>“For 2022 = (1500000 / 580000) = 2.58.”</w:t>
      </w:r>
    </w:p>
    <w:p w:rsidR="00B03088" w:rsidRPr="00E70FA1" w:rsidRDefault="00361367" w:rsidP="00481CE2">
      <w:pPr>
        <w:numPr>
          <w:ilvl w:val="0"/>
          <w:numId w:val="3"/>
        </w:numPr>
        <w:pBdr>
          <w:top w:val="nil"/>
          <w:left w:val="nil"/>
          <w:bottom w:val="nil"/>
          <w:right w:val="nil"/>
          <w:between w:val="nil"/>
        </w:pBdr>
        <w:rPr>
          <w:color w:val="000000" w:themeColor="text1"/>
        </w:rPr>
      </w:pPr>
      <w:r w:rsidRPr="00E70FA1">
        <w:rPr>
          <w:color w:val="000000" w:themeColor="text1"/>
        </w:rPr>
        <w:t>“For 2023 = (1500000 / 300000) = 5.00.”</w:t>
      </w:r>
    </w:p>
    <w:p w:rsidR="00B03088" w:rsidRPr="00E70FA1" w:rsidRDefault="00361367" w:rsidP="00481CE2">
      <w:pPr>
        <w:pBdr>
          <w:top w:val="nil"/>
          <w:left w:val="nil"/>
          <w:bottom w:val="nil"/>
          <w:right w:val="nil"/>
          <w:between w:val="nil"/>
        </w:pBdr>
        <w:rPr>
          <w:color w:val="000000" w:themeColor="text1"/>
        </w:rPr>
      </w:pPr>
      <w:r w:rsidRPr="00E70FA1">
        <w:rPr>
          <w:b/>
          <w:color w:val="000000" w:themeColor="text1"/>
        </w:rPr>
        <w:t>Interpretation</w:t>
      </w:r>
      <w:r w:rsidRPr="00E70FA1">
        <w:rPr>
          <w:color w:val="000000" w:themeColor="text1"/>
        </w:rPr>
        <w:t xml:space="preserve">: It mainly formulates the capital positioning values of a business with the measuring support of both internal and external capital values. As per the present analysis, the value mainly indicates a progressive growth from 2.41 times to 5.00 times indicating the insufficiency approach as it indicates a high level of outsourcing financial risk engagement currently.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“Return on assets (ROA) = (Net profit / Total assets) x 100”</w:t>
      </w:r>
    </w:p>
    <w:p w:rsidR="00B03088" w:rsidRPr="00E70FA1" w:rsidRDefault="00361367" w:rsidP="00481CE2">
      <w:pPr>
        <w:numPr>
          <w:ilvl w:val="0"/>
          <w:numId w:val="6"/>
        </w:numPr>
        <w:pBdr>
          <w:top w:val="nil"/>
          <w:left w:val="nil"/>
          <w:bottom w:val="nil"/>
          <w:right w:val="nil"/>
          <w:between w:val="nil"/>
        </w:pBdr>
        <w:rPr>
          <w:color w:val="000000" w:themeColor="text1"/>
        </w:rPr>
      </w:pPr>
      <w:r w:rsidRPr="00E70FA1">
        <w:rPr>
          <w:color w:val="000000" w:themeColor="text1"/>
        </w:rPr>
        <w:t>“For 2021 = (300000 / 2150000) x 100 = 13.95%”</w:t>
      </w:r>
    </w:p>
    <w:p w:rsidR="00B03088" w:rsidRPr="00E70FA1" w:rsidRDefault="00361367" w:rsidP="00481CE2">
      <w:pPr>
        <w:numPr>
          <w:ilvl w:val="0"/>
          <w:numId w:val="6"/>
        </w:numPr>
        <w:pBdr>
          <w:top w:val="nil"/>
          <w:left w:val="nil"/>
          <w:bottom w:val="nil"/>
          <w:right w:val="nil"/>
          <w:between w:val="nil"/>
        </w:pBdr>
        <w:rPr>
          <w:color w:val="000000" w:themeColor="text1"/>
        </w:rPr>
      </w:pPr>
      <w:r w:rsidRPr="00E70FA1">
        <w:rPr>
          <w:color w:val="000000" w:themeColor="text1"/>
        </w:rPr>
        <w:t>“For 2022 = (150000 / 2120000) x 100 = 7.07%”</w:t>
      </w:r>
    </w:p>
    <w:p w:rsidR="00B03088" w:rsidRPr="00E70FA1" w:rsidRDefault="00361367" w:rsidP="00481CE2">
      <w:pPr>
        <w:numPr>
          <w:ilvl w:val="0"/>
          <w:numId w:val="6"/>
        </w:numPr>
        <w:pBdr>
          <w:top w:val="nil"/>
          <w:left w:val="nil"/>
          <w:bottom w:val="nil"/>
          <w:right w:val="nil"/>
          <w:between w:val="nil"/>
        </w:pBdr>
        <w:rPr>
          <w:color w:val="000000" w:themeColor="text1"/>
        </w:rPr>
      </w:pPr>
      <w:r w:rsidRPr="00E70FA1">
        <w:rPr>
          <w:color w:val="000000" w:themeColor="text1"/>
        </w:rPr>
        <w:t>“For 2023 = (-150000 / 1850000) x 100 = (-8.10%)”</w:t>
      </w:r>
    </w:p>
    <w:p w:rsidR="00B03088" w:rsidRPr="00E70FA1" w:rsidRDefault="00361367" w:rsidP="00481CE2">
      <w:pPr>
        <w:pBdr>
          <w:top w:val="nil"/>
          <w:left w:val="nil"/>
          <w:bottom w:val="nil"/>
          <w:right w:val="nil"/>
          <w:between w:val="nil"/>
        </w:pBdr>
        <w:rPr>
          <w:color w:val="000000" w:themeColor="text1"/>
        </w:rPr>
      </w:pPr>
      <w:r w:rsidRPr="00E70FA1">
        <w:rPr>
          <w:b/>
          <w:color w:val="000000" w:themeColor="text1"/>
        </w:rPr>
        <w:t>Interpretation</w:t>
      </w:r>
      <w:r w:rsidRPr="00E70FA1">
        <w:rPr>
          <w:color w:val="000000" w:themeColor="text1"/>
        </w:rPr>
        <w:t xml:space="preserve">: The formulation of this analysis indicates the value of the returning approach concerning the present assets position that standardised the operating growth on a proper basis (Atrill and McLaney, 2021). The present analysis indicates the level declined from 13.95% to (-8.10%) indicating the insufficient approach, which needs to proceed and be formulated in a progressive order so that the value growth approach can be initiated on a proper basis in the upcoming period.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 xml:space="preserve">“Occupancy rate position” </w:t>
      </w:r>
    </w:p>
    <w:p w:rsidR="00B03088" w:rsidRPr="00E70FA1" w:rsidRDefault="00361367" w:rsidP="00481CE2">
      <w:pPr>
        <w:numPr>
          <w:ilvl w:val="0"/>
          <w:numId w:val="7"/>
        </w:numPr>
        <w:pBdr>
          <w:top w:val="nil"/>
          <w:left w:val="nil"/>
          <w:bottom w:val="nil"/>
          <w:right w:val="nil"/>
          <w:between w:val="nil"/>
        </w:pBdr>
        <w:rPr>
          <w:color w:val="000000" w:themeColor="text1"/>
        </w:rPr>
      </w:pPr>
      <w:r w:rsidRPr="00E70FA1">
        <w:rPr>
          <w:color w:val="000000" w:themeColor="text1"/>
        </w:rPr>
        <w:lastRenderedPageBreak/>
        <w:t xml:space="preserve">“For 2021 = 65%” </w:t>
      </w:r>
    </w:p>
    <w:p w:rsidR="00B03088" w:rsidRPr="00E70FA1" w:rsidRDefault="00361367" w:rsidP="00481CE2">
      <w:pPr>
        <w:numPr>
          <w:ilvl w:val="0"/>
          <w:numId w:val="7"/>
        </w:numPr>
        <w:pBdr>
          <w:top w:val="nil"/>
          <w:left w:val="nil"/>
          <w:bottom w:val="nil"/>
          <w:right w:val="nil"/>
          <w:between w:val="nil"/>
        </w:pBdr>
        <w:rPr>
          <w:color w:val="000000" w:themeColor="text1"/>
        </w:rPr>
      </w:pPr>
      <w:r w:rsidRPr="00E70FA1">
        <w:rPr>
          <w:color w:val="000000" w:themeColor="text1"/>
        </w:rPr>
        <w:t>“For 2022 = 60%”</w:t>
      </w:r>
    </w:p>
    <w:p w:rsidR="00B03088" w:rsidRPr="00E70FA1" w:rsidRDefault="00361367" w:rsidP="00481CE2">
      <w:pPr>
        <w:numPr>
          <w:ilvl w:val="0"/>
          <w:numId w:val="7"/>
        </w:numPr>
        <w:pBdr>
          <w:top w:val="nil"/>
          <w:left w:val="nil"/>
          <w:bottom w:val="nil"/>
          <w:right w:val="nil"/>
          <w:between w:val="nil"/>
        </w:pBdr>
        <w:rPr>
          <w:color w:val="000000" w:themeColor="text1"/>
        </w:rPr>
      </w:pPr>
      <w:r w:rsidRPr="00E70FA1">
        <w:rPr>
          <w:color w:val="000000" w:themeColor="text1"/>
        </w:rPr>
        <w:t xml:space="preserve">“For 2023 = 50%”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 xml:space="preserve">“Average room rate position (ARR)” </w:t>
      </w:r>
    </w:p>
    <w:p w:rsidR="00B03088" w:rsidRPr="00E70FA1" w:rsidRDefault="00361367" w:rsidP="00481CE2">
      <w:pPr>
        <w:numPr>
          <w:ilvl w:val="0"/>
          <w:numId w:val="4"/>
        </w:numPr>
        <w:pBdr>
          <w:top w:val="nil"/>
          <w:left w:val="nil"/>
          <w:bottom w:val="nil"/>
          <w:right w:val="nil"/>
          <w:between w:val="nil"/>
        </w:pBdr>
        <w:rPr>
          <w:color w:val="000000" w:themeColor="text1"/>
        </w:rPr>
      </w:pPr>
      <w:r w:rsidRPr="00E70FA1">
        <w:rPr>
          <w:color w:val="000000" w:themeColor="text1"/>
        </w:rPr>
        <w:t>“For 2021: £260”</w:t>
      </w:r>
    </w:p>
    <w:p w:rsidR="00B03088" w:rsidRPr="00E70FA1" w:rsidRDefault="00361367" w:rsidP="00481CE2">
      <w:pPr>
        <w:numPr>
          <w:ilvl w:val="0"/>
          <w:numId w:val="4"/>
        </w:numPr>
        <w:pBdr>
          <w:top w:val="nil"/>
          <w:left w:val="nil"/>
          <w:bottom w:val="nil"/>
          <w:right w:val="nil"/>
          <w:between w:val="nil"/>
        </w:pBdr>
        <w:rPr>
          <w:color w:val="000000" w:themeColor="text1"/>
        </w:rPr>
      </w:pPr>
      <w:r w:rsidRPr="00E70FA1">
        <w:rPr>
          <w:color w:val="000000" w:themeColor="text1"/>
        </w:rPr>
        <w:t>“For 2022: £240”</w:t>
      </w:r>
    </w:p>
    <w:p w:rsidR="00B03088" w:rsidRPr="00E70FA1" w:rsidRDefault="00361367" w:rsidP="00481CE2">
      <w:pPr>
        <w:numPr>
          <w:ilvl w:val="0"/>
          <w:numId w:val="4"/>
        </w:numPr>
        <w:pBdr>
          <w:top w:val="nil"/>
          <w:left w:val="nil"/>
          <w:bottom w:val="nil"/>
          <w:right w:val="nil"/>
          <w:between w:val="nil"/>
        </w:pBdr>
        <w:rPr>
          <w:color w:val="000000" w:themeColor="text1"/>
        </w:rPr>
      </w:pPr>
      <w:r w:rsidRPr="00E70FA1">
        <w:rPr>
          <w:color w:val="000000" w:themeColor="text1"/>
        </w:rPr>
        <w:t xml:space="preserve">“For 2023: £210” </w:t>
      </w:r>
    </w:p>
    <w:p w:rsidR="00B03088" w:rsidRPr="00E70FA1" w:rsidRDefault="00361367" w:rsidP="00481CE2">
      <w:pPr>
        <w:pBdr>
          <w:top w:val="nil"/>
          <w:left w:val="nil"/>
          <w:bottom w:val="nil"/>
          <w:right w:val="nil"/>
          <w:between w:val="nil"/>
        </w:pBdr>
        <w:rPr>
          <w:b/>
          <w:color w:val="000000" w:themeColor="text1"/>
          <w:sz w:val="28"/>
          <w:szCs w:val="28"/>
        </w:rPr>
      </w:pPr>
      <w:r w:rsidRPr="00E70FA1">
        <w:rPr>
          <w:b/>
          <w:color w:val="000000" w:themeColor="text1"/>
        </w:rPr>
        <w:t>Interpretation</w:t>
      </w:r>
      <w:r w:rsidRPr="00E70FA1">
        <w:rPr>
          <w:color w:val="000000" w:themeColor="text1"/>
        </w:rPr>
        <w:t xml:space="preserve">: The engagement of this non-financial analysis related to occupancy rate has been initiated for hotel capability determination purposes and ARR has been initiated for considering the average rate position that manages the financial returning position. The present occupancy rate has declined to 50%, while ARR has declined to the level of £210, which indicates the present insufficiency position of the business operations that need to be managed in the upcoming period for the operating value development purpose. </w:t>
      </w:r>
    </w:p>
    <w:p w:rsidR="00B03088" w:rsidRPr="00E70FA1" w:rsidRDefault="00361367" w:rsidP="00481CE2">
      <w:pPr>
        <w:pStyle w:val="Heading1"/>
        <w:rPr>
          <w:color w:val="000000" w:themeColor="text1"/>
        </w:rPr>
      </w:pPr>
      <w:bookmarkStart w:id="4" w:name="_heading=h.3znysh7" w:colFirst="0" w:colLast="0"/>
      <w:bookmarkStart w:id="5" w:name="_Toc160067199"/>
      <w:bookmarkEnd w:id="4"/>
      <w:r w:rsidRPr="00E70FA1">
        <w:rPr>
          <w:color w:val="000000" w:themeColor="text1"/>
        </w:rPr>
        <w:t>Key reasons behind the declining profit position of the business</w:t>
      </w:r>
      <w:bookmarkEnd w:id="5"/>
    </w:p>
    <w:p w:rsidR="00B03088" w:rsidRPr="00E70FA1" w:rsidRDefault="00E70FA1" w:rsidP="00481CE2">
      <w:pPr>
        <w:pBdr>
          <w:top w:val="nil"/>
          <w:left w:val="nil"/>
          <w:bottom w:val="nil"/>
          <w:right w:val="nil"/>
          <w:between w:val="nil"/>
        </w:pBdr>
        <w:rPr>
          <w:color w:val="000000" w:themeColor="text1"/>
        </w:rPr>
      </w:pPr>
      <w:r w:rsidRPr="00E70FA1">
        <w:rPr>
          <w:color w:val="000000" w:themeColor="text1"/>
        </w:rPr>
        <w:t xml:space="preserve">An effective market study aids company analysis. The right analysis helps a company understand its business, including if it can satisfy customers (Niu et al., 2021). Seacrest Lodge can be evaluated now by assessing its business market. Seacrest Lodge worries about business. Its business market management has been difficult due to numerous circumstances. </w:t>
      </w:r>
      <w:r w:rsidR="00361367" w:rsidRPr="00E70FA1">
        <w:rPr>
          <w:color w:val="000000" w:themeColor="text1"/>
        </w:rPr>
        <w:t xml:space="preserve">The most important problem that has prevented the organisation from generating huge amounts of revenue in the contemporary business market can be described as - </w:t>
      </w:r>
    </w:p>
    <w:p w:rsidR="00B03088" w:rsidRPr="00E70FA1" w:rsidRDefault="00361367" w:rsidP="00481CE2">
      <w:pPr>
        <w:pBdr>
          <w:top w:val="nil"/>
          <w:left w:val="nil"/>
          <w:bottom w:val="nil"/>
          <w:right w:val="nil"/>
          <w:between w:val="nil"/>
        </w:pBdr>
        <w:rPr>
          <w:color w:val="000000" w:themeColor="text1"/>
        </w:rPr>
      </w:pPr>
      <w:r w:rsidRPr="00E70FA1">
        <w:rPr>
          <w:b/>
          <w:color w:val="000000" w:themeColor="text1"/>
        </w:rPr>
        <w:t>Competitive market</w:t>
      </w:r>
    </w:p>
    <w:p w:rsidR="00B03088" w:rsidRPr="00E70FA1" w:rsidRDefault="00361367" w:rsidP="00481CE2">
      <w:pPr>
        <w:pBdr>
          <w:top w:val="nil"/>
          <w:left w:val="nil"/>
          <w:bottom w:val="nil"/>
          <w:right w:val="nil"/>
          <w:between w:val="nil"/>
        </w:pBdr>
        <w:rPr>
          <w:color w:val="000000" w:themeColor="text1"/>
        </w:rPr>
      </w:pPr>
      <w:r w:rsidRPr="00E70FA1">
        <w:rPr>
          <w:color w:val="000000" w:themeColor="text1"/>
        </w:rPr>
        <w:t xml:space="preserve">The organisation was very effective in attracting customers in the market, especially in the pre-pandemic period. In the recent business market, the coastal area is highly competitive. The increasing number of visitors in the tourism industry especially in the coastal area has created hindrances before an organisation (Khan </w:t>
      </w:r>
      <w:r w:rsidRPr="00E70FA1">
        <w:rPr>
          <w:i/>
          <w:color w:val="000000" w:themeColor="text1"/>
        </w:rPr>
        <w:t>et al</w:t>
      </w:r>
      <w:r w:rsidRPr="00E70FA1">
        <w:rPr>
          <w:color w:val="000000" w:themeColor="text1"/>
        </w:rPr>
        <w:t>., 2020). The rate of visitors has enhanced during the contemporary business market. The demand of people towards visiting new areas has increased nowadays.</w:t>
      </w:r>
    </w:p>
    <w:p w:rsidR="00B03088" w:rsidRPr="00E70FA1" w:rsidRDefault="00361367" w:rsidP="00481CE2">
      <w:pPr>
        <w:pBdr>
          <w:top w:val="nil"/>
          <w:left w:val="nil"/>
          <w:bottom w:val="nil"/>
          <w:right w:val="nil"/>
          <w:between w:val="nil"/>
        </w:pBdr>
        <w:rPr>
          <w:color w:val="000000" w:themeColor="text1"/>
        </w:rPr>
      </w:pPr>
      <w:r w:rsidRPr="00E70FA1">
        <w:rPr>
          <w:noProof/>
          <w:color w:val="000000" w:themeColor="text1"/>
          <w:lang w:val="en-US" w:eastAsia="en-US"/>
        </w:rPr>
        <w:lastRenderedPageBreak/>
        <w:drawing>
          <wp:inline distT="114300" distB="114300" distL="114300" distR="114300">
            <wp:extent cx="5943600" cy="37338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733800"/>
                    </a:xfrm>
                    <a:prstGeom prst="rect">
                      <a:avLst/>
                    </a:prstGeom>
                    <a:ln w="12700">
                      <a:solidFill>
                        <a:srgbClr val="000000"/>
                      </a:solidFill>
                      <a:prstDash val="solid"/>
                    </a:ln>
                  </pic:spPr>
                </pic:pic>
              </a:graphicData>
            </a:graphic>
          </wp:inline>
        </w:drawing>
      </w:r>
    </w:p>
    <w:p w:rsidR="00B03088" w:rsidRPr="00E70FA1" w:rsidRDefault="00361367" w:rsidP="00481CE2">
      <w:pPr>
        <w:pBdr>
          <w:top w:val="nil"/>
          <w:left w:val="nil"/>
          <w:bottom w:val="nil"/>
          <w:right w:val="nil"/>
          <w:between w:val="nil"/>
        </w:pBdr>
        <w:jc w:val="center"/>
        <w:rPr>
          <w:b/>
          <w:color w:val="000000" w:themeColor="text1"/>
        </w:rPr>
      </w:pPr>
      <w:r w:rsidRPr="00E70FA1">
        <w:rPr>
          <w:b/>
          <w:color w:val="000000" w:themeColor="text1"/>
        </w:rPr>
        <w:t>Figure 1: Number of users in the travel and tourism industry</w:t>
      </w:r>
    </w:p>
    <w:p w:rsidR="00B03088" w:rsidRPr="00E70FA1" w:rsidRDefault="00361367" w:rsidP="00481CE2">
      <w:pPr>
        <w:pBdr>
          <w:top w:val="nil"/>
          <w:left w:val="nil"/>
          <w:bottom w:val="nil"/>
          <w:right w:val="nil"/>
          <w:between w:val="nil"/>
        </w:pBdr>
        <w:jc w:val="center"/>
        <w:rPr>
          <w:color w:val="000000" w:themeColor="text1"/>
        </w:rPr>
      </w:pPr>
      <w:r w:rsidRPr="00E70FA1">
        <w:rPr>
          <w:color w:val="000000" w:themeColor="text1"/>
        </w:rPr>
        <w:t>(Source: Statista, 2024)</w:t>
      </w:r>
    </w:p>
    <w:p w:rsidR="00B03088" w:rsidRPr="00E70FA1" w:rsidRDefault="00361367" w:rsidP="00481CE2">
      <w:pPr>
        <w:pBdr>
          <w:top w:val="nil"/>
          <w:left w:val="nil"/>
          <w:bottom w:val="nil"/>
          <w:right w:val="nil"/>
          <w:between w:val="nil"/>
        </w:pBdr>
        <w:rPr>
          <w:color w:val="000000" w:themeColor="text1"/>
        </w:rPr>
      </w:pPr>
      <w:r w:rsidRPr="00E70FA1">
        <w:rPr>
          <w:color w:val="000000" w:themeColor="text1"/>
        </w:rPr>
        <w:t>The graph mentioned above has provided statistics on how the number of visitors has increased since 2019. The graph also predicts information about how the number of visitors will be increased up to 2028. As per the graph, around 1.9 billion people have used travel and tourism services (Statista, 2024). The demand of people towards tourism has increased as time goes on. The new entrants in the market, therefore, have devastated the business of Seacrest in the recent market. The organisation, therefore, has faced issues in its business market. The new entrants have provided the best support to their customers (Stylos</w:t>
      </w:r>
      <w:r w:rsidRPr="00E70FA1">
        <w:rPr>
          <w:i/>
          <w:color w:val="000000" w:themeColor="text1"/>
        </w:rPr>
        <w:t>et al</w:t>
      </w:r>
      <w:r w:rsidRPr="00E70FA1">
        <w:rPr>
          <w:color w:val="000000" w:themeColor="text1"/>
        </w:rPr>
        <w:t xml:space="preserve">., 2021). The organisation has faced the issue of developing its business market.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Change of customer preferences</w:t>
      </w:r>
    </w:p>
    <w:p w:rsidR="00B03088" w:rsidRPr="00E70FA1" w:rsidRDefault="00361367" w:rsidP="00481CE2">
      <w:pPr>
        <w:pBdr>
          <w:top w:val="nil"/>
          <w:left w:val="nil"/>
          <w:bottom w:val="nil"/>
          <w:right w:val="nil"/>
          <w:between w:val="nil"/>
        </w:pBdr>
        <w:rPr>
          <w:color w:val="000000" w:themeColor="text1"/>
        </w:rPr>
      </w:pPr>
      <w:r w:rsidRPr="00E70FA1">
        <w:rPr>
          <w:color w:val="000000" w:themeColor="text1"/>
        </w:rPr>
        <w:t xml:space="preserve">The customer plays a major role in the development of the business of an organisation in the current market. Every organisation in the market always take the necessary initiatives in attracting their customers (Gupta </w:t>
      </w:r>
      <w:r w:rsidRPr="00E70FA1">
        <w:rPr>
          <w:i/>
          <w:color w:val="000000" w:themeColor="text1"/>
        </w:rPr>
        <w:t>et al</w:t>
      </w:r>
      <w:r w:rsidRPr="00E70FA1">
        <w:rPr>
          <w:color w:val="000000" w:themeColor="text1"/>
        </w:rPr>
        <w:t xml:space="preserve">., 2022). The development of the business of the tourism organisations, therefore, is based on the successful meeting of the needs of customers. The fatal impact of the pandemic has affected the business of the global market (Mohajan, 2020). There is no exception in the case of the travel industry, the decline of the physical business procedure has </w:t>
      </w:r>
      <w:r w:rsidRPr="00E70FA1">
        <w:rPr>
          <w:color w:val="000000" w:themeColor="text1"/>
        </w:rPr>
        <w:lastRenderedPageBreak/>
        <w:t>developed the concept of the online business field. The choices of customers have shifted from physical to digital as people have faced issues due to the impact of the lockdown period (Galhotra and Dewan, 2020). People have preferred the online services. From booking to providing other necessary services everything is conducted through online mode. The new organisations in this field have adopted this new online market trend. The proper addressing of the needs of customers has enabled other organisations to develop their business in the market (Jagels, 2007). The demand towards online marketing has developed as time goes on.</w:t>
      </w:r>
    </w:p>
    <w:p w:rsidR="00B03088" w:rsidRPr="00E70FA1" w:rsidRDefault="00361367" w:rsidP="00481CE2">
      <w:pPr>
        <w:pBdr>
          <w:top w:val="nil"/>
          <w:left w:val="nil"/>
          <w:bottom w:val="nil"/>
          <w:right w:val="nil"/>
          <w:between w:val="nil"/>
        </w:pBdr>
        <w:rPr>
          <w:color w:val="000000" w:themeColor="text1"/>
        </w:rPr>
      </w:pPr>
      <w:r w:rsidRPr="00E70FA1">
        <w:rPr>
          <w:noProof/>
          <w:color w:val="000000" w:themeColor="text1"/>
          <w:lang w:val="en-US" w:eastAsia="en-US"/>
        </w:rPr>
        <w:drawing>
          <wp:inline distT="114300" distB="114300" distL="114300" distR="114300">
            <wp:extent cx="5943600" cy="38608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860800"/>
                    </a:xfrm>
                    <a:prstGeom prst="rect">
                      <a:avLst/>
                    </a:prstGeom>
                    <a:ln w="12700">
                      <a:solidFill>
                        <a:srgbClr val="000000"/>
                      </a:solidFill>
                      <a:prstDash val="solid"/>
                    </a:ln>
                  </pic:spPr>
                </pic:pic>
              </a:graphicData>
            </a:graphic>
          </wp:inline>
        </w:drawing>
      </w:r>
    </w:p>
    <w:p w:rsidR="00B03088" w:rsidRPr="00E70FA1" w:rsidRDefault="00361367" w:rsidP="00481CE2">
      <w:pPr>
        <w:pBdr>
          <w:top w:val="nil"/>
          <w:left w:val="nil"/>
          <w:bottom w:val="nil"/>
          <w:right w:val="nil"/>
          <w:between w:val="nil"/>
        </w:pBdr>
        <w:jc w:val="center"/>
        <w:rPr>
          <w:b/>
          <w:color w:val="000000" w:themeColor="text1"/>
        </w:rPr>
      </w:pPr>
      <w:r w:rsidRPr="00E70FA1">
        <w:rPr>
          <w:b/>
          <w:color w:val="000000" w:themeColor="text1"/>
        </w:rPr>
        <w:t>Figure 2: Online travel market from 2020 to 2030</w:t>
      </w:r>
    </w:p>
    <w:p w:rsidR="00B03088" w:rsidRPr="00E70FA1" w:rsidRDefault="00361367" w:rsidP="00481CE2">
      <w:pPr>
        <w:pBdr>
          <w:top w:val="nil"/>
          <w:left w:val="nil"/>
          <w:bottom w:val="nil"/>
          <w:right w:val="nil"/>
          <w:between w:val="nil"/>
        </w:pBdr>
        <w:jc w:val="center"/>
        <w:rPr>
          <w:color w:val="000000" w:themeColor="text1"/>
        </w:rPr>
      </w:pPr>
      <w:r w:rsidRPr="00E70FA1">
        <w:rPr>
          <w:color w:val="000000" w:themeColor="text1"/>
        </w:rPr>
        <w:t>(Source: Statista, 2024)</w:t>
      </w:r>
    </w:p>
    <w:p w:rsidR="00B03088" w:rsidRPr="00E70FA1" w:rsidRDefault="00361367" w:rsidP="00481CE2">
      <w:pPr>
        <w:pBdr>
          <w:top w:val="nil"/>
          <w:left w:val="nil"/>
          <w:bottom w:val="nil"/>
          <w:right w:val="nil"/>
          <w:between w:val="nil"/>
        </w:pBdr>
        <w:rPr>
          <w:color w:val="000000" w:themeColor="text1"/>
        </w:rPr>
      </w:pPr>
      <w:r w:rsidRPr="00E70FA1">
        <w:rPr>
          <w:color w:val="000000" w:themeColor="text1"/>
        </w:rPr>
        <w:t xml:space="preserve">The above graph has provided the necessary information related to the development of the business of an organisation. As per the statistical data the online travel market size is around 412 billion GBP (Statista, 2024). Since Seacrest has followed the traditional physical business procedure, it has been affected by the demand of people. The organisation has not been able to address the market gap properly. The income statement of the Lodge has provided data that the revenue that the organisation has generated was £1.2 billion in 2021, £1.1 billion in 2022 and £950 million in 2023. From the analysis of the graph, it can be said that as the demand for online </w:t>
      </w:r>
      <w:r w:rsidRPr="00E70FA1">
        <w:rPr>
          <w:color w:val="000000" w:themeColor="text1"/>
        </w:rPr>
        <w:lastRenderedPageBreak/>
        <w:t xml:space="preserve">market travel increases gradually the decline of the revenue also has been enhanced in the same ratio. </w:t>
      </w:r>
    </w:p>
    <w:p w:rsidR="00B03088" w:rsidRPr="00E70FA1" w:rsidRDefault="00361367" w:rsidP="00481CE2">
      <w:pPr>
        <w:pBdr>
          <w:top w:val="nil"/>
          <w:left w:val="nil"/>
          <w:bottom w:val="nil"/>
          <w:right w:val="nil"/>
          <w:between w:val="nil"/>
        </w:pBdr>
        <w:rPr>
          <w:b/>
          <w:color w:val="000000" w:themeColor="text1"/>
        </w:rPr>
      </w:pPr>
      <w:r w:rsidRPr="00E70FA1">
        <w:rPr>
          <w:b/>
          <w:color w:val="000000" w:themeColor="text1"/>
        </w:rPr>
        <w:t>Other factors affecting profitability</w:t>
      </w:r>
    </w:p>
    <w:p w:rsidR="001E10E1" w:rsidRPr="001E10E1" w:rsidRDefault="001E10E1" w:rsidP="001E10E1">
      <w:pPr>
        <w:pBdr>
          <w:top w:val="nil"/>
          <w:left w:val="nil"/>
          <w:bottom w:val="nil"/>
          <w:right w:val="nil"/>
          <w:between w:val="nil"/>
        </w:pBdr>
        <w:rPr>
          <w:color w:val="000000" w:themeColor="text1"/>
        </w:rPr>
      </w:pPr>
      <w:r w:rsidRPr="001E10E1">
        <w:rPr>
          <w:color w:val="000000" w:themeColor="text1"/>
        </w:rPr>
        <w:t xml:space="preserve">Business earnings are also dropping due to poor marketing techniques. Company brand exposure has decreased due to inadequate business investment. Thus, few visitors chose the organisation for lodging. Apart from that, UK inflation is considerable. In December 2023, the CPI was 5.2%, which is too high for Europe (ONS.GOV.UK, 2023). High inflation diminishes consumers' buying power and disposable income. This affects target clients' purchasing patterns, lowering Seacrest Lodge's income. Additionally, the corporate tax rate reduces firm profitability. Corporation tax is 25% in 2023. It generally applies to the company's net income (Barros and Sarmento, 2020). Thus, it impacts firm revenue and profitability.  </w:t>
      </w:r>
    </w:p>
    <w:p w:rsidR="00B03088" w:rsidRDefault="001E10E1" w:rsidP="001E10E1">
      <w:pPr>
        <w:pBdr>
          <w:top w:val="nil"/>
          <w:left w:val="nil"/>
          <w:bottom w:val="nil"/>
          <w:right w:val="nil"/>
          <w:between w:val="nil"/>
        </w:pBdr>
        <w:rPr>
          <w:color w:val="000000" w:themeColor="text1"/>
          <w:highlight w:val="white"/>
        </w:rPr>
      </w:pPr>
      <w:r w:rsidRPr="001E10E1">
        <w:rPr>
          <w:color w:val="000000" w:themeColor="text1"/>
        </w:rPr>
        <w:t>Certain UK rules influence hotel companies' profitability. “The National Minimum Wage Act of 1998” mandates a minimum wage per hour (Manning, 2021). The statute allows Seacrest Lodge to raise worker pay. Thus, it raises operating expenses, reducing corporate profitability.</w:t>
      </w:r>
    </w:p>
    <w:p w:rsidR="001E10E1" w:rsidRPr="00E70FA1" w:rsidRDefault="001E10E1" w:rsidP="00481CE2">
      <w:pPr>
        <w:pBdr>
          <w:top w:val="nil"/>
          <w:left w:val="nil"/>
          <w:bottom w:val="nil"/>
          <w:right w:val="nil"/>
          <w:between w:val="nil"/>
        </w:pBdr>
        <w:rPr>
          <w:color w:val="000000" w:themeColor="text1"/>
          <w:highlight w:val="white"/>
        </w:rPr>
      </w:pPr>
    </w:p>
    <w:p w:rsidR="00B03088" w:rsidRPr="00E70FA1" w:rsidRDefault="00361367" w:rsidP="00481CE2">
      <w:pPr>
        <w:pStyle w:val="Heading1"/>
        <w:rPr>
          <w:color w:val="000000" w:themeColor="text1"/>
        </w:rPr>
      </w:pPr>
      <w:bookmarkStart w:id="6" w:name="_heading=h.2et92p0" w:colFirst="0" w:colLast="0"/>
      <w:bookmarkStart w:id="7" w:name="_Toc160067200"/>
      <w:bookmarkEnd w:id="6"/>
      <w:r w:rsidRPr="00E70FA1">
        <w:rPr>
          <w:color w:val="000000" w:themeColor="text1"/>
        </w:rPr>
        <w:t>Applied turnaround strategy implemented in “Seacrest Lodge” for further support</w:t>
      </w:r>
      <w:bookmarkEnd w:id="7"/>
    </w:p>
    <w:p w:rsidR="00B03088" w:rsidRPr="00E70FA1" w:rsidRDefault="00361367" w:rsidP="00481CE2">
      <w:pPr>
        <w:pBdr>
          <w:top w:val="nil"/>
          <w:left w:val="nil"/>
          <w:bottom w:val="nil"/>
          <w:right w:val="nil"/>
          <w:between w:val="nil"/>
        </w:pBdr>
        <w:rPr>
          <w:color w:val="000000" w:themeColor="text1"/>
        </w:rPr>
      </w:pPr>
      <w:r w:rsidRPr="00E70FA1">
        <w:rPr>
          <w:color w:val="000000" w:themeColor="text1"/>
        </w:rPr>
        <w:t>The organisation has to adopt some effective strategies for revamping the business of the Seacrest Lodge. The strategy that can be taken into account as the turnaround strategy is -</w:t>
      </w:r>
    </w:p>
    <w:p w:rsidR="00B03088" w:rsidRPr="00E70FA1" w:rsidRDefault="00361367" w:rsidP="00481CE2">
      <w:pPr>
        <w:numPr>
          <w:ilvl w:val="0"/>
          <w:numId w:val="1"/>
        </w:numPr>
        <w:pBdr>
          <w:top w:val="nil"/>
          <w:left w:val="nil"/>
          <w:bottom w:val="nil"/>
          <w:right w:val="nil"/>
          <w:between w:val="nil"/>
        </w:pBdr>
        <w:rPr>
          <w:color w:val="000000" w:themeColor="text1"/>
        </w:rPr>
      </w:pPr>
      <w:r w:rsidRPr="00E70FA1">
        <w:rPr>
          <w:color w:val="000000" w:themeColor="text1"/>
        </w:rPr>
        <w:t>Since the organisation has faced issues due to its lack of a digital business model, the organisation has to focus on changing its business model from physical to digital (Hilbert, 2020). The organisation has to adopt digital technology to improve its business in the current market</w:t>
      </w:r>
      <w:r w:rsidR="00E70FA1">
        <w:rPr>
          <w:color w:val="000000" w:themeColor="text1"/>
        </w:rPr>
        <w:t xml:space="preserve"> (</w:t>
      </w:r>
      <w:r w:rsidR="00E70FA1" w:rsidRPr="00E70FA1">
        <w:rPr>
          <w:color w:val="000000" w:themeColor="text1"/>
        </w:rPr>
        <w:t>Walker</w:t>
      </w:r>
      <w:r w:rsidR="00E70FA1">
        <w:rPr>
          <w:color w:val="000000" w:themeColor="text1"/>
        </w:rPr>
        <w:t xml:space="preserve">, </w:t>
      </w:r>
      <w:r w:rsidR="00E70FA1" w:rsidRPr="00E70FA1">
        <w:rPr>
          <w:color w:val="000000" w:themeColor="text1"/>
        </w:rPr>
        <w:t>2021)</w:t>
      </w:r>
      <w:r w:rsidRPr="00E70FA1">
        <w:rPr>
          <w:color w:val="000000" w:themeColor="text1"/>
        </w:rPr>
        <w:t>.</w:t>
      </w:r>
    </w:p>
    <w:p w:rsidR="00B03088" w:rsidRPr="00E70FA1" w:rsidRDefault="00361367" w:rsidP="00481CE2">
      <w:pPr>
        <w:numPr>
          <w:ilvl w:val="0"/>
          <w:numId w:val="1"/>
        </w:numPr>
        <w:pBdr>
          <w:top w:val="nil"/>
          <w:left w:val="nil"/>
          <w:bottom w:val="nil"/>
          <w:right w:val="nil"/>
          <w:between w:val="nil"/>
        </w:pBdr>
        <w:rPr>
          <w:color w:val="000000" w:themeColor="text1"/>
        </w:rPr>
      </w:pPr>
      <w:r w:rsidRPr="00E70FA1">
        <w:rPr>
          <w:color w:val="000000" w:themeColor="text1"/>
        </w:rPr>
        <w:t>Another important thing is that the proper knowledge is required for the proper use of digital tools (Skare and Soriano, 2021). Seacrest, therefore, has to focus on providing proper technological training to its employees. The organisation will be able to develop its business market by adopting this new turnaround strategy.</w:t>
      </w:r>
    </w:p>
    <w:p w:rsidR="00B03088" w:rsidRPr="00E70FA1" w:rsidRDefault="00361367" w:rsidP="00481CE2">
      <w:pPr>
        <w:numPr>
          <w:ilvl w:val="0"/>
          <w:numId w:val="1"/>
        </w:numPr>
        <w:pBdr>
          <w:top w:val="nil"/>
          <w:left w:val="nil"/>
          <w:bottom w:val="nil"/>
          <w:right w:val="nil"/>
          <w:between w:val="nil"/>
        </w:pBdr>
        <w:rPr>
          <w:color w:val="000000" w:themeColor="text1"/>
        </w:rPr>
      </w:pPr>
      <w:r w:rsidRPr="00E70FA1">
        <w:rPr>
          <w:color w:val="000000" w:themeColor="text1"/>
        </w:rPr>
        <w:t xml:space="preserve">Marketing is another important thing that it makes an organisation able to attract its customers in the current competitive market (Darmawan and Grenier, 2021). In the recent </w:t>
      </w:r>
      <w:r w:rsidRPr="00E70FA1">
        <w:rPr>
          <w:color w:val="000000" w:themeColor="text1"/>
        </w:rPr>
        <w:lastRenderedPageBreak/>
        <w:t xml:space="preserve">business market, the emergence of social media marketing has had a strong positive impact on the development of the business of the travel industry. </w:t>
      </w:r>
    </w:p>
    <w:p w:rsidR="00B03088" w:rsidRPr="00E70FA1" w:rsidRDefault="00361367" w:rsidP="00481CE2">
      <w:pPr>
        <w:numPr>
          <w:ilvl w:val="0"/>
          <w:numId w:val="1"/>
        </w:numPr>
        <w:pBdr>
          <w:top w:val="nil"/>
          <w:left w:val="nil"/>
          <w:bottom w:val="nil"/>
          <w:right w:val="nil"/>
          <w:between w:val="nil"/>
        </w:pBdr>
        <w:rPr>
          <w:color w:val="000000" w:themeColor="text1"/>
        </w:rPr>
      </w:pPr>
      <w:r w:rsidRPr="00E70FA1">
        <w:rPr>
          <w:color w:val="000000" w:themeColor="text1"/>
        </w:rPr>
        <w:t>Seacrest also has to follow the policies of its competitors in its business field and a cost-effective strategy has to be taken into account. The organisation has to deliver its best attractive services to its targeted customers at an affordable price.</w:t>
      </w:r>
    </w:p>
    <w:p w:rsidR="00B03088" w:rsidRPr="00E70FA1" w:rsidRDefault="00361367" w:rsidP="00481CE2">
      <w:pPr>
        <w:numPr>
          <w:ilvl w:val="0"/>
          <w:numId w:val="1"/>
        </w:numPr>
        <w:rPr>
          <w:color w:val="000000" w:themeColor="text1"/>
        </w:rPr>
      </w:pPr>
      <w:r w:rsidRPr="00E70FA1">
        <w:rPr>
          <w:color w:val="000000" w:themeColor="text1"/>
          <w:highlight w:val="white"/>
        </w:rPr>
        <w:t>Collection of feedback from the customers can help to mitigate the risks. The company should actively invest in effective customer training, to enhance positive customer service.</w:t>
      </w:r>
    </w:p>
    <w:p w:rsidR="00B03088" w:rsidRPr="00E70FA1" w:rsidRDefault="00361367" w:rsidP="00481CE2">
      <w:pPr>
        <w:numPr>
          <w:ilvl w:val="0"/>
          <w:numId w:val="1"/>
        </w:numPr>
        <w:rPr>
          <w:color w:val="000000" w:themeColor="text1"/>
        </w:rPr>
      </w:pPr>
      <w:r w:rsidRPr="00E70FA1">
        <w:rPr>
          <w:color w:val="000000" w:themeColor="text1"/>
          <w:highlight w:val="white"/>
        </w:rPr>
        <w:t xml:space="preserve">The organisation should frequently conduct assessments including competitor analysis. It can effectively evaluate the market position of the other competitors (Jagels, 2007). Diversifying the revenue streams can help to mitigate the risks of economic downturns such as high inflation rates. </w:t>
      </w:r>
    </w:p>
    <w:p w:rsidR="00B03088" w:rsidRPr="00E70FA1" w:rsidRDefault="00361367" w:rsidP="00481CE2">
      <w:pPr>
        <w:pStyle w:val="Heading1"/>
        <w:rPr>
          <w:color w:val="000000" w:themeColor="text1"/>
        </w:rPr>
      </w:pPr>
      <w:bookmarkStart w:id="8" w:name="_heading=h.tyjcwt" w:colFirst="0" w:colLast="0"/>
      <w:bookmarkStart w:id="9" w:name="_Toc160067201"/>
      <w:bookmarkEnd w:id="8"/>
      <w:r w:rsidRPr="00E70FA1">
        <w:rPr>
          <w:color w:val="000000" w:themeColor="text1"/>
        </w:rPr>
        <w:t>Conclusion</w:t>
      </w:r>
      <w:r w:rsidR="001E10E1">
        <w:rPr>
          <w:color w:val="000000" w:themeColor="text1"/>
        </w:rPr>
        <w:t>s and Recommendations</w:t>
      </w:r>
      <w:bookmarkEnd w:id="9"/>
    </w:p>
    <w:p w:rsidR="00B03088" w:rsidRDefault="00361367" w:rsidP="00481CE2">
      <w:pPr>
        <w:pBdr>
          <w:top w:val="nil"/>
          <w:left w:val="nil"/>
          <w:bottom w:val="nil"/>
          <w:right w:val="nil"/>
          <w:between w:val="nil"/>
        </w:pBdr>
        <w:rPr>
          <w:color w:val="000000" w:themeColor="text1"/>
        </w:rPr>
      </w:pPr>
      <w:r w:rsidRPr="00E70FA1">
        <w:rPr>
          <w:color w:val="000000" w:themeColor="text1"/>
        </w:rPr>
        <w:t>The description of the study has focused on the key issues that have prevented Seacrest Lodge from generating a huge amount of revenue in the market. The business of the organisation has been disrupted due to the probable reasons. A group of effective turnaround strategies have been discussed in the report. Seacrest will be able to revamp its business by effectively incorporating these strategies. The new strategies will pave the way for the organisation in the current market to generate huge amounts of revenue and become successful.</w:t>
      </w:r>
    </w:p>
    <w:p w:rsidR="001E10E1" w:rsidRDefault="001E10E1" w:rsidP="00481CE2">
      <w:pPr>
        <w:pBdr>
          <w:top w:val="nil"/>
          <w:left w:val="nil"/>
          <w:bottom w:val="nil"/>
          <w:right w:val="nil"/>
          <w:between w:val="nil"/>
        </w:pBdr>
        <w:rPr>
          <w:color w:val="000000" w:themeColor="text1"/>
        </w:rPr>
      </w:pPr>
      <w:r>
        <w:rPr>
          <w:color w:val="000000" w:themeColor="text1"/>
        </w:rPr>
        <w:t>Some recommendations are</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Using digital company strategies to expand market exposure and adapt to customer preferences (Walker, 2021).</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Technical training may improve employee digital technology adoption (Skare and Soriano, 2021).</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Using digital marketing and social media to promote your business and attract customers (Darmawan and Grenier, 2021).</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Providing competitive pricing and use cost-effective methods to attract and retain customers.</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Improving service and customer satisfaction, utilise consumer feedback to act.</w:t>
      </w:r>
    </w:p>
    <w:p w:rsidR="001E10E1" w:rsidRPr="001E10E1" w:rsidRDefault="001E10E1" w:rsidP="001E10E1">
      <w:pPr>
        <w:pStyle w:val="ListParagraph"/>
        <w:numPr>
          <w:ilvl w:val="0"/>
          <w:numId w:val="8"/>
        </w:numPr>
        <w:pBdr>
          <w:top w:val="nil"/>
          <w:left w:val="nil"/>
          <w:bottom w:val="nil"/>
          <w:right w:val="nil"/>
          <w:between w:val="nil"/>
        </w:pBdr>
        <w:rPr>
          <w:color w:val="000000" w:themeColor="text1"/>
        </w:rPr>
      </w:pPr>
      <w:r w:rsidRPr="001E10E1">
        <w:rPr>
          <w:color w:val="000000" w:themeColor="text1"/>
        </w:rPr>
        <w:t>Regularly analysing rivals and diversifying revenue sources may prevent economic downturns.</w:t>
      </w:r>
    </w:p>
    <w:p w:rsidR="00B03088" w:rsidRPr="00E70FA1" w:rsidRDefault="00361367" w:rsidP="00481CE2">
      <w:pPr>
        <w:pStyle w:val="Heading1"/>
        <w:rPr>
          <w:color w:val="000000" w:themeColor="text1"/>
        </w:rPr>
      </w:pPr>
      <w:bookmarkStart w:id="10" w:name="_heading=h.3dy6vkm" w:colFirst="0" w:colLast="0"/>
      <w:bookmarkStart w:id="11" w:name="_Toc160067202"/>
      <w:bookmarkEnd w:id="10"/>
      <w:r w:rsidRPr="00E70FA1">
        <w:rPr>
          <w:color w:val="000000" w:themeColor="text1"/>
        </w:rPr>
        <w:lastRenderedPageBreak/>
        <w:t>References</w:t>
      </w:r>
      <w:bookmarkEnd w:id="11"/>
    </w:p>
    <w:p w:rsidR="00E0622B" w:rsidRPr="00E70FA1" w:rsidRDefault="00E0622B" w:rsidP="00481CE2">
      <w:pPr>
        <w:pBdr>
          <w:top w:val="nil"/>
          <w:left w:val="nil"/>
          <w:bottom w:val="nil"/>
          <w:right w:val="nil"/>
          <w:between w:val="nil"/>
        </w:pBdr>
        <w:rPr>
          <w:color w:val="000000" w:themeColor="text1"/>
        </w:rPr>
      </w:pPr>
      <w:r w:rsidRPr="00E70FA1">
        <w:rPr>
          <w:color w:val="000000" w:themeColor="text1"/>
        </w:rPr>
        <w:t xml:space="preserve">Atrill P and McLaney E 2021. </w:t>
      </w:r>
      <w:r w:rsidRPr="00E70FA1">
        <w:rPr>
          <w:i/>
          <w:iCs/>
          <w:color w:val="000000" w:themeColor="text1"/>
        </w:rPr>
        <w:t>Management Accounting for Decision Makers</w:t>
      </w:r>
      <w:r w:rsidRPr="00E70FA1">
        <w:rPr>
          <w:color w:val="000000" w:themeColor="text1"/>
        </w:rPr>
        <w:t>, FT Prentice Hall</w:t>
      </w:r>
    </w:p>
    <w:p w:rsidR="00E0622B" w:rsidRPr="00E70FA1" w:rsidRDefault="00E0622B" w:rsidP="00481CE2">
      <w:pPr>
        <w:rPr>
          <w:color w:val="000000" w:themeColor="text1"/>
          <w:highlight w:val="white"/>
        </w:rPr>
      </w:pPr>
      <w:r w:rsidRPr="00E70FA1">
        <w:rPr>
          <w:color w:val="000000" w:themeColor="text1"/>
          <w:highlight w:val="white"/>
        </w:rPr>
        <w:t xml:space="preserve">‌Barros, V. and Sarmento, J.M., 2020. Board meeting attendance and corporate tax avoidance: Evidence from the UK. </w:t>
      </w:r>
      <w:r w:rsidRPr="00E70FA1">
        <w:rPr>
          <w:i/>
          <w:color w:val="000000" w:themeColor="text1"/>
          <w:highlight w:val="white"/>
        </w:rPr>
        <w:t>Business Perspectives and Research</w:t>
      </w:r>
      <w:r w:rsidRPr="00E70FA1">
        <w:rPr>
          <w:color w:val="000000" w:themeColor="text1"/>
          <w:highlight w:val="white"/>
        </w:rPr>
        <w:t xml:space="preserve">, </w:t>
      </w:r>
      <w:r w:rsidRPr="00E70FA1">
        <w:rPr>
          <w:i/>
          <w:color w:val="000000" w:themeColor="text1"/>
          <w:highlight w:val="white"/>
        </w:rPr>
        <w:t>8</w:t>
      </w:r>
      <w:r w:rsidRPr="00E70FA1">
        <w:rPr>
          <w:color w:val="000000" w:themeColor="text1"/>
          <w:highlight w:val="white"/>
        </w:rPr>
        <w:t>(1), pp.51-66.</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Darmawan, D. and Grenier, E., 2021. Competitive Advantage and Service Marketing Mix. </w:t>
      </w:r>
      <w:r w:rsidRPr="00E70FA1">
        <w:rPr>
          <w:i/>
          <w:color w:val="000000" w:themeColor="text1"/>
          <w:highlight w:val="white"/>
        </w:rPr>
        <w:t>Journal of Social Science Studies (JOS3)</w:t>
      </w:r>
      <w:r w:rsidRPr="00E70FA1">
        <w:rPr>
          <w:color w:val="000000" w:themeColor="text1"/>
          <w:highlight w:val="white"/>
        </w:rPr>
        <w:t xml:space="preserve">, </w:t>
      </w:r>
      <w:r w:rsidRPr="00E70FA1">
        <w:rPr>
          <w:i/>
          <w:color w:val="000000" w:themeColor="text1"/>
          <w:highlight w:val="white"/>
        </w:rPr>
        <w:t>1</w:t>
      </w:r>
      <w:r w:rsidRPr="00E70FA1">
        <w:rPr>
          <w:color w:val="000000" w:themeColor="text1"/>
          <w:highlight w:val="white"/>
        </w:rPr>
        <w:t>(2), pp.75-80.</w:t>
      </w:r>
    </w:p>
    <w:p w:rsidR="00E0622B" w:rsidRPr="00E70FA1" w:rsidRDefault="00E0622B" w:rsidP="00481CE2">
      <w:pPr>
        <w:pBdr>
          <w:top w:val="nil"/>
          <w:left w:val="nil"/>
          <w:bottom w:val="nil"/>
          <w:right w:val="nil"/>
          <w:between w:val="nil"/>
        </w:pBdr>
        <w:rPr>
          <w:color w:val="000000" w:themeColor="text1"/>
        </w:rPr>
      </w:pPr>
      <w:r w:rsidRPr="00E70FA1">
        <w:rPr>
          <w:color w:val="000000" w:themeColor="text1"/>
        </w:rPr>
        <w:t xml:space="preserve">Drury C 2021. (11th Ed) </w:t>
      </w:r>
      <w:r w:rsidRPr="00E70FA1">
        <w:rPr>
          <w:i/>
          <w:iCs/>
          <w:color w:val="000000" w:themeColor="text1"/>
        </w:rPr>
        <w:t>Management and Cost Accounting</w:t>
      </w:r>
      <w:r w:rsidRPr="00E70FA1">
        <w:rPr>
          <w:color w:val="000000" w:themeColor="text1"/>
        </w:rPr>
        <w:t>, London, Prentice Hall</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Galhotra, B. and Dewan, A., 2020, October. Impact of COVID-19 on digital platforms and change in E-commerce shopping trends. In </w:t>
      </w:r>
      <w:r w:rsidRPr="00E70FA1">
        <w:rPr>
          <w:i/>
          <w:color w:val="000000" w:themeColor="text1"/>
          <w:highlight w:val="white"/>
        </w:rPr>
        <w:t>2020 fourth international conference on I-SMAC (IoT in social, mobile, analytics and cloud)(I-SMAC)</w:t>
      </w:r>
      <w:r w:rsidRPr="00E70FA1">
        <w:rPr>
          <w:color w:val="000000" w:themeColor="text1"/>
          <w:highlight w:val="white"/>
        </w:rPr>
        <w:t xml:space="preserve"> (pp. 861-866). IEEE.</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Gupta, M.J., Chaturvedi, S., Prasad, R. and Ananthi, N., 2022. </w:t>
      </w:r>
      <w:r w:rsidRPr="00E70FA1">
        <w:rPr>
          <w:i/>
          <w:color w:val="000000" w:themeColor="text1"/>
          <w:highlight w:val="white"/>
        </w:rPr>
        <w:t>Principles and practice of management</w:t>
      </w:r>
      <w:r w:rsidRPr="00E70FA1">
        <w:rPr>
          <w:color w:val="000000" w:themeColor="text1"/>
          <w:highlight w:val="white"/>
        </w:rPr>
        <w:t>. AG PUBLISHING HOUSE (AGPH Books).</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Hilbert, M., 2020. Digital technology and social change: the digital transformation of society from a historical perspective. </w:t>
      </w:r>
      <w:r w:rsidRPr="00E70FA1">
        <w:rPr>
          <w:i/>
          <w:color w:val="000000" w:themeColor="text1"/>
          <w:highlight w:val="white"/>
        </w:rPr>
        <w:t>Dialogues in clinical neuroscience</w:t>
      </w:r>
      <w:r w:rsidRPr="00E70FA1">
        <w:rPr>
          <w:color w:val="000000" w:themeColor="text1"/>
          <w:highlight w:val="white"/>
        </w:rPr>
        <w:t xml:space="preserve">, </w:t>
      </w:r>
      <w:r w:rsidRPr="00E70FA1">
        <w:rPr>
          <w:i/>
          <w:color w:val="000000" w:themeColor="text1"/>
          <w:highlight w:val="white"/>
        </w:rPr>
        <w:t>22</w:t>
      </w:r>
      <w:r w:rsidRPr="00E70FA1">
        <w:rPr>
          <w:color w:val="000000" w:themeColor="text1"/>
          <w:highlight w:val="white"/>
        </w:rPr>
        <w:t>(2), pp.189-194.</w:t>
      </w:r>
    </w:p>
    <w:p w:rsidR="00E0622B" w:rsidRPr="00E70FA1" w:rsidRDefault="00E0622B" w:rsidP="00481CE2">
      <w:pPr>
        <w:pBdr>
          <w:top w:val="nil"/>
          <w:left w:val="nil"/>
          <w:bottom w:val="nil"/>
          <w:right w:val="nil"/>
          <w:between w:val="nil"/>
        </w:pBdr>
        <w:rPr>
          <w:color w:val="000000" w:themeColor="text1"/>
        </w:rPr>
      </w:pPr>
      <w:r w:rsidRPr="00E70FA1">
        <w:rPr>
          <w:color w:val="000000" w:themeColor="text1"/>
          <w:highlight w:val="white"/>
        </w:rPr>
        <w:t xml:space="preserve">Jagels, M. 2007. </w:t>
      </w:r>
      <w:r w:rsidRPr="00E70FA1">
        <w:rPr>
          <w:i/>
          <w:iCs/>
          <w:color w:val="000000" w:themeColor="text1"/>
          <w:highlight w:val="white"/>
        </w:rPr>
        <w:t>Hospitality Management Accounting</w:t>
      </w:r>
      <w:r w:rsidRPr="00E70FA1">
        <w:rPr>
          <w:color w:val="000000" w:themeColor="text1"/>
          <w:highlight w:val="white"/>
        </w:rPr>
        <w:t>, London, Wiley.</w:t>
      </w:r>
    </w:p>
    <w:p w:rsidR="00E0622B" w:rsidRPr="00E70FA1" w:rsidRDefault="00E0622B" w:rsidP="00481CE2">
      <w:pPr>
        <w:pBdr>
          <w:top w:val="nil"/>
          <w:left w:val="nil"/>
          <w:bottom w:val="nil"/>
          <w:right w:val="nil"/>
          <w:between w:val="nil"/>
        </w:pBdr>
        <w:rPr>
          <w:iCs/>
          <w:color w:val="000000" w:themeColor="text1"/>
          <w:highlight w:val="white"/>
        </w:rPr>
      </w:pPr>
      <w:r w:rsidRPr="00E70FA1">
        <w:rPr>
          <w:color w:val="000000" w:themeColor="text1"/>
          <w:highlight w:val="white"/>
        </w:rPr>
        <w:t xml:space="preserve">Khan, N., Hassan, A.U., Fahad, S. and Naushad, M., 2020. </w:t>
      </w:r>
      <w:r w:rsidRPr="00E70FA1">
        <w:rPr>
          <w:i/>
          <w:iCs/>
          <w:color w:val="000000" w:themeColor="text1"/>
          <w:highlight w:val="white"/>
        </w:rPr>
        <w:t>Factors affecting tourism industry and its impacts on global economy of the world.</w:t>
      </w:r>
      <w:r w:rsidRPr="00E70FA1">
        <w:rPr>
          <w:iCs/>
          <w:color w:val="000000" w:themeColor="text1"/>
          <w:highlight w:val="white"/>
        </w:rPr>
        <w:t>Available at SSRN 3559353.</w:t>
      </w:r>
    </w:p>
    <w:p w:rsidR="00E0622B" w:rsidRPr="00E70FA1" w:rsidRDefault="00E0622B" w:rsidP="00481CE2">
      <w:pPr>
        <w:rPr>
          <w:color w:val="000000" w:themeColor="text1"/>
          <w:highlight w:val="white"/>
        </w:rPr>
      </w:pPr>
      <w:r w:rsidRPr="00E70FA1">
        <w:rPr>
          <w:color w:val="000000" w:themeColor="text1"/>
          <w:highlight w:val="white"/>
        </w:rPr>
        <w:t xml:space="preserve">Manning, A., 2021. The elusive employment effect of the minimum wage. </w:t>
      </w:r>
      <w:r w:rsidRPr="00E70FA1">
        <w:rPr>
          <w:i/>
          <w:color w:val="000000" w:themeColor="text1"/>
          <w:highlight w:val="white"/>
        </w:rPr>
        <w:t>Journal of Economic Perspectives</w:t>
      </w:r>
      <w:r w:rsidRPr="00E70FA1">
        <w:rPr>
          <w:color w:val="000000" w:themeColor="text1"/>
          <w:highlight w:val="white"/>
        </w:rPr>
        <w:t xml:space="preserve">, </w:t>
      </w:r>
      <w:r w:rsidRPr="00E70FA1">
        <w:rPr>
          <w:i/>
          <w:color w:val="000000" w:themeColor="text1"/>
          <w:highlight w:val="white"/>
        </w:rPr>
        <w:t>35</w:t>
      </w:r>
      <w:r w:rsidRPr="00E70FA1">
        <w:rPr>
          <w:color w:val="000000" w:themeColor="text1"/>
          <w:highlight w:val="white"/>
        </w:rPr>
        <w:t>(1), pp.3-26.</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Mohajan, H.K., 2020. Covid-19–the most fatal pandemic outbreak: An analysis of economic consequences. </w:t>
      </w:r>
      <w:r w:rsidRPr="00E70FA1">
        <w:rPr>
          <w:i/>
          <w:color w:val="000000" w:themeColor="text1"/>
          <w:highlight w:val="white"/>
        </w:rPr>
        <w:t>Annals of Spiru Haret University. Economic Series</w:t>
      </w:r>
      <w:r w:rsidRPr="00E70FA1">
        <w:rPr>
          <w:color w:val="000000" w:themeColor="text1"/>
          <w:highlight w:val="white"/>
        </w:rPr>
        <w:t xml:space="preserve">, </w:t>
      </w:r>
      <w:r w:rsidRPr="00E70FA1">
        <w:rPr>
          <w:i/>
          <w:color w:val="000000" w:themeColor="text1"/>
          <w:highlight w:val="white"/>
        </w:rPr>
        <w:t>20</w:t>
      </w:r>
      <w:r w:rsidRPr="00E70FA1">
        <w:rPr>
          <w:color w:val="000000" w:themeColor="text1"/>
          <w:highlight w:val="white"/>
        </w:rPr>
        <w:t>(2), pp.127-145.</w:t>
      </w:r>
    </w:p>
    <w:p w:rsidR="00E0622B" w:rsidRPr="00E70FA1" w:rsidRDefault="00E0622B" w:rsidP="00481CE2">
      <w:pPr>
        <w:pBdr>
          <w:top w:val="nil"/>
          <w:left w:val="nil"/>
          <w:bottom w:val="nil"/>
          <w:right w:val="nil"/>
          <w:between w:val="nil"/>
        </w:pBdr>
        <w:rPr>
          <w:color w:val="000000" w:themeColor="text1"/>
          <w:highlight w:val="white"/>
        </w:rPr>
      </w:pPr>
      <w:r w:rsidRPr="00E70FA1">
        <w:rPr>
          <w:color w:val="000000" w:themeColor="text1"/>
          <w:highlight w:val="white"/>
        </w:rPr>
        <w:t xml:space="preserve">Niu, Y., Ying, L., Yang, J., Bao, M. and Sivaparthipan, C.B., 2021. Organizational business intelligence and decision making using big data analytics. </w:t>
      </w:r>
      <w:r w:rsidRPr="00E70FA1">
        <w:rPr>
          <w:i/>
          <w:color w:val="000000" w:themeColor="text1"/>
          <w:highlight w:val="white"/>
        </w:rPr>
        <w:t>Information Processing &amp; Management</w:t>
      </w:r>
      <w:r w:rsidRPr="00E70FA1">
        <w:rPr>
          <w:color w:val="000000" w:themeColor="text1"/>
          <w:highlight w:val="white"/>
        </w:rPr>
        <w:t xml:space="preserve">, </w:t>
      </w:r>
      <w:r w:rsidRPr="00E70FA1">
        <w:rPr>
          <w:i/>
          <w:color w:val="000000" w:themeColor="text1"/>
          <w:highlight w:val="white"/>
        </w:rPr>
        <w:t>58</w:t>
      </w:r>
      <w:r w:rsidRPr="00E70FA1">
        <w:rPr>
          <w:color w:val="000000" w:themeColor="text1"/>
          <w:highlight w:val="white"/>
        </w:rPr>
        <w:t>(6), p.102725.</w:t>
      </w:r>
    </w:p>
    <w:p w:rsidR="00E0622B" w:rsidRPr="00E70FA1" w:rsidRDefault="00E0622B" w:rsidP="00481CE2">
      <w:pPr>
        <w:rPr>
          <w:color w:val="000000" w:themeColor="text1"/>
          <w:highlight w:val="white"/>
        </w:rPr>
      </w:pPr>
      <w:r w:rsidRPr="00E70FA1">
        <w:rPr>
          <w:color w:val="000000" w:themeColor="text1"/>
          <w:highlight w:val="white"/>
        </w:rPr>
        <w:t xml:space="preserve">ONS.GOV.UK, 2023. </w:t>
      </w:r>
      <w:r w:rsidRPr="00E70FA1">
        <w:rPr>
          <w:i/>
          <w:color w:val="000000" w:themeColor="text1"/>
          <w:highlight w:val="white"/>
        </w:rPr>
        <w:t>Consumer price inflation, UK - Office for National Statistics</w:t>
      </w:r>
      <w:r w:rsidRPr="00E70FA1">
        <w:rPr>
          <w:color w:val="000000" w:themeColor="text1"/>
          <w:highlight w:val="white"/>
        </w:rPr>
        <w:t>. [Online] Available at: &lt;https://www.ons.gov.uk/economy/inflationandpriceindices/bulletins/consumerpriceinflation/december2023#:~:text=The%20core%20CPIH%20annual%20inflation.&gt; [Accessed on 26th February, 2024]</w:t>
      </w:r>
    </w:p>
    <w:p w:rsidR="00E0622B" w:rsidRPr="00E70FA1" w:rsidRDefault="00E0622B" w:rsidP="00E0622B">
      <w:pPr>
        <w:pBdr>
          <w:top w:val="nil"/>
          <w:left w:val="nil"/>
          <w:bottom w:val="nil"/>
          <w:right w:val="nil"/>
          <w:between w:val="nil"/>
        </w:pBdr>
        <w:rPr>
          <w:color w:val="000000" w:themeColor="text1"/>
        </w:rPr>
      </w:pPr>
      <w:r w:rsidRPr="00E70FA1">
        <w:rPr>
          <w:color w:val="000000" w:themeColor="text1"/>
        </w:rPr>
        <w:t xml:space="preserve">Seal W 2019. (6th Ed) </w:t>
      </w:r>
      <w:r w:rsidRPr="00E70FA1">
        <w:rPr>
          <w:i/>
          <w:iCs/>
          <w:color w:val="000000" w:themeColor="text1"/>
        </w:rPr>
        <w:t>Management Accounting</w:t>
      </w:r>
      <w:r w:rsidRPr="00E70FA1">
        <w:rPr>
          <w:color w:val="000000" w:themeColor="text1"/>
        </w:rPr>
        <w:t>, London, McGraw Hill</w:t>
      </w:r>
    </w:p>
    <w:p w:rsidR="00E0622B" w:rsidRPr="00E70FA1" w:rsidRDefault="00E0622B" w:rsidP="00E0622B">
      <w:pPr>
        <w:pBdr>
          <w:top w:val="nil"/>
          <w:left w:val="nil"/>
          <w:bottom w:val="nil"/>
          <w:right w:val="nil"/>
          <w:between w:val="nil"/>
        </w:pBdr>
        <w:rPr>
          <w:color w:val="000000" w:themeColor="text1"/>
          <w:highlight w:val="white"/>
        </w:rPr>
      </w:pPr>
      <w:r w:rsidRPr="00E70FA1">
        <w:rPr>
          <w:color w:val="000000" w:themeColor="text1"/>
          <w:highlight w:val="white"/>
        </w:rPr>
        <w:lastRenderedPageBreak/>
        <w:t xml:space="preserve">Skare, M. and Soriano, D.R., 2021. How globalization is changing digital technology adoption: An international perspective. </w:t>
      </w:r>
      <w:r w:rsidRPr="00E70FA1">
        <w:rPr>
          <w:i/>
          <w:color w:val="000000" w:themeColor="text1"/>
          <w:highlight w:val="white"/>
        </w:rPr>
        <w:t>Journal of Innovation &amp; Knowledge</w:t>
      </w:r>
      <w:r w:rsidRPr="00E70FA1">
        <w:rPr>
          <w:color w:val="000000" w:themeColor="text1"/>
          <w:highlight w:val="white"/>
        </w:rPr>
        <w:t xml:space="preserve">, </w:t>
      </w:r>
      <w:r w:rsidRPr="00E70FA1">
        <w:rPr>
          <w:i/>
          <w:color w:val="000000" w:themeColor="text1"/>
          <w:highlight w:val="white"/>
        </w:rPr>
        <w:t>6</w:t>
      </w:r>
      <w:r w:rsidRPr="00E70FA1">
        <w:rPr>
          <w:color w:val="000000" w:themeColor="text1"/>
          <w:highlight w:val="white"/>
        </w:rPr>
        <w:t>(4), pp.222-233.</w:t>
      </w:r>
    </w:p>
    <w:p w:rsidR="00E0622B" w:rsidRPr="00E70FA1" w:rsidRDefault="00E0622B" w:rsidP="00E0622B">
      <w:pPr>
        <w:pBdr>
          <w:top w:val="nil"/>
          <w:left w:val="nil"/>
          <w:bottom w:val="nil"/>
          <w:right w:val="nil"/>
          <w:between w:val="nil"/>
        </w:pBdr>
        <w:rPr>
          <w:color w:val="000000" w:themeColor="text1"/>
          <w:highlight w:val="white"/>
        </w:rPr>
      </w:pPr>
      <w:r w:rsidRPr="00E70FA1">
        <w:rPr>
          <w:color w:val="000000" w:themeColor="text1"/>
          <w:highlight w:val="white"/>
        </w:rPr>
        <w:t>Statista, 2024.</w:t>
      </w:r>
      <w:r w:rsidRPr="00E70FA1">
        <w:rPr>
          <w:i/>
          <w:color w:val="000000" w:themeColor="text1"/>
          <w:highlight w:val="white"/>
        </w:rPr>
        <w:t xml:space="preserve"> Number of users of travel &amp; tourism worldwide from 2019 to 2028</w:t>
      </w:r>
      <w:r w:rsidRPr="00E70FA1">
        <w:rPr>
          <w:color w:val="000000" w:themeColor="text1"/>
          <w:highlight w:val="white"/>
        </w:rPr>
        <w:t>. [online] Available at: https://www.statista.com/forecasts/891342/number-of-users-in-the-online-travel-booking-market-worldwide&gt; [Accessed on: 19th Feb. 2024]</w:t>
      </w:r>
    </w:p>
    <w:p w:rsidR="00E0622B" w:rsidRPr="00E70FA1" w:rsidRDefault="00E0622B" w:rsidP="00E0622B">
      <w:pPr>
        <w:pBdr>
          <w:top w:val="nil"/>
          <w:left w:val="nil"/>
          <w:bottom w:val="nil"/>
          <w:right w:val="nil"/>
          <w:between w:val="nil"/>
        </w:pBdr>
        <w:rPr>
          <w:color w:val="000000" w:themeColor="text1"/>
          <w:highlight w:val="white"/>
        </w:rPr>
      </w:pPr>
      <w:r w:rsidRPr="00E70FA1">
        <w:rPr>
          <w:color w:val="000000" w:themeColor="text1"/>
          <w:highlight w:val="white"/>
        </w:rPr>
        <w:t xml:space="preserve">Statista, 2024. </w:t>
      </w:r>
      <w:r w:rsidRPr="00E70FA1">
        <w:rPr>
          <w:i/>
          <w:color w:val="000000" w:themeColor="text1"/>
          <w:highlight w:val="white"/>
        </w:rPr>
        <w:t xml:space="preserve">Online travel market size worldwide from 2020 to 2022, with a forecast for 2023 and 2030. </w:t>
      </w:r>
      <w:r w:rsidRPr="00E70FA1">
        <w:rPr>
          <w:color w:val="000000" w:themeColor="text1"/>
          <w:highlight w:val="white"/>
        </w:rPr>
        <w:t>[online] Available at: &lt;https://www.statista.com/statistics/1179020/online-travel-agent-market-size-worldwide/&gt; [Accessed on: 19th Feb. 2024]</w:t>
      </w:r>
    </w:p>
    <w:p w:rsidR="00E0622B" w:rsidRDefault="00E0622B" w:rsidP="00E0622B">
      <w:pPr>
        <w:pBdr>
          <w:top w:val="nil"/>
          <w:left w:val="nil"/>
          <w:bottom w:val="nil"/>
          <w:right w:val="nil"/>
          <w:between w:val="nil"/>
        </w:pBdr>
        <w:rPr>
          <w:color w:val="000000" w:themeColor="text1"/>
          <w:highlight w:val="white"/>
        </w:rPr>
      </w:pPr>
      <w:r w:rsidRPr="00E70FA1">
        <w:rPr>
          <w:color w:val="000000" w:themeColor="text1"/>
          <w:highlight w:val="white"/>
        </w:rPr>
        <w:t xml:space="preserve">Stylos, N., Zwiegelaar, J. and Buhalis, D., 2021. Big data empowered agility for dynamic, volatile, and time-sensitive service industries: the case of tourism sector. </w:t>
      </w:r>
      <w:r w:rsidRPr="00E70FA1">
        <w:rPr>
          <w:i/>
          <w:color w:val="000000" w:themeColor="text1"/>
          <w:highlight w:val="white"/>
        </w:rPr>
        <w:t>International Journal of Contemporary Hospitality Management</w:t>
      </w:r>
      <w:r w:rsidRPr="00E70FA1">
        <w:rPr>
          <w:color w:val="000000" w:themeColor="text1"/>
          <w:highlight w:val="white"/>
        </w:rPr>
        <w:t xml:space="preserve">, </w:t>
      </w:r>
      <w:r w:rsidRPr="00E70FA1">
        <w:rPr>
          <w:i/>
          <w:color w:val="000000" w:themeColor="text1"/>
          <w:highlight w:val="white"/>
        </w:rPr>
        <w:t>33</w:t>
      </w:r>
      <w:r w:rsidRPr="00E70FA1">
        <w:rPr>
          <w:color w:val="000000" w:themeColor="text1"/>
          <w:highlight w:val="white"/>
        </w:rPr>
        <w:t>(3), pp.1015-1036.</w:t>
      </w:r>
    </w:p>
    <w:p w:rsidR="00E0622B" w:rsidRPr="00E0622B" w:rsidRDefault="00E0622B" w:rsidP="00E0622B">
      <w:pPr>
        <w:pBdr>
          <w:top w:val="nil"/>
          <w:left w:val="nil"/>
          <w:bottom w:val="nil"/>
          <w:right w:val="nil"/>
          <w:between w:val="nil"/>
        </w:pBdr>
        <w:rPr>
          <w:color w:val="000000" w:themeColor="text1"/>
        </w:rPr>
      </w:pPr>
      <w:r w:rsidRPr="00E70FA1">
        <w:rPr>
          <w:color w:val="000000" w:themeColor="text1"/>
        </w:rPr>
        <w:t xml:space="preserve">Walker J (2021) </w:t>
      </w:r>
      <w:r w:rsidRPr="00E70FA1">
        <w:rPr>
          <w:i/>
          <w:iCs/>
          <w:color w:val="000000" w:themeColor="text1"/>
        </w:rPr>
        <w:t>Introduction to Hospitality</w:t>
      </w:r>
      <w:r w:rsidRPr="00E70FA1">
        <w:rPr>
          <w:color w:val="000000" w:themeColor="text1"/>
        </w:rPr>
        <w:t>, Harlow, Pearson</w:t>
      </w:r>
    </w:p>
    <w:sectPr w:rsidR="00E0622B" w:rsidRPr="00E0622B" w:rsidSect="00B73374">
      <w:footerReference w:type="default" r:id="rId12"/>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5887" w:rsidRDefault="00635887">
      <w:pPr>
        <w:spacing w:line="240" w:lineRule="auto"/>
      </w:pPr>
      <w:r>
        <w:separator/>
      </w:r>
    </w:p>
  </w:endnote>
  <w:endnote w:type="continuationSeparator" w:id="1">
    <w:p w:rsidR="00635887" w:rsidRDefault="0063588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3088" w:rsidRDefault="00B03088">
    <w:pPr>
      <w:pBdr>
        <w:top w:val="nil"/>
        <w:left w:val="nil"/>
        <w:bottom w:val="nil"/>
        <w:right w:val="nil"/>
        <w:between w:val="nil"/>
      </w:pBdr>
      <w:jc w:val="right"/>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5448069"/>
      <w:docPartObj>
        <w:docPartGallery w:val="Page Numbers (Bottom of Page)"/>
        <w:docPartUnique/>
      </w:docPartObj>
    </w:sdtPr>
    <w:sdtEndPr>
      <w:rPr>
        <w:noProof/>
      </w:rPr>
    </w:sdtEndPr>
    <w:sdtContent>
      <w:p w:rsidR="00E0622B" w:rsidRDefault="00B73374">
        <w:pPr>
          <w:pStyle w:val="Footer"/>
          <w:jc w:val="right"/>
        </w:pPr>
        <w:r>
          <w:fldChar w:fldCharType="begin"/>
        </w:r>
        <w:r w:rsidR="00E0622B">
          <w:instrText xml:space="preserve"> PAGE   \* MERGEFORMAT </w:instrText>
        </w:r>
        <w:r>
          <w:fldChar w:fldCharType="separate"/>
        </w:r>
        <w:r w:rsidR="00BC6785">
          <w:rPr>
            <w:noProof/>
          </w:rPr>
          <w:t>1</w:t>
        </w:r>
        <w:r>
          <w:rPr>
            <w:noProof/>
          </w:rPr>
          <w:fldChar w:fldCharType="end"/>
        </w:r>
      </w:p>
    </w:sdtContent>
  </w:sdt>
  <w:p w:rsidR="00E0622B" w:rsidRDefault="00E0622B">
    <w:pPr>
      <w:pBdr>
        <w:top w:val="nil"/>
        <w:left w:val="nil"/>
        <w:bottom w:val="nil"/>
        <w:right w:val="nil"/>
        <w:between w:val="nil"/>
      </w:pBdr>
      <w:jc w:val="right"/>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5887" w:rsidRDefault="00635887">
      <w:pPr>
        <w:spacing w:line="240" w:lineRule="auto"/>
      </w:pPr>
      <w:r>
        <w:separator/>
      </w:r>
    </w:p>
  </w:footnote>
  <w:footnote w:type="continuationSeparator" w:id="1">
    <w:p w:rsidR="00635887" w:rsidRDefault="0063588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C0258"/>
    <w:multiLevelType w:val="multilevel"/>
    <w:tmpl w:val="473C3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347D20"/>
    <w:multiLevelType w:val="multilevel"/>
    <w:tmpl w:val="16E00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D2B1E86"/>
    <w:multiLevelType w:val="multilevel"/>
    <w:tmpl w:val="5B7AB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4652487"/>
    <w:multiLevelType w:val="hybridMultilevel"/>
    <w:tmpl w:val="048CC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467A38"/>
    <w:multiLevelType w:val="multilevel"/>
    <w:tmpl w:val="0090DB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0DC310D"/>
    <w:multiLevelType w:val="multilevel"/>
    <w:tmpl w:val="095A1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27F6F16"/>
    <w:multiLevelType w:val="multilevel"/>
    <w:tmpl w:val="C53C0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4C117F1"/>
    <w:multiLevelType w:val="multilevel"/>
    <w:tmpl w:val="50BED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1"/>
  </w:num>
  <w:num w:numId="4">
    <w:abstractNumId w:val="2"/>
  </w:num>
  <w:num w:numId="5">
    <w:abstractNumId w:val="7"/>
  </w:num>
  <w:num w:numId="6">
    <w:abstractNumId w:val="4"/>
  </w:num>
  <w:num w:numId="7">
    <w:abstractNumId w:val="5"/>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03088"/>
    <w:rsid w:val="00004A7A"/>
    <w:rsid w:val="00093A60"/>
    <w:rsid w:val="001E10E1"/>
    <w:rsid w:val="003551C0"/>
    <w:rsid w:val="00361367"/>
    <w:rsid w:val="0041740A"/>
    <w:rsid w:val="0044471E"/>
    <w:rsid w:val="004465B4"/>
    <w:rsid w:val="00461E98"/>
    <w:rsid w:val="00481CE2"/>
    <w:rsid w:val="00635887"/>
    <w:rsid w:val="00701DD1"/>
    <w:rsid w:val="00A672F0"/>
    <w:rsid w:val="00AB4F19"/>
    <w:rsid w:val="00AF5490"/>
    <w:rsid w:val="00B03088"/>
    <w:rsid w:val="00B73374"/>
    <w:rsid w:val="00B956AD"/>
    <w:rsid w:val="00BC6785"/>
    <w:rsid w:val="00E0622B"/>
    <w:rsid w:val="00E70FA1"/>
    <w:rsid w:val="00EB54D1"/>
    <w:rsid w:val="00F07B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B73374"/>
    <w:pPr>
      <w:keepNext/>
      <w:keepLines/>
      <w:outlineLvl w:val="0"/>
    </w:pPr>
    <w:rPr>
      <w:b/>
      <w:sz w:val="32"/>
      <w:szCs w:val="32"/>
    </w:rPr>
  </w:style>
  <w:style w:type="paragraph" w:styleId="Heading2">
    <w:name w:val="heading 2"/>
    <w:basedOn w:val="Normal1"/>
    <w:next w:val="Normal1"/>
    <w:rsid w:val="00B73374"/>
    <w:pPr>
      <w:keepNext/>
      <w:keepLines/>
      <w:outlineLvl w:val="1"/>
    </w:pPr>
    <w:rPr>
      <w:b/>
      <w:sz w:val="28"/>
      <w:szCs w:val="28"/>
    </w:rPr>
  </w:style>
  <w:style w:type="paragraph" w:styleId="Heading3">
    <w:name w:val="heading 3"/>
    <w:basedOn w:val="Normal1"/>
    <w:next w:val="Normal1"/>
    <w:rsid w:val="00B73374"/>
    <w:pPr>
      <w:keepNext/>
      <w:keepLines/>
      <w:outlineLvl w:val="2"/>
    </w:pPr>
    <w:rPr>
      <w:b/>
    </w:rPr>
  </w:style>
  <w:style w:type="paragraph" w:styleId="Heading4">
    <w:name w:val="heading 4"/>
    <w:basedOn w:val="Normal1"/>
    <w:next w:val="Normal1"/>
    <w:rsid w:val="00B73374"/>
    <w:pPr>
      <w:keepNext/>
      <w:keepLines/>
      <w:spacing w:before="280" w:after="80"/>
      <w:outlineLvl w:val="3"/>
    </w:pPr>
    <w:rPr>
      <w:color w:val="666666"/>
    </w:rPr>
  </w:style>
  <w:style w:type="paragraph" w:styleId="Heading5">
    <w:name w:val="heading 5"/>
    <w:basedOn w:val="Normal1"/>
    <w:next w:val="Normal1"/>
    <w:rsid w:val="00B73374"/>
    <w:pPr>
      <w:keepNext/>
      <w:keepLines/>
      <w:spacing w:before="240" w:after="80"/>
      <w:outlineLvl w:val="4"/>
    </w:pPr>
    <w:rPr>
      <w:color w:val="666666"/>
      <w:sz w:val="22"/>
      <w:szCs w:val="22"/>
    </w:rPr>
  </w:style>
  <w:style w:type="paragraph" w:styleId="Heading6">
    <w:name w:val="heading 6"/>
    <w:basedOn w:val="Normal1"/>
    <w:next w:val="Normal1"/>
    <w:rsid w:val="00B7337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B73374"/>
    <w:pPr>
      <w:keepNext/>
      <w:keepLines/>
      <w:spacing w:after="60"/>
    </w:pPr>
    <w:rPr>
      <w:sz w:val="52"/>
      <w:szCs w:val="52"/>
    </w:rPr>
  </w:style>
  <w:style w:type="paragraph" w:customStyle="1" w:styleId="Normal1">
    <w:name w:val="Normal1"/>
    <w:rsid w:val="00B73374"/>
  </w:style>
  <w:style w:type="table" w:customStyle="1" w:styleId="TableNormal1">
    <w:name w:val="Table Normal1"/>
    <w:rsid w:val="00B73374"/>
    <w:tblPr>
      <w:tblCellMar>
        <w:top w:w="0" w:type="dxa"/>
        <w:left w:w="0" w:type="dxa"/>
        <w:bottom w:w="0" w:type="dxa"/>
        <w:right w:w="0" w:type="dxa"/>
      </w:tblCellMar>
    </w:tblPr>
  </w:style>
  <w:style w:type="paragraph" w:styleId="Subtitle">
    <w:name w:val="Subtitle"/>
    <w:basedOn w:val="Normal"/>
    <w:next w:val="Normal"/>
    <w:rsid w:val="00B73374"/>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314F38"/>
    <w:pPr>
      <w:spacing w:after="100"/>
    </w:pPr>
  </w:style>
  <w:style w:type="character" w:styleId="Hyperlink">
    <w:name w:val="Hyperlink"/>
    <w:basedOn w:val="DefaultParagraphFont"/>
    <w:uiPriority w:val="99"/>
    <w:unhideWhenUsed/>
    <w:rsid w:val="00314F38"/>
    <w:rPr>
      <w:color w:val="0000FF" w:themeColor="hyperlink"/>
      <w:u w:val="single"/>
    </w:rPr>
  </w:style>
  <w:style w:type="paragraph" w:styleId="TOCHeading">
    <w:name w:val="TOC Heading"/>
    <w:basedOn w:val="Heading1"/>
    <w:next w:val="Normal"/>
    <w:uiPriority w:val="39"/>
    <w:unhideWhenUsed/>
    <w:qFormat/>
    <w:rsid w:val="00E0622B"/>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Header">
    <w:name w:val="header"/>
    <w:basedOn w:val="Normal"/>
    <w:link w:val="HeaderChar"/>
    <w:uiPriority w:val="99"/>
    <w:unhideWhenUsed/>
    <w:rsid w:val="00E0622B"/>
    <w:pPr>
      <w:tabs>
        <w:tab w:val="center" w:pos="4680"/>
        <w:tab w:val="right" w:pos="9360"/>
      </w:tabs>
      <w:spacing w:line="240" w:lineRule="auto"/>
    </w:pPr>
  </w:style>
  <w:style w:type="character" w:customStyle="1" w:styleId="HeaderChar">
    <w:name w:val="Header Char"/>
    <w:basedOn w:val="DefaultParagraphFont"/>
    <w:link w:val="Header"/>
    <w:uiPriority w:val="99"/>
    <w:rsid w:val="00E0622B"/>
  </w:style>
  <w:style w:type="paragraph" w:styleId="Footer">
    <w:name w:val="footer"/>
    <w:basedOn w:val="Normal"/>
    <w:link w:val="FooterChar"/>
    <w:uiPriority w:val="99"/>
    <w:unhideWhenUsed/>
    <w:rsid w:val="00E0622B"/>
    <w:pPr>
      <w:tabs>
        <w:tab w:val="center" w:pos="4680"/>
        <w:tab w:val="right" w:pos="9360"/>
      </w:tabs>
      <w:spacing w:line="240" w:lineRule="auto"/>
    </w:pPr>
  </w:style>
  <w:style w:type="character" w:customStyle="1" w:styleId="FooterChar">
    <w:name w:val="Footer Char"/>
    <w:basedOn w:val="DefaultParagraphFont"/>
    <w:link w:val="Footer"/>
    <w:uiPriority w:val="99"/>
    <w:rsid w:val="00E0622B"/>
  </w:style>
  <w:style w:type="paragraph" w:styleId="ListParagraph">
    <w:name w:val="List Paragraph"/>
    <w:basedOn w:val="Normal"/>
    <w:uiPriority w:val="34"/>
    <w:qFormat/>
    <w:rsid w:val="001E10E1"/>
    <w:pPr>
      <w:ind w:left="720"/>
      <w:contextualSpacing/>
    </w:pPr>
  </w:style>
  <w:style w:type="paragraph" w:styleId="BalloonText">
    <w:name w:val="Balloon Text"/>
    <w:basedOn w:val="Normal"/>
    <w:link w:val="BalloonTextChar"/>
    <w:uiPriority w:val="99"/>
    <w:semiHidden/>
    <w:unhideWhenUsed/>
    <w:rsid w:val="00461E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1E9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50230313">
      <w:bodyDiv w:val="1"/>
      <w:marLeft w:val="0"/>
      <w:marRight w:val="0"/>
      <w:marTop w:val="0"/>
      <w:marBottom w:val="0"/>
      <w:divBdr>
        <w:top w:val="none" w:sz="0" w:space="0" w:color="auto"/>
        <w:left w:val="none" w:sz="0" w:space="0" w:color="auto"/>
        <w:bottom w:val="none" w:sz="0" w:space="0" w:color="auto"/>
        <w:right w:val="none" w:sz="0" w:space="0" w:color="auto"/>
      </w:divBdr>
    </w:div>
    <w:div w:id="3738928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8e++tlcOU8OjGahuXdI7v+SanA==">CgMxLjAyCGguZ2pkZ3hzMgloLjMwajB6bGwyCWguMWZvYjl0ZTIJaC4zem55c2g3MgloLjJldDkycDAyCGgudHlqY3d0MgloLjNkeTZ2a204AHIhMWxtcl8zM2VEalVNRWdyX1V6U0ZKUW5mZzM3ekJQTF9n</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D5F050A-244C-4DA3-8A0D-E6DA258B5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3</cp:revision>
  <dcterms:created xsi:type="dcterms:W3CDTF">2024-02-28T22:23:00Z</dcterms:created>
  <dcterms:modified xsi:type="dcterms:W3CDTF">2024-02-28T22:27:00Z</dcterms:modified>
</cp:coreProperties>
</file>