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90F57" w14:textId="4D442D8B" w:rsidR="00BD0A2B" w:rsidRPr="00A676BC" w:rsidRDefault="00BD0A2B" w:rsidP="00A676BC">
      <w:pPr>
        <w:spacing w:line="360" w:lineRule="auto"/>
        <w:jc w:val="both"/>
        <w:rPr>
          <w:rFonts w:ascii="Arial" w:hAnsi="Arial" w:cs="Arial"/>
          <w:sz w:val="22"/>
          <w:szCs w:val="22"/>
          <w:lang w:val="en-US"/>
        </w:rPr>
      </w:pPr>
      <w:r w:rsidRPr="00A676BC">
        <w:rPr>
          <w:rFonts w:ascii="Arial" w:hAnsi="Arial" w:cs="Arial"/>
          <w:noProof/>
          <w:sz w:val="22"/>
          <w:szCs w:val="22"/>
          <w:lang w:val="en-US"/>
        </w:rPr>
        <w:drawing>
          <wp:inline distT="0" distB="0" distL="0" distR="0" wp14:anchorId="4B940BFB" wp14:editId="600CD1E2">
            <wp:extent cx="5688281" cy="3657600"/>
            <wp:effectExtent l="0" t="0" r="8255" b="0"/>
            <wp:docPr id="5017273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162" cy="3675528"/>
                    </a:xfrm>
                    <a:prstGeom prst="rect">
                      <a:avLst/>
                    </a:prstGeom>
                    <a:noFill/>
                  </pic:spPr>
                </pic:pic>
              </a:graphicData>
            </a:graphic>
          </wp:inline>
        </w:drawing>
      </w:r>
    </w:p>
    <w:p w14:paraId="205A6026" w14:textId="1967B1B7" w:rsidR="00AA6394" w:rsidRPr="00A676BC" w:rsidRDefault="00AA6394"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NAME: - RAVJEET KAUR</w:t>
      </w:r>
    </w:p>
    <w:p w14:paraId="5D72119B" w14:textId="77777777" w:rsidR="00C46B5B" w:rsidRPr="00A676BC" w:rsidRDefault="00AA6394"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STUDENT ID: - 2421</w:t>
      </w:r>
      <w:r w:rsidR="00B561E4" w:rsidRPr="00A676BC">
        <w:rPr>
          <w:rFonts w:ascii="Arial" w:hAnsi="Arial" w:cs="Arial"/>
          <w:b/>
          <w:bCs/>
          <w:caps/>
          <w:sz w:val="22"/>
          <w:szCs w:val="22"/>
          <w:lang w:val="en-US"/>
        </w:rPr>
        <w:t>160</w:t>
      </w:r>
    </w:p>
    <w:p w14:paraId="7DAC2FAA" w14:textId="1DF9713D" w:rsidR="0030486D" w:rsidRPr="00A676BC" w:rsidRDefault="0030486D"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Programme:</w:t>
      </w:r>
      <w:r w:rsidR="008C5C74" w:rsidRPr="00A676BC">
        <w:rPr>
          <w:rFonts w:ascii="Arial" w:hAnsi="Arial" w:cs="Arial"/>
          <w:b/>
          <w:bCs/>
          <w:caps/>
          <w:sz w:val="22"/>
          <w:szCs w:val="22"/>
          <w:lang w:val="en-US"/>
        </w:rPr>
        <w:t xml:space="preserve"> - </w:t>
      </w:r>
      <w:r w:rsidRPr="00A676BC">
        <w:rPr>
          <w:rFonts w:ascii="Arial" w:hAnsi="Arial" w:cs="Arial"/>
          <w:b/>
          <w:bCs/>
          <w:caps/>
          <w:sz w:val="22"/>
          <w:szCs w:val="22"/>
          <w:lang w:val="en-US"/>
        </w:rPr>
        <w:t>BSc Health and Social Care</w:t>
      </w:r>
    </w:p>
    <w:p w14:paraId="51AD7821" w14:textId="0E0BCE20" w:rsidR="0030486D" w:rsidRPr="00A676BC" w:rsidRDefault="0030486D"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Module:</w:t>
      </w:r>
      <w:r w:rsidR="008C5C74" w:rsidRPr="00A676BC">
        <w:rPr>
          <w:rFonts w:ascii="Arial" w:hAnsi="Arial" w:cs="Arial"/>
          <w:b/>
          <w:bCs/>
          <w:caps/>
          <w:sz w:val="22"/>
          <w:szCs w:val="22"/>
          <w:lang w:val="en-US"/>
        </w:rPr>
        <w:t xml:space="preserve"> - </w:t>
      </w:r>
      <w:r w:rsidRPr="00A676BC">
        <w:rPr>
          <w:rFonts w:ascii="Arial" w:hAnsi="Arial" w:cs="Arial"/>
          <w:b/>
          <w:bCs/>
          <w:caps/>
          <w:sz w:val="22"/>
          <w:szCs w:val="22"/>
          <w:lang w:val="en-US"/>
        </w:rPr>
        <w:t>Changemakers: Creativity and Value Creation</w:t>
      </w:r>
    </w:p>
    <w:p w14:paraId="513FBA4A" w14:textId="5C7AEB31" w:rsidR="0030486D" w:rsidRPr="00A676BC" w:rsidRDefault="0030486D"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Module code:</w:t>
      </w:r>
      <w:r w:rsidR="008C5C74" w:rsidRPr="00A676BC">
        <w:rPr>
          <w:rFonts w:ascii="Arial" w:hAnsi="Arial" w:cs="Arial"/>
          <w:b/>
          <w:bCs/>
          <w:caps/>
          <w:sz w:val="22"/>
          <w:szCs w:val="22"/>
          <w:lang w:val="en-US"/>
        </w:rPr>
        <w:t xml:space="preserve"> - </w:t>
      </w:r>
      <w:r w:rsidRPr="00A676BC">
        <w:rPr>
          <w:rFonts w:ascii="Arial" w:hAnsi="Arial" w:cs="Arial"/>
          <w:b/>
          <w:bCs/>
          <w:caps/>
          <w:sz w:val="22"/>
          <w:szCs w:val="22"/>
          <w:lang w:val="en-US"/>
        </w:rPr>
        <w:t>BMHP5014</w:t>
      </w:r>
      <w:r w:rsidRPr="00A676BC">
        <w:rPr>
          <w:rFonts w:ascii="Arial" w:hAnsi="Arial" w:cs="Arial"/>
          <w:b/>
          <w:bCs/>
          <w:caps/>
          <w:sz w:val="22"/>
          <w:szCs w:val="22"/>
          <w:lang w:val="en-US"/>
        </w:rPr>
        <w:tab/>
      </w:r>
    </w:p>
    <w:p w14:paraId="61762C54" w14:textId="15C4FBB0" w:rsidR="00BD0A2B" w:rsidRPr="00A676BC" w:rsidRDefault="0030486D" w:rsidP="00A676BC">
      <w:pPr>
        <w:spacing w:line="360" w:lineRule="auto"/>
        <w:jc w:val="both"/>
        <w:rPr>
          <w:rFonts w:ascii="Arial" w:hAnsi="Arial" w:cs="Arial"/>
          <w:b/>
          <w:bCs/>
          <w:caps/>
          <w:sz w:val="22"/>
          <w:szCs w:val="22"/>
          <w:lang w:val="en-US"/>
        </w:rPr>
      </w:pPr>
      <w:r w:rsidRPr="00A676BC">
        <w:rPr>
          <w:rFonts w:ascii="Arial" w:hAnsi="Arial" w:cs="Arial"/>
          <w:b/>
          <w:bCs/>
          <w:caps/>
          <w:sz w:val="22"/>
          <w:szCs w:val="22"/>
          <w:lang w:val="en-US"/>
        </w:rPr>
        <w:t>Assignment Title:</w:t>
      </w:r>
      <w:r w:rsidR="008C5C74" w:rsidRPr="00A676BC">
        <w:rPr>
          <w:rFonts w:ascii="Arial" w:hAnsi="Arial" w:cs="Arial"/>
          <w:b/>
          <w:bCs/>
          <w:caps/>
          <w:sz w:val="22"/>
          <w:szCs w:val="22"/>
          <w:lang w:val="en-US"/>
        </w:rPr>
        <w:t xml:space="preserve"> - </w:t>
      </w:r>
      <w:r w:rsidRPr="00A676BC">
        <w:rPr>
          <w:rFonts w:ascii="Arial" w:hAnsi="Arial" w:cs="Arial"/>
          <w:b/>
          <w:bCs/>
          <w:caps/>
          <w:sz w:val="22"/>
          <w:szCs w:val="22"/>
          <w:lang w:val="en-US"/>
        </w:rPr>
        <w:t>Component 2: Written Assignment (Report)</w:t>
      </w:r>
    </w:p>
    <w:p w14:paraId="6C506AC3" w14:textId="77777777" w:rsidR="008920DE" w:rsidRPr="00A676BC" w:rsidRDefault="008920DE" w:rsidP="00A676BC">
      <w:pPr>
        <w:spacing w:line="360" w:lineRule="auto"/>
        <w:jc w:val="both"/>
        <w:rPr>
          <w:rFonts w:ascii="Arial" w:hAnsi="Arial" w:cs="Arial"/>
          <w:b/>
          <w:bCs/>
          <w:caps/>
          <w:sz w:val="22"/>
          <w:szCs w:val="22"/>
          <w:lang w:val="en-US"/>
        </w:rPr>
      </w:pPr>
    </w:p>
    <w:p w14:paraId="4C4F0D71" w14:textId="09A5B563" w:rsidR="00BD0A2B" w:rsidRPr="00A676BC" w:rsidRDefault="009F0846" w:rsidP="00A676BC">
      <w:pPr>
        <w:spacing w:line="360" w:lineRule="auto"/>
        <w:jc w:val="both"/>
        <w:rPr>
          <w:rFonts w:ascii="Arial" w:hAnsi="Arial" w:cs="Arial"/>
          <w:b/>
          <w:bCs/>
          <w:sz w:val="22"/>
          <w:szCs w:val="22"/>
          <w:u w:val="single"/>
          <w:lang w:val="en-US"/>
        </w:rPr>
      </w:pPr>
      <w:r w:rsidRPr="00A676BC">
        <w:rPr>
          <w:rFonts w:ascii="Arial" w:hAnsi="Arial" w:cs="Arial"/>
          <w:b/>
          <w:bCs/>
          <w:sz w:val="22"/>
          <w:szCs w:val="22"/>
          <w:u w:val="single"/>
          <w:lang w:val="en-US"/>
        </w:rPr>
        <w:lastRenderedPageBreak/>
        <w:t xml:space="preserve">Poster </w:t>
      </w:r>
      <w:r w:rsidR="00242438" w:rsidRPr="00A676BC">
        <w:rPr>
          <w:rFonts w:ascii="Arial" w:hAnsi="Arial" w:cs="Arial"/>
          <w:b/>
          <w:bCs/>
          <w:sz w:val="22"/>
          <w:szCs w:val="22"/>
          <w:u w:val="single"/>
          <w:lang w:val="en-US"/>
        </w:rPr>
        <w:t xml:space="preserve">about: - </w:t>
      </w:r>
      <w:r w:rsidR="00CD1B6D" w:rsidRPr="00A676BC">
        <w:rPr>
          <w:rFonts w:ascii="Arial" w:hAnsi="Arial" w:cs="Arial"/>
          <w:b/>
          <w:bCs/>
          <w:sz w:val="22"/>
          <w:szCs w:val="22"/>
          <w:u w:val="single"/>
          <w:lang w:val="en-US"/>
        </w:rPr>
        <w:t>Childhood Obesity Prevention Programme</w:t>
      </w:r>
      <w:r w:rsidR="00BD0A2B" w:rsidRPr="00A676BC">
        <w:rPr>
          <w:rFonts w:ascii="Arial" w:hAnsi="Arial" w:cs="Arial"/>
          <w:b/>
          <w:bCs/>
          <w:noProof/>
          <w:sz w:val="22"/>
          <w:szCs w:val="22"/>
          <w:u w:val="single"/>
          <w:lang w:val="en-US"/>
        </w:rPr>
        <w:drawing>
          <wp:anchor distT="0" distB="0" distL="114300" distR="114300" simplePos="0" relativeHeight="251658240" behindDoc="0" locked="0" layoutInCell="1" allowOverlap="1" wp14:anchorId="5714ED39" wp14:editId="7C8D1A80">
            <wp:simplePos x="0" y="0"/>
            <wp:positionH relativeFrom="margin">
              <wp:align>left</wp:align>
            </wp:positionH>
            <wp:positionV relativeFrom="paragraph">
              <wp:posOffset>560705</wp:posOffset>
            </wp:positionV>
            <wp:extent cx="5698490" cy="7546975"/>
            <wp:effectExtent l="0" t="0" r="0" b="0"/>
            <wp:wrapSquare wrapText="bothSides"/>
            <wp:docPr id="1926236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8490" cy="7546975"/>
                    </a:xfrm>
                    <a:prstGeom prst="rect">
                      <a:avLst/>
                    </a:prstGeom>
                    <a:noFill/>
                  </pic:spPr>
                </pic:pic>
              </a:graphicData>
            </a:graphic>
            <wp14:sizeRelH relativeFrom="margin">
              <wp14:pctWidth>0</wp14:pctWidth>
            </wp14:sizeRelH>
            <wp14:sizeRelV relativeFrom="margin">
              <wp14:pctHeight>0</wp14:pctHeight>
            </wp14:sizeRelV>
          </wp:anchor>
        </w:drawing>
      </w:r>
      <w:r w:rsidR="000F467E" w:rsidRPr="00A676BC">
        <w:rPr>
          <w:rFonts w:ascii="Arial" w:hAnsi="Arial" w:cs="Arial"/>
          <w:b/>
          <w:bCs/>
          <w:sz w:val="22"/>
          <w:szCs w:val="22"/>
          <w:u w:val="single"/>
          <w:lang w:val="en-US"/>
        </w:rPr>
        <w:t xml:space="preserve"> </w:t>
      </w:r>
      <w:r w:rsidR="00BD0A2B" w:rsidRPr="00A676BC">
        <w:rPr>
          <w:rFonts w:ascii="Arial" w:hAnsi="Arial" w:cs="Arial"/>
          <w:b/>
          <w:bCs/>
          <w:sz w:val="22"/>
          <w:szCs w:val="22"/>
          <w:u w:val="single"/>
          <w:lang w:val="en-US"/>
        </w:rPr>
        <w:br w:type="page"/>
      </w:r>
    </w:p>
    <w:p w14:paraId="6DB47FC8" w14:textId="6A5A6EEE" w:rsidR="00DB53D4" w:rsidRPr="00A676BC" w:rsidRDefault="00311BC8"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lastRenderedPageBreak/>
        <w:t xml:space="preserve">Pitch: - </w:t>
      </w:r>
      <w:r w:rsidR="00BD0A2B" w:rsidRPr="00A676BC">
        <w:rPr>
          <w:rFonts w:ascii="Arial" w:hAnsi="Arial" w:cs="Arial"/>
          <w:b/>
          <w:bCs/>
          <w:sz w:val="22"/>
          <w:szCs w:val="22"/>
          <w:u w:val="single"/>
        </w:rPr>
        <w:t>Healthy Kids, Healthy Future:</w:t>
      </w:r>
      <w:r w:rsidR="00C26C00" w:rsidRPr="00A676BC">
        <w:rPr>
          <w:rFonts w:ascii="Arial" w:hAnsi="Arial" w:cs="Arial"/>
          <w:b/>
          <w:bCs/>
          <w:sz w:val="22"/>
          <w:szCs w:val="22"/>
          <w:u w:val="single"/>
        </w:rPr>
        <w:t xml:space="preserve"> </w:t>
      </w:r>
      <w:r w:rsidR="00BD0A2B" w:rsidRPr="00A676BC">
        <w:rPr>
          <w:rFonts w:ascii="Arial" w:hAnsi="Arial" w:cs="Arial"/>
          <w:b/>
          <w:bCs/>
          <w:sz w:val="22"/>
          <w:szCs w:val="22"/>
          <w:u w:val="single"/>
        </w:rPr>
        <w:t>A National Childhood Obesity Prevention Programme</w:t>
      </w:r>
    </w:p>
    <w:p w14:paraId="1640F723" w14:textId="516A1500" w:rsidR="00BD0A2B" w:rsidRPr="00A676BC" w:rsidRDefault="00BD0A2B" w:rsidP="00A676BC">
      <w:pPr>
        <w:spacing w:line="360" w:lineRule="auto"/>
        <w:jc w:val="both"/>
        <w:rPr>
          <w:rFonts w:ascii="Arial" w:hAnsi="Arial" w:cs="Arial"/>
          <w:b/>
          <w:bCs/>
          <w:sz w:val="22"/>
          <w:szCs w:val="22"/>
          <w:u w:val="single"/>
          <w:lang w:val="en-US"/>
        </w:rPr>
      </w:pPr>
      <w:r w:rsidRPr="00A676BC">
        <w:rPr>
          <w:rFonts w:ascii="Arial" w:hAnsi="Arial" w:cs="Arial"/>
          <w:b/>
          <w:bCs/>
          <w:sz w:val="22"/>
          <w:szCs w:val="22"/>
          <w:u w:val="single"/>
        </w:rPr>
        <w:t>Introduction</w:t>
      </w:r>
    </w:p>
    <w:p w14:paraId="5555AEFD"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Childhood obesity is one of the biggest public health challenges facing the UK today. Despite government campaigns and NHS initiatives, obesity rates among children remain high, especially in disadvantaged communities. According to the National Child Measurement Programme, </w:t>
      </w:r>
      <w:r w:rsidRPr="00A676BC">
        <w:rPr>
          <w:rFonts w:ascii="Arial" w:hAnsi="Arial" w:cs="Arial"/>
          <w:b/>
          <w:bCs/>
          <w:sz w:val="22"/>
          <w:szCs w:val="22"/>
        </w:rPr>
        <w:t>22.1% of Year 6 children</w:t>
      </w:r>
      <w:r w:rsidRPr="00A676BC">
        <w:rPr>
          <w:rFonts w:ascii="Arial" w:hAnsi="Arial" w:cs="Arial"/>
          <w:sz w:val="22"/>
          <w:szCs w:val="22"/>
        </w:rPr>
        <w:t xml:space="preserve"> in England were living with obesity during the 2023/24 school year </w:t>
      </w:r>
      <w:r w:rsidRPr="00A676BC">
        <w:rPr>
          <w:rFonts w:ascii="Arial" w:hAnsi="Arial" w:cs="Arial"/>
          <w:b/>
          <w:bCs/>
          <w:sz w:val="22"/>
          <w:szCs w:val="22"/>
        </w:rPr>
        <w:t>(NHS England, 2024).</w:t>
      </w:r>
      <w:r w:rsidRPr="00A676BC">
        <w:rPr>
          <w:rFonts w:ascii="Arial" w:hAnsi="Arial" w:cs="Arial"/>
          <w:sz w:val="22"/>
          <w:szCs w:val="22"/>
        </w:rPr>
        <w:t xml:space="preserve"> Children living in the most deprived areas are more than twice as likely to experience obesity compared with those in the least deprived communities </w:t>
      </w:r>
      <w:r w:rsidRPr="00A676BC">
        <w:rPr>
          <w:rFonts w:ascii="Arial" w:hAnsi="Arial" w:cs="Arial"/>
          <w:b/>
          <w:bCs/>
          <w:sz w:val="22"/>
          <w:szCs w:val="22"/>
        </w:rPr>
        <w:t>(Office for Health Improvement and Disparities (OHID), 2024).</w:t>
      </w:r>
      <w:r w:rsidRPr="00A676BC">
        <w:rPr>
          <w:rFonts w:ascii="Arial" w:hAnsi="Arial" w:cs="Arial"/>
          <w:sz w:val="22"/>
          <w:szCs w:val="22"/>
        </w:rPr>
        <w:t xml:space="preserve"> These figures show that childhood obesity is influenced by much more than personal choice.</w:t>
      </w:r>
    </w:p>
    <w:p w14:paraId="5326FF5E" w14:textId="77777777"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t xml:space="preserve">The effects of obesity extend beyond physical health. Children are at greater risk of developing conditions such as Type 2 Diabetes and cardiovascular disease, while also experiencing lower self-esteem, anxiety and bullying </w:t>
      </w:r>
      <w:r w:rsidRPr="00A676BC">
        <w:rPr>
          <w:rFonts w:ascii="Arial" w:hAnsi="Arial" w:cs="Arial"/>
          <w:b/>
          <w:bCs/>
          <w:sz w:val="22"/>
          <w:szCs w:val="22"/>
        </w:rPr>
        <w:t>(National Institute for Health and Care Excellence (NICE), 2025).</w:t>
      </w:r>
      <w:r w:rsidRPr="00A676BC">
        <w:rPr>
          <w:rFonts w:ascii="Arial" w:hAnsi="Arial" w:cs="Arial"/>
          <w:sz w:val="22"/>
          <w:szCs w:val="22"/>
        </w:rPr>
        <w:t xml:space="preserve"> If left unaddressed, these health problems often continue into adulthood, increasing pressure on NHS services </w:t>
      </w:r>
      <w:r w:rsidRPr="00A676BC">
        <w:rPr>
          <w:rFonts w:ascii="Arial" w:hAnsi="Arial" w:cs="Arial"/>
          <w:b/>
          <w:bCs/>
          <w:sz w:val="22"/>
          <w:szCs w:val="22"/>
        </w:rPr>
        <w:t>(World Health Organization (WHO), 2024).</w:t>
      </w:r>
    </w:p>
    <w:p w14:paraId="1A1FA2BA"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This proposal introduces </w:t>
      </w:r>
      <w:r w:rsidRPr="00A676BC">
        <w:rPr>
          <w:rFonts w:ascii="Arial" w:hAnsi="Arial" w:cs="Arial"/>
          <w:b/>
          <w:bCs/>
          <w:sz w:val="22"/>
          <w:szCs w:val="22"/>
        </w:rPr>
        <w:t>Healthy Kids, Healthy Future</w:t>
      </w:r>
      <w:r w:rsidRPr="00A676BC">
        <w:rPr>
          <w:rFonts w:ascii="Arial" w:hAnsi="Arial" w:cs="Arial"/>
          <w:sz w:val="22"/>
          <w:szCs w:val="22"/>
        </w:rPr>
        <w:t>, an innovative programme that combines digital technology, schools, healthcare professionals and community support to encourage healthier lifestyles through prevention and early intervention.</w:t>
      </w:r>
    </w:p>
    <w:p w14:paraId="39A99B8F" w14:textId="4B8B0263" w:rsidR="00BD0A2B" w:rsidRPr="00A676BC" w:rsidRDefault="00BD0A2B"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t>Why Childhood Obesity Remains a Challenge</w:t>
      </w:r>
    </w:p>
    <w:p w14:paraId="3AC18D20"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Although the UK has introduced several initiatives to tackle childhood obesity, including the National Child Measurement Programme and improvements to school food standards, progress has been slow. Many interventions focus on supporting children after weight problems have developed rather than preventing them in the first place. As a result, obesity continues to affect thousands of children each year.</w:t>
      </w:r>
    </w:p>
    <w:p w14:paraId="2E4FC5BD"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A major reason for this is that childhood obesity is closely linked to wider social factors. Families on lower incomes may have limited access to healthy food, safe places to exercise or affordable leisure activities. These social determinants of health have a significant impact on children’s lifestyles and help explain why obesity rates remain highest in deprived communities </w:t>
      </w:r>
      <w:r w:rsidRPr="00A676BC">
        <w:rPr>
          <w:rFonts w:ascii="Arial" w:hAnsi="Arial" w:cs="Arial"/>
          <w:b/>
          <w:bCs/>
          <w:sz w:val="22"/>
          <w:szCs w:val="22"/>
        </w:rPr>
        <w:t>(Marmot, 2010).</w:t>
      </w:r>
    </w:p>
    <w:p w14:paraId="4561B794"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Technology also presents challenges. While many health apps are available, they often target adults and rarely involve schools, parents or healthcare professionals. Some families may also lack access to digital devices or the confidence to use them. This highlights the need for an </w:t>
      </w:r>
      <w:r w:rsidRPr="00A676BC">
        <w:rPr>
          <w:rFonts w:ascii="Arial" w:hAnsi="Arial" w:cs="Arial"/>
          <w:sz w:val="22"/>
          <w:szCs w:val="22"/>
        </w:rPr>
        <w:lastRenderedPageBreak/>
        <w:t>approach that combines digital innovation with face-to-face support, ensuring that all children have an equal opportunity to benefit regardless of their background.</w:t>
      </w:r>
    </w:p>
    <w:p w14:paraId="775CE95F" w14:textId="18FB19B6" w:rsidR="00FF3F6B" w:rsidRPr="00A676BC" w:rsidRDefault="00BD0A2B"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t>Healthy Kids, Healthy Future: An Innovative Solution</w:t>
      </w:r>
    </w:p>
    <w:p w14:paraId="048E8552" w14:textId="77777777" w:rsidR="00D56D34" w:rsidRPr="00A676BC" w:rsidRDefault="00BD0A2B" w:rsidP="00A676BC">
      <w:pPr>
        <w:spacing w:line="360" w:lineRule="auto"/>
        <w:jc w:val="both"/>
        <w:rPr>
          <w:rFonts w:ascii="Arial" w:hAnsi="Arial" w:cs="Arial"/>
          <w:b/>
          <w:bCs/>
          <w:sz w:val="22"/>
          <w:szCs w:val="22"/>
          <w:u w:val="single"/>
        </w:rPr>
      </w:pPr>
      <w:r w:rsidRPr="00A676BC">
        <w:rPr>
          <w:rFonts w:ascii="Arial" w:hAnsi="Arial" w:cs="Arial"/>
          <w:sz w:val="22"/>
          <w:szCs w:val="22"/>
        </w:rPr>
        <w:t>Healthy Kids, Healthy Future has been designed to address the gaps in current childhood obesity services by taking a whole-system approach. Rather than focusing only on weight management, the programme aims to help children and their families build healthier habits that can be maintained throughout life. It recognises that lasting behaviour change is more likely when schools, healthcare professionals, families and local communities work together.</w:t>
      </w:r>
    </w:p>
    <w:p w14:paraId="39152F15" w14:textId="0E163226" w:rsidR="00BD0A2B" w:rsidRPr="00A676BC" w:rsidRDefault="00BD0A2B" w:rsidP="00A676BC">
      <w:pPr>
        <w:spacing w:line="360" w:lineRule="auto"/>
        <w:jc w:val="both"/>
        <w:rPr>
          <w:rFonts w:ascii="Arial" w:hAnsi="Arial" w:cs="Arial"/>
          <w:b/>
          <w:bCs/>
          <w:sz w:val="22"/>
          <w:szCs w:val="22"/>
          <w:u w:val="single"/>
        </w:rPr>
      </w:pPr>
      <w:r w:rsidRPr="00A676BC">
        <w:rPr>
          <w:rFonts w:ascii="Arial" w:hAnsi="Arial" w:cs="Arial"/>
          <w:sz w:val="22"/>
          <w:szCs w:val="22"/>
        </w:rPr>
        <w:t xml:space="preserve">At the centre of the programme is the </w:t>
      </w:r>
      <w:r w:rsidRPr="00A676BC">
        <w:rPr>
          <w:rFonts w:ascii="Arial" w:hAnsi="Arial" w:cs="Arial"/>
          <w:b/>
          <w:bCs/>
          <w:sz w:val="22"/>
          <w:szCs w:val="22"/>
        </w:rPr>
        <w:t>Healthy Kids App</w:t>
      </w:r>
      <w:r w:rsidRPr="00A676BC">
        <w:rPr>
          <w:rFonts w:ascii="Arial" w:hAnsi="Arial" w:cs="Arial"/>
          <w:sz w:val="22"/>
          <w:szCs w:val="22"/>
        </w:rPr>
        <w:t xml:space="preserve">, which provides personalised advice on healthy eating and physical activity. Using artificial intelligence (AI), the app can suggest meal ideas, healthy recipes and simple ways for families to become more active. It also includes a </w:t>
      </w:r>
      <w:r w:rsidRPr="00A676BC">
        <w:rPr>
          <w:rFonts w:ascii="Arial" w:hAnsi="Arial" w:cs="Arial"/>
          <w:b/>
          <w:bCs/>
          <w:sz w:val="22"/>
          <w:szCs w:val="22"/>
        </w:rPr>
        <w:t>Healthy Lunchbox Scanner</w:t>
      </w:r>
      <w:r w:rsidRPr="00A676BC">
        <w:rPr>
          <w:rFonts w:ascii="Arial" w:hAnsi="Arial" w:cs="Arial"/>
          <w:sz w:val="22"/>
          <w:szCs w:val="22"/>
        </w:rPr>
        <w:t>, allowing parents to scan food items and receive easy-to-understand nutritional information and healthier alternatives. This helps families make informed choices without feeling overwhelmed by complex dietary advice.</w:t>
      </w:r>
    </w:p>
    <w:p w14:paraId="7CBC0E0B"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The programme also introduces </w:t>
      </w:r>
      <w:r w:rsidRPr="00A676BC">
        <w:rPr>
          <w:rFonts w:ascii="Arial" w:hAnsi="Arial" w:cs="Arial"/>
          <w:b/>
          <w:bCs/>
          <w:sz w:val="22"/>
          <w:szCs w:val="22"/>
        </w:rPr>
        <w:t>Healthy Schools Champions</w:t>
      </w:r>
      <w:r w:rsidRPr="00A676BC">
        <w:rPr>
          <w:rFonts w:ascii="Arial" w:hAnsi="Arial" w:cs="Arial"/>
          <w:sz w:val="22"/>
          <w:szCs w:val="22"/>
        </w:rPr>
        <w:t>. Teachers and school nurses would work together to deliver healthy eating sessions, physical activity challenges and wellbeing events involving parents and carers. These activities reinforce the messages children receive through the app while creating a positive culture around healthy living within schools.</w:t>
      </w:r>
    </w:p>
    <w:p w14:paraId="5573BEE5"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Healthcare professionals, including GPs, school nurses and dietitians, would be able to refer families into the programme and monitor progress where needed. Community organisations would support the initiative by providing cooking classes, family exercise sessions and local wellbeing activities, making healthy lifestyles more accessible and affordable.</w:t>
      </w:r>
    </w:p>
    <w:p w14:paraId="546F3D9E" w14:textId="77777777"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t xml:space="preserve">To ensure the programme is inclusive, families without access to smartphones or the internet would still receive support through schools, community centres and printed resources. Personal information would be stored securely in line with the </w:t>
      </w:r>
      <w:r w:rsidRPr="00A676BC">
        <w:rPr>
          <w:rFonts w:ascii="Arial" w:hAnsi="Arial" w:cs="Arial"/>
          <w:b/>
          <w:bCs/>
          <w:sz w:val="22"/>
          <w:szCs w:val="22"/>
        </w:rPr>
        <w:t>UK GDPR</w:t>
      </w:r>
      <w:r w:rsidRPr="00A676BC">
        <w:rPr>
          <w:rFonts w:ascii="Arial" w:hAnsi="Arial" w:cs="Arial"/>
          <w:sz w:val="22"/>
          <w:szCs w:val="22"/>
        </w:rPr>
        <w:t xml:space="preserve"> and the </w:t>
      </w:r>
      <w:r w:rsidRPr="00A676BC">
        <w:rPr>
          <w:rFonts w:ascii="Arial" w:hAnsi="Arial" w:cs="Arial"/>
          <w:b/>
          <w:bCs/>
          <w:sz w:val="22"/>
          <w:szCs w:val="22"/>
        </w:rPr>
        <w:t>Data Protection Act 2018</w:t>
      </w:r>
      <w:r w:rsidRPr="00A676BC">
        <w:rPr>
          <w:rFonts w:ascii="Arial" w:hAnsi="Arial" w:cs="Arial"/>
          <w:sz w:val="22"/>
          <w:szCs w:val="22"/>
        </w:rPr>
        <w:t xml:space="preserve">, protecting children’s privacy while allowing professionals to provide appropriate support </w:t>
      </w:r>
      <w:r w:rsidRPr="00A676BC">
        <w:rPr>
          <w:rFonts w:ascii="Arial" w:hAnsi="Arial" w:cs="Arial"/>
          <w:b/>
          <w:bCs/>
          <w:sz w:val="22"/>
          <w:szCs w:val="22"/>
        </w:rPr>
        <w:t>(Information Commissioner’s Office, 2024).</w:t>
      </w:r>
    </w:p>
    <w:p w14:paraId="4A9BBBDA"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By combining technology with education, healthcare and community support, Healthy Kids, Healthy Future offers a practical and realistic way to reduce childhood obesity while promoting healthier lifestyles for future generations.</w:t>
      </w:r>
    </w:p>
    <w:p w14:paraId="538271C9" w14:textId="740743AD" w:rsidR="00BD0A2B" w:rsidRPr="00A676BC" w:rsidRDefault="00BD0A2B"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t>Benefits and Impact</w:t>
      </w:r>
    </w:p>
    <w:p w14:paraId="4E5412D2" w14:textId="64DE5078"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lastRenderedPageBreak/>
        <w:t xml:space="preserve">Healthy Kids, Healthy Future has the potential to improve the lives of children, families and healthcare professionals by encouraging healthier lifestyles through prevention rather than treatment. For children, the programme promotes healthy eating, regular physical activity and emotional wellbeing in a positive and supportive way. Instead of focusing on body weight, it encourages confidence and healthy habits that are more likely to continue into adulthood </w:t>
      </w:r>
      <w:r w:rsidRPr="00A676BC">
        <w:rPr>
          <w:rFonts w:ascii="Arial" w:hAnsi="Arial" w:cs="Arial"/>
          <w:b/>
          <w:bCs/>
          <w:sz w:val="22"/>
          <w:szCs w:val="22"/>
        </w:rPr>
        <w:t>(NICE, 2025).</w:t>
      </w:r>
      <w:r w:rsidR="0084563B" w:rsidRPr="00A676BC">
        <w:rPr>
          <w:rFonts w:ascii="Arial" w:hAnsi="Arial" w:cs="Arial"/>
          <w:sz w:val="22"/>
          <w:szCs w:val="22"/>
        </w:rPr>
        <w:t xml:space="preserve"> </w:t>
      </w:r>
    </w:p>
    <w:p w14:paraId="0A62E439" w14:textId="77777777"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t xml:space="preserve">Parents and carers also benefit by receiving practical advice that is easy to understand and apply at home. Features such as meal planning, shopping tips and activity challenges help families make healthier choices without requiring expensive diets or major lifestyle changes. This is particularly important for families living in deprived areas, where healthy food and leisure opportunities may be less accessible </w:t>
      </w:r>
      <w:r w:rsidRPr="00A676BC">
        <w:rPr>
          <w:rFonts w:ascii="Arial" w:hAnsi="Arial" w:cs="Arial"/>
          <w:b/>
          <w:bCs/>
          <w:sz w:val="22"/>
          <w:szCs w:val="22"/>
        </w:rPr>
        <w:t>(Marmot, 2010).</w:t>
      </w:r>
    </w:p>
    <w:p w14:paraId="0EDA21B2" w14:textId="77777777"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t xml:space="preserve">Schools benefit by strengthening health education and encouraging pupils to become more active. Healthier children are more likely to attend school regularly, concentrate better in lessons and participate confidently in school life </w:t>
      </w:r>
      <w:r w:rsidRPr="00A676BC">
        <w:rPr>
          <w:rFonts w:ascii="Arial" w:hAnsi="Arial" w:cs="Arial"/>
          <w:b/>
          <w:bCs/>
          <w:sz w:val="22"/>
          <w:szCs w:val="22"/>
        </w:rPr>
        <w:t>(Department for Education, 2023).</w:t>
      </w:r>
    </w:p>
    <w:p w14:paraId="4B5ECFA3" w14:textId="77777777" w:rsidR="00B43F0A"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Healthcare professionals also gain from earlier intervention and improved partnership working. GPs, school nurses and dietitians can identify children who need additional support before obesity becomes more serious, helping to reduce demand for specialist services. In the longer term, preventing childhood obesity could reduce NHS spending on obesity-related illnesses</w:t>
      </w:r>
    </w:p>
    <w:p w14:paraId="614B6BF9" w14:textId="46AF3A5D" w:rsidR="00BD0A2B" w:rsidRPr="00A676BC" w:rsidRDefault="00BD0A2B" w:rsidP="00A676BC">
      <w:pPr>
        <w:spacing w:line="360" w:lineRule="auto"/>
        <w:jc w:val="both"/>
        <w:rPr>
          <w:rFonts w:ascii="Arial" w:hAnsi="Arial" w:cs="Arial"/>
          <w:b/>
          <w:bCs/>
          <w:sz w:val="22"/>
          <w:szCs w:val="22"/>
        </w:rPr>
      </w:pPr>
      <w:r w:rsidRPr="00A676BC">
        <w:rPr>
          <w:rFonts w:ascii="Arial" w:hAnsi="Arial" w:cs="Arial"/>
          <w:sz w:val="22"/>
          <w:szCs w:val="22"/>
        </w:rPr>
        <w:t xml:space="preserve">while improving the overall health of future generations </w:t>
      </w:r>
      <w:r w:rsidRPr="00A676BC">
        <w:rPr>
          <w:rFonts w:ascii="Arial" w:hAnsi="Arial" w:cs="Arial"/>
          <w:b/>
          <w:bCs/>
          <w:sz w:val="22"/>
          <w:szCs w:val="22"/>
        </w:rPr>
        <w:t>(Department of Health and Social Care, 2019).</w:t>
      </w:r>
    </w:p>
    <w:p w14:paraId="1F1C3574" w14:textId="2DA254FF" w:rsidR="00BD0A2B" w:rsidRPr="00A676BC" w:rsidRDefault="00BD0A2B"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t>Implementation and Conclusion</w:t>
      </w:r>
    </w:p>
    <w:p w14:paraId="183B6827"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To ensure the programme is effective, </w:t>
      </w:r>
      <w:r w:rsidRPr="00A676BC">
        <w:rPr>
          <w:rFonts w:ascii="Arial" w:hAnsi="Arial" w:cs="Arial"/>
          <w:b/>
          <w:bCs/>
          <w:sz w:val="22"/>
          <w:szCs w:val="22"/>
        </w:rPr>
        <w:t>Healthy Kids, Healthy Future</w:t>
      </w:r>
      <w:r w:rsidRPr="00A676BC">
        <w:rPr>
          <w:rFonts w:ascii="Arial" w:hAnsi="Arial" w:cs="Arial"/>
          <w:sz w:val="22"/>
          <w:szCs w:val="22"/>
        </w:rPr>
        <w:t xml:space="preserve"> would first be introduced as a </w:t>
      </w:r>
      <w:r w:rsidRPr="00A676BC">
        <w:rPr>
          <w:rFonts w:ascii="Arial" w:hAnsi="Arial" w:cs="Arial"/>
          <w:b/>
          <w:bCs/>
          <w:sz w:val="22"/>
          <w:szCs w:val="22"/>
        </w:rPr>
        <w:t>12-month pilot</w:t>
      </w:r>
      <w:r w:rsidRPr="00A676BC">
        <w:rPr>
          <w:rFonts w:ascii="Arial" w:hAnsi="Arial" w:cs="Arial"/>
          <w:sz w:val="22"/>
          <w:szCs w:val="22"/>
        </w:rPr>
        <w:t xml:space="preserve"> in primary schools located in areas with the highest childhood obesity rates. Schools would work closely with GPs, school nurses, dietitians, local authorities and community organisations to deliver the programme. During this phase, teachers and healthcare professionals would receive training, while parents would be invited to workshops demonstrating how to use the Healthy Kids App and support healthy habits at home.</w:t>
      </w:r>
    </w:p>
    <w:p w14:paraId="3A175ECF"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The programme would be evaluated using both health data and user feedback. Success would be measured through changes in childhood obesity rates, physical activity levels, school attendance and family engagement. Feedback from children, parents and professionals would also be collected to identify areas for improvement before the programme is expanded across England through </w:t>
      </w:r>
      <w:r w:rsidRPr="00A676BC">
        <w:rPr>
          <w:rFonts w:ascii="Arial" w:hAnsi="Arial" w:cs="Arial"/>
          <w:b/>
          <w:bCs/>
          <w:sz w:val="22"/>
          <w:szCs w:val="22"/>
        </w:rPr>
        <w:t>Integrated Care Systems (ICSs)</w:t>
      </w:r>
      <w:r w:rsidRPr="00A676BC">
        <w:rPr>
          <w:rFonts w:ascii="Arial" w:hAnsi="Arial" w:cs="Arial"/>
          <w:sz w:val="22"/>
          <w:szCs w:val="22"/>
        </w:rPr>
        <w:t>.</w:t>
      </w:r>
    </w:p>
    <w:p w14:paraId="2D9CFF58"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lastRenderedPageBreak/>
        <w:t>Although challenges such as funding and digital exclusion may affect implementation, these can be reduced by providing face-to-face support alongside digital services. Offering community workshops and printed resources would ensure families without access to technology are not excluded.</w:t>
      </w:r>
    </w:p>
    <w:p w14:paraId="7AFCAC21"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Overall, </w:t>
      </w:r>
      <w:r w:rsidRPr="00A676BC">
        <w:rPr>
          <w:rFonts w:ascii="Arial" w:hAnsi="Arial" w:cs="Arial"/>
          <w:b/>
          <w:bCs/>
          <w:sz w:val="22"/>
          <w:szCs w:val="22"/>
        </w:rPr>
        <w:t>Healthy Kids, Healthy Future</w:t>
      </w:r>
      <w:r w:rsidRPr="00A676BC">
        <w:rPr>
          <w:rFonts w:ascii="Arial" w:hAnsi="Arial" w:cs="Arial"/>
          <w:sz w:val="22"/>
          <w:szCs w:val="22"/>
        </w:rPr>
        <w:t xml:space="preserve"> offers a practical and sustainable approach to tackling childhood obesity. By combining education, technology, healthcare and community support, the programme encourages healthier lifestyles from an early age while helping to reduce health inequalities. If implemented successfully, it could improve children’s health, reduce future pressure on NHS services and contribute to healthier communities across the UK.</w:t>
      </w:r>
    </w:p>
    <w:p w14:paraId="0AC45577" w14:textId="66229B7D" w:rsidR="00BD0A2B" w:rsidRPr="00A676BC" w:rsidRDefault="00BD0A2B" w:rsidP="00A676BC">
      <w:pPr>
        <w:spacing w:line="360" w:lineRule="auto"/>
        <w:jc w:val="both"/>
        <w:rPr>
          <w:rFonts w:ascii="Arial" w:hAnsi="Arial" w:cs="Arial"/>
          <w:b/>
          <w:bCs/>
          <w:sz w:val="22"/>
          <w:szCs w:val="22"/>
          <w:u w:val="single"/>
        </w:rPr>
      </w:pPr>
      <w:r w:rsidRPr="00A676BC">
        <w:rPr>
          <w:rFonts w:ascii="Arial" w:hAnsi="Arial" w:cs="Arial"/>
          <w:b/>
          <w:bCs/>
          <w:sz w:val="22"/>
          <w:szCs w:val="22"/>
          <w:u w:val="single"/>
        </w:rPr>
        <w:t>Recommendation</w:t>
      </w:r>
    </w:p>
    <w:p w14:paraId="290F61B1" w14:textId="77777777" w:rsidR="00BD0A2B" w:rsidRPr="00A676BC" w:rsidRDefault="00BD0A2B" w:rsidP="00A676BC">
      <w:pPr>
        <w:spacing w:line="360" w:lineRule="auto"/>
        <w:jc w:val="both"/>
        <w:rPr>
          <w:rFonts w:ascii="Arial" w:hAnsi="Arial" w:cs="Arial"/>
          <w:sz w:val="22"/>
          <w:szCs w:val="22"/>
        </w:rPr>
      </w:pPr>
      <w:r w:rsidRPr="00A676BC">
        <w:rPr>
          <w:rFonts w:ascii="Arial" w:hAnsi="Arial" w:cs="Arial"/>
          <w:sz w:val="22"/>
          <w:szCs w:val="22"/>
        </w:rPr>
        <w:t xml:space="preserve">Based on the evidence presented, it is recommended that </w:t>
      </w:r>
      <w:r w:rsidRPr="00A676BC">
        <w:rPr>
          <w:rFonts w:ascii="Arial" w:hAnsi="Arial" w:cs="Arial"/>
          <w:b/>
          <w:bCs/>
          <w:sz w:val="22"/>
          <w:szCs w:val="22"/>
        </w:rPr>
        <w:t>Healthy Kids, Healthy Future</w:t>
      </w:r>
      <w:r w:rsidRPr="00A676BC">
        <w:rPr>
          <w:rFonts w:ascii="Arial" w:hAnsi="Arial" w:cs="Arial"/>
          <w:sz w:val="22"/>
          <w:szCs w:val="22"/>
        </w:rPr>
        <w:t xml:space="preserve"> is piloted within selected primary schools before being rolled out nationally. The programme supports current NHS priorities by promoting prevention, reducing health inequalities and encouraging partnership working between education, healthcare and local communities. With appropriate funding and evaluation, it has the potential to make a meaningful contribution to improving children’s health and reducing childhood obesity across the UK.</w:t>
      </w:r>
    </w:p>
    <w:p w14:paraId="3D89C695" w14:textId="77777777" w:rsidR="00BD0A2B" w:rsidRPr="00A676BC" w:rsidRDefault="00BD0A2B" w:rsidP="00A676BC">
      <w:pPr>
        <w:spacing w:line="360" w:lineRule="auto"/>
        <w:jc w:val="both"/>
        <w:rPr>
          <w:rFonts w:ascii="Arial" w:hAnsi="Arial" w:cs="Arial"/>
          <w:b/>
          <w:bCs/>
          <w:sz w:val="22"/>
          <w:szCs w:val="22"/>
          <w:u w:val="single"/>
          <w:lang w:val="en-US"/>
        </w:rPr>
      </w:pPr>
      <w:r w:rsidRPr="00A676BC">
        <w:rPr>
          <w:rFonts w:ascii="Arial" w:hAnsi="Arial" w:cs="Arial"/>
          <w:b/>
          <w:bCs/>
          <w:sz w:val="22"/>
          <w:szCs w:val="22"/>
          <w:u w:val="single"/>
          <w:lang w:val="en-US"/>
        </w:rPr>
        <w:t>Reference List</w:t>
      </w:r>
    </w:p>
    <w:p w14:paraId="70510459"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Bandura, A. (1986) </w:t>
      </w:r>
      <w:r w:rsidRPr="00A676BC">
        <w:rPr>
          <w:rFonts w:ascii="Arial" w:hAnsi="Arial" w:cs="Arial"/>
          <w:i/>
          <w:iCs/>
          <w:sz w:val="22"/>
          <w:szCs w:val="22"/>
        </w:rPr>
        <w:t>Social Foundations of Thought and Action: A Social Cognitive Theory</w:t>
      </w:r>
      <w:r w:rsidRPr="00A676BC">
        <w:rPr>
          <w:rFonts w:ascii="Arial" w:hAnsi="Arial" w:cs="Arial"/>
          <w:sz w:val="22"/>
          <w:szCs w:val="22"/>
        </w:rPr>
        <w:t>. Englewood Cliffs, NJ: Prentice-Hall.</w:t>
      </w:r>
    </w:p>
    <w:p w14:paraId="6F20CAFB" w14:textId="54A7CD73"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Department for Education (2023) </w:t>
      </w:r>
      <w:r w:rsidRPr="00A676BC">
        <w:rPr>
          <w:rFonts w:ascii="Arial" w:hAnsi="Arial" w:cs="Arial"/>
          <w:i/>
          <w:iCs/>
          <w:sz w:val="22"/>
          <w:szCs w:val="22"/>
        </w:rPr>
        <w:t>The School Food Standards: Guidance for Governors, Headteachers, School Leaders, School Food Providers and Local Authorities</w:t>
      </w:r>
      <w:r w:rsidRPr="00A676BC">
        <w:rPr>
          <w:rFonts w:ascii="Arial" w:hAnsi="Arial" w:cs="Arial"/>
          <w:sz w:val="22"/>
          <w:szCs w:val="22"/>
        </w:rPr>
        <w:t xml:space="preserve">. Available at: </w:t>
      </w:r>
      <w:hyperlink r:id="rId12" w:history="1">
        <w:r w:rsidRPr="00A676BC">
          <w:rPr>
            <w:rStyle w:val="Hyperlink"/>
            <w:rFonts w:ascii="Arial" w:hAnsi="Arial" w:cs="Arial"/>
            <w:sz w:val="22"/>
            <w:szCs w:val="22"/>
          </w:rPr>
          <w:t>https://www.gov.uk/government/publications/school-food-standards-resources-for-schools</w:t>
        </w:r>
      </w:hyperlink>
      <w:r w:rsidRPr="00A676BC">
        <w:rPr>
          <w:rFonts w:ascii="Arial" w:hAnsi="Arial" w:cs="Arial"/>
          <w:sz w:val="22"/>
          <w:szCs w:val="22"/>
        </w:rPr>
        <w:t xml:space="preserve"> (Accessed: </w:t>
      </w:r>
      <w:r w:rsidR="00572B23" w:rsidRPr="00A676BC">
        <w:rPr>
          <w:rFonts w:ascii="Arial" w:hAnsi="Arial" w:cs="Arial"/>
          <w:sz w:val="22"/>
          <w:szCs w:val="22"/>
        </w:rPr>
        <w:t>01</w:t>
      </w:r>
      <w:r w:rsidRPr="00A676BC">
        <w:rPr>
          <w:rFonts w:ascii="Arial" w:hAnsi="Arial" w:cs="Arial"/>
          <w:sz w:val="22"/>
          <w:szCs w:val="22"/>
        </w:rPr>
        <w:t xml:space="preserve"> July 2026).</w:t>
      </w:r>
    </w:p>
    <w:p w14:paraId="5817FABD" w14:textId="19C059EF"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Department of Health and Social Care (2019) </w:t>
      </w:r>
      <w:r w:rsidRPr="00A676BC">
        <w:rPr>
          <w:rFonts w:ascii="Arial" w:hAnsi="Arial" w:cs="Arial"/>
          <w:i/>
          <w:iCs/>
          <w:sz w:val="22"/>
          <w:szCs w:val="22"/>
        </w:rPr>
        <w:t>The NHS Long Term Plan</w:t>
      </w:r>
      <w:r w:rsidRPr="00A676BC">
        <w:rPr>
          <w:rFonts w:ascii="Arial" w:hAnsi="Arial" w:cs="Arial"/>
          <w:sz w:val="22"/>
          <w:szCs w:val="22"/>
        </w:rPr>
        <w:t xml:space="preserve">. Available at: </w:t>
      </w:r>
      <w:hyperlink r:id="rId13" w:history="1">
        <w:r w:rsidRPr="00A676BC">
          <w:rPr>
            <w:rStyle w:val="Hyperlink"/>
            <w:rFonts w:ascii="Arial" w:hAnsi="Arial" w:cs="Arial"/>
            <w:sz w:val="22"/>
            <w:szCs w:val="22"/>
          </w:rPr>
          <w:t>https://www.longtermplan.nhs.uk/</w:t>
        </w:r>
      </w:hyperlink>
      <w:r w:rsidRPr="00A676BC">
        <w:rPr>
          <w:rFonts w:ascii="Arial" w:hAnsi="Arial" w:cs="Arial"/>
          <w:sz w:val="22"/>
          <w:szCs w:val="22"/>
        </w:rPr>
        <w:t xml:space="preserve"> (Accessed: </w:t>
      </w:r>
      <w:r w:rsidR="00800F3C" w:rsidRPr="00A676BC">
        <w:rPr>
          <w:rFonts w:ascii="Arial" w:hAnsi="Arial" w:cs="Arial"/>
          <w:sz w:val="22"/>
          <w:szCs w:val="22"/>
        </w:rPr>
        <w:t>04</w:t>
      </w:r>
      <w:r w:rsidRPr="00A676BC">
        <w:rPr>
          <w:rFonts w:ascii="Arial" w:hAnsi="Arial" w:cs="Arial"/>
          <w:sz w:val="22"/>
          <w:szCs w:val="22"/>
        </w:rPr>
        <w:t xml:space="preserve"> July 2026).</w:t>
      </w:r>
    </w:p>
    <w:p w14:paraId="2AFB12BB" w14:textId="2EB0D3E4"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Department of Health and Social Care (2021) </w:t>
      </w:r>
      <w:r w:rsidRPr="00A676BC">
        <w:rPr>
          <w:rFonts w:ascii="Arial" w:hAnsi="Arial" w:cs="Arial"/>
          <w:i/>
          <w:iCs/>
          <w:sz w:val="22"/>
          <w:szCs w:val="22"/>
        </w:rPr>
        <w:t>The NHS Constitution for England</w:t>
      </w:r>
      <w:r w:rsidRPr="00A676BC">
        <w:rPr>
          <w:rFonts w:ascii="Arial" w:hAnsi="Arial" w:cs="Arial"/>
          <w:sz w:val="22"/>
          <w:szCs w:val="22"/>
        </w:rPr>
        <w:t xml:space="preserve">. Available at: </w:t>
      </w:r>
      <w:hyperlink r:id="rId14" w:history="1">
        <w:r w:rsidRPr="00A676BC">
          <w:rPr>
            <w:rStyle w:val="Hyperlink"/>
            <w:rFonts w:ascii="Arial" w:hAnsi="Arial" w:cs="Arial"/>
            <w:sz w:val="22"/>
            <w:szCs w:val="22"/>
          </w:rPr>
          <w:t>https://www.gov.uk/government/publications/the-nhs-constitution-for-england</w:t>
        </w:r>
      </w:hyperlink>
      <w:r w:rsidRPr="00A676BC">
        <w:rPr>
          <w:rFonts w:ascii="Arial" w:hAnsi="Arial" w:cs="Arial"/>
          <w:sz w:val="22"/>
          <w:szCs w:val="22"/>
        </w:rPr>
        <w:t xml:space="preserve"> (Accessed: </w:t>
      </w:r>
      <w:r w:rsidR="00800F3C" w:rsidRPr="00A676BC">
        <w:rPr>
          <w:rFonts w:ascii="Arial" w:hAnsi="Arial" w:cs="Arial"/>
          <w:sz w:val="22"/>
          <w:szCs w:val="22"/>
        </w:rPr>
        <w:t>05</w:t>
      </w:r>
      <w:r w:rsidRPr="00A676BC">
        <w:rPr>
          <w:rFonts w:ascii="Arial" w:hAnsi="Arial" w:cs="Arial"/>
          <w:sz w:val="22"/>
          <w:szCs w:val="22"/>
        </w:rPr>
        <w:t xml:space="preserve"> July 2026).</w:t>
      </w:r>
    </w:p>
    <w:p w14:paraId="7D0A6340" w14:textId="75D71F00"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Department of Health and Social Care (2022) </w:t>
      </w:r>
      <w:r w:rsidRPr="00A676BC">
        <w:rPr>
          <w:rFonts w:ascii="Arial" w:hAnsi="Arial" w:cs="Arial"/>
          <w:i/>
          <w:iCs/>
          <w:sz w:val="22"/>
          <w:szCs w:val="22"/>
        </w:rPr>
        <w:t>Health and Care Act 2022</w:t>
      </w:r>
      <w:r w:rsidRPr="00A676BC">
        <w:rPr>
          <w:rFonts w:ascii="Arial" w:hAnsi="Arial" w:cs="Arial"/>
          <w:sz w:val="22"/>
          <w:szCs w:val="22"/>
        </w:rPr>
        <w:t xml:space="preserve">. Available at: </w:t>
      </w:r>
      <w:hyperlink r:id="rId15" w:history="1">
        <w:r w:rsidRPr="00A676BC">
          <w:rPr>
            <w:rStyle w:val="Hyperlink"/>
            <w:rFonts w:ascii="Arial" w:hAnsi="Arial" w:cs="Arial"/>
            <w:sz w:val="22"/>
            <w:szCs w:val="22"/>
          </w:rPr>
          <w:t>https://www.legislation.gov.uk/ukpga/2022/31/contents</w:t>
        </w:r>
      </w:hyperlink>
      <w:r w:rsidRPr="00A676BC">
        <w:rPr>
          <w:rFonts w:ascii="Arial" w:hAnsi="Arial" w:cs="Arial"/>
          <w:sz w:val="22"/>
          <w:szCs w:val="22"/>
        </w:rPr>
        <w:t xml:space="preserve"> (Accessed: </w:t>
      </w:r>
      <w:r w:rsidR="00800F3C" w:rsidRPr="00A676BC">
        <w:rPr>
          <w:rFonts w:ascii="Arial" w:hAnsi="Arial" w:cs="Arial"/>
          <w:sz w:val="22"/>
          <w:szCs w:val="22"/>
        </w:rPr>
        <w:t>06</w:t>
      </w:r>
      <w:r w:rsidRPr="00A676BC">
        <w:rPr>
          <w:rFonts w:ascii="Arial" w:hAnsi="Arial" w:cs="Arial"/>
          <w:sz w:val="22"/>
          <w:szCs w:val="22"/>
        </w:rPr>
        <w:t xml:space="preserve"> July 2026).</w:t>
      </w:r>
    </w:p>
    <w:p w14:paraId="128E8DDB" w14:textId="6E33C6D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Information Commissioner's Office (2024) </w:t>
      </w:r>
      <w:r w:rsidRPr="00A676BC">
        <w:rPr>
          <w:rFonts w:ascii="Arial" w:hAnsi="Arial" w:cs="Arial"/>
          <w:i/>
          <w:iCs/>
          <w:sz w:val="22"/>
          <w:szCs w:val="22"/>
        </w:rPr>
        <w:t>Guide to UK GDPR</w:t>
      </w:r>
      <w:r w:rsidRPr="00A676BC">
        <w:rPr>
          <w:rFonts w:ascii="Arial" w:hAnsi="Arial" w:cs="Arial"/>
          <w:sz w:val="22"/>
          <w:szCs w:val="22"/>
        </w:rPr>
        <w:t xml:space="preserve">. Available at: </w:t>
      </w:r>
      <w:hyperlink r:id="rId16" w:history="1">
        <w:r w:rsidRPr="00A676BC">
          <w:rPr>
            <w:rStyle w:val="Hyperlink"/>
            <w:rFonts w:ascii="Arial" w:hAnsi="Arial" w:cs="Arial"/>
            <w:sz w:val="22"/>
            <w:szCs w:val="22"/>
          </w:rPr>
          <w:t>https://ico.org.uk/for-organisations/uk-gdpr-guidance-and-resources/</w:t>
        </w:r>
      </w:hyperlink>
      <w:r w:rsidRPr="00A676BC">
        <w:rPr>
          <w:rFonts w:ascii="Arial" w:hAnsi="Arial" w:cs="Arial"/>
          <w:sz w:val="22"/>
          <w:szCs w:val="22"/>
        </w:rPr>
        <w:t xml:space="preserve"> (Accessed:</w:t>
      </w:r>
      <w:r w:rsidR="0087334C" w:rsidRPr="00A676BC">
        <w:rPr>
          <w:rFonts w:ascii="Arial" w:hAnsi="Arial" w:cs="Arial"/>
          <w:sz w:val="22"/>
          <w:szCs w:val="22"/>
        </w:rPr>
        <w:t>7</w:t>
      </w:r>
      <w:r w:rsidRPr="00A676BC">
        <w:rPr>
          <w:rFonts w:ascii="Arial" w:hAnsi="Arial" w:cs="Arial"/>
          <w:sz w:val="22"/>
          <w:szCs w:val="22"/>
        </w:rPr>
        <w:t xml:space="preserve"> July 2026).</w:t>
      </w:r>
    </w:p>
    <w:p w14:paraId="01E4CAED"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lastRenderedPageBreak/>
        <w:t xml:space="preserve">Marmot, M. (2010) </w:t>
      </w:r>
      <w:r w:rsidRPr="00A676BC">
        <w:rPr>
          <w:rFonts w:ascii="Arial" w:hAnsi="Arial" w:cs="Arial"/>
          <w:i/>
          <w:iCs/>
          <w:sz w:val="22"/>
          <w:szCs w:val="22"/>
        </w:rPr>
        <w:t>Fair Society, Healthy Lives: The Marmot Review</w:t>
      </w:r>
      <w:r w:rsidRPr="00A676BC">
        <w:rPr>
          <w:rFonts w:ascii="Arial" w:hAnsi="Arial" w:cs="Arial"/>
          <w:sz w:val="22"/>
          <w:szCs w:val="22"/>
        </w:rPr>
        <w:t xml:space="preserve">. Available at: </w:t>
      </w:r>
      <w:hyperlink r:id="rId17" w:history="1">
        <w:r w:rsidRPr="00A676BC">
          <w:rPr>
            <w:rStyle w:val="Hyperlink"/>
            <w:rFonts w:ascii="Arial" w:hAnsi="Arial" w:cs="Arial"/>
            <w:sz w:val="22"/>
            <w:szCs w:val="22"/>
          </w:rPr>
          <w:t>https://www.instituteofhealthequity.org/resources-reports/fair-society-healthy-lives-the-marmot-review</w:t>
        </w:r>
      </w:hyperlink>
      <w:r w:rsidRPr="00A676BC">
        <w:rPr>
          <w:rFonts w:ascii="Arial" w:hAnsi="Arial" w:cs="Arial"/>
          <w:sz w:val="22"/>
          <w:szCs w:val="22"/>
        </w:rPr>
        <w:t xml:space="preserve"> (Accessed: 10 July 2026).</w:t>
      </w:r>
    </w:p>
    <w:p w14:paraId="41499AB3"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National Institute for Health and Care Excellence (2025) </w:t>
      </w:r>
      <w:r w:rsidRPr="00A676BC">
        <w:rPr>
          <w:rFonts w:ascii="Arial" w:hAnsi="Arial" w:cs="Arial"/>
          <w:i/>
          <w:iCs/>
          <w:sz w:val="22"/>
          <w:szCs w:val="22"/>
        </w:rPr>
        <w:t>Overweight and Obesity Management (NG246)</w:t>
      </w:r>
      <w:r w:rsidRPr="00A676BC">
        <w:rPr>
          <w:rFonts w:ascii="Arial" w:hAnsi="Arial" w:cs="Arial"/>
          <w:sz w:val="22"/>
          <w:szCs w:val="22"/>
        </w:rPr>
        <w:t xml:space="preserve">. Available at: </w:t>
      </w:r>
      <w:hyperlink r:id="rId18" w:history="1">
        <w:r w:rsidRPr="00A676BC">
          <w:rPr>
            <w:rStyle w:val="Hyperlink"/>
            <w:rFonts w:ascii="Arial" w:hAnsi="Arial" w:cs="Arial"/>
            <w:sz w:val="22"/>
            <w:szCs w:val="22"/>
          </w:rPr>
          <w:t>https://www.nice.org.uk/guidance/ng246</w:t>
        </w:r>
      </w:hyperlink>
      <w:r w:rsidRPr="00A676BC">
        <w:rPr>
          <w:rFonts w:ascii="Arial" w:hAnsi="Arial" w:cs="Arial"/>
          <w:sz w:val="22"/>
          <w:szCs w:val="22"/>
        </w:rPr>
        <w:t xml:space="preserve"> (Accessed: 10 July 2026).</w:t>
      </w:r>
    </w:p>
    <w:p w14:paraId="3FC08C23"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NHS England (2024) </w:t>
      </w:r>
      <w:r w:rsidRPr="00A676BC">
        <w:rPr>
          <w:rFonts w:ascii="Arial" w:hAnsi="Arial" w:cs="Arial"/>
          <w:i/>
          <w:iCs/>
          <w:sz w:val="22"/>
          <w:szCs w:val="22"/>
        </w:rPr>
        <w:t>National Child Measurement Programme: England, 2023/24 School Year</w:t>
      </w:r>
      <w:r w:rsidRPr="00A676BC">
        <w:rPr>
          <w:rFonts w:ascii="Arial" w:hAnsi="Arial" w:cs="Arial"/>
          <w:sz w:val="22"/>
          <w:szCs w:val="22"/>
        </w:rPr>
        <w:t xml:space="preserve">. Available at: </w:t>
      </w:r>
      <w:hyperlink r:id="rId19" w:history="1">
        <w:r w:rsidRPr="00A676BC">
          <w:rPr>
            <w:rStyle w:val="Hyperlink"/>
            <w:rFonts w:ascii="Arial" w:hAnsi="Arial" w:cs="Arial"/>
            <w:sz w:val="22"/>
            <w:szCs w:val="22"/>
          </w:rPr>
          <w:t>https://digital.nhs.uk/data-and-information/publications/statistical/national-child-measurement-programme</w:t>
        </w:r>
      </w:hyperlink>
      <w:r w:rsidRPr="00A676BC">
        <w:rPr>
          <w:rFonts w:ascii="Arial" w:hAnsi="Arial" w:cs="Arial"/>
          <w:sz w:val="22"/>
          <w:szCs w:val="22"/>
        </w:rPr>
        <w:t xml:space="preserve"> (Accessed: 10 July 2026).</w:t>
      </w:r>
    </w:p>
    <w:p w14:paraId="58CCF3A7"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Office for Health Improvement and Disparities (2024) </w:t>
      </w:r>
      <w:r w:rsidRPr="00A676BC">
        <w:rPr>
          <w:rFonts w:ascii="Arial" w:hAnsi="Arial" w:cs="Arial"/>
          <w:i/>
          <w:iCs/>
          <w:sz w:val="22"/>
          <w:szCs w:val="22"/>
        </w:rPr>
        <w:t>Obesity Profile: Statistical Commentary</w:t>
      </w:r>
      <w:r w:rsidRPr="00A676BC">
        <w:rPr>
          <w:rFonts w:ascii="Arial" w:hAnsi="Arial" w:cs="Arial"/>
          <w:sz w:val="22"/>
          <w:szCs w:val="22"/>
        </w:rPr>
        <w:t xml:space="preserve">. Available at: </w:t>
      </w:r>
      <w:hyperlink r:id="rId20" w:history="1">
        <w:r w:rsidRPr="00A676BC">
          <w:rPr>
            <w:rStyle w:val="Hyperlink"/>
            <w:rFonts w:ascii="Arial" w:hAnsi="Arial" w:cs="Arial"/>
            <w:sz w:val="22"/>
            <w:szCs w:val="22"/>
          </w:rPr>
          <w:t>https://fingertips.phe.org.uk/profile/national-child-measurement-programme</w:t>
        </w:r>
      </w:hyperlink>
      <w:r w:rsidRPr="00A676BC">
        <w:rPr>
          <w:rFonts w:ascii="Arial" w:hAnsi="Arial" w:cs="Arial"/>
          <w:sz w:val="22"/>
          <w:szCs w:val="22"/>
        </w:rPr>
        <w:t xml:space="preserve"> (Accessed: 10 July 2026).</w:t>
      </w:r>
    </w:p>
    <w:p w14:paraId="49AC3ECF"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Public Health England (2018) </w:t>
      </w:r>
      <w:r w:rsidRPr="00A676BC">
        <w:rPr>
          <w:rFonts w:ascii="Arial" w:hAnsi="Arial" w:cs="Arial"/>
          <w:i/>
          <w:iCs/>
          <w:sz w:val="22"/>
          <w:szCs w:val="22"/>
        </w:rPr>
        <w:t>Whole Systems Approach to Obesity: A Guide to Support Local Approaches to Promoting a Healthy Weight</w:t>
      </w:r>
      <w:r w:rsidRPr="00A676BC">
        <w:rPr>
          <w:rFonts w:ascii="Arial" w:hAnsi="Arial" w:cs="Arial"/>
          <w:sz w:val="22"/>
          <w:szCs w:val="22"/>
        </w:rPr>
        <w:t xml:space="preserve">. Available at: </w:t>
      </w:r>
      <w:hyperlink r:id="rId21" w:history="1">
        <w:r w:rsidRPr="00A676BC">
          <w:rPr>
            <w:rStyle w:val="Hyperlink"/>
            <w:rFonts w:ascii="Arial" w:hAnsi="Arial" w:cs="Arial"/>
            <w:sz w:val="22"/>
            <w:szCs w:val="22"/>
          </w:rPr>
          <w:t>https://www.gov.uk/government/publications/whole-systems-approach-to-obesity</w:t>
        </w:r>
      </w:hyperlink>
      <w:r w:rsidRPr="00A676BC">
        <w:rPr>
          <w:rFonts w:ascii="Arial" w:hAnsi="Arial" w:cs="Arial"/>
          <w:sz w:val="22"/>
          <w:szCs w:val="22"/>
        </w:rPr>
        <w:t xml:space="preserve"> (Accessed: 10 July 2026).</w:t>
      </w:r>
    </w:p>
    <w:p w14:paraId="6FF26FAD"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World Health Organization (1986) </w:t>
      </w:r>
      <w:r w:rsidRPr="00A676BC">
        <w:rPr>
          <w:rFonts w:ascii="Arial" w:hAnsi="Arial" w:cs="Arial"/>
          <w:i/>
          <w:iCs/>
          <w:sz w:val="22"/>
          <w:szCs w:val="22"/>
        </w:rPr>
        <w:t>Ottawa Charter for Health Promotion</w:t>
      </w:r>
      <w:r w:rsidRPr="00A676BC">
        <w:rPr>
          <w:rFonts w:ascii="Arial" w:hAnsi="Arial" w:cs="Arial"/>
          <w:sz w:val="22"/>
          <w:szCs w:val="22"/>
        </w:rPr>
        <w:t xml:space="preserve">. Available at: </w:t>
      </w:r>
      <w:hyperlink r:id="rId22" w:history="1">
        <w:r w:rsidRPr="00A676BC">
          <w:rPr>
            <w:rStyle w:val="Hyperlink"/>
            <w:rFonts w:ascii="Arial" w:hAnsi="Arial" w:cs="Arial"/>
            <w:sz w:val="22"/>
            <w:szCs w:val="22"/>
          </w:rPr>
          <w:t>https://www.who.int/publications/i/item/ottawa-charter-for-health-promotion</w:t>
        </w:r>
      </w:hyperlink>
      <w:r w:rsidRPr="00A676BC">
        <w:rPr>
          <w:rFonts w:ascii="Arial" w:hAnsi="Arial" w:cs="Arial"/>
          <w:sz w:val="22"/>
          <w:szCs w:val="22"/>
        </w:rPr>
        <w:t xml:space="preserve"> (Accessed: 10 July 2026).</w:t>
      </w:r>
    </w:p>
    <w:p w14:paraId="42B32FF1" w14:textId="77777777" w:rsidR="00774322" w:rsidRPr="00A676BC" w:rsidRDefault="00774322" w:rsidP="00A676BC">
      <w:pPr>
        <w:spacing w:line="360" w:lineRule="auto"/>
        <w:jc w:val="both"/>
        <w:rPr>
          <w:rFonts w:ascii="Arial" w:hAnsi="Arial" w:cs="Arial"/>
          <w:sz w:val="22"/>
          <w:szCs w:val="22"/>
        </w:rPr>
      </w:pPr>
      <w:r w:rsidRPr="00A676BC">
        <w:rPr>
          <w:rFonts w:ascii="Arial" w:hAnsi="Arial" w:cs="Arial"/>
          <w:sz w:val="22"/>
          <w:szCs w:val="22"/>
        </w:rPr>
        <w:t xml:space="preserve">World Health Organization (2024) </w:t>
      </w:r>
      <w:r w:rsidRPr="00A676BC">
        <w:rPr>
          <w:rFonts w:ascii="Arial" w:hAnsi="Arial" w:cs="Arial"/>
          <w:i/>
          <w:iCs/>
          <w:sz w:val="22"/>
          <w:szCs w:val="22"/>
        </w:rPr>
        <w:t>Obesity and Overweight</w:t>
      </w:r>
      <w:r w:rsidRPr="00A676BC">
        <w:rPr>
          <w:rFonts w:ascii="Arial" w:hAnsi="Arial" w:cs="Arial"/>
          <w:sz w:val="22"/>
          <w:szCs w:val="22"/>
        </w:rPr>
        <w:t xml:space="preserve">. Available at: </w:t>
      </w:r>
      <w:hyperlink r:id="rId23" w:history="1">
        <w:r w:rsidRPr="00A676BC">
          <w:rPr>
            <w:rStyle w:val="Hyperlink"/>
            <w:rFonts w:ascii="Arial" w:hAnsi="Arial" w:cs="Arial"/>
            <w:sz w:val="22"/>
            <w:szCs w:val="22"/>
          </w:rPr>
          <w:t>https://www.who.int/news-room/fact-sheets/detail/obesity-and-overweight</w:t>
        </w:r>
      </w:hyperlink>
      <w:r w:rsidRPr="00A676BC">
        <w:rPr>
          <w:rFonts w:ascii="Arial" w:hAnsi="Arial" w:cs="Arial"/>
          <w:sz w:val="22"/>
          <w:szCs w:val="22"/>
        </w:rPr>
        <w:t xml:space="preserve"> (Accessed: 10 July 2026).</w:t>
      </w:r>
    </w:p>
    <w:p w14:paraId="4A6F1752" w14:textId="037B8732" w:rsidR="007E4210" w:rsidRPr="00A676BC" w:rsidRDefault="007E4210" w:rsidP="00A676BC">
      <w:pPr>
        <w:spacing w:line="360" w:lineRule="auto"/>
        <w:jc w:val="both"/>
        <w:rPr>
          <w:rFonts w:ascii="Arial" w:hAnsi="Arial" w:cs="Arial"/>
          <w:sz w:val="22"/>
          <w:szCs w:val="22"/>
          <w:lang w:val="en-US"/>
        </w:rPr>
      </w:pPr>
    </w:p>
    <w:sectPr w:rsidR="007E4210" w:rsidRPr="00A676BC" w:rsidSect="006B3827">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8F31F" w14:textId="77777777" w:rsidR="0036680E" w:rsidRDefault="0036680E" w:rsidP="00BD0A2B">
      <w:pPr>
        <w:spacing w:after="0" w:line="240" w:lineRule="auto"/>
      </w:pPr>
      <w:r>
        <w:separator/>
      </w:r>
    </w:p>
  </w:endnote>
  <w:endnote w:type="continuationSeparator" w:id="0">
    <w:p w14:paraId="4D387CA7" w14:textId="77777777" w:rsidR="0036680E" w:rsidRDefault="0036680E" w:rsidP="00BD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178924"/>
      <w:docPartObj>
        <w:docPartGallery w:val="Page Numbers (Bottom of Page)"/>
        <w:docPartUnique/>
      </w:docPartObj>
    </w:sdtPr>
    <w:sdtEndPr>
      <w:rPr>
        <w:noProof/>
      </w:rPr>
    </w:sdtEndPr>
    <w:sdtContent>
      <w:p w14:paraId="60C11B70" w14:textId="0AA32104" w:rsidR="00BD0A2B" w:rsidRDefault="00BD0A2B">
        <w:pPr>
          <w:pStyle w:val="Footer"/>
        </w:pPr>
        <w:r>
          <w:fldChar w:fldCharType="begin"/>
        </w:r>
        <w:r>
          <w:instrText xml:space="preserve"> PAGE   \* MERGEFORMAT </w:instrText>
        </w:r>
        <w:r>
          <w:fldChar w:fldCharType="separate"/>
        </w:r>
        <w:r>
          <w:rPr>
            <w:noProof/>
          </w:rPr>
          <w:t>2</w:t>
        </w:r>
        <w:r>
          <w:rPr>
            <w:noProof/>
          </w:rPr>
          <w:fldChar w:fldCharType="end"/>
        </w:r>
      </w:p>
    </w:sdtContent>
  </w:sdt>
  <w:p w14:paraId="582FFA4D" w14:textId="77777777" w:rsidR="00BD0A2B" w:rsidRDefault="00BD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F29A6" w14:textId="77777777" w:rsidR="0036680E" w:rsidRDefault="0036680E" w:rsidP="00BD0A2B">
      <w:pPr>
        <w:spacing w:after="0" w:line="240" w:lineRule="auto"/>
      </w:pPr>
      <w:r>
        <w:separator/>
      </w:r>
    </w:p>
  </w:footnote>
  <w:footnote w:type="continuationSeparator" w:id="0">
    <w:p w14:paraId="2B7C7C4F" w14:textId="77777777" w:rsidR="0036680E" w:rsidRDefault="0036680E" w:rsidP="00BD0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B76FD"/>
    <w:multiLevelType w:val="hybridMultilevel"/>
    <w:tmpl w:val="A78C4E0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331638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0BF"/>
    <w:rsid w:val="00032DC2"/>
    <w:rsid w:val="00062D25"/>
    <w:rsid w:val="000F467E"/>
    <w:rsid w:val="001B4AB4"/>
    <w:rsid w:val="00242438"/>
    <w:rsid w:val="002D5246"/>
    <w:rsid w:val="0030486D"/>
    <w:rsid w:val="0031126C"/>
    <w:rsid w:val="00311BC8"/>
    <w:rsid w:val="003248C5"/>
    <w:rsid w:val="003636DA"/>
    <w:rsid w:val="0036680E"/>
    <w:rsid w:val="00400F93"/>
    <w:rsid w:val="004E3E6A"/>
    <w:rsid w:val="00521F81"/>
    <w:rsid w:val="005462CC"/>
    <w:rsid w:val="00572B23"/>
    <w:rsid w:val="005B30BF"/>
    <w:rsid w:val="00622CC9"/>
    <w:rsid w:val="00664A9F"/>
    <w:rsid w:val="00672C0B"/>
    <w:rsid w:val="006B26B9"/>
    <w:rsid w:val="006B3827"/>
    <w:rsid w:val="00742525"/>
    <w:rsid w:val="00774322"/>
    <w:rsid w:val="007A1435"/>
    <w:rsid w:val="007E4210"/>
    <w:rsid w:val="007F384F"/>
    <w:rsid w:val="00800F3C"/>
    <w:rsid w:val="0084563B"/>
    <w:rsid w:val="0087334C"/>
    <w:rsid w:val="008920DE"/>
    <w:rsid w:val="008C5C74"/>
    <w:rsid w:val="008D2339"/>
    <w:rsid w:val="009173C9"/>
    <w:rsid w:val="009667CB"/>
    <w:rsid w:val="009C006B"/>
    <w:rsid w:val="009E3A30"/>
    <w:rsid w:val="009F0846"/>
    <w:rsid w:val="009F4B87"/>
    <w:rsid w:val="00A0495E"/>
    <w:rsid w:val="00A15396"/>
    <w:rsid w:val="00A26352"/>
    <w:rsid w:val="00A676BC"/>
    <w:rsid w:val="00AA6394"/>
    <w:rsid w:val="00B43F0A"/>
    <w:rsid w:val="00B50AA5"/>
    <w:rsid w:val="00B561E4"/>
    <w:rsid w:val="00BD0A2B"/>
    <w:rsid w:val="00C26C00"/>
    <w:rsid w:val="00C46B5B"/>
    <w:rsid w:val="00CD1B6D"/>
    <w:rsid w:val="00D025A4"/>
    <w:rsid w:val="00D56D34"/>
    <w:rsid w:val="00DB53D4"/>
    <w:rsid w:val="00DD3CA8"/>
    <w:rsid w:val="00E26CAF"/>
    <w:rsid w:val="00E548B0"/>
    <w:rsid w:val="00FB19AF"/>
    <w:rsid w:val="00FF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C688"/>
  <w15:chartTrackingRefBased/>
  <w15:docId w15:val="{5FABD645-8F29-4536-A436-316D4874C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0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0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0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0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0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0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0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0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0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0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0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0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0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0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0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0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0BF"/>
    <w:rPr>
      <w:rFonts w:eastAsiaTheme="majorEastAsia" w:cstheme="majorBidi"/>
      <w:color w:val="272727" w:themeColor="text1" w:themeTint="D8"/>
    </w:rPr>
  </w:style>
  <w:style w:type="paragraph" w:styleId="Title">
    <w:name w:val="Title"/>
    <w:basedOn w:val="Normal"/>
    <w:next w:val="Normal"/>
    <w:link w:val="TitleChar"/>
    <w:uiPriority w:val="10"/>
    <w:qFormat/>
    <w:rsid w:val="005B3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0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0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0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0BF"/>
    <w:pPr>
      <w:spacing w:before="160"/>
      <w:jc w:val="center"/>
    </w:pPr>
    <w:rPr>
      <w:i/>
      <w:iCs/>
      <w:color w:val="404040" w:themeColor="text1" w:themeTint="BF"/>
    </w:rPr>
  </w:style>
  <w:style w:type="character" w:customStyle="1" w:styleId="QuoteChar">
    <w:name w:val="Quote Char"/>
    <w:basedOn w:val="DefaultParagraphFont"/>
    <w:link w:val="Quote"/>
    <w:uiPriority w:val="29"/>
    <w:rsid w:val="005B30BF"/>
    <w:rPr>
      <w:i/>
      <w:iCs/>
      <w:color w:val="404040" w:themeColor="text1" w:themeTint="BF"/>
    </w:rPr>
  </w:style>
  <w:style w:type="paragraph" w:styleId="ListParagraph">
    <w:name w:val="List Paragraph"/>
    <w:basedOn w:val="Normal"/>
    <w:uiPriority w:val="34"/>
    <w:qFormat/>
    <w:rsid w:val="005B30BF"/>
    <w:pPr>
      <w:ind w:left="720"/>
      <w:contextualSpacing/>
    </w:pPr>
  </w:style>
  <w:style w:type="character" w:styleId="IntenseEmphasis">
    <w:name w:val="Intense Emphasis"/>
    <w:basedOn w:val="DefaultParagraphFont"/>
    <w:uiPriority w:val="21"/>
    <w:qFormat/>
    <w:rsid w:val="005B30BF"/>
    <w:rPr>
      <w:i/>
      <w:iCs/>
      <w:color w:val="0F4761" w:themeColor="accent1" w:themeShade="BF"/>
    </w:rPr>
  </w:style>
  <w:style w:type="paragraph" w:styleId="IntenseQuote">
    <w:name w:val="Intense Quote"/>
    <w:basedOn w:val="Normal"/>
    <w:next w:val="Normal"/>
    <w:link w:val="IntenseQuoteChar"/>
    <w:uiPriority w:val="30"/>
    <w:qFormat/>
    <w:rsid w:val="005B30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0BF"/>
    <w:rPr>
      <w:i/>
      <w:iCs/>
      <w:color w:val="0F4761" w:themeColor="accent1" w:themeShade="BF"/>
    </w:rPr>
  </w:style>
  <w:style w:type="character" w:styleId="IntenseReference">
    <w:name w:val="Intense Reference"/>
    <w:basedOn w:val="DefaultParagraphFont"/>
    <w:uiPriority w:val="32"/>
    <w:qFormat/>
    <w:rsid w:val="005B30BF"/>
    <w:rPr>
      <w:b/>
      <w:bCs/>
      <w:smallCaps/>
      <w:color w:val="0F4761" w:themeColor="accent1" w:themeShade="BF"/>
      <w:spacing w:val="5"/>
    </w:rPr>
  </w:style>
  <w:style w:type="paragraph" w:styleId="Header">
    <w:name w:val="header"/>
    <w:basedOn w:val="Normal"/>
    <w:link w:val="HeaderChar"/>
    <w:uiPriority w:val="99"/>
    <w:unhideWhenUsed/>
    <w:rsid w:val="00BD0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A2B"/>
  </w:style>
  <w:style w:type="paragraph" w:styleId="Footer">
    <w:name w:val="footer"/>
    <w:basedOn w:val="Normal"/>
    <w:link w:val="FooterChar"/>
    <w:uiPriority w:val="99"/>
    <w:unhideWhenUsed/>
    <w:rsid w:val="00BD0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A2B"/>
  </w:style>
  <w:style w:type="character" w:styleId="Hyperlink">
    <w:name w:val="Hyperlink"/>
    <w:basedOn w:val="DefaultParagraphFont"/>
    <w:uiPriority w:val="99"/>
    <w:unhideWhenUsed/>
    <w:rsid w:val="00BD0A2B"/>
    <w:rPr>
      <w:color w:val="467886" w:themeColor="hyperlink"/>
      <w:u w:val="single"/>
    </w:rPr>
  </w:style>
  <w:style w:type="character" w:styleId="UnresolvedMention">
    <w:name w:val="Unresolved Mention"/>
    <w:basedOn w:val="DefaultParagraphFont"/>
    <w:uiPriority w:val="99"/>
    <w:semiHidden/>
    <w:unhideWhenUsed/>
    <w:rsid w:val="00BD0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ongtermplan.nhs.uk/" TargetMode="External"/><Relationship Id="rId18" Type="http://schemas.openxmlformats.org/officeDocument/2006/relationships/hyperlink" Target="https://www.nice.org.uk/guidance/ng246"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whole-systems-approach-to-obesity" TargetMode="External"/><Relationship Id="rId7" Type="http://schemas.openxmlformats.org/officeDocument/2006/relationships/webSettings" Target="webSettings.xml"/><Relationship Id="rId12" Type="http://schemas.openxmlformats.org/officeDocument/2006/relationships/hyperlink" Target="https://www.gov.uk/government/publications/school-food-standards-resources-for-schools" TargetMode="External"/><Relationship Id="rId17" Type="http://schemas.openxmlformats.org/officeDocument/2006/relationships/hyperlink" Target="https://www.instituteofhealthequity.org/resources-reports/fair-society-healthy-lives-the-marmot-revie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fingertips.phe.org.uk/profile/national-child-measurement-program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gislation.gov.uk/ukpga/2022/31/contents" TargetMode="External"/><Relationship Id="rId23" Type="http://schemas.openxmlformats.org/officeDocument/2006/relationships/hyperlink" Target="https://www.who.int/news-room/fact-sheets/detail/obesity-and-overweight" TargetMode="External"/><Relationship Id="rId10" Type="http://schemas.openxmlformats.org/officeDocument/2006/relationships/image" Target="media/image1.png"/><Relationship Id="rId19" Type="http://schemas.openxmlformats.org/officeDocument/2006/relationships/hyperlink" Target="https://digital.nhs.uk/data-and-information/publications/statistical/national-child-measurement-programm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the-nhs-constitution-for-england" TargetMode="External"/><Relationship Id="rId22" Type="http://schemas.openxmlformats.org/officeDocument/2006/relationships/hyperlink" Target="https://www.who.int/publications/i/item/ottawa-charter-for-health-promo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Props1.xml><?xml version="1.0" encoding="utf-8"?>
<ds:datastoreItem xmlns:ds="http://schemas.openxmlformats.org/officeDocument/2006/customXml" ds:itemID="{63F776C6-E263-420A-9D9E-2B4C0DCFF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0502CD-4B9D-452C-997D-9BBC75125C78}">
  <ds:schemaRefs>
    <ds:schemaRef ds:uri="http://schemas.microsoft.com/sharepoint/v3/contenttype/forms"/>
  </ds:schemaRefs>
</ds:datastoreItem>
</file>

<file path=customXml/itemProps3.xml><?xml version="1.0" encoding="utf-8"?>
<ds:datastoreItem xmlns:ds="http://schemas.openxmlformats.org/officeDocument/2006/customXml" ds:itemID="{1E4055F5-AD1E-46DE-82AB-B443D221A2B6}">
  <ds:schemaRefs>
    <ds:schemaRef ds:uri="http://schemas.microsoft.com/office/2006/metadata/properties"/>
    <ds:schemaRef ds:uri="http://schemas.microsoft.com/office/infopath/2007/PartnerControls"/>
    <ds:schemaRef ds:uri="2d776912-36ab-4ca7-8616-6adea31f3d7c"/>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7</Pages>
  <Words>1931</Words>
  <Characters>11009</Characters>
  <Application>Microsoft Office Word</Application>
  <DocSecurity>0</DocSecurity>
  <Lines>91</Lines>
  <Paragraphs>25</Paragraphs>
  <ScaleCrop>false</ScaleCrop>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53</cp:revision>
  <dcterms:created xsi:type="dcterms:W3CDTF">2026-07-10T08:37:00Z</dcterms:created>
  <dcterms:modified xsi:type="dcterms:W3CDTF">2026-07-10T19:12:00Z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