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19555224"/>
        <w:docPartObj>
          <w:docPartGallery w:val="Cover Pages"/>
          <w:docPartUnique/>
        </w:docPartObj>
      </w:sdtPr>
      <w:sdtEndPr>
        <w:rPr>
          <w:rFonts w:ascii="Arial" w:hAnsi="Arial" w:cs="Arial"/>
          <w:b/>
          <w:bCs/>
          <w:color w:val="E97132" w:themeColor="accent2"/>
        </w:rPr>
      </w:sdtEndPr>
      <w:sdtContent>
        <w:p w14:paraId="0C28F356" w14:textId="14CE088E" w:rsidR="008A4F8B" w:rsidRDefault="008A4F8B"/>
        <w:p w14:paraId="410F7943" w14:textId="0A3902C0" w:rsidR="008A4F8B" w:rsidRDefault="008A4F8B">
          <w:pPr>
            <w:rPr>
              <w:rFonts w:ascii="Arial" w:hAnsi="Arial" w:cs="Arial"/>
              <w:b/>
              <w:bCs/>
              <w:color w:val="E97132" w:themeColor="accent2"/>
            </w:rPr>
          </w:pPr>
          <w:r>
            <w:rPr>
              <w:noProof/>
            </w:rPr>
            <mc:AlternateContent>
              <mc:Choice Requires="wps">
                <w:drawing>
                  <wp:anchor distT="0" distB="0" distL="114300" distR="114300" simplePos="0" relativeHeight="251662336" behindDoc="0" locked="0" layoutInCell="1" allowOverlap="1" wp14:anchorId="533499CD" wp14:editId="23FD2EBB">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hAnsi="Arial Black"/>
                                    <w:caps/>
                                    <w:color w:val="E97132" w:themeColor="accent2"/>
                                    <w:sz w:val="40"/>
                                    <w:szCs w:val="40"/>
                                  </w:rPr>
                                  <w:alias w:val="Publish Date"/>
                                  <w:tag w:val=""/>
                                  <w:id w:val="400952559"/>
                                  <w:dataBinding w:prefixMappings="xmlns:ns0='http://schemas.microsoft.com/office/2006/coverPageProps' " w:xpath="/ns0:CoverPageProperties[1]/ns0:PublishDate[1]" w:storeItemID="{55AF091B-3C7A-41E3-B477-F2FDAA23CFDA}"/>
                                  <w:date w:fullDate="2026-04-25T00:00:00Z">
                                    <w:dateFormat w:val="MMMM d, yyyy"/>
                                    <w:lid w:val="en-US"/>
                                    <w:storeMappedDataAs w:val="dateTime"/>
                                    <w:calendar w:val="gregorian"/>
                                  </w:date>
                                </w:sdtPr>
                                <w:sdtContent>
                                  <w:p w14:paraId="1F6A1A63" w14:textId="1A6BAC7A" w:rsidR="008A4F8B" w:rsidRPr="008A4F8B" w:rsidRDefault="008A4F8B">
                                    <w:pPr>
                                      <w:pStyle w:val="NoSpacing"/>
                                      <w:jc w:val="right"/>
                                      <w:rPr>
                                        <w:rFonts w:ascii="Arial Black" w:hAnsi="Arial Black"/>
                                        <w:caps/>
                                        <w:color w:val="E97132" w:themeColor="accent2"/>
                                        <w:sz w:val="40"/>
                                        <w:szCs w:val="40"/>
                                      </w:rPr>
                                    </w:pPr>
                                    <w:r w:rsidRPr="008A4F8B">
                                      <w:rPr>
                                        <w:rFonts w:ascii="Arial Black" w:hAnsi="Arial Black"/>
                                        <w:caps/>
                                        <w:color w:val="E97132" w:themeColor="accent2"/>
                                        <w:sz w:val="40"/>
                                        <w:szCs w:val="40"/>
                                      </w:rPr>
                                      <w:t>April 25, 2026</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533499CD"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rFonts w:ascii="Arial Black" w:hAnsi="Arial Black"/>
                              <w:caps/>
                              <w:color w:val="E97132" w:themeColor="accent2"/>
                              <w:sz w:val="40"/>
                              <w:szCs w:val="40"/>
                            </w:rPr>
                            <w:alias w:val="Publish Date"/>
                            <w:tag w:val=""/>
                            <w:id w:val="400952559"/>
                            <w:dataBinding w:prefixMappings="xmlns:ns0='http://schemas.microsoft.com/office/2006/coverPageProps' " w:xpath="/ns0:CoverPageProperties[1]/ns0:PublishDate[1]" w:storeItemID="{55AF091B-3C7A-41E3-B477-F2FDAA23CFDA}"/>
                            <w:date w:fullDate="2026-04-25T00:00:00Z">
                              <w:dateFormat w:val="MMMM d, yyyy"/>
                              <w:lid w:val="en-US"/>
                              <w:storeMappedDataAs w:val="dateTime"/>
                              <w:calendar w:val="gregorian"/>
                            </w:date>
                          </w:sdtPr>
                          <w:sdtContent>
                            <w:p w14:paraId="1F6A1A63" w14:textId="1A6BAC7A" w:rsidR="008A4F8B" w:rsidRPr="008A4F8B" w:rsidRDefault="008A4F8B">
                              <w:pPr>
                                <w:pStyle w:val="NoSpacing"/>
                                <w:jc w:val="right"/>
                                <w:rPr>
                                  <w:rFonts w:ascii="Arial Black" w:hAnsi="Arial Black"/>
                                  <w:caps/>
                                  <w:color w:val="E97132" w:themeColor="accent2"/>
                                  <w:sz w:val="40"/>
                                  <w:szCs w:val="40"/>
                                </w:rPr>
                              </w:pPr>
                              <w:r w:rsidRPr="008A4F8B">
                                <w:rPr>
                                  <w:rFonts w:ascii="Arial Black" w:hAnsi="Arial Black"/>
                                  <w:caps/>
                                  <w:color w:val="E97132" w:themeColor="accent2"/>
                                  <w:sz w:val="40"/>
                                  <w:szCs w:val="40"/>
                                </w:rPr>
                                <w:t>April 25, 2026</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3E48843D" wp14:editId="482B316D">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3A3EFF" w14:textId="624E244D" w:rsidR="008A4F8B" w:rsidRPr="008A4F8B" w:rsidRDefault="008A4F8B">
                                <w:pPr>
                                  <w:pStyle w:val="NoSpacing"/>
                                  <w:jc w:val="right"/>
                                  <w:rPr>
                                    <w:rFonts w:ascii="Arial Black" w:hAnsi="Arial Black"/>
                                    <w:caps/>
                                    <w:color w:val="E97132" w:themeColor="accent2"/>
                                    <w:sz w:val="72"/>
                                    <w:szCs w:val="72"/>
                                    <w:u w:val="thick"/>
                                  </w:rPr>
                                </w:pPr>
                                <w:sdt>
                                  <w:sdtPr>
                                    <w:rPr>
                                      <w:rFonts w:ascii="Arial Black" w:hAnsi="Arial Black"/>
                                      <w:caps/>
                                      <w:color w:val="E97132" w:themeColor="accent2"/>
                                      <w:sz w:val="72"/>
                                      <w:szCs w:val="72"/>
                                      <w:u w:val="thick"/>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8A4F8B">
                                      <w:rPr>
                                        <w:rFonts w:ascii="Arial Black" w:hAnsi="Arial Black"/>
                                        <w:caps/>
                                        <w:color w:val="E97132" w:themeColor="accent2"/>
                                        <w:sz w:val="72"/>
                                        <w:szCs w:val="72"/>
                                        <w:u w:val="thick"/>
                                      </w:rPr>
                                      <w:t xml:space="preserve">Swansea </w:t>
                                    </w:r>
                                  </w:sdtContent>
                                </w:sdt>
                              </w:p>
                              <w:sdt>
                                <w:sdtPr>
                                  <w:rPr>
                                    <w:rFonts w:ascii="Arial Black" w:hAnsi="Arial Black"/>
                                    <w:smallCaps/>
                                    <w:color w:val="E97132" w:themeColor="accent2"/>
                                    <w:sz w:val="72"/>
                                    <w:szCs w:val="72"/>
                                    <w:u w:val="thick"/>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0E8F7104" w14:textId="3F3CB358" w:rsidR="008A4F8B" w:rsidRDefault="008A4F8B">
                                    <w:pPr>
                                      <w:pStyle w:val="NoSpacing"/>
                                      <w:jc w:val="right"/>
                                      <w:rPr>
                                        <w:smallCaps/>
                                        <w:color w:val="0E2841" w:themeColor="text2"/>
                                        <w:sz w:val="36"/>
                                        <w:szCs w:val="36"/>
                                      </w:rPr>
                                    </w:pPr>
                                    <w:r w:rsidRPr="008A4F8B">
                                      <w:rPr>
                                        <w:rFonts w:ascii="Arial Black" w:hAnsi="Arial Black"/>
                                        <w:smallCaps/>
                                        <w:color w:val="E97132" w:themeColor="accent2"/>
                                        <w:sz w:val="72"/>
                                        <w:szCs w:val="72"/>
                                        <w:u w:val="thick"/>
                                      </w:rPr>
                                      <w:t>DISTINCTIVINESS AND REGENERATION</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3E48843D" id="Text Box 113" o:spid="_x0000_s1027"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" filled="f" stroked="f" strokeweight=".5pt">
                    <v:textbox inset="0,0,0,0">
                      <w:txbxContent>
                        <w:p w14:paraId="0D3A3EFF" w14:textId="624E244D" w:rsidR="008A4F8B" w:rsidRPr="008A4F8B" w:rsidRDefault="008A4F8B">
                          <w:pPr>
                            <w:pStyle w:val="NoSpacing"/>
                            <w:jc w:val="right"/>
                            <w:rPr>
                              <w:rFonts w:ascii="Arial Black" w:hAnsi="Arial Black"/>
                              <w:caps/>
                              <w:color w:val="E97132" w:themeColor="accent2"/>
                              <w:sz w:val="72"/>
                              <w:szCs w:val="72"/>
                              <w:u w:val="thick"/>
                            </w:rPr>
                          </w:pPr>
                          <w:sdt>
                            <w:sdtPr>
                              <w:rPr>
                                <w:rFonts w:ascii="Arial Black" w:hAnsi="Arial Black"/>
                                <w:caps/>
                                <w:color w:val="E97132" w:themeColor="accent2"/>
                                <w:sz w:val="72"/>
                                <w:szCs w:val="72"/>
                                <w:u w:val="thick"/>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8A4F8B">
                                <w:rPr>
                                  <w:rFonts w:ascii="Arial Black" w:hAnsi="Arial Black"/>
                                  <w:caps/>
                                  <w:color w:val="E97132" w:themeColor="accent2"/>
                                  <w:sz w:val="72"/>
                                  <w:szCs w:val="72"/>
                                  <w:u w:val="thick"/>
                                </w:rPr>
                                <w:t xml:space="preserve">Swansea </w:t>
                              </w:r>
                            </w:sdtContent>
                          </w:sdt>
                        </w:p>
                        <w:sdt>
                          <w:sdtPr>
                            <w:rPr>
                              <w:rFonts w:ascii="Arial Black" w:hAnsi="Arial Black"/>
                              <w:smallCaps/>
                              <w:color w:val="E97132" w:themeColor="accent2"/>
                              <w:sz w:val="72"/>
                              <w:szCs w:val="72"/>
                              <w:u w:val="thick"/>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0E8F7104" w14:textId="3F3CB358" w:rsidR="008A4F8B" w:rsidRDefault="008A4F8B">
                              <w:pPr>
                                <w:pStyle w:val="NoSpacing"/>
                                <w:jc w:val="right"/>
                                <w:rPr>
                                  <w:smallCaps/>
                                  <w:color w:val="0E2841" w:themeColor="text2"/>
                                  <w:sz w:val="36"/>
                                  <w:szCs w:val="36"/>
                                </w:rPr>
                              </w:pPr>
                              <w:r w:rsidRPr="008A4F8B">
                                <w:rPr>
                                  <w:rFonts w:ascii="Arial Black" w:hAnsi="Arial Black"/>
                                  <w:smallCaps/>
                                  <w:color w:val="E97132" w:themeColor="accent2"/>
                                  <w:sz w:val="72"/>
                                  <w:szCs w:val="72"/>
                                  <w:u w:val="thick"/>
                                </w:rPr>
                                <w:t>DISTINCTIVINESS AND REGENERATION</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1F83F9CF" wp14:editId="25132E6D">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273796C3"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" fillcolor="#e97132 [3205]" stroked="f" strokeweight="1.5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" fillcolor="#156082 [3204]" stroked="f" strokeweight="1.5pt">
                      <o:lock v:ext="edit" aspectratio="t"/>
                    </v:rect>
                    <w10:wrap anchorx="page" anchory="page"/>
                  </v:group>
                </w:pict>
              </mc:Fallback>
            </mc:AlternateContent>
          </w:r>
          <w:r>
            <w:rPr>
              <w:rFonts w:ascii="Arial" w:hAnsi="Arial" w:cs="Arial"/>
              <w:b/>
              <w:bCs/>
              <w:color w:val="E97132" w:themeColor="accent2"/>
            </w:rPr>
            <w:br w:type="page"/>
          </w:r>
        </w:p>
      </w:sdtContent>
    </w:sdt>
    <w:p w14:paraId="090D6485" w14:textId="4FE937D3" w:rsidR="004167E6" w:rsidRPr="004167E6" w:rsidRDefault="004167E6" w:rsidP="004167E6">
      <w:pPr>
        <w:spacing w:line="480" w:lineRule="auto"/>
        <w:jc w:val="center"/>
        <w:rPr>
          <w:rFonts w:ascii="Arial" w:hAnsi="Arial" w:cs="Arial"/>
          <w:b/>
          <w:bCs/>
          <w:color w:val="E97132" w:themeColor="accent2"/>
        </w:rPr>
      </w:pPr>
      <w:r w:rsidRPr="004167E6">
        <w:rPr>
          <w:rFonts w:ascii="Arial" w:hAnsi="Arial" w:cs="Arial"/>
          <w:b/>
          <w:bCs/>
          <w:color w:val="E97132" w:themeColor="accent2"/>
        </w:rPr>
        <w:lastRenderedPageBreak/>
        <w:t>Part A: Swansea Appraisal</w:t>
      </w:r>
    </w:p>
    <w:p w14:paraId="4FBD041E" w14:textId="4C03BAAB" w:rsidR="004167E6" w:rsidRPr="004167E6" w:rsidRDefault="004167E6" w:rsidP="004167E6">
      <w:pPr>
        <w:spacing w:line="480" w:lineRule="auto"/>
        <w:rPr>
          <w:rFonts w:ascii="Arial" w:hAnsi="Arial" w:cs="Arial"/>
        </w:rPr>
      </w:pPr>
      <w:r w:rsidRPr="004167E6">
        <w:rPr>
          <w:rFonts w:ascii="Arial" w:hAnsi="Arial" w:cs="Arial"/>
        </w:rPr>
        <w:t xml:space="preserve">The case for the redevelopment of the Swansea City Centre and Waterfront is strong; it has elements of economic decline, large-scale public investment, cultural identity, waterfront assets, and social challenges. Urban regeneration includes much more than physical redevelopment; it is also about finding ways to improve the economy, community, environment and culture </w:t>
      </w:r>
      <w:r>
        <w:rPr>
          <w:rFonts w:ascii="Arial" w:hAnsi="Arial" w:cs="Arial"/>
        </w:rPr>
        <w:t>systematically</w:t>
      </w:r>
      <w:r w:rsidRPr="004167E6">
        <w:rPr>
          <w:rFonts w:ascii="Arial" w:hAnsi="Arial" w:cs="Arial"/>
        </w:rPr>
        <w:t xml:space="preserve"> (Roberts and Sykes 2000). The current opportunity for Swansea is to move away from a car-dominated, retail-based city and develop into a mixed-use, low-carbon, accessible coastal community.</w:t>
      </w:r>
    </w:p>
    <w:p w14:paraId="01B095C0" w14:textId="77777777" w:rsidR="004167E6" w:rsidRDefault="004167E6" w:rsidP="004167E6">
      <w:pPr>
        <w:spacing w:line="480" w:lineRule="auto"/>
        <w:rPr>
          <w:rFonts w:ascii="Arial" w:hAnsi="Arial" w:cs="Arial"/>
        </w:rPr>
      </w:pPr>
      <w:r w:rsidRPr="004167E6">
        <w:rPr>
          <w:rFonts w:ascii="Arial" w:hAnsi="Arial" w:cs="Arial"/>
        </w:rPr>
        <w:t xml:space="preserve">Typically, Swansea has had a maritime-based economy that was driven by the docks, copper manufacturing, heavy industry and trade. The River Tawe was an integral part of the city's growth as it enabled the movement of raw materials and goods; in turn, the waterfront underwent a slow transformation from being primarily an industrial landscape to now being predominantly residential, cultural and commercial. As a result of these changes over time, the maritime and industrial legacy of Swansea </w:t>
      </w:r>
      <w:r>
        <w:rPr>
          <w:rFonts w:ascii="Arial" w:hAnsi="Arial" w:cs="Arial"/>
        </w:rPr>
        <w:t>is</w:t>
      </w:r>
      <w:r w:rsidRPr="004167E6">
        <w:rPr>
          <w:rFonts w:ascii="Arial" w:hAnsi="Arial" w:cs="Arial"/>
        </w:rPr>
        <w:t xml:space="preserve"> extremely important, and while they provide a good sense of place, the legacy has also resulted in significant fragmentation of the urban landscape and many underused sites; there are now severed connections between the city and its waterfront and too many older buildings now need to be either repaired or reused. </w:t>
      </w:r>
      <w:r>
        <w:rPr>
          <w:rFonts w:ascii="Arial" w:hAnsi="Arial" w:cs="Arial"/>
        </w:rPr>
        <w:t>A</w:t>
      </w:r>
      <w:r w:rsidRPr="004167E6">
        <w:rPr>
          <w:rFonts w:ascii="Arial" w:hAnsi="Arial" w:cs="Arial"/>
        </w:rPr>
        <w:t>lthough heritage-based urban regeneration may facilitate a sanitised version of Swansea's complex industrial history, it is possible to celebrate Swansea's maritime and industrial heritage and keep the complex industrial history as part of an authentic experience for visitors</w:t>
      </w:r>
      <w:r>
        <w:rPr>
          <w:rFonts w:ascii="Arial" w:hAnsi="Arial" w:cs="Arial"/>
        </w:rPr>
        <w:t xml:space="preserve"> (</w:t>
      </w:r>
      <w:proofErr w:type="gramStart"/>
      <w:r w:rsidRPr="004167E6">
        <w:rPr>
          <w:rFonts w:ascii="Arial" w:hAnsi="Arial" w:cs="Arial"/>
        </w:rPr>
        <w:t>May</w:t>
      </w:r>
      <w:r>
        <w:rPr>
          <w:rFonts w:ascii="Arial" w:hAnsi="Arial" w:cs="Arial"/>
        </w:rPr>
        <w:t>,</w:t>
      </w:r>
      <w:proofErr w:type="gramEnd"/>
      <w:r>
        <w:rPr>
          <w:rFonts w:ascii="Arial" w:hAnsi="Arial" w:cs="Arial"/>
        </w:rPr>
        <w:t xml:space="preserve"> </w:t>
      </w:r>
      <w:r w:rsidRPr="004167E6">
        <w:rPr>
          <w:rFonts w:ascii="Arial" w:hAnsi="Arial" w:cs="Arial"/>
        </w:rPr>
        <w:t>2023)</w:t>
      </w:r>
      <w:r>
        <w:rPr>
          <w:rFonts w:ascii="Arial" w:hAnsi="Arial" w:cs="Arial"/>
        </w:rPr>
        <w:t>.</w:t>
      </w:r>
    </w:p>
    <w:p w14:paraId="7E767122" w14:textId="340B7B1A" w:rsidR="004167E6" w:rsidRPr="004167E6" w:rsidRDefault="004167E6" w:rsidP="004167E6">
      <w:pPr>
        <w:spacing w:line="480" w:lineRule="auto"/>
        <w:rPr>
          <w:rFonts w:ascii="Arial" w:hAnsi="Arial" w:cs="Arial"/>
        </w:rPr>
      </w:pPr>
      <w:r w:rsidRPr="004167E6">
        <w:rPr>
          <w:rFonts w:ascii="Arial" w:hAnsi="Arial" w:cs="Arial"/>
        </w:rPr>
        <w:lastRenderedPageBreak/>
        <w:t>The Swansea area is now characterised primarily by the provision of services</w:t>
      </w:r>
      <w:r>
        <w:rPr>
          <w:rFonts w:ascii="Arial" w:hAnsi="Arial" w:cs="Arial"/>
        </w:rPr>
        <w:t>,</w:t>
      </w:r>
      <w:r w:rsidRPr="004167E6">
        <w:rPr>
          <w:rFonts w:ascii="Arial" w:hAnsi="Arial" w:cs="Arial"/>
        </w:rPr>
        <w:t xml:space="preserve"> and there is limited to no port and industrial activity. However, the transformation of the Swansea economy is still a work in progress. Economic activity in Swansea is lower than </w:t>
      </w:r>
      <w:r>
        <w:rPr>
          <w:rFonts w:ascii="Arial" w:hAnsi="Arial" w:cs="Arial"/>
        </w:rPr>
        <w:t xml:space="preserve">in </w:t>
      </w:r>
      <w:r w:rsidRPr="004167E6">
        <w:rPr>
          <w:rFonts w:ascii="Arial" w:hAnsi="Arial" w:cs="Arial"/>
        </w:rPr>
        <w:t>Wales and England</w:t>
      </w:r>
      <w:r>
        <w:rPr>
          <w:rFonts w:ascii="Arial" w:hAnsi="Arial" w:cs="Arial"/>
        </w:rPr>
        <w:t>,</w:t>
      </w:r>
      <w:r w:rsidRPr="004167E6">
        <w:rPr>
          <w:rFonts w:ascii="Arial" w:hAnsi="Arial" w:cs="Arial"/>
        </w:rPr>
        <w:t xml:space="preserve"> and in 2021, 45.7% of all residents 16 years of age and older were classified as being unemployed; Swansea has a workforce of approximately 108,000; 89.8% of the workforce is employed</w:t>
      </w:r>
      <w:r>
        <w:rPr>
          <w:rFonts w:ascii="Arial" w:hAnsi="Arial" w:cs="Arial"/>
        </w:rPr>
        <w:t xml:space="preserve">. </w:t>
      </w:r>
      <w:r w:rsidRPr="004167E6">
        <w:rPr>
          <w:rFonts w:ascii="Arial" w:hAnsi="Arial" w:cs="Arial"/>
        </w:rPr>
        <w:t>The significance of tourism can’t be overstated, for it attracted 4.19 million visitors in 2022</w:t>
      </w:r>
      <w:r>
        <w:rPr>
          <w:rFonts w:ascii="Arial" w:hAnsi="Arial" w:cs="Arial"/>
        </w:rPr>
        <w:t>,</w:t>
      </w:r>
      <w:r w:rsidRPr="004167E6">
        <w:rPr>
          <w:rFonts w:ascii="Arial" w:hAnsi="Arial" w:cs="Arial"/>
        </w:rPr>
        <w:t xml:space="preserve"> who spent £510.8 million</w:t>
      </w:r>
      <w:r>
        <w:rPr>
          <w:rFonts w:ascii="Arial" w:hAnsi="Arial" w:cs="Arial"/>
        </w:rPr>
        <w:t>;</w:t>
      </w:r>
      <w:r w:rsidRPr="004167E6">
        <w:rPr>
          <w:rFonts w:ascii="Arial" w:hAnsi="Arial" w:cs="Arial"/>
        </w:rPr>
        <w:t xml:space="preserve"> however, </w:t>
      </w:r>
      <w:r w:rsidRPr="004167E6">
        <w:rPr>
          <w:rFonts w:ascii="Arial" w:hAnsi="Arial" w:cs="Arial"/>
        </w:rPr>
        <w:t>most of</w:t>
      </w:r>
      <w:r w:rsidRPr="004167E6">
        <w:rPr>
          <w:rFonts w:ascii="Arial" w:hAnsi="Arial" w:cs="Arial"/>
        </w:rPr>
        <w:t xml:space="preserve"> these visitors do not stay overnight in Swansea itself. Thus, there is an attraction for visitors to come to Swansea</w:t>
      </w:r>
      <w:r>
        <w:rPr>
          <w:rFonts w:ascii="Arial" w:hAnsi="Arial" w:cs="Arial"/>
        </w:rPr>
        <w:t>,</w:t>
      </w:r>
      <w:r w:rsidRPr="004167E6">
        <w:rPr>
          <w:rFonts w:ascii="Arial" w:hAnsi="Arial" w:cs="Arial"/>
        </w:rPr>
        <w:t xml:space="preserve"> but not enough of them are staying overnight or spending money in the city.</w:t>
      </w:r>
    </w:p>
    <w:p w14:paraId="29970272" w14:textId="684FEA9C" w:rsidR="004167E6" w:rsidRPr="004167E6" w:rsidRDefault="004167E6" w:rsidP="004167E6">
      <w:pPr>
        <w:spacing w:line="480" w:lineRule="auto"/>
        <w:rPr>
          <w:rFonts w:ascii="Arial" w:hAnsi="Arial" w:cs="Arial"/>
        </w:rPr>
      </w:pPr>
      <w:r w:rsidRPr="004167E6">
        <w:rPr>
          <w:rFonts w:ascii="Arial" w:hAnsi="Arial" w:cs="Arial"/>
        </w:rPr>
        <w:t xml:space="preserve">There are already substantial assets within </w:t>
      </w:r>
      <w:r>
        <w:rPr>
          <w:rFonts w:ascii="Arial" w:hAnsi="Arial" w:cs="Arial"/>
        </w:rPr>
        <w:t xml:space="preserve">the </w:t>
      </w:r>
      <w:r w:rsidRPr="004167E6">
        <w:rPr>
          <w:rFonts w:ascii="Arial" w:hAnsi="Arial" w:cs="Arial"/>
        </w:rPr>
        <w:t xml:space="preserve">city centre </w:t>
      </w:r>
      <w:r>
        <w:rPr>
          <w:rFonts w:ascii="Arial" w:hAnsi="Arial" w:cs="Arial"/>
        </w:rPr>
        <w:t xml:space="preserve">of </w:t>
      </w:r>
      <w:r w:rsidRPr="004167E6">
        <w:rPr>
          <w:rFonts w:ascii="Arial" w:hAnsi="Arial" w:cs="Arial"/>
        </w:rPr>
        <w:t>Swansea. Swansea has an extensive amount of coastal assets due to its proximity to the beach, River Tawe, Marina and the Gower Peninsula. The city centre is compact and can easily be walked around</w:t>
      </w:r>
      <w:r>
        <w:rPr>
          <w:rFonts w:ascii="Arial" w:hAnsi="Arial" w:cs="Arial"/>
        </w:rPr>
        <w:t>,</w:t>
      </w:r>
      <w:r w:rsidRPr="004167E6">
        <w:rPr>
          <w:rFonts w:ascii="Arial" w:hAnsi="Arial" w:cs="Arial"/>
        </w:rPr>
        <w:t xml:space="preserve"> as it takes approximately ten minutes to walk from the train station to the marina and approximately eight minutes to walk from the train station to the bus station. Cultural &amp; leisure assets include the Swansea Arena, National Waterfront Museum, Glynn Vivian Art Gallery, Swansea Market, Marina, Wind Street, Castle Square and the new </w:t>
      </w:r>
      <w:proofErr w:type="spellStart"/>
      <w:r w:rsidRPr="004167E6">
        <w:rPr>
          <w:rFonts w:ascii="Arial" w:hAnsi="Arial" w:cs="Arial"/>
        </w:rPr>
        <w:t>Copr</w:t>
      </w:r>
      <w:proofErr w:type="spellEnd"/>
      <w:r w:rsidRPr="004167E6">
        <w:rPr>
          <w:rFonts w:ascii="Arial" w:hAnsi="Arial" w:cs="Arial"/>
        </w:rPr>
        <w:t xml:space="preserve"> Bay development. Recent developments in </w:t>
      </w:r>
      <w:proofErr w:type="spellStart"/>
      <w:r w:rsidRPr="004167E6">
        <w:rPr>
          <w:rFonts w:ascii="Arial" w:hAnsi="Arial" w:cs="Arial"/>
        </w:rPr>
        <w:t>Copr</w:t>
      </w:r>
      <w:proofErr w:type="spellEnd"/>
      <w:r w:rsidRPr="004167E6">
        <w:rPr>
          <w:rFonts w:ascii="Arial" w:hAnsi="Arial" w:cs="Arial"/>
        </w:rPr>
        <w:t xml:space="preserve"> Bay, Kingsway and Castle Square have improved the public realm.</w:t>
      </w:r>
    </w:p>
    <w:p w14:paraId="032B5176" w14:textId="58E65D7F" w:rsidR="004167E6" w:rsidRPr="004167E6" w:rsidRDefault="004167E6" w:rsidP="004167E6">
      <w:pPr>
        <w:spacing w:line="480" w:lineRule="auto"/>
        <w:rPr>
          <w:rFonts w:ascii="Arial" w:hAnsi="Arial" w:cs="Arial"/>
        </w:rPr>
      </w:pPr>
      <w:r w:rsidRPr="004167E6">
        <w:rPr>
          <w:rFonts w:ascii="Arial" w:hAnsi="Arial" w:cs="Arial"/>
        </w:rPr>
        <w:t>Despite all these assets, there are areas of weakness. Retailing is under-performing compared to its catchment area size and is in direct competition with Cardiff, out-of-town retail parks and people shopping online. There are also vacant shops and upper floor space, there are limited family-focused food and beverage operations</w:t>
      </w:r>
      <w:r>
        <w:rPr>
          <w:rFonts w:ascii="Arial" w:hAnsi="Arial" w:cs="Arial"/>
        </w:rPr>
        <w:t>,</w:t>
      </w:r>
      <w:r w:rsidRPr="004167E6">
        <w:rPr>
          <w:rFonts w:ascii="Arial" w:hAnsi="Arial" w:cs="Arial"/>
        </w:rPr>
        <w:t xml:space="preserve"> and there is not enough good quality office space. There are also issues with crime and anti-social behaviour. Castle Ward has the highest number of crime reports of </w:t>
      </w:r>
      <w:r w:rsidRPr="004167E6">
        <w:rPr>
          <w:rFonts w:ascii="Arial" w:hAnsi="Arial" w:cs="Arial"/>
        </w:rPr>
        <w:lastRenderedPageBreak/>
        <w:t>any of the 32 wards in Swansea, with 5,650 reported incidents, while the second highest number of reported serious incidents occurred in the Waterfront Ward. These problems reduce the emotional response of both residents and visitors to the city.</w:t>
      </w:r>
      <w:r>
        <w:rPr>
          <w:rFonts w:ascii="Arial" w:hAnsi="Arial" w:cs="Arial"/>
        </w:rPr>
        <w:t xml:space="preserve"> </w:t>
      </w:r>
      <w:r w:rsidRPr="004167E6">
        <w:rPr>
          <w:rFonts w:ascii="Arial" w:hAnsi="Arial" w:cs="Arial"/>
        </w:rPr>
        <w:t>Baratt</w:t>
      </w:r>
      <w:r>
        <w:rPr>
          <w:rFonts w:ascii="Arial" w:hAnsi="Arial" w:cs="Arial"/>
        </w:rPr>
        <w:t>a</w:t>
      </w:r>
      <w:r w:rsidRPr="004167E6">
        <w:rPr>
          <w:rFonts w:ascii="Arial" w:hAnsi="Arial" w:cs="Arial"/>
        </w:rPr>
        <w:t xml:space="preserve"> </w:t>
      </w:r>
      <w:r>
        <w:rPr>
          <w:rFonts w:ascii="Arial" w:hAnsi="Arial" w:cs="Arial"/>
        </w:rPr>
        <w:t>&amp;</w:t>
      </w:r>
      <w:r w:rsidRPr="004167E6">
        <w:rPr>
          <w:rFonts w:ascii="Arial" w:hAnsi="Arial" w:cs="Arial"/>
        </w:rPr>
        <w:t xml:space="preserve"> Cavallo’s (2025) findings indicate that whether residents are supportive of cultural events ultimately depends on how these individuals assess the associated benefits, risks and emotional results of these events. This issue is pertinent to the regeneration of Swansea as it needs to provide residents with both a sense of security, utility and local benefit.</w:t>
      </w:r>
    </w:p>
    <w:p w14:paraId="5D5721F6" w14:textId="77777777" w:rsidR="004167E6" w:rsidRPr="004167E6" w:rsidRDefault="004167E6" w:rsidP="004167E6">
      <w:pPr>
        <w:spacing w:line="480" w:lineRule="auto"/>
        <w:rPr>
          <w:rFonts w:ascii="Arial" w:hAnsi="Arial" w:cs="Arial"/>
        </w:rPr>
      </w:pPr>
      <w:r w:rsidRPr="004167E6">
        <w:rPr>
          <w:rFonts w:ascii="Arial" w:hAnsi="Arial" w:cs="Arial"/>
        </w:rPr>
        <w:t>The social profile of the relevant area is quite varied. Younger people, particularly students, are predominantly represented in the city centre because of the presence of numerous higher education providers in the area. Conversely, the impacts of deprivation are considerable; Castle 1 (Castle) and Castle 2 North (Castle) have been identified as two of the top 10% most deprived areas in Wales. With that said, the risk associated with regeneration on the one hand can drive property values higher and on the other hand, provide limited benefits to current residents through rising volume. According to Geva and Rosen (2021), this “paradox of displacement” is created as the assets of existing homeowners increase due to the regeneration, while simultaneously the existing homeowners are displaced due to the higher costs associated with the regeneration. In contrast, Levine and Aharon-Gutman (2022) consider regeneration to be a potential social “deal” if it creates conditions of social mobility through increased access to housing, skills and local opportunity.</w:t>
      </w:r>
    </w:p>
    <w:p w14:paraId="1CD43BBC" w14:textId="77777777" w:rsidR="004167E6" w:rsidRPr="004167E6" w:rsidRDefault="004167E6" w:rsidP="004167E6">
      <w:pPr>
        <w:spacing w:line="480" w:lineRule="auto"/>
        <w:rPr>
          <w:rFonts w:ascii="Arial" w:hAnsi="Arial" w:cs="Arial"/>
        </w:rPr>
      </w:pPr>
      <w:r w:rsidRPr="004167E6">
        <w:rPr>
          <w:rFonts w:ascii="Arial" w:hAnsi="Arial" w:cs="Arial"/>
        </w:rPr>
        <w:t xml:space="preserve">The key stakeholders involved in the Swansea regeneration project include Swansea Council, Welsh Government, residents, students, businesses, traders at Swansea Market, Cultural organisations, Universities, Transport operators, Developers, Housing providers, Community groups, Tourism organisations and Environmental </w:t>
      </w:r>
      <w:r w:rsidRPr="004167E6">
        <w:rPr>
          <w:rFonts w:ascii="Arial" w:hAnsi="Arial" w:cs="Arial"/>
        </w:rPr>
        <w:lastRenderedPageBreak/>
        <w:t>bodies. Overall, the Placemaking Plan was created with input from over 1,200 individuals and organisations representing the views of residents, businesses and community groups, who all expressed a desire for improved safety when walking/cycling, clearer signage, cleaner streets, more food &amp; family activities, more green space, and better access to the river and the beach. Similarly, there was also a desire to create clearer shopping/retail areas, provide support to local businesses, improve loading/waste management and provide clearer signage to/from the street for businesses.</w:t>
      </w:r>
    </w:p>
    <w:p w14:paraId="61EFCC5C" w14:textId="413E7BE5" w:rsidR="004167E6" w:rsidRPr="004167E6" w:rsidRDefault="004167E6" w:rsidP="004167E6">
      <w:pPr>
        <w:spacing w:line="480" w:lineRule="auto"/>
        <w:rPr>
          <w:rFonts w:ascii="Arial" w:hAnsi="Arial" w:cs="Arial"/>
        </w:rPr>
      </w:pPr>
      <w:r w:rsidRPr="004167E6">
        <w:rPr>
          <w:rFonts w:ascii="Arial" w:hAnsi="Arial" w:cs="Arial"/>
        </w:rPr>
        <w:t>The current regeneration policies strongly support the Swansea regeneration.</w:t>
      </w:r>
      <w:r>
        <w:rPr>
          <w:rFonts w:ascii="Arial" w:hAnsi="Arial" w:cs="Arial"/>
        </w:rPr>
        <w:t xml:space="preserve"> </w:t>
      </w:r>
      <w:r w:rsidRPr="004167E6">
        <w:rPr>
          <w:rFonts w:ascii="Arial" w:hAnsi="Arial" w:cs="Arial"/>
        </w:rPr>
        <w:t>Th</w:t>
      </w:r>
      <w:r>
        <w:rPr>
          <w:rFonts w:ascii="Arial" w:hAnsi="Arial" w:cs="Arial"/>
        </w:rPr>
        <w:t>e</w:t>
      </w:r>
      <w:r w:rsidRPr="004167E6">
        <w:rPr>
          <w:rFonts w:ascii="Arial" w:hAnsi="Arial" w:cs="Arial"/>
        </w:rPr>
        <w:t xml:space="preserve"> Swansea Placemaking Plan, Future Swansea, is guided by six principles: people &amp; community, place, movement, public space, variety of uses and identity. These principles will help to achieve ten key objectives related to the development of Swansea, including developing culture &amp; tourism, reusing heritage structures, climate action, service to employment &amp; education, providing residential units and public &amp; active travel. In addition, the Swansea Placemaking Plan also aims to be consistent with, and support the objectives of, </w:t>
      </w:r>
      <w:r>
        <w:rPr>
          <w:rFonts w:ascii="Arial" w:hAnsi="Arial" w:cs="Arial"/>
        </w:rPr>
        <w:t>several</w:t>
      </w:r>
      <w:r w:rsidRPr="004167E6">
        <w:rPr>
          <w:rFonts w:ascii="Arial" w:hAnsi="Arial" w:cs="Arial"/>
        </w:rPr>
        <w:t xml:space="preserve"> other policies and plans, such as Future Wales, Planning Policy Wales, the Wellbeing of Future Generations Act, Swansea’s Local Wellbeing Plan, Local Development Plan (LDP) 2, Swansea Destination Management Plan, and the Local Economic Delivery Plan. LDP 2 designates Swansea City Centre and Waterfront as a strategic placemaking and regeneration area for a mix of uses. The policy context will provide for sustainable development with design for mixed-use, active transportation, climate change adaptability and green and blue infrastructure.</w:t>
      </w:r>
    </w:p>
    <w:p w14:paraId="477FBE36" w14:textId="77777777" w:rsidR="004167E6" w:rsidRPr="004167E6" w:rsidRDefault="004167E6" w:rsidP="004167E6">
      <w:pPr>
        <w:spacing w:line="480" w:lineRule="auto"/>
        <w:rPr>
          <w:rFonts w:ascii="Arial" w:hAnsi="Arial" w:cs="Arial"/>
        </w:rPr>
      </w:pPr>
    </w:p>
    <w:p w14:paraId="0AB100D3" w14:textId="77777777" w:rsidR="004167E6" w:rsidRPr="004167E6" w:rsidRDefault="004167E6" w:rsidP="008A4F8B">
      <w:pPr>
        <w:spacing w:line="480" w:lineRule="auto"/>
        <w:jc w:val="center"/>
        <w:rPr>
          <w:rFonts w:ascii="Arial" w:hAnsi="Arial" w:cs="Arial"/>
          <w:b/>
          <w:bCs/>
          <w:color w:val="E97132" w:themeColor="accent2"/>
        </w:rPr>
      </w:pPr>
      <w:r w:rsidRPr="004167E6">
        <w:rPr>
          <w:rFonts w:ascii="Arial" w:hAnsi="Arial" w:cs="Arial"/>
          <w:b/>
          <w:bCs/>
          <w:color w:val="E97132" w:themeColor="accent2"/>
        </w:rPr>
        <w:lastRenderedPageBreak/>
        <w:t>Part B: Future Opportunities for Regeneration</w:t>
      </w:r>
    </w:p>
    <w:p w14:paraId="2324ED12" w14:textId="1F099BCE" w:rsidR="004167E6" w:rsidRPr="004167E6" w:rsidRDefault="004167E6" w:rsidP="008A4F8B">
      <w:pPr>
        <w:pStyle w:val="ListParagraph"/>
        <w:numPr>
          <w:ilvl w:val="0"/>
          <w:numId w:val="1"/>
        </w:numPr>
        <w:spacing w:line="480" w:lineRule="auto"/>
        <w:jc w:val="center"/>
        <w:rPr>
          <w:rFonts w:ascii="Arial" w:hAnsi="Arial" w:cs="Arial"/>
          <w:b/>
          <w:bCs/>
          <w:color w:val="E97132" w:themeColor="accent2"/>
        </w:rPr>
      </w:pPr>
      <w:r w:rsidRPr="004167E6">
        <w:rPr>
          <w:rFonts w:ascii="Arial" w:hAnsi="Arial" w:cs="Arial"/>
          <w:b/>
          <w:bCs/>
          <w:color w:val="E97132" w:themeColor="accent2"/>
        </w:rPr>
        <w:t>Create an active travel/public realm green corridor from “station to sea”.</w:t>
      </w:r>
    </w:p>
    <w:p w14:paraId="6C079157" w14:textId="33EB7721" w:rsidR="004167E6" w:rsidRPr="004167E6" w:rsidRDefault="004167E6" w:rsidP="004167E6">
      <w:pPr>
        <w:spacing w:line="480" w:lineRule="auto"/>
        <w:rPr>
          <w:rFonts w:ascii="Arial" w:hAnsi="Arial" w:cs="Arial"/>
        </w:rPr>
      </w:pPr>
      <w:r w:rsidRPr="004167E6">
        <w:rPr>
          <w:rFonts w:ascii="Arial" w:hAnsi="Arial" w:cs="Arial"/>
        </w:rPr>
        <w:t xml:space="preserve">An opportunity is to create a continuous green route from Swansea Station through High Street (including Castle Square) and the </w:t>
      </w:r>
      <w:r w:rsidRPr="004167E6">
        <w:rPr>
          <w:rFonts w:ascii="Arial" w:hAnsi="Arial" w:cs="Arial"/>
        </w:rPr>
        <w:t>city</w:t>
      </w:r>
      <w:r w:rsidRPr="004167E6">
        <w:rPr>
          <w:rFonts w:ascii="Arial" w:hAnsi="Arial" w:cs="Arial"/>
        </w:rPr>
        <w:t xml:space="preserve"> centre to the Marina and Beach, building </w:t>
      </w:r>
      <w:r>
        <w:rPr>
          <w:rFonts w:ascii="Arial" w:hAnsi="Arial" w:cs="Arial"/>
        </w:rPr>
        <w:t>on</w:t>
      </w:r>
      <w:r w:rsidRPr="004167E6">
        <w:rPr>
          <w:rFonts w:ascii="Arial" w:hAnsi="Arial" w:cs="Arial"/>
        </w:rPr>
        <w:t xml:space="preserve"> the Plan’s goal for a green corridor that connects Swansea Station with the Sea. According to Banerjee (2025), Railway Stations have cognitive value as gateways and mental anchors in the perception of a city. At present, Swansea Station does not provide a welcoming appearance</w:t>
      </w:r>
      <w:r>
        <w:rPr>
          <w:rFonts w:ascii="Arial" w:hAnsi="Arial" w:cs="Arial"/>
        </w:rPr>
        <w:t>;</w:t>
      </w:r>
      <w:r w:rsidRPr="004167E6">
        <w:rPr>
          <w:rFonts w:ascii="Arial" w:hAnsi="Arial" w:cs="Arial"/>
        </w:rPr>
        <w:t xml:space="preserve"> therefore, by redesigning the route of entry, first impressions, wayfinding by citizens and pride in the </w:t>
      </w:r>
      <w:r w:rsidRPr="004167E6">
        <w:rPr>
          <w:rFonts w:ascii="Arial" w:hAnsi="Arial" w:cs="Arial"/>
        </w:rPr>
        <w:t>city</w:t>
      </w:r>
      <w:r w:rsidRPr="004167E6">
        <w:rPr>
          <w:rFonts w:ascii="Arial" w:hAnsi="Arial" w:cs="Arial"/>
        </w:rPr>
        <w:t xml:space="preserve"> could all be improved.</w:t>
      </w:r>
    </w:p>
    <w:p w14:paraId="6515160D" w14:textId="7CA8CC50" w:rsidR="004167E6" w:rsidRPr="004167E6" w:rsidRDefault="004167E6" w:rsidP="004167E6">
      <w:pPr>
        <w:spacing w:line="480" w:lineRule="auto"/>
        <w:rPr>
          <w:rFonts w:ascii="Arial" w:hAnsi="Arial" w:cs="Arial"/>
        </w:rPr>
      </w:pPr>
      <w:r w:rsidRPr="004167E6">
        <w:rPr>
          <w:rFonts w:ascii="Arial" w:hAnsi="Arial" w:cs="Arial"/>
        </w:rPr>
        <w:t xml:space="preserve">Included in this project should be pedestrian safe crossings, cycle lanes, appropriate lighting, trees, rain gardens, public seating, bilingual wayfinding, murals, and </w:t>
      </w:r>
      <w:r>
        <w:rPr>
          <w:rFonts w:ascii="Arial" w:hAnsi="Arial" w:cs="Arial"/>
        </w:rPr>
        <w:t xml:space="preserve">a </w:t>
      </w:r>
      <w:r w:rsidRPr="004167E6">
        <w:rPr>
          <w:rFonts w:ascii="Arial" w:hAnsi="Arial" w:cs="Arial"/>
        </w:rPr>
        <w:t xml:space="preserve">small space for local vendors. According to </w:t>
      </w:r>
      <w:proofErr w:type="spellStart"/>
      <w:r w:rsidRPr="004167E6">
        <w:rPr>
          <w:rFonts w:ascii="Arial" w:hAnsi="Arial" w:cs="Arial"/>
        </w:rPr>
        <w:t>Yigitcanlar</w:t>
      </w:r>
      <w:proofErr w:type="spellEnd"/>
      <w:r w:rsidRPr="004167E6">
        <w:rPr>
          <w:rFonts w:ascii="Arial" w:hAnsi="Arial" w:cs="Arial"/>
        </w:rPr>
        <w:t xml:space="preserve"> and </w:t>
      </w:r>
      <w:proofErr w:type="spellStart"/>
      <w:r w:rsidRPr="004167E6">
        <w:rPr>
          <w:rFonts w:ascii="Arial" w:hAnsi="Arial" w:cs="Arial"/>
        </w:rPr>
        <w:t>Teriman</w:t>
      </w:r>
      <w:proofErr w:type="spellEnd"/>
      <w:r w:rsidRPr="004167E6">
        <w:rPr>
          <w:rFonts w:ascii="Arial" w:hAnsi="Arial" w:cs="Arial"/>
        </w:rPr>
        <w:t xml:space="preserve"> (2015), a comprehensive, integrated approach to urban sustainability is required, as opposed to isolated </w:t>
      </w:r>
      <w:r w:rsidRPr="004167E6">
        <w:rPr>
          <w:rFonts w:ascii="Arial" w:hAnsi="Arial" w:cs="Arial"/>
        </w:rPr>
        <w:t>projects. Combining</w:t>
      </w:r>
      <w:r w:rsidRPr="004167E6">
        <w:rPr>
          <w:rFonts w:ascii="Arial" w:hAnsi="Arial" w:cs="Arial"/>
        </w:rPr>
        <w:t xml:space="preserve"> the elements of transport, green infrastructure, resilience to floods, culture and economic activity should be incorporated into planning all aspects of sustainability within an urban environment. Li &amp; Feng (2025) emphasise the need to include energy and environmental assessments for all new lighting, shelter or building developments as part of the sustainable process when planning new developments; therefore</w:t>
      </w:r>
      <w:r>
        <w:rPr>
          <w:rFonts w:ascii="Arial" w:hAnsi="Arial" w:cs="Arial"/>
        </w:rPr>
        <w:t>,</w:t>
      </w:r>
      <w:r w:rsidRPr="004167E6">
        <w:rPr>
          <w:rFonts w:ascii="Arial" w:hAnsi="Arial" w:cs="Arial"/>
        </w:rPr>
        <w:t xml:space="preserve"> any new lighting, shelter or building must be constructed using sustainable, low-carbon materials, powered by solar energy and with an evaluation of the environmentally sustainable outcomes.</w:t>
      </w:r>
    </w:p>
    <w:p w14:paraId="74FBE456" w14:textId="77777777" w:rsidR="004167E6" w:rsidRPr="004167E6" w:rsidRDefault="004167E6" w:rsidP="004167E6">
      <w:pPr>
        <w:spacing w:line="480" w:lineRule="auto"/>
        <w:rPr>
          <w:rFonts w:ascii="Arial" w:hAnsi="Arial" w:cs="Arial"/>
        </w:rPr>
      </w:pPr>
    </w:p>
    <w:p w14:paraId="7E739B7E" w14:textId="2483B90D" w:rsidR="004167E6" w:rsidRPr="004167E6" w:rsidRDefault="004167E6" w:rsidP="008A4F8B">
      <w:pPr>
        <w:pStyle w:val="ListParagraph"/>
        <w:numPr>
          <w:ilvl w:val="0"/>
          <w:numId w:val="1"/>
        </w:numPr>
        <w:spacing w:line="480" w:lineRule="auto"/>
        <w:jc w:val="center"/>
        <w:rPr>
          <w:rFonts w:ascii="Arial" w:hAnsi="Arial" w:cs="Arial"/>
          <w:b/>
          <w:bCs/>
          <w:color w:val="E97132" w:themeColor="accent2"/>
        </w:rPr>
      </w:pPr>
      <w:r w:rsidRPr="004167E6">
        <w:rPr>
          <w:rFonts w:ascii="Arial" w:hAnsi="Arial" w:cs="Arial"/>
          <w:b/>
          <w:bCs/>
          <w:color w:val="E97132" w:themeColor="accent2"/>
        </w:rPr>
        <w:lastRenderedPageBreak/>
        <w:t>Re-purposing of vacant buildings through heritage-led reuse for housing, workspace and community use</w:t>
      </w:r>
    </w:p>
    <w:p w14:paraId="789A35FA" w14:textId="0440607E" w:rsidR="004167E6" w:rsidRPr="004167E6" w:rsidRDefault="004167E6" w:rsidP="004167E6">
      <w:pPr>
        <w:spacing w:line="480" w:lineRule="auto"/>
        <w:rPr>
          <w:rFonts w:ascii="Arial" w:hAnsi="Arial" w:cs="Arial"/>
        </w:rPr>
      </w:pPr>
      <w:r w:rsidRPr="004167E6">
        <w:rPr>
          <w:rFonts w:ascii="Arial" w:hAnsi="Arial" w:cs="Arial"/>
        </w:rPr>
        <w:t>The second opportunity under this concept is to allow the re-use of vacant retail spaces, upper floor space in residential properties and historically significant buildings to create affordable housing, creative studio space, support small businesses, provide health services, and develop community amenities. The Placemaking Plan identifies vacant or underutilised upper floor spaces, vacant units and unused heritage sites as key problems facing society today</w:t>
      </w:r>
      <w:r w:rsidR="00551EDA">
        <w:rPr>
          <w:rFonts w:ascii="Arial" w:hAnsi="Arial" w:cs="Arial"/>
        </w:rPr>
        <w:t>,</w:t>
      </w:r>
      <w:r w:rsidRPr="004167E6">
        <w:rPr>
          <w:rFonts w:ascii="Arial" w:hAnsi="Arial" w:cs="Arial"/>
        </w:rPr>
        <w:t xml:space="preserve"> whilst providing solutions to creating housing, hotels, office space and University activity using the above-mentioned avenues. Working examples of how these types of projects can be successfully implemented through Transforming Towns' funding initiatives are seen when previous commercial properties, such as 1-3 Dillwyn St, a previously vacant pub</w:t>
      </w:r>
      <w:r w:rsidR="00551EDA">
        <w:rPr>
          <w:rFonts w:ascii="Arial" w:hAnsi="Arial" w:cs="Arial"/>
        </w:rPr>
        <w:t>, were</w:t>
      </w:r>
      <w:r w:rsidRPr="004167E6">
        <w:rPr>
          <w:rFonts w:ascii="Arial" w:hAnsi="Arial" w:cs="Arial"/>
        </w:rPr>
        <w:t xml:space="preserve"> transformed into a commercially occupied property with 9 residential apartments above it and 263-265 Oxford Street was also transformed into a commercially occupied property with 11 residential apartments completed above it.</w:t>
      </w:r>
    </w:p>
    <w:p w14:paraId="0F612E95" w14:textId="523C6A06" w:rsidR="004167E6" w:rsidRPr="004167E6" w:rsidRDefault="00551EDA" w:rsidP="004167E6">
      <w:pPr>
        <w:spacing w:line="480" w:lineRule="auto"/>
        <w:rPr>
          <w:rFonts w:ascii="Arial" w:hAnsi="Arial" w:cs="Arial"/>
        </w:rPr>
      </w:pPr>
      <w:r>
        <w:rPr>
          <w:rFonts w:ascii="Arial" w:hAnsi="Arial" w:cs="Arial"/>
        </w:rPr>
        <w:t>This concept intends</w:t>
      </w:r>
      <w:r w:rsidR="004167E6" w:rsidRPr="004167E6">
        <w:rPr>
          <w:rFonts w:ascii="Arial" w:hAnsi="Arial" w:cs="Arial"/>
        </w:rPr>
        <w:t xml:space="preserve"> to protect existing residents in local areas from displacement through requiring the provision of affordable housing, local labour clauses, transitional rent as part of any new development or rehabilitative development, </w:t>
      </w:r>
      <w:r>
        <w:rPr>
          <w:rFonts w:ascii="Arial" w:hAnsi="Arial" w:cs="Arial"/>
        </w:rPr>
        <w:t xml:space="preserve">and </w:t>
      </w:r>
      <w:r w:rsidR="004167E6" w:rsidRPr="004167E6">
        <w:rPr>
          <w:rFonts w:ascii="Arial" w:hAnsi="Arial" w:cs="Arial"/>
        </w:rPr>
        <w:t>the creation of a period of time where the existing building or land will not be used until it has been determined if affordable housing will be developed there (meanwhile use). Cummings et al (2024) highlight urban foundry's use of a focused business model to carry out business in the Swansea Bay City region</w:t>
      </w:r>
      <w:r>
        <w:rPr>
          <w:rFonts w:ascii="Arial" w:hAnsi="Arial" w:cs="Arial"/>
        </w:rPr>
        <w:t>,</w:t>
      </w:r>
      <w:r w:rsidR="004167E6" w:rsidRPr="004167E6">
        <w:rPr>
          <w:rFonts w:ascii="Arial" w:hAnsi="Arial" w:cs="Arial"/>
        </w:rPr>
        <w:t xml:space="preserve"> while Bowen et al (2024) demonstrate that both purpose and wellness support the development of businesses in the Swansea Bay City region. This concept aligns with supporting the regeneration of local businesses, socially driven enterprises, and creative industries </w:t>
      </w:r>
      <w:r w:rsidR="004167E6" w:rsidRPr="004167E6">
        <w:rPr>
          <w:rFonts w:ascii="Arial" w:hAnsi="Arial" w:cs="Arial"/>
        </w:rPr>
        <w:lastRenderedPageBreak/>
        <w:t xml:space="preserve">through </w:t>
      </w:r>
      <w:r w:rsidRPr="004167E6">
        <w:rPr>
          <w:rFonts w:ascii="Arial" w:hAnsi="Arial" w:cs="Arial"/>
        </w:rPr>
        <w:t>redevelopment. The</w:t>
      </w:r>
      <w:r w:rsidR="004167E6" w:rsidRPr="004167E6">
        <w:rPr>
          <w:rFonts w:ascii="Arial" w:hAnsi="Arial" w:cs="Arial"/>
        </w:rPr>
        <w:t xml:space="preserve"> article Miskell, Orange and Almond-Brown (2024) also provided evidence of using public art </w:t>
      </w:r>
      <w:r w:rsidRPr="004167E6">
        <w:rPr>
          <w:rFonts w:ascii="Arial" w:hAnsi="Arial" w:cs="Arial"/>
        </w:rPr>
        <w:t>to</w:t>
      </w:r>
      <w:r w:rsidR="004167E6" w:rsidRPr="004167E6">
        <w:rPr>
          <w:rFonts w:ascii="Arial" w:hAnsi="Arial" w:cs="Arial"/>
        </w:rPr>
        <w:t xml:space="preserve"> maintain industrial history within former areas of steel production</w:t>
      </w:r>
      <w:r>
        <w:rPr>
          <w:rFonts w:ascii="Arial" w:hAnsi="Arial" w:cs="Arial"/>
        </w:rPr>
        <w:t>,</w:t>
      </w:r>
      <w:r w:rsidR="004167E6" w:rsidRPr="004167E6">
        <w:rPr>
          <w:rFonts w:ascii="Arial" w:hAnsi="Arial" w:cs="Arial"/>
        </w:rPr>
        <w:t xml:space="preserve"> which supports the use of Industrial heritage to deliver murals, sculptures, and interpretive pieces in Swansea.</w:t>
      </w:r>
    </w:p>
    <w:p w14:paraId="4F24C9BA" w14:textId="29FEA1F3" w:rsidR="004167E6" w:rsidRPr="00551EDA" w:rsidRDefault="004167E6" w:rsidP="008A4F8B">
      <w:pPr>
        <w:pStyle w:val="ListParagraph"/>
        <w:numPr>
          <w:ilvl w:val="0"/>
          <w:numId w:val="1"/>
        </w:numPr>
        <w:spacing w:line="480" w:lineRule="auto"/>
        <w:jc w:val="center"/>
        <w:rPr>
          <w:rFonts w:ascii="Arial" w:hAnsi="Arial" w:cs="Arial"/>
          <w:b/>
          <w:bCs/>
          <w:color w:val="E97132" w:themeColor="accent2"/>
        </w:rPr>
      </w:pPr>
      <w:r w:rsidRPr="00551EDA">
        <w:rPr>
          <w:rFonts w:ascii="Arial" w:hAnsi="Arial" w:cs="Arial"/>
          <w:b/>
          <w:bCs/>
          <w:color w:val="E97132" w:themeColor="accent2"/>
        </w:rPr>
        <w:t>A Year-Round Culture District (Waterfront and Food/Wellness).</w:t>
      </w:r>
    </w:p>
    <w:p w14:paraId="4B564945" w14:textId="26573971" w:rsidR="004167E6" w:rsidRPr="004167E6" w:rsidRDefault="004167E6" w:rsidP="004167E6">
      <w:pPr>
        <w:spacing w:line="480" w:lineRule="auto"/>
        <w:rPr>
          <w:rFonts w:ascii="Arial" w:hAnsi="Arial" w:cs="Arial"/>
        </w:rPr>
      </w:pPr>
      <w:r w:rsidRPr="004167E6">
        <w:rPr>
          <w:rFonts w:ascii="Arial" w:hAnsi="Arial" w:cs="Arial"/>
        </w:rPr>
        <w:t>The third opportunity to create year-round waterfront destinations for the Marina, Museum Green, River Tawe and the beach. Swansea possesses significant waterfront assets, yet the current level of usage and connectivity of the waterfronts is low. Yin, Ma and Xu (2025) provide significant evidence regarding urban waterfronts and state</w:t>
      </w:r>
      <w:r w:rsidR="00551EDA">
        <w:rPr>
          <w:rFonts w:ascii="Arial" w:hAnsi="Arial" w:cs="Arial"/>
        </w:rPr>
        <w:t>,</w:t>
      </w:r>
      <w:r w:rsidRPr="004167E6">
        <w:rPr>
          <w:rFonts w:ascii="Arial" w:hAnsi="Arial" w:cs="Arial"/>
        </w:rPr>
        <w:t xml:space="preserve"> “high-quality public spaces located on urban waterfronts catalyse further regeneration”. As a way of recreating this opportunity for the city, Swansea could use small-scale music festivals, food markets, small boat trips, water taxis, children’s play areas, weatherproof seating, cultural trails and free/low-cost youth activities.</w:t>
      </w:r>
    </w:p>
    <w:p w14:paraId="3625A0D7" w14:textId="77777777" w:rsidR="00551EDA" w:rsidRDefault="004167E6" w:rsidP="004167E6">
      <w:pPr>
        <w:spacing w:line="480" w:lineRule="auto"/>
        <w:rPr>
          <w:rFonts w:ascii="Arial" w:hAnsi="Arial" w:cs="Arial"/>
        </w:rPr>
      </w:pPr>
      <w:r w:rsidRPr="004167E6">
        <w:rPr>
          <w:rFonts w:ascii="Arial" w:hAnsi="Arial" w:cs="Arial"/>
        </w:rPr>
        <w:t xml:space="preserve">Importantly, events should be both sustainable (Craggs, 2024) and </w:t>
      </w:r>
      <w:r w:rsidR="00551EDA" w:rsidRPr="004167E6">
        <w:rPr>
          <w:rFonts w:ascii="Arial" w:hAnsi="Arial" w:cs="Arial"/>
        </w:rPr>
        <w:t>community driven</w:t>
      </w:r>
      <w:r w:rsidRPr="004167E6">
        <w:rPr>
          <w:rFonts w:ascii="Arial" w:hAnsi="Arial" w:cs="Arial"/>
        </w:rPr>
        <w:t>. Craggs (2024) links the concepts of sustainability to the concepts of regeneration</w:t>
      </w:r>
      <w:r w:rsidR="00551EDA">
        <w:rPr>
          <w:rFonts w:ascii="Arial" w:hAnsi="Arial" w:cs="Arial"/>
        </w:rPr>
        <w:t>,</w:t>
      </w:r>
      <w:r w:rsidRPr="004167E6">
        <w:rPr>
          <w:rFonts w:ascii="Arial" w:hAnsi="Arial" w:cs="Arial"/>
        </w:rPr>
        <w:t xml:space="preserve"> while Baratta and Cavallo (2025) highlight that residents do not support an event unless they feel it will result in perceived benefits and/or an emotional connection to the event. Thus</w:t>
      </w:r>
      <w:r w:rsidR="00551EDA">
        <w:rPr>
          <w:rFonts w:ascii="Arial" w:hAnsi="Arial" w:cs="Arial"/>
        </w:rPr>
        <w:t>,</w:t>
      </w:r>
      <w:r w:rsidRPr="004167E6">
        <w:rPr>
          <w:rFonts w:ascii="Arial" w:hAnsi="Arial" w:cs="Arial"/>
        </w:rPr>
        <w:t xml:space="preserve"> an event should not only attract </w:t>
      </w:r>
      <w:r w:rsidR="00551EDA" w:rsidRPr="004167E6">
        <w:rPr>
          <w:rFonts w:ascii="Arial" w:hAnsi="Arial" w:cs="Arial"/>
        </w:rPr>
        <w:t>tourists but</w:t>
      </w:r>
      <w:r w:rsidRPr="004167E6">
        <w:rPr>
          <w:rFonts w:ascii="Arial" w:hAnsi="Arial" w:cs="Arial"/>
        </w:rPr>
        <w:t xml:space="preserve"> provide opportunities for residents through a variety of free/low-cost activities, inclusively planned programming and involvement of local/regional businesses. Richmond et al. (2024) support the development of placemaking toolkits to assist local communities in the development of co-designed projects throughout Wales. This is critical to the success of regeneration as the community must feel a sense of ownership over the waterfront.</w:t>
      </w:r>
    </w:p>
    <w:p w14:paraId="2EEA546F" w14:textId="542BFA14" w:rsidR="004167E6" w:rsidRPr="008A4F8B" w:rsidRDefault="004167E6" w:rsidP="008A4F8B">
      <w:pPr>
        <w:spacing w:line="480" w:lineRule="auto"/>
        <w:jc w:val="center"/>
        <w:rPr>
          <w:rFonts w:ascii="Arial" w:hAnsi="Arial" w:cs="Arial"/>
          <w:b/>
          <w:bCs/>
          <w:color w:val="E97132" w:themeColor="accent2"/>
        </w:rPr>
      </w:pPr>
      <w:r w:rsidRPr="008A4F8B">
        <w:rPr>
          <w:rFonts w:ascii="Arial" w:hAnsi="Arial" w:cs="Arial"/>
          <w:b/>
          <w:bCs/>
          <w:color w:val="E97132" w:themeColor="accent2"/>
        </w:rPr>
        <w:lastRenderedPageBreak/>
        <w:t>Conclusion</w:t>
      </w:r>
    </w:p>
    <w:p w14:paraId="251FFEBA" w14:textId="5BBC2753" w:rsidR="004167E6" w:rsidRDefault="004167E6" w:rsidP="004167E6">
      <w:pPr>
        <w:spacing w:line="480" w:lineRule="auto"/>
        <w:rPr>
          <w:rFonts w:ascii="Arial" w:hAnsi="Arial" w:cs="Arial"/>
        </w:rPr>
      </w:pPr>
      <w:r w:rsidRPr="004167E6">
        <w:rPr>
          <w:rFonts w:ascii="Arial" w:hAnsi="Arial" w:cs="Arial"/>
        </w:rPr>
        <w:t>The Swansea City Centre and its surrounding waterfront offer substantial opportunities for further regeneration due to its coastal location, historical significance, pedestrian-friendly design, universities and tourism economy; however, significant barriers remain to continued development</w:t>
      </w:r>
      <w:r w:rsidR="00551EDA">
        <w:rPr>
          <w:rFonts w:ascii="Arial" w:hAnsi="Arial" w:cs="Arial"/>
        </w:rPr>
        <w:t>,</w:t>
      </w:r>
      <w:r w:rsidRPr="004167E6">
        <w:rPr>
          <w:rFonts w:ascii="Arial" w:hAnsi="Arial" w:cs="Arial"/>
        </w:rPr>
        <w:t xml:space="preserve"> such as high levels of poverty</w:t>
      </w:r>
      <w:r w:rsidR="00551EDA">
        <w:rPr>
          <w:rFonts w:ascii="Arial" w:hAnsi="Arial" w:cs="Arial"/>
        </w:rPr>
        <w:t>,</w:t>
      </w:r>
      <w:r w:rsidRPr="004167E6">
        <w:rPr>
          <w:rFonts w:ascii="Arial" w:hAnsi="Arial" w:cs="Arial"/>
        </w:rPr>
        <w:t xml:space="preserve"> crime</w:t>
      </w:r>
      <w:r w:rsidR="00551EDA">
        <w:rPr>
          <w:rFonts w:ascii="Arial" w:hAnsi="Arial" w:cs="Arial"/>
        </w:rPr>
        <w:t>, a</w:t>
      </w:r>
      <w:r w:rsidRPr="004167E6">
        <w:rPr>
          <w:rFonts w:ascii="Arial" w:hAnsi="Arial" w:cs="Arial"/>
        </w:rPr>
        <w:t xml:space="preserve"> large number of abandoned buildings</w:t>
      </w:r>
      <w:r w:rsidR="00551EDA">
        <w:rPr>
          <w:rFonts w:ascii="Arial" w:hAnsi="Arial" w:cs="Arial"/>
        </w:rPr>
        <w:t>,</w:t>
      </w:r>
      <w:r w:rsidRPr="004167E6">
        <w:rPr>
          <w:rFonts w:ascii="Arial" w:hAnsi="Arial" w:cs="Arial"/>
        </w:rPr>
        <w:t xml:space="preserve"> poorly connected communities</w:t>
      </w:r>
      <w:r w:rsidR="00551EDA">
        <w:rPr>
          <w:rFonts w:ascii="Arial" w:hAnsi="Arial" w:cs="Arial"/>
        </w:rPr>
        <w:t>,</w:t>
      </w:r>
      <w:r w:rsidRPr="004167E6">
        <w:rPr>
          <w:rFonts w:ascii="Arial" w:hAnsi="Arial" w:cs="Arial"/>
        </w:rPr>
        <w:t xml:space="preserve"> and a decline in retail trade. Therefore, a sustainable regeneration </w:t>
      </w:r>
      <w:r w:rsidR="00551EDA">
        <w:rPr>
          <w:rFonts w:ascii="Arial" w:hAnsi="Arial" w:cs="Arial"/>
        </w:rPr>
        <w:t>plan</w:t>
      </w:r>
      <w:r w:rsidRPr="004167E6">
        <w:rPr>
          <w:rFonts w:ascii="Arial" w:hAnsi="Arial" w:cs="Arial"/>
        </w:rPr>
        <w:t xml:space="preserve"> for Swansea City Centre must focus on the following areas: improving green movement; adaptive reuse; fostering inclusive economic development; and developing a unique waterfront identity. Hence, the principal method of improving Swansea City Centre is not simply to attract investment. Rather, the primary goal is to create a healthier, safer, more distinct and socially valuable City Centre for residents, businesses, students and visitors.</w:t>
      </w:r>
    </w:p>
    <w:p w14:paraId="4FE6083D" w14:textId="77777777" w:rsidR="00551EDA" w:rsidRDefault="00551EDA" w:rsidP="004167E6">
      <w:pPr>
        <w:spacing w:line="480" w:lineRule="auto"/>
        <w:rPr>
          <w:rFonts w:ascii="Arial" w:hAnsi="Arial" w:cs="Arial"/>
        </w:rPr>
      </w:pPr>
    </w:p>
    <w:p w14:paraId="405BBBFA" w14:textId="77777777" w:rsidR="00551EDA" w:rsidRDefault="00551EDA" w:rsidP="004167E6">
      <w:pPr>
        <w:spacing w:line="480" w:lineRule="auto"/>
        <w:rPr>
          <w:rFonts w:ascii="Arial" w:hAnsi="Arial" w:cs="Arial"/>
        </w:rPr>
      </w:pPr>
    </w:p>
    <w:p w14:paraId="3C563190" w14:textId="77777777" w:rsidR="00551EDA" w:rsidRDefault="00551EDA" w:rsidP="004167E6">
      <w:pPr>
        <w:spacing w:line="480" w:lineRule="auto"/>
        <w:rPr>
          <w:rFonts w:ascii="Arial" w:hAnsi="Arial" w:cs="Arial"/>
        </w:rPr>
      </w:pPr>
    </w:p>
    <w:p w14:paraId="2577052F" w14:textId="77777777" w:rsidR="00551EDA" w:rsidRDefault="00551EDA" w:rsidP="004167E6">
      <w:pPr>
        <w:spacing w:line="480" w:lineRule="auto"/>
        <w:rPr>
          <w:rFonts w:ascii="Arial" w:hAnsi="Arial" w:cs="Arial"/>
        </w:rPr>
      </w:pPr>
    </w:p>
    <w:p w14:paraId="67717A2E" w14:textId="77777777" w:rsidR="00551EDA" w:rsidRDefault="00551EDA" w:rsidP="004167E6">
      <w:pPr>
        <w:spacing w:line="480" w:lineRule="auto"/>
        <w:rPr>
          <w:rFonts w:ascii="Arial" w:hAnsi="Arial" w:cs="Arial"/>
        </w:rPr>
      </w:pPr>
    </w:p>
    <w:p w14:paraId="689515E3" w14:textId="77777777" w:rsidR="00551EDA" w:rsidRDefault="00551EDA" w:rsidP="004167E6">
      <w:pPr>
        <w:spacing w:line="480" w:lineRule="auto"/>
        <w:rPr>
          <w:rFonts w:ascii="Arial" w:hAnsi="Arial" w:cs="Arial"/>
        </w:rPr>
      </w:pPr>
    </w:p>
    <w:p w14:paraId="4C1CBCEB" w14:textId="77777777" w:rsidR="00551EDA" w:rsidRDefault="00551EDA" w:rsidP="004167E6">
      <w:pPr>
        <w:spacing w:line="480" w:lineRule="auto"/>
        <w:rPr>
          <w:rFonts w:ascii="Arial" w:hAnsi="Arial" w:cs="Arial"/>
        </w:rPr>
      </w:pPr>
    </w:p>
    <w:p w14:paraId="59A0C6FB" w14:textId="77777777" w:rsidR="00551EDA" w:rsidRDefault="00551EDA" w:rsidP="004167E6">
      <w:pPr>
        <w:spacing w:line="480" w:lineRule="auto"/>
        <w:rPr>
          <w:rFonts w:ascii="Arial" w:hAnsi="Arial" w:cs="Arial"/>
        </w:rPr>
      </w:pPr>
    </w:p>
    <w:p w14:paraId="46791D36" w14:textId="77777777" w:rsidR="00551EDA" w:rsidRDefault="00551EDA" w:rsidP="004167E6">
      <w:pPr>
        <w:spacing w:line="480" w:lineRule="auto"/>
        <w:rPr>
          <w:rFonts w:ascii="Arial" w:hAnsi="Arial" w:cs="Arial"/>
        </w:rPr>
      </w:pPr>
    </w:p>
    <w:p w14:paraId="71D816F7" w14:textId="75F381C3" w:rsidR="00551EDA" w:rsidRPr="00551EDA" w:rsidRDefault="00551EDA" w:rsidP="008A4F8B">
      <w:pPr>
        <w:spacing w:line="480" w:lineRule="auto"/>
        <w:jc w:val="center"/>
        <w:rPr>
          <w:rFonts w:ascii="Arial" w:hAnsi="Arial" w:cs="Arial"/>
          <w:b/>
          <w:bCs/>
          <w:color w:val="E97132" w:themeColor="accent2"/>
        </w:rPr>
      </w:pPr>
      <w:r w:rsidRPr="00551EDA">
        <w:rPr>
          <w:rFonts w:ascii="Arial" w:hAnsi="Arial" w:cs="Arial"/>
          <w:b/>
          <w:bCs/>
          <w:color w:val="E97132" w:themeColor="accent2"/>
        </w:rPr>
        <w:lastRenderedPageBreak/>
        <w:t>References</w:t>
      </w:r>
    </w:p>
    <w:p w14:paraId="1AAFF957" w14:textId="77777777" w:rsidR="00551EDA" w:rsidRPr="00551EDA" w:rsidRDefault="00551EDA" w:rsidP="00551EDA">
      <w:pPr>
        <w:spacing w:line="480" w:lineRule="auto"/>
        <w:rPr>
          <w:rFonts w:ascii="Arial" w:hAnsi="Arial" w:cs="Arial"/>
        </w:rPr>
      </w:pPr>
      <w:r w:rsidRPr="00551EDA">
        <w:rPr>
          <w:rFonts w:ascii="Arial" w:hAnsi="Arial" w:cs="Arial"/>
        </w:rPr>
        <w:t xml:space="preserve">Banerjee, I. (2025). Railway station, the image of the city, and transit-oriented development: An appraisal of the cognitive value of transit hubs. </w:t>
      </w:r>
      <w:r w:rsidRPr="00551EDA">
        <w:rPr>
          <w:rFonts w:ascii="Arial" w:hAnsi="Arial" w:cs="Arial"/>
          <w:i/>
          <w:iCs/>
        </w:rPr>
        <w:t>Asian Geographer, 42</w:t>
      </w:r>
      <w:r w:rsidRPr="00551EDA">
        <w:rPr>
          <w:rFonts w:ascii="Arial" w:hAnsi="Arial" w:cs="Arial"/>
        </w:rPr>
        <w:t>(1), 1–21.</w:t>
      </w:r>
    </w:p>
    <w:p w14:paraId="6EBB9BAA" w14:textId="77777777" w:rsidR="00551EDA" w:rsidRPr="00551EDA" w:rsidRDefault="00551EDA" w:rsidP="00551EDA">
      <w:pPr>
        <w:spacing w:line="480" w:lineRule="auto"/>
        <w:rPr>
          <w:rFonts w:ascii="Arial" w:hAnsi="Arial" w:cs="Arial"/>
        </w:rPr>
      </w:pPr>
      <w:r w:rsidRPr="00551EDA">
        <w:rPr>
          <w:rFonts w:ascii="Arial" w:hAnsi="Arial" w:cs="Arial"/>
        </w:rPr>
        <w:t>Baratta, R., &amp; Cavallo, D. (2025). Sense and sensibility: The role of cognitive appraisal in resident support for cultural events</w:t>
      </w:r>
      <w:r w:rsidRPr="00551EDA">
        <w:rPr>
          <w:rFonts w:ascii="Arial" w:hAnsi="Arial" w:cs="Arial"/>
          <w:i/>
          <w:iCs/>
        </w:rPr>
        <w:t>. Event Management, 29</w:t>
      </w:r>
      <w:r w:rsidRPr="00551EDA">
        <w:rPr>
          <w:rFonts w:ascii="Arial" w:hAnsi="Arial" w:cs="Arial"/>
        </w:rPr>
        <w:t>(2), 167–183.</w:t>
      </w:r>
    </w:p>
    <w:p w14:paraId="4450A8F6" w14:textId="1AAD6FC5" w:rsidR="00551EDA" w:rsidRPr="00551EDA" w:rsidRDefault="00551EDA" w:rsidP="00551EDA">
      <w:pPr>
        <w:spacing w:line="480" w:lineRule="auto"/>
        <w:rPr>
          <w:rFonts w:ascii="Arial" w:hAnsi="Arial" w:cs="Arial"/>
        </w:rPr>
      </w:pPr>
      <w:r w:rsidRPr="00551EDA">
        <w:rPr>
          <w:rFonts w:ascii="Arial" w:hAnsi="Arial" w:cs="Arial"/>
        </w:rPr>
        <w:t xml:space="preserve">Bowen, R., </w:t>
      </w:r>
      <w:proofErr w:type="spellStart"/>
      <w:r w:rsidRPr="00551EDA">
        <w:rPr>
          <w:rFonts w:ascii="Arial" w:hAnsi="Arial" w:cs="Arial"/>
        </w:rPr>
        <w:t>Burvill</w:t>
      </w:r>
      <w:proofErr w:type="spellEnd"/>
      <w:r w:rsidRPr="00551EDA">
        <w:rPr>
          <w:rFonts w:ascii="Arial" w:hAnsi="Arial" w:cs="Arial"/>
        </w:rPr>
        <w:t xml:space="preserve">, S., Cummings, B., &amp; </w:t>
      </w:r>
      <w:proofErr w:type="spellStart"/>
      <w:r w:rsidRPr="00551EDA">
        <w:rPr>
          <w:rFonts w:ascii="Arial" w:hAnsi="Arial" w:cs="Arial"/>
        </w:rPr>
        <w:t>Themelidis</w:t>
      </w:r>
      <w:proofErr w:type="spellEnd"/>
      <w:r w:rsidRPr="00551EDA">
        <w:rPr>
          <w:rFonts w:ascii="Arial" w:hAnsi="Arial" w:cs="Arial"/>
        </w:rPr>
        <w:t xml:space="preserve">, L. (2024). A new approach to entrepreneurship and regional development: Key roles of purpose and well-being in the Swansea Bay City Region. </w:t>
      </w:r>
      <w:r w:rsidRPr="00551EDA">
        <w:rPr>
          <w:rFonts w:ascii="Arial" w:hAnsi="Arial" w:cs="Arial"/>
          <w:i/>
          <w:iCs/>
        </w:rPr>
        <w:t xml:space="preserve">International Journal of Entrepreneurial </w:t>
      </w:r>
      <w:r w:rsidRPr="00551EDA">
        <w:rPr>
          <w:rFonts w:ascii="Arial" w:hAnsi="Arial" w:cs="Arial"/>
          <w:i/>
          <w:iCs/>
        </w:rPr>
        <w:t>Behaviour</w:t>
      </w:r>
      <w:r w:rsidRPr="00551EDA">
        <w:rPr>
          <w:rFonts w:ascii="Arial" w:hAnsi="Arial" w:cs="Arial"/>
          <w:i/>
          <w:iCs/>
        </w:rPr>
        <w:t xml:space="preserve"> &amp; Research, 30</w:t>
      </w:r>
      <w:r w:rsidRPr="00551EDA">
        <w:rPr>
          <w:rFonts w:ascii="Arial" w:hAnsi="Arial" w:cs="Arial"/>
        </w:rPr>
        <w:t>(10), 2443–2462.</w:t>
      </w:r>
    </w:p>
    <w:p w14:paraId="64A18650" w14:textId="77777777" w:rsidR="00551EDA" w:rsidRPr="00551EDA" w:rsidRDefault="00551EDA" w:rsidP="00551EDA">
      <w:pPr>
        <w:spacing w:line="480" w:lineRule="auto"/>
        <w:rPr>
          <w:rFonts w:ascii="Arial" w:hAnsi="Arial" w:cs="Arial"/>
        </w:rPr>
      </w:pPr>
      <w:r w:rsidRPr="00551EDA">
        <w:rPr>
          <w:rFonts w:ascii="Arial" w:hAnsi="Arial" w:cs="Arial"/>
        </w:rPr>
        <w:t xml:space="preserve">Craggs, R. (2024). Sustainable events and regeneration. In </w:t>
      </w:r>
      <w:r w:rsidRPr="00551EDA">
        <w:rPr>
          <w:rFonts w:ascii="Arial" w:hAnsi="Arial" w:cs="Arial"/>
          <w:i/>
          <w:iCs/>
        </w:rPr>
        <w:t>R. Craggs (Ed.), Sustainable events management (pp. 14–24).</w:t>
      </w:r>
      <w:r w:rsidRPr="00551EDA">
        <w:rPr>
          <w:rFonts w:ascii="Arial" w:hAnsi="Arial" w:cs="Arial"/>
        </w:rPr>
        <w:t xml:space="preserve"> CABI.</w:t>
      </w:r>
    </w:p>
    <w:p w14:paraId="61826F06" w14:textId="77777777" w:rsidR="00551EDA" w:rsidRPr="00551EDA" w:rsidRDefault="00551EDA" w:rsidP="00551EDA">
      <w:pPr>
        <w:spacing w:line="480" w:lineRule="auto"/>
        <w:rPr>
          <w:rFonts w:ascii="Arial" w:hAnsi="Arial" w:cs="Arial"/>
        </w:rPr>
      </w:pPr>
      <w:r w:rsidRPr="00551EDA">
        <w:rPr>
          <w:rFonts w:ascii="Arial" w:hAnsi="Arial" w:cs="Arial"/>
        </w:rPr>
        <w:t xml:space="preserve">Cummings, B., </w:t>
      </w:r>
      <w:proofErr w:type="spellStart"/>
      <w:r w:rsidRPr="00551EDA">
        <w:rPr>
          <w:rFonts w:ascii="Arial" w:hAnsi="Arial" w:cs="Arial"/>
        </w:rPr>
        <w:t>Burvill</w:t>
      </w:r>
      <w:proofErr w:type="spellEnd"/>
      <w:r w:rsidRPr="00551EDA">
        <w:rPr>
          <w:rFonts w:ascii="Arial" w:hAnsi="Arial" w:cs="Arial"/>
        </w:rPr>
        <w:t xml:space="preserve">, S., &amp; Reynolds, B. (2024). Urban Foundry: A purposeful business model. In </w:t>
      </w:r>
      <w:r w:rsidRPr="00551EDA">
        <w:rPr>
          <w:rFonts w:ascii="Arial" w:hAnsi="Arial" w:cs="Arial"/>
          <w:i/>
          <w:iCs/>
        </w:rPr>
        <w:t xml:space="preserve">Cases on entrepreneurship and innovation (pp. 52–60). </w:t>
      </w:r>
      <w:r w:rsidRPr="00551EDA">
        <w:rPr>
          <w:rFonts w:ascii="Arial" w:hAnsi="Arial" w:cs="Arial"/>
        </w:rPr>
        <w:t>Edward Elgar Publishing.</w:t>
      </w:r>
    </w:p>
    <w:p w14:paraId="2B211C5A" w14:textId="766FE7D5" w:rsidR="00551EDA" w:rsidRPr="00551EDA" w:rsidRDefault="00551EDA" w:rsidP="00551EDA">
      <w:pPr>
        <w:spacing w:line="480" w:lineRule="auto"/>
        <w:rPr>
          <w:rFonts w:ascii="Arial" w:hAnsi="Arial" w:cs="Arial"/>
        </w:rPr>
      </w:pPr>
      <w:r w:rsidRPr="00551EDA">
        <w:rPr>
          <w:rFonts w:ascii="Arial" w:hAnsi="Arial" w:cs="Arial"/>
        </w:rPr>
        <w:t xml:space="preserve">Geva, Y., &amp; Rosen, G. (2021). A win-win situation? Urban regeneration and the paradox of homeowner displacement. </w:t>
      </w:r>
      <w:r w:rsidRPr="00551EDA">
        <w:rPr>
          <w:rFonts w:ascii="Arial" w:hAnsi="Arial" w:cs="Arial"/>
          <w:i/>
          <w:iCs/>
        </w:rPr>
        <w:t>Environment and Planning A: Economy and Space, 54</w:t>
      </w:r>
      <w:r w:rsidRPr="00551EDA">
        <w:rPr>
          <w:rFonts w:ascii="Arial" w:hAnsi="Arial" w:cs="Arial"/>
        </w:rPr>
        <w:t xml:space="preserve">(1), 67–83. </w:t>
      </w:r>
    </w:p>
    <w:p w14:paraId="0F5830FD" w14:textId="3E1DC978" w:rsidR="00551EDA" w:rsidRPr="00551EDA" w:rsidRDefault="00551EDA" w:rsidP="00551EDA">
      <w:pPr>
        <w:spacing w:line="480" w:lineRule="auto"/>
        <w:rPr>
          <w:rFonts w:ascii="Arial" w:hAnsi="Arial" w:cs="Arial"/>
        </w:rPr>
      </w:pPr>
      <w:r w:rsidRPr="00551EDA">
        <w:rPr>
          <w:rFonts w:ascii="Arial" w:hAnsi="Arial" w:cs="Arial"/>
        </w:rPr>
        <w:t xml:space="preserve">Levine, D., &amp; Aharon-Gutman, M. (2022). The social deal: Urban regeneration as an opportunity for in-place social mobility. </w:t>
      </w:r>
      <w:r w:rsidRPr="00551EDA">
        <w:rPr>
          <w:rFonts w:ascii="Arial" w:hAnsi="Arial" w:cs="Arial"/>
          <w:i/>
          <w:iCs/>
        </w:rPr>
        <w:t>Planning Theory, 22</w:t>
      </w:r>
      <w:r w:rsidRPr="00551EDA">
        <w:rPr>
          <w:rFonts w:ascii="Arial" w:hAnsi="Arial" w:cs="Arial"/>
        </w:rPr>
        <w:t xml:space="preserve">(2), 154–176. </w:t>
      </w:r>
    </w:p>
    <w:p w14:paraId="772CC420" w14:textId="77777777" w:rsidR="00551EDA" w:rsidRPr="008A4F8B" w:rsidRDefault="00551EDA" w:rsidP="00551EDA">
      <w:pPr>
        <w:spacing w:line="480" w:lineRule="auto"/>
        <w:rPr>
          <w:rFonts w:ascii="Arial" w:hAnsi="Arial" w:cs="Arial"/>
          <w:i/>
          <w:iCs/>
        </w:rPr>
      </w:pPr>
      <w:r w:rsidRPr="00551EDA">
        <w:rPr>
          <w:rFonts w:ascii="Arial" w:hAnsi="Arial" w:cs="Arial"/>
        </w:rPr>
        <w:t xml:space="preserve">Li, J. (2025). </w:t>
      </w:r>
      <w:r w:rsidRPr="008A4F8B">
        <w:rPr>
          <w:rFonts w:ascii="Arial" w:hAnsi="Arial" w:cs="Arial"/>
          <w:i/>
          <w:iCs/>
        </w:rPr>
        <w:t>A difference-in-differences study on the impact of urban renewal on real estate appraisal (Doctoral dissertation, Maharishi International University).</w:t>
      </w:r>
    </w:p>
    <w:p w14:paraId="0B6CFB8F" w14:textId="77777777" w:rsidR="00551EDA" w:rsidRPr="00551EDA" w:rsidRDefault="00551EDA" w:rsidP="00551EDA">
      <w:pPr>
        <w:spacing w:line="480" w:lineRule="auto"/>
        <w:rPr>
          <w:rFonts w:ascii="Arial" w:hAnsi="Arial" w:cs="Arial"/>
        </w:rPr>
      </w:pPr>
    </w:p>
    <w:p w14:paraId="6EFB6135" w14:textId="77777777" w:rsidR="00551EDA" w:rsidRPr="00551EDA" w:rsidRDefault="00551EDA" w:rsidP="00551EDA">
      <w:pPr>
        <w:spacing w:line="480" w:lineRule="auto"/>
        <w:rPr>
          <w:rFonts w:ascii="Arial" w:hAnsi="Arial" w:cs="Arial"/>
        </w:rPr>
      </w:pPr>
      <w:r w:rsidRPr="00551EDA">
        <w:rPr>
          <w:rFonts w:ascii="Arial" w:hAnsi="Arial" w:cs="Arial"/>
        </w:rPr>
        <w:lastRenderedPageBreak/>
        <w:t xml:space="preserve">Li, Y., &amp; Feng, H. (2025). Integrating urban building energy modelling (UBEM) and urban-building environmental impact assessment (UB-EIA) for sustainable urban development: A comprehensive review. </w:t>
      </w:r>
      <w:r w:rsidRPr="008A4F8B">
        <w:rPr>
          <w:rFonts w:ascii="Arial" w:hAnsi="Arial" w:cs="Arial"/>
          <w:i/>
          <w:iCs/>
        </w:rPr>
        <w:t>Renewable and Sustainable Energy Reviews, 213,</w:t>
      </w:r>
      <w:r w:rsidRPr="00551EDA">
        <w:rPr>
          <w:rFonts w:ascii="Arial" w:hAnsi="Arial" w:cs="Arial"/>
        </w:rPr>
        <w:t xml:space="preserve"> 115471.</w:t>
      </w:r>
    </w:p>
    <w:p w14:paraId="2376D31E" w14:textId="765AD89C" w:rsidR="00551EDA" w:rsidRPr="00551EDA" w:rsidRDefault="00551EDA" w:rsidP="00551EDA">
      <w:pPr>
        <w:spacing w:line="480" w:lineRule="auto"/>
        <w:rPr>
          <w:rFonts w:ascii="Arial" w:hAnsi="Arial" w:cs="Arial"/>
        </w:rPr>
      </w:pPr>
      <w:r w:rsidRPr="00551EDA">
        <w:rPr>
          <w:rFonts w:ascii="Arial" w:hAnsi="Arial" w:cs="Arial"/>
        </w:rPr>
        <w:t xml:space="preserve">May, S. (2023). Heritage-led regeneration and the sanitisation of memory in the Lower Swansea Valley. In </w:t>
      </w:r>
      <w:r w:rsidRPr="008A4F8B">
        <w:rPr>
          <w:rFonts w:ascii="Arial" w:hAnsi="Arial" w:cs="Arial"/>
          <w:i/>
          <w:iCs/>
        </w:rPr>
        <w:t xml:space="preserve">Toxic </w:t>
      </w:r>
      <w:r w:rsidR="008A4F8B" w:rsidRPr="008A4F8B">
        <w:rPr>
          <w:rFonts w:ascii="Arial" w:hAnsi="Arial" w:cs="Arial"/>
          <w:i/>
          <w:iCs/>
        </w:rPr>
        <w:t>Heritage</w:t>
      </w:r>
      <w:r w:rsidRPr="008A4F8B">
        <w:rPr>
          <w:rFonts w:ascii="Arial" w:hAnsi="Arial" w:cs="Arial"/>
          <w:i/>
          <w:iCs/>
        </w:rPr>
        <w:t xml:space="preserve"> (pp. 77–88).</w:t>
      </w:r>
      <w:r w:rsidRPr="00551EDA">
        <w:rPr>
          <w:rFonts w:ascii="Arial" w:hAnsi="Arial" w:cs="Arial"/>
        </w:rPr>
        <w:t xml:space="preserve"> Routledge.</w:t>
      </w:r>
    </w:p>
    <w:p w14:paraId="7E46191E" w14:textId="3415A27D" w:rsidR="00551EDA" w:rsidRPr="00551EDA" w:rsidRDefault="00551EDA" w:rsidP="00551EDA">
      <w:pPr>
        <w:spacing w:line="480" w:lineRule="auto"/>
        <w:rPr>
          <w:rFonts w:ascii="Arial" w:hAnsi="Arial" w:cs="Arial"/>
        </w:rPr>
      </w:pPr>
      <w:r w:rsidRPr="00551EDA">
        <w:rPr>
          <w:rFonts w:ascii="Arial" w:hAnsi="Arial" w:cs="Arial"/>
        </w:rPr>
        <w:t xml:space="preserve">Mayer Brown. (n.d.). Unleashing redevelopment potential of Hong Kong's old buildings: Proposal to relax requirements for compulsory sale regime. </w:t>
      </w:r>
      <w:hyperlink r:id="rId8" w:history="1">
        <w:r w:rsidR="008A4F8B" w:rsidRPr="00982A8E">
          <w:rPr>
            <w:rStyle w:val="Hyperlink"/>
            <w:rFonts w:ascii="Arial" w:hAnsi="Arial" w:cs="Arial"/>
          </w:rPr>
          <w:t>https://www.mayerbrown.com</w:t>
        </w:r>
      </w:hyperlink>
      <w:r w:rsidR="008A4F8B">
        <w:rPr>
          <w:rFonts w:ascii="Arial" w:hAnsi="Arial" w:cs="Arial"/>
        </w:rPr>
        <w:t xml:space="preserve"> </w:t>
      </w:r>
    </w:p>
    <w:p w14:paraId="17C1443B" w14:textId="77777777" w:rsidR="00551EDA" w:rsidRPr="00551EDA" w:rsidRDefault="00551EDA" w:rsidP="00551EDA">
      <w:pPr>
        <w:spacing w:line="480" w:lineRule="auto"/>
        <w:rPr>
          <w:rFonts w:ascii="Arial" w:hAnsi="Arial" w:cs="Arial"/>
        </w:rPr>
      </w:pPr>
      <w:r w:rsidRPr="00551EDA">
        <w:rPr>
          <w:rFonts w:ascii="Arial" w:hAnsi="Arial" w:cs="Arial"/>
        </w:rPr>
        <w:t xml:space="preserve">Miskell, L., Orange, H., &amp; Almond-Brown, G. (2024). Art as industrial heritage: Deindustrialisation and public sculpture in Britain’s steel-making regions, 1976–2020. </w:t>
      </w:r>
      <w:r w:rsidRPr="008A4F8B">
        <w:rPr>
          <w:rFonts w:ascii="Arial" w:hAnsi="Arial" w:cs="Arial"/>
          <w:i/>
          <w:iCs/>
        </w:rPr>
        <w:t>Social History, 49</w:t>
      </w:r>
      <w:r w:rsidRPr="00551EDA">
        <w:rPr>
          <w:rFonts w:ascii="Arial" w:hAnsi="Arial" w:cs="Arial"/>
        </w:rPr>
        <w:t>(4), 510–542.</w:t>
      </w:r>
    </w:p>
    <w:p w14:paraId="364BE400" w14:textId="77777777" w:rsidR="00551EDA" w:rsidRPr="00551EDA" w:rsidRDefault="00551EDA" w:rsidP="00551EDA">
      <w:pPr>
        <w:spacing w:line="480" w:lineRule="auto"/>
        <w:rPr>
          <w:rFonts w:ascii="Arial" w:hAnsi="Arial" w:cs="Arial"/>
        </w:rPr>
      </w:pPr>
      <w:r w:rsidRPr="00551EDA">
        <w:rPr>
          <w:rFonts w:ascii="Arial" w:hAnsi="Arial" w:cs="Arial"/>
        </w:rPr>
        <w:t xml:space="preserve">Nguyen, L. T., Dang, T. Q., &amp; Duc, D. T. V. (2025). The dark sides of AI advertising: The integration of cognitive appraisal theory and information quality theory. </w:t>
      </w:r>
      <w:r w:rsidRPr="008A4F8B">
        <w:rPr>
          <w:rFonts w:ascii="Arial" w:hAnsi="Arial" w:cs="Arial"/>
          <w:i/>
          <w:iCs/>
        </w:rPr>
        <w:t>Social Science Computer Review, 43</w:t>
      </w:r>
      <w:r w:rsidRPr="00551EDA">
        <w:rPr>
          <w:rFonts w:ascii="Arial" w:hAnsi="Arial" w:cs="Arial"/>
        </w:rPr>
        <w:t>(2), 397–424.</w:t>
      </w:r>
    </w:p>
    <w:p w14:paraId="18714B63" w14:textId="098BB581" w:rsidR="00551EDA" w:rsidRPr="00551EDA" w:rsidRDefault="00551EDA" w:rsidP="00551EDA">
      <w:pPr>
        <w:spacing w:line="480" w:lineRule="auto"/>
        <w:rPr>
          <w:rFonts w:ascii="Arial" w:hAnsi="Arial" w:cs="Arial"/>
        </w:rPr>
      </w:pPr>
      <w:r w:rsidRPr="00551EDA">
        <w:rPr>
          <w:rFonts w:ascii="Arial" w:hAnsi="Arial" w:cs="Arial"/>
        </w:rPr>
        <w:t>Nystr</w:t>
      </w:r>
      <w:r w:rsidR="008A4F8B">
        <w:rPr>
          <w:rFonts w:ascii="Arial" w:hAnsi="Arial" w:cs="Arial"/>
        </w:rPr>
        <w:t>o</w:t>
      </w:r>
      <w:r w:rsidRPr="00551EDA">
        <w:rPr>
          <w:rFonts w:ascii="Arial" w:hAnsi="Arial" w:cs="Arial"/>
        </w:rPr>
        <w:t xml:space="preserve">m, M., &amp; Wetterberg, O. (2022). The university as </w:t>
      </w:r>
      <w:r w:rsidR="008A4F8B">
        <w:rPr>
          <w:rFonts w:ascii="Arial" w:hAnsi="Arial" w:cs="Arial"/>
        </w:rPr>
        <w:t xml:space="preserve">a </w:t>
      </w:r>
      <w:r w:rsidRPr="00551EDA">
        <w:rPr>
          <w:rFonts w:ascii="Arial" w:hAnsi="Arial" w:cs="Arial"/>
        </w:rPr>
        <w:t xml:space="preserve">regeneration strategy in an urban heritage context: The case of Roma Tre. </w:t>
      </w:r>
      <w:r w:rsidRPr="008A4F8B">
        <w:rPr>
          <w:rFonts w:ascii="Arial" w:hAnsi="Arial" w:cs="Arial"/>
          <w:i/>
          <w:iCs/>
        </w:rPr>
        <w:t>Urban Studies</w:t>
      </w:r>
      <w:r w:rsidRPr="00551EDA">
        <w:rPr>
          <w:rFonts w:ascii="Arial" w:hAnsi="Arial" w:cs="Arial"/>
        </w:rPr>
        <w:t xml:space="preserve"> </w:t>
      </w:r>
    </w:p>
    <w:p w14:paraId="1C98B86D" w14:textId="77777777" w:rsidR="00551EDA" w:rsidRPr="00551EDA" w:rsidRDefault="00551EDA" w:rsidP="00551EDA">
      <w:pPr>
        <w:spacing w:line="480" w:lineRule="auto"/>
        <w:rPr>
          <w:rFonts w:ascii="Arial" w:hAnsi="Arial" w:cs="Arial"/>
        </w:rPr>
      </w:pPr>
      <w:r w:rsidRPr="00551EDA">
        <w:rPr>
          <w:rFonts w:ascii="Arial" w:hAnsi="Arial" w:cs="Arial"/>
        </w:rPr>
        <w:t xml:space="preserve">Richmond, J., Aelbrecht, P., Aelbrecht, W., Sartorio, F., Gale, R., &amp; Corr, M. (2024). Lessons from the placemaking toolkit for Wales. </w:t>
      </w:r>
      <w:r w:rsidRPr="008A4F8B">
        <w:rPr>
          <w:rFonts w:ascii="Arial" w:hAnsi="Arial" w:cs="Arial"/>
          <w:i/>
          <w:iCs/>
        </w:rPr>
        <w:t>Urban Design Group Journal, 169,</w:t>
      </w:r>
      <w:r w:rsidRPr="00551EDA">
        <w:rPr>
          <w:rFonts w:ascii="Arial" w:hAnsi="Arial" w:cs="Arial"/>
        </w:rPr>
        <w:t xml:space="preserve"> 43–46.</w:t>
      </w:r>
    </w:p>
    <w:p w14:paraId="4497AF30" w14:textId="77777777" w:rsidR="00551EDA" w:rsidRPr="00551EDA" w:rsidRDefault="00551EDA" w:rsidP="00551EDA">
      <w:pPr>
        <w:spacing w:line="480" w:lineRule="auto"/>
        <w:rPr>
          <w:rFonts w:ascii="Arial" w:hAnsi="Arial" w:cs="Arial"/>
        </w:rPr>
      </w:pPr>
      <w:r w:rsidRPr="00551EDA">
        <w:rPr>
          <w:rFonts w:ascii="Arial" w:hAnsi="Arial" w:cs="Arial"/>
        </w:rPr>
        <w:t xml:space="preserve">Roberts, P., &amp; Sykes, H. (2000). </w:t>
      </w:r>
      <w:r w:rsidRPr="008A4F8B">
        <w:rPr>
          <w:rFonts w:ascii="Arial" w:hAnsi="Arial" w:cs="Arial"/>
          <w:i/>
          <w:iCs/>
        </w:rPr>
        <w:t>Urban regeneration.</w:t>
      </w:r>
      <w:r w:rsidRPr="00551EDA">
        <w:rPr>
          <w:rFonts w:ascii="Arial" w:hAnsi="Arial" w:cs="Arial"/>
        </w:rPr>
        <w:t xml:space="preserve"> SAGE Publications.</w:t>
      </w:r>
    </w:p>
    <w:p w14:paraId="542D1160" w14:textId="77777777" w:rsidR="00551EDA" w:rsidRPr="00551EDA" w:rsidRDefault="00551EDA" w:rsidP="00551EDA">
      <w:pPr>
        <w:spacing w:line="480" w:lineRule="auto"/>
        <w:rPr>
          <w:rFonts w:ascii="Arial" w:hAnsi="Arial" w:cs="Arial"/>
        </w:rPr>
      </w:pPr>
      <w:r w:rsidRPr="00551EDA">
        <w:rPr>
          <w:rFonts w:ascii="Arial" w:hAnsi="Arial" w:cs="Arial"/>
        </w:rPr>
        <w:t xml:space="preserve">Smith, A. L., &amp; Eisenstein, A. (2016). </w:t>
      </w:r>
      <w:r w:rsidRPr="008A4F8B">
        <w:rPr>
          <w:rFonts w:ascii="Arial" w:hAnsi="Arial" w:cs="Arial"/>
          <w:i/>
          <w:iCs/>
        </w:rPr>
        <w:t>Rebuilding shattered worlds: Creating community by voicing the past.</w:t>
      </w:r>
      <w:r w:rsidRPr="00551EDA">
        <w:rPr>
          <w:rFonts w:ascii="Arial" w:hAnsi="Arial" w:cs="Arial"/>
        </w:rPr>
        <w:t xml:space="preserve"> University of Nebraska Press.</w:t>
      </w:r>
    </w:p>
    <w:p w14:paraId="0E653ACE" w14:textId="67D9C246" w:rsidR="00551EDA" w:rsidRPr="00551EDA" w:rsidRDefault="00551EDA" w:rsidP="00551EDA">
      <w:pPr>
        <w:spacing w:line="480" w:lineRule="auto"/>
        <w:rPr>
          <w:rFonts w:ascii="Arial" w:hAnsi="Arial" w:cs="Arial"/>
        </w:rPr>
      </w:pPr>
      <w:r w:rsidRPr="00551EDA">
        <w:rPr>
          <w:rFonts w:ascii="Arial" w:hAnsi="Arial" w:cs="Arial"/>
        </w:rPr>
        <w:lastRenderedPageBreak/>
        <w:t xml:space="preserve">Webb, D. (2024). Urban policies and regeneration. In </w:t>
      </w:r>
      <w:r w:rsidRPr="008A4F8B">
        <w:rPr>
          <w:rFonts w:ascii="Arial" w:hAnsi="Arial" w:cs="Arial"/>
          <w:i/>
          <w:iCs/>
        </w:rPr>
        <w:t xml:space="preserve">Town and </w:t>
      </w:r>
      <w:r w:rsidR="008A4F8B" w:rsidRPr="008A4F8B">
        <w:rPr>
          <w:rFonts w:ascii="Arial" w:hAnsi="Arial" w:cs="Arial"/>
          <w:i/>
          <w:iCs/>
        </w:rPr>
        <w:t>Country Planning</w:t>
      </w:r>
      <w:r w:rsidRPr="008A4F8B">
        <w:rPr>
          <w:rFonts w:ascii="Arial" w:hAnsi="Arial" w:cs="Arial"/>
          <w:i/>
          <w:iCs/>
        </w:rPr>
        <w:t xml:space="preserve"> in the UK (pp. 465–524).</w:t>
      </w:r>
      <w:r w:rsidRPr="00551EDA">
        <w:rPr>
          <w:rFonts w:ascii="Arial" w:hAnsi="Arial" w:cs="Arial"/>
        </w:rPr>
        <w:t xml:space="preserve"> Routledge.</w:t>
      </w:r>
    </w:p>
    <w:p w14:paraId="439D0370" w14:textId="77777777" w:rsidR="00551EDA" w:rsidRPr="00551EDA" w:rsidRDefault="00551EDA" w:rsidP="00551EDA">
      <w:pPr>
        <w:spacing w:line="480" w:lineRule="auto"/>
        <w:rPr>
          <w:rFonts w:ascii="Arial" w:hAnsi="Arial" w:cs="Arial"/>
        </w:rPr>
      </w:pPr>
      <w:proofErr w:type="spellStart"/>
      <w:r w:rsidRPr="00551EDA">
        <w:rPr>
          <w:rFonts w:ascii="Arial" w:hAnsi="Arial" w:cs="Arial"/>
        </w:rPr>
        <w:t>Yigitcanlar</w:t>
      </w:r>
      <w:proofErr w:type="spellEnd"/>
      <w:r w:rsidRPr="00551EDA">
        <w:rPr>
          <w:rFonts w:ascii="Arial" w:hAnsi="Arial" w:cs="Arial"/>
        </w:rPr>
        <w:t xml:space="preserve">, T., &amp; </w:t>
      </w:r>
      <w:proofErr w:type="spellStart"/>
      <w:r w:rsidRPr="00551EDA">
        <w:rPr>
          <w:rFonts w:ascii="Arial" w:hAnsi="Arial" w:cs="Arial"/>
        </w:rPr>
        <w:t>Teriman</w:t>
      </w:r>
      <w:proofErr w:type="spellEnd"/>
      <w:r w:rsidRPr="00551EDA">
        <w:rPr>
          <w:rFonts w:ascii="Arial" w:hAnsi="Arial" w:cs="Arial"/>
        </w:rPr>
        <w:t xml:space="preserve">, S. (2015). Rethinking sustainable urban development: Towards an integrated planning and development process. </w:t>
      </w:r>
      <w:r w:rsidRPr="008A4F8B">
        <w:rPr>
          <w:rFonts w:ascii="Arial" w:hAnsi="Arial" w:cs="Arial"/>
          <w:i/>
          <w:iCs/>
        </w:rPr>
        <w:t>International Journal of Environmental Science and Technology, 12</w:t>
      </w:r>
      <w:r w:rsidRPr="00551EDA">
        <w:rPr>
          <w:rFonts w:ascii="Arial" w:hAnsi="Arial" w:cs="Arial"/>
        </w:rPr>
        <w:t>(1), 341–352.</w:t>
      </w:r>
    </w:p>
    <w:p w14:paraId="1963C23C" w14:textId="77777777" w:rsidR="00551EDA" w:rsidRPr="00551EDA" w:rsidRDefault="00551EDA" w:rsidP="00551EDA">
      <w:pPr>
        <w:spacing w:line="480" w:lineRule="auto"/>
        <w:rPr>
          <w:rFonts w:ascii="Arial" w:hAnsi="Arial" w:cs="Arial"/>
        </w:rPr>
      </w:pPr>
      <w:r w:rsidRPr="00551EDA">
        <w:rPr>
          <w:rFonts w:ascii="Arial" w:hAnsi="Arial" w:cs="Arial"/>
        </w:rPr>
        <w:t xml:space="preserve">Yin, Y., Ma, D., &amp; Xu, X. (2025). The landscape catalytic effect of urban waterfronts—A case study of the Huangpu River in Shanghai. </w:t>
      </w:r>
      <w:r w:rsidRPr="008A4F8B">
        <w:rPr>
          <w:rFonts w:ascii="Arial" w:hAnsi="Arial" w:cs="Arial"/>
          <w:i/>
          <w:iCs/>
        </w:rPr>
        <w:t>Land, 14</w:t>
      </w:r>
      <w:r w:rsidRPr="00551EDA">
        <w:rPr>
          <w:rFonts w:ascii="Arial" w:hAnsi="Arial" w:cs="Arial"/>
        </w:rPr>
        <w:t>(2), 422.</w:t>
      </w:r>
    </w:p>
    <w:p w14:paraId="1F28A696" w14:textId="1CEAC77B" w:rsidR="00551EDA" w:rsidRPr="004167E6" w:rsidRDefault="00551EDA" w:rsidP="00551EDA">
      <w:pPr>
        <w:spacing w:line="480" w:lineRule="auto"/>
        <w:rPr>
          <w:rFonts w:ascii="Arial" w:hAnsi="Arial" w:cs="Arial"/>
        </w:rPr>
      </w:pPr>
      <w:r w:rsidRPr="00551EDA">
        <w:rPr>
          <w:rFonts w:ascii="Arial" w:hAnsi="Arial" w:cs="Arial"/>
        </w:rPr>
        <w:t xml:space="preserve">Zhang, Y., &amp; Fang, K. (2004). Is history repeating itself? From urban renewal in the United States to inner-city redevelopment in China. </w:t>
      </w:r>
      <w:r w:rsidRPr="008A4F8B">
        <w:rPr>
          <w:rFonts w:ascii="Arial" w:hAnsi="Arial" w:cs="Arial"/>
          <w:i/>
          <w:iCs/>
        </w:rPr>
        <w:t>Journal of Planning Education and Research, 23</w:t>
      </w:r>
      <w:r w:rsidRPr="00551EDA">
        <w:rPr>
          <w:rFonts w:ascii="Arial" w:hAnsi="Arial" w:cs="Arial"/>
        </w:rPr>
        <w:t xml:space="preserve">(3), 286–298. </w:t>
      </w:r>
    </w:p>
    <w:sectPr w:rsidR="00551EDA" w:rsidRPr="004167E6" w:rsidSect="008A4F8B">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9506EF" w14:textId="77777777" w:rsidR="005C499C" w:rsidRDefault="005C499C" w:rsidP="008A4F8B">
      <w:pPr>
        <w:spacing w:after="0" w:line="240" w:lineRule="auto"/>
      </w:pPr>
      <w:r>
        <w:separator/>
      </w:r>
    </w:p>
  </w:endnote>
  <w:endnote w:type="continuationSeparator" w:id="0">
    <w:p w14:paraId="0990D726" w14:textId="77777777" w:rsidR="005C499C" w:rsidRDefault="005C499C" w:rsidP="008A4F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9160026"/>
      <w:docPartObj>
        <w:docPartGallery w:val="Page Numbers (Bottom of Page)"/>
        <w:docPartUnique/>
      </w:docPartObj>
    </w:sdtPr>
    <w:sdtEndPr>
      <w:rPr>
        <w:noProof/>
      </w:rPr>
    </w:sdtEndPr>
    <w:sdtContent>
      <w:p w14:paraId="6610E394" w14:textId="7F7F6F85" w:rsidR="008A4F8B" w:rsidRDefault="008A4F8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6376F4" w14:textId="77777777" w:rsidR="008A4F8B" w:rsidRDefault="008A4F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F00FE3" w14:textId="77777777" w:rsidR="005C499C" w:rsidRDefault="005C499C" w:rsidP="008A4F8B">
      <w:pPr>
        <w:spacing w:after="0" w:line="240" w:lineRule="auto"/>
      </w:pPr>
      <w:r>
        <w:separator/>
      </w:r>
    </w:p>
  </w:footnote>
  <w:footnote w:type="continuationSeparator" w:id="0">
    <w:p w14:paraId="343DAA8E" w14:textId="77777777" w:rsidR="005C499C" w:rsidRDefault="005C499C" w:rsidP="008A4F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AA11B9"/>
    <w:multiLevelType w:val="hybridMultilevel"/>
    <w:tmpl w:val="91FAA5B8"/>
    <w:lvl w:ilvl="0" w:tplc="5CB02D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3201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7E6"/>
    <w:rsid w:val="004167E6"/>
    <w:rsid w:val="00551EDA"/>
    <w:rsid w:val="005C499C"/>
    <w:rsid w:val="008A4F8B"/>
    <w:rsid w:val="00F206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40240"/>
  <w15:chartTrackingRefBased/>
  <w15:docId w15:val="{D0E2BF8C-6BB9-46F3-B13B-49C5379BD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67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67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67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67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67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67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67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67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67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67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67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67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67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67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67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67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67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67E6"/>
    <w:rPr>
      <w:rFonts w:eastAsiaTheme="majorEastAsia" w:cstheme="majorBidi"/>
      <w:color w:val="272727" w:themeColor="text1" w:themeTint="D8"/>
    </w:rPr>
  </w:style>
  <w:style w:type="paragraph" w:styleId="Title">
    <w:name w:val="Title"/>
    <w:basedOn w:val="Normal"/>
    <w:next w:val="Normal"/>
    <w:link w:val="TitleChar"/>
    <w:uiPriority w:val="10"/>
    <w:qFormat/>
    <w:rsid w:val="004167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67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67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67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67E6"/>
    <w:pPr>
      <w:spacing w:before="160"/>
      <w:jc w:val="center"/>
    </w:pPr>
    <w:rPr>
      <w:i/>
      <w:iCs/>
      <w:color w:val="404040" w:themeColor="text1" w:themeTint="BF"/>
    </w:rPr>
  </w:style>
  <w:style w:type="character" w:customStyle="1" w:styleId="QuoteChar">
    <w:name w:val="Quote Char"/>
    <w:basedOn w:val="DefaultParagraphFont"/>
    <w:link w:val="Quote"/>
    <w:uiPriority w:val="29"/>
    <w:rsid w:val="004167E6"/>
    <w:rPr>
      <w:i/>
      <w:iCs/>
      <w:color w:val="404040" w:themeColor="text1" w:themeTint="BF"/>
    </w:rPr>
  </w:style>
  <w:style w:type="paragraph" w:styleId="ListParagraph">
    <w:name w:val="List Paragraph"/>
    <w:basedOn w:val="Normal"/>
    <w:uiPriority w:val="34"/>
    <w:qFormat/>
    <w:rsid w:val="004167E6"/>
    <w:pPr>
      <w:ind w:left="720"/>
      <w:contextualSpacing/>
    </w:pPr>
  </w:style>
  <w:style w:type="character" w:styleId="IntenseEmphasis">
    <w:name w:val="Intense Emphasis"/>
    <w:basedOn w:val="DefaultParagraphFont"/>
    <w:uiPriority w:val="21"/>
    <w:qFormat/>
    <w:rsid w:val="004167E6"/>
    <w:rPr>
      <w:i/>
      <w:iCs/>
      <w:color w:val="0F4761" w:themeColor="accent1" w:themeShade="BF"/>
    </w:rPr>
  </w:style>
  <w:style w:type="paragraph" w:styleId="IntenseQuote">
    <w:name w:val="Intense Quote"/>
    <w:basedOn w:val="Normal"/>
    <w:next w:val="Normal"/>
    <w:link w:val="IntenseQuoteChar"/>
    <w:uiPriority w:val="30"/>
    <w:qFormat/>
    <w:rsid w:val="004167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67E6"/>
    <w:rPr>
      <w:i/>
      <w:iCs/>
      <w:color w:val="0F4761" w:themeColor="accent1" w:themeShade="BF"/>
    </w:rPr>
  </w:style>
  <w:style w:type="character" w:styleId="IntenseReference">
    <w:name w:val="Intense Reference"/>
    <w:basedOn w:val="DefaultParagraphFont"/>
    <w:uiPriority w:val="32"/>
    <w:qFormat/>
    <w:rsid w:val="004167E6"/>
    <w:rPr>
      <w:b/>
      <w:bCs/>
      <w:smallCaps/>
      <w:color w:val="0F4761" w:themeColor="accent1" w:themeShade="BF"/>
      <w:spacing w:val="5"/>
    </w:rPr>
  </w:style>
  <w:style w:type="character" w:styleId="Hyperlink">
    <w:name w:val="Hyperlink"/>
    <w:basedOn w:val="DefaultParagraphFont"/>
    <w:uiPriority w:val="99"/>
    <w:unhideWhenUsed/>
    <w:rsid w:val="00551EDA"/>
    <w:rPr>
      <w:color w:val="467886" w:themeColor="hyperlink"/>
      <w:u w:val="single"/>
    </w:rPr>
  </w:style>
  <w:style w:type="character" w:styleId="UnresolvedMention">
    <w:name w:val="Unresolved Mention"/>
    <w:basedOn w:val="DefaultParagraphFont"/>
    <w:uiPriority w:val="99"/>
    <w:semiHidden/>
    <w:unhideWhenUsed/>
    <w:rsid w:val="00551EDA"/>
    <w:rPr>
      <w:color w:val="605E5C"/>
      <w:shd w:val="clear" w:color="auto" w:fill="E1DFDD"/>
    </w:rPr>
  </w:style>
  <w:style w:type="paragraph" w:styleId="Header">
    <w:name w:val="header"/>
    <w:basedOn w:val="Normal"/>
    <w:link w:val="HeaderChar"/>
    <w:uiPriority w:val="99"/>
    <w:unhideWhenUsed/>
    <w:rsid w:val="008A4F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4F8B"/>
  </w:style>
  <w:style w:type="paragraph" w:styleId="Footer">
    <w:name w:val="footer"/>
    <w:basedOn w:val="Normal"/>
    <w:link w:val="FooterChar"/>
    <w:uiPriority w:val="99"/>
    <w:unhideWhenUsed/>
    <w:rsid w:val="008A4F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4F8B"/>
  </w:style>
  <w:style w:type="paragraph" w:styleId="NoSpacing">
    <w:name w:val="No Spacing"/>
    <w:link w:val="NoSpacingChar"/>
    <w:uiPriority w:val="1"/>
    <w:qFormat/>
    <w:rsid w:val="008A4F8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A4F8B"/>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yerbrown.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2026-04-25T00:00:00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12</Pages>
  <Words>2624</Words>
  <Characters>14959</Characters>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dc:title>
  <dc:subject>DISTINCTIVINESS AND REGENERATION</dc:subject>
  <cp:keywords/>
  <dc:description/>
  <dcterms:created xsi:type="dcterms:W3CDTF">2026-04-25T20:03:00Z</dcterms:created>
  <dcterms:modified xsi:type="dcterms:W3CDTF">2026-04-25T20:33:00Z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e9b5267a-ddf7-4e07-9440-1c968dfb2bdf</vt:lpwstr>
  </property>
</Properties>
</file>