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B1F48A" w14:textId="77777777" w:rsidR="00CD5493" w:rsidRDefault="00CD5493" w:rsidP="00CD5493">
      <w:pPr>
        <w:pStyle w:val="af2"/>
        <w:spacing w:after="0" w:afterAutospacing="0" w:line="480" w:lineRule="auto"/>
        <w:outlineLvl w:val="1"/>
        <w:rPr>
          <w:lang w:val="en-GB"/>
        </w:rPr>
      </w:pPr>
      <w:bookmarkStart w:id="0" w:name="_Toc198672394"/>
      <w:bookmarkStart w:id="1" w:name="_Toc197353495"/>
      <w:r>
        <w:rPr>
          <w:rStyle w:val="af3"/>
          <w:rFonts w:eastAsiaTheme="majorEastAsia"/>
          <w:lang w:val="en-GB"/>
        </w:rPr>
        <w:t>1.1 Introduction of a Literature Review</w:t>
      </w:r>
      <w:bookmarkEnd w:id="0"/>
      <w:bookmarkEnd w:id="1"/>
    </w:p>
    <w:p w14:paraId="14FF1858" w14:textId="77777777" w:rsidR="00CD5493" w:rsidRDefault="00CD5493" w:rsidP="00CD5493">
      <w:pPr>
        <w:pStyle w:val="af2"/>
        <w:spacing w:after="0" w:afterAutospacing="0" w:line="480" w:lineRule="auto"/>
        <w:rPr>
          <w:lang w:val="en-GB"/>
        </w:rPr>
      </w:pPr>
      <w:r>
        <w:rPr>
          <w:lang w:val="en-GB"/>
        </w:rPr>
        <w:t>Literature review is a critical part of the research process involving systematic identification, evaluation, and synthesis of scholarly literature related to a specific research issue (Papaioannou et al., 2016; Machi and McEvoy, 2009). Within the context of leveraging artificial intelligence (AI) to enable knowledge sharing among Chinese technology companies, the literature review is the academic foundation required to enjoy prevailing controversies, mainstream theories, and methodological frameworks and identify research gaps (Fisch and Block, 2018; Webster and Watson, 2002).</w:t>
      </w:r>
    </w:p>
    <w:p w14:paraId="1955A304" w14:textId="77777777" w:rsidR="00CD5493" w:rsidRDefault="00CD5493" w:rsidP="00CD5493">
      <w:pPr>
        <w:pStyle w:val="af2"/>
        <w:spacing w:after="0" w:afterAutospacing="0" w:line="480" w:lineRule="auto"/>
        <w:rPr>
          <w:lang w:val="en-GB"/>
        </w:rPr>
      </w:pPr>
      <w:r>
        <w:rPr>
          <w:lang w:val="en-GB"/>
        </w:rPr>
        <w:t>There are several varieties of literature reviews, and the choice is generally made depending on the research purpose and the nature of the question under investigation. Among the most widely used varieties are systematic, narrative, scoping, and integrative reviews (Snyder, 2019; Grant and Booth, 2009). Each of them employs a distinct methodology and yields varying levels of critical evaluation. In particular, critical, integrative, and theoretical reviews are frequently applied in interdisciplinary fields such as AI and knowledge management because they allow us to gain a comprehensive, advanced, and deep understanding of dynamic and complex phenomena (Paré et al., 2015).</w:t>
      </w:r>
    </w:p>
    <w:p w14:paraId="055B8907" w14:textId="77777777" w:rsidR="00CD5493" w:rsidRDefault="00CD5493" w:rsidP="00CD5493">
      <w:pPr>
        <w:pStyle w:val="af2"/>
        <w:spacing w:after="0" w:afterAutospacing="0" w:line="480" w:lineRule="auto"/>
        <w:outlineLvl w:val="1"/>
        <w:rPr>
          <w:lang w:val="en-GB"/>
        </w:rPr>
      </w:pPr>
      <w:bookmarkStart w:id="2" w:name="_Toc197353496"/>
      <w:bookmarkStart w:id="3" w:name="_Toc198672395"/>
      <w:r>
        <w:rPr>
          <w:rStyle w:val="af3"/>
          <w:rFonts w:eastAsiaTheme="majorEastAsia"/>
          <w:lang w:val="en-GB"/>
        </w:rPr>
        <w:t>1.2 Purpose of a Literature Review</w:t>
      </w:r>
      <w:bookmarkEnd w:id="2"/>
      <w:bookmarkEnd w:id="3"/>
    </w:p>
    <w:p w14:paraId="23A48A57" w14:textId="77777777" w:rsidR="00CD5493" w:rsidRDefault="00CD5493" w:rsidP="00CD5493">
      <w:pPr>
        <w:pStyle w:val="af2"/>
        <w:spacing w:after="0" w:afterAutospacing="0" w:line="480" w:lineRule="auto"/>
        <w:rPr>
          <w:lang w:val="en-GB"/>
        </w:rPr>
      </w:pPr>
      <w:r>
        <w:rPr>
          <w:lang w:val="en-GB"/>
        </w:rPr>
        <w:lastRenderedPageBreak/>
        <w:t xml:space="preserve">A review of the literature is more than a recap of existing studies but involves their critical evaluation of their relevance and the identification of gaps in knowledge (Creswell &amp; Creswell, 2017; </w:t>
      </w:r>
      <w:proofErr w:type="spellStart"/>
      <w:r>
        <w:rPr>
          <w:lang w:val="en-GB"/>
        </w:rPr>
        <w:t>Aksulu</w:t>
      </w:r>
      <w:proofErr w:type="spellEnd"/>
      <w:r>
        <w:rPr>
          <w:lang w:val="en-GB"/>
        </w:rPr>
        <w:t xml:space="preserve"> &amp; Wade, 2010). It thus sets the groundwork for new research by highlighting what is missing or understudied. In applied and doctoral studies, the review of the literature is a foundation pillar.</w:t>
      </w:r>
    </w:p>
    <w:p w14:paraId="7A5BF94E" w14:textId="77777777" w:rsidR="00CD5493" w:rsidRDefault="00CD5493" w:rsidP="00CD5493">
      <w:pPr>
        <w:pStyle w:val="af2"/>
        <w:spacing w:after="0" w:afterAutospacing="0" w:line="480" w:lineRule="auto"/>
        <w:outlineLvl w:val="2"/>
        <w:rPr>
          <w:b/>
          <w:lang w:val="en-GB"/>
        </w:rPr>
      </w:pPr>
      <w:bookmarkStart w:id="4" w:name="_Toc197353497"/>
      <w:bookmarkStart w:id="5" w:name="_Toc198672396"/>
      <w:r>
        <w:rPr>
          <w:b/>
          <w:lang w:val="en-GB"/>
        </w:rPr>
        <w:t>1.2.1. Learn from previous research.</w:t>
      </w:r>
      <w:bookmarkEnd w:id="4"/>
      <w:bookmarkEnd w:id="5"/>
    </w:p>
    <w:p w14:paraId="35780D0A" w14:textId="77777777" w:rsidR="00CD5493" w:rsidRDefault="00CD5493" w:rsidP="00CD5493">
      <w:pPr>
        <w:pStyle w:val="af2"/>
        <w:spacing w:after="0" w:afterAutospacing="0" w:line="480" w:lineRule="auto"/>
        <w:rPr>
          <w:lang w:val="en-GB"/>
        </w:rPr>
      </w:pPr>
      <w:r>
        <w:rPr>
          <w:lang w:val="en-GB"/>
        </w:rPr>
        <w:t xml:space="preserve">Reading prior work allows researchers to take hints from prior research and avoid duplicative effort (Rowley &amp; Slack, 2004; </w:t>
      </w:r>
      <w:proofErr w:type="spellStart"/>
      <w:r>
        <w:rPr>
          <w:lang w:val="en-GB"/>
        </w:rPr>
        <w:t>Djankov</w:t>
      </w:r>
      <w:proofErr w:type="spellEnd"/>
      <w:r>
        <w:rPr>
          <w:lang w:val="en-GB"/>
        </w:rPr>
        <w:t xml:space="preserve"> &amp; </w:t>
      </w:r>
      <w:proofErr w:type="spellStart"/>
      <w:r>
        <w:rPr>
          <w:lang w:val="en-GB"/>
        </w:rPr>
        <w:t>Saliola</w:t>
      </w:r>
      <w:proofErr w:type="spellEnd"/>
      <w:r>
        <w:rPr>
          <w:lang w:val="en-GB"/>
        </w:rPr>
        <w:t>, 2018). Reading prior work sharpens research focus and allows for the development of purposeful, fact-based questions. For instance, exploring the use of AI in Chinese tech firms requires knowledge of prior uses of AI in knowledge-sharing to anticipate challenges.</w:t>
      </w:r>
    </w:p>
    <w:p w14:paraId="5998FB18" w14:textId="77777777" w:rsidR="00CD5493" w:rsidRDefault="00CD5493" w:rsidP="00CD5493">
      <w:pPr>
        <w:pStyle w:val="af2"/>
        <w:spacing w:after="0" w:afterAutospacing="0" w:line="480" w:lineRule="auto"/>
        <w:outlineLvl w:val="2"/>
        <w:rPr>
          <w:b/>
          <w:lang w:val="en-GB"/>
        </w:rPr>
      </w:pPr>
      <w:bookmarkStart w:id="6" w:name="_Toc198672397"/>
      <w:bookmarkStart w:id="7" w:name="_Toc197353498"/>
      <w:r>
        <w:rPr>
          <w:b/>
          <w:lang w:val="en-GB"/>
        </w:rPr>
        <w:t>1.2.2. Provide a context and refine the topic.</w:t>
      </w:r>
      <w:bookmarkEnd w:id="6"/>
      <w:bookmarkEnd w:id="7"/>
    </w:p>
    <w:p w14:paraId="5CE5A5FA" w14:textId="77777777" w:rsidR="00CD5493" w:rsidRDefault="00CD5493" w:rsidP="00CD5493">
      <w:pPr>
        <w:pStyle w:val="af2"/>
        <w:spacing w:after="0" w:afterAutospacing="0" w:line="480" w:lineRule="auto"/>
        <w:rPr>
          <w:lang w:val="en-GB"/>
        </w:rPr>
      </w:pPr>
      <w:r>
        <w:rPr>
          <w:lang w:val="en-GB"/>
        </w:rPr>
        <w:t>Literature reviews provide the overall context for research and determine study boundaries (Arksey &amp; O’Malley, 2005; Xiao &amp; Watson, 2019). Literature reviews determine variable decisions, methodology, and theory. For example, comparisons of private versus state-owned Chinese tech companies could drive more nuanced hypotheses.</w:t>
      </w:r>
    </w:p>
    <w:p w14:paraId="711D54FD" w14:textId="77777777" w:rsidR="00CD5493" w:rsidRDefault="00CD5493" w:rsidP="00CD5493">
      <w:pPr>
        <w:pStyle w:val="af2"/>
        <w:spacing w:after="0" w:afterAutospacing="0" w:line="480" w:lineRule="auto"/>
        <w:outlineLvl w:val="2"/>
        <w:rPr>
          <w:b/>
          <w:lang w:val="en-GB"/>
        </w:rPr>
      </w:pPr>
      <w:bookmarkStart w:id="8" w:name="_Toc198672398"/>
      <w:bookmarkStart w:id="9" w:name="_Toc197353499"/>
      <w:r>
        <w:rPr>
          <w:b/>
          <w:lang w:val="en-GB"/>
        </w:rPr>
        <w:t>1.2.3. Define gaps and provide justifications for the study.</w:t>
      </w:r>
      <w:bookmarkEnd w:id="8"/>
      <w:bookmarkEnd w:id="9"/>
    </w:p>
    <w:p w14:paraId="0D5260B4" w14:textId="77777777" w:rsidR="00CD5493" w:rsidRDefault="00CD5493" w:rsidP="00CD5493">
      <w:pPr>
        <w:pStyle w:val="af2"/>
        <w:spacing w:after="0" w:afterAutospacing="0" w:line="480" w:lineRule="auto"/>
        <w:rPr>
          <w:lang w:val="en-GB"/>
        </w:rPr>
      </w:pPr>
      <w:r>
        <w:rPr>
          <w:lang w:val="en-GB"/>
        </w:rPr>
        <w:lastRenderedPageBreak/>
        <w:t>A review makes it possible to identify inconsistencies, obsolete frameworks, or underdeveloped subjects in existing literature (Aveyard, 2023; Papaioannou et al., 2016). This gives a clear rationale for the novelty and applicability of the new study. In fast-evolving fields like AI, earlier research may soon become obsolete (Cui, 2025).</w:t>
      </w:r>
    </w:p>
    <w:p w14:paraId="2C54975C" w14:textId="77777777" w:rsidR="00CD5493" w:rsidRDefault="00CD5493" w:rsidP="00CD5493">
      <w:pPr>
        <w:pStyle w:val="af2"/>
        <w:spacing w:after="0" w:afterAutospacing="0" w:line="480" w:lineRule="auto"/>
        <w:jc w:val="center"/>
        <w:rPr>
          <w:lang w:val="en-GB"/>
        </w:rPr>
      </w:pPr>
      <w:r>
        <w:rPr>
          <w:noProof/>
        </w:rPr>
        <w:drawing>
          <wp:inline distT="0" distB="0" distL="0" distR="0" wp14:anchorId="1AEE4780" wp14:editId="4239ACAD">
            <wp:extent cx="5486400" cy="3200400"/>
            <wp:effectExtent l="38100" t="38100" r="5715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443F6037" w14:textId="77777777" w:rsidR="00CD5493" w:rsidRDefault="00CD5493" w:rsidP="00CD5493">
      <w:pPr>
        <w:pStyle w:val="af2"/>
        <w:spacing w:after="0" w:afterAutospacing="0" w:line="480" w:lineRule="auto"/>
        <w:jc w:val="center"/>
        <w:rPr>
          <w:lang w:val="en-GB"/>
        </w:rPr>
      </w:pPr>
      <w:r>
        <w:rPr>
          <w:b/>
          <w:lang w:val="en-GB"/>
        </w:rPr>
        <w:t>Exhibit 1</w:t>
      </w:r>
      <w:r>
        <w:rPr>
          <w:lang w:val="en-GB"/>
        </w:rPr>
        <w:t xml:space="preserve"> - Purposes for a literature review</w:t>
      </w:r>
    </w:p>
    <w:p w14:paraId="4E5AF5DF" w14:textId="77777777" w:rsidR="00CD5493" w:rsidRDefault="00CD5493" w:rsidP="00CD5493">
      <w:pPr>
        <w:pStyle w:val="af2"/>
        <w:spacing w:after="0" w:afterAutospacing="0" w:line="480" w:lineRule="auto"/>
        <w:outlineLvl w:val="1"/>
        <w:rPr>
          <w:lang w:val="en-GB"/>
        </w:rPr>
      </w:pPr>
      <w:bookmarkStart w:id="10" w:name="_Toc198672399"/>
      <w:bookmarkStart w:id="11" w:name="_Toc197353500"/>
      <w:r>
        <w:rPr>
          <w:rStyle w:val="af3"/>
          <w:rFonts w:eastAsiaTheme="majorEastAsia"/>
          <w:lang w:val="en-GB"/>
        </w:rPr>
        <w:t>1.3 Types of Literature Reviews: Features, Similarities, and Differences</w:t>
      </w:r>
      <w:bookmarkEnd w:id="10"/>
      <w:bookmarkEnd w:id="11"/>
    </w:p>
    <w:p w14:paraId="12974854" w14:textId="77777777" w:rsidR="00CD5493" w:rsidRDefault="00CD5493" w:rsidP="00CD5493">
      <w:pPr>
        <w:spacing w:after="0" w:line="480" w:lineRule="auto"/>
        <w:rPr>
          <w:rFonts w:ascii="Times New Roman" w:eastAsia="Times New Roman" w:hAnsi="Times New Roman" w:cs="Times New Roman"/>
          <w:sz w:val="24"/>
          <w:szCs w:val="24"/>
          <w:lang w:val="en-GB"/>
        </w:rPr>
      </w:pPr>
      <w:bookmarkStart w:id="12" w:name="_Toc197353501"/>
      <w:r>
        <w:rPr>
          <w:rFonts w:ascii="Times New Roman" w:eastAsia="Times New Roman" w:hAnsi="Times New Roman" w:cs="Times New Roman"/>
          <w:sz w:val="24"/>
          <w:szCs w:val="24"/>
          <w:lang w:val="en-GB"/>
        </w:rPr>
        <w:lastRenderedPageBreak/>
        <w:t>Literature reviews are categorised into four types with varied methods and objectives. Systematic review works under a pre-determined, clear protocol to locate and synthesise studies based on predetermined criteria to limit bias (</w:t>
      </w:r>
      <w:proofErr w:type="spellStart"/>
      <w:r>
        <w:rPr>
          <w:rFonts w:ascii="Times New Roman" w:eastAsia="Times New Roman" w:hAnsi="Times New Roman" w:cs="Times New Roman"/>
          <w:sz w:val="24"/>
          <w:szCs w:val="24"/>
          <w:lang w:val="en-GB"/>
        </w:rPr>
        <w:t>Jpt</w:t>
      </w:r>
      <w:proofErr w:type="spellEnd"/>
      <w:r>
        <w:rPr>
          <w:rFonts w:ascii="Times New Roman" w:eastAsia="Times New Roman" w:hAnsi="Times New Roman" w:cs="Times New Roman"/>
          <w:sz w:val="24"/>
          <w:szCs w:val="24"/>
          <w:lang w:val="en-GB"/>
        </w:rPr>
        <w:t>, 2008). It is most suited to integrate quantitative proof, such as determining the effect of AI on organisational learning (</w:t>
      </w:r>
      <w:proofErr w:type="spellStart"/>
      <w:r>
        <w:rPr>
          <w:rFonts w:ascii="Times New Roman" w:eastAsia="Times New Roman" w:hAnsi="Times New Roman" w:cs="Times New Roman"/>
          <w:sz w:val="24"/>
          <w:szCs w:val="24"/>
          <w:lang w:val="en-GB"/>
        </w:rPr>
        <w:t>Tranfield</w:t>
      </w:r>
      <w:proofErr w:type="spellEnd"/>
      <w:r>
        <w:rPr>
          <w:rFonts w:ascii="Times New Roman" w:eastAsia="Times New Roman" w:hAnsi="Times New Roman" w:cs="Times New Roman"/>
          <w:sz w:val="24"/>
          <w:szCs w:val="24"/>
          <w:lang w:val="en-GB"/>
        </w:rPr>
        <w:t xml:space="preserve"> et al., 2003; Paul &amp; Criado, 2020). A narrative review provides a thematic interpretation-based descriptive summary appropriate to follow developments such as AI in Chinese knowledge structures (Baumeister &amp; Leary, 1997). A scoping review charts ideas and gaps between wide or newly developing topics of use in describing varied AI applications such as chatbots or expert systems (Munn et al., 2018; Peters et al., 2020). An integrative review combines empirical and theoretical research to build new frameworks (Torraco, 2005). The review type is determined by whether the aim is mapping, synthesis, interpretation, or theory-building (Grant &amp; Booth, 2009; Snyder, 2019). While all forms of reviews seek to integrate existing knowledge, systematic and integrative reviews are guided by rigor and comprehensiveness, whereas narrative and scoping reviews are more flexible and exploratory. Structure and purpose distinguish them, with systematic and integrative reviews having strict protocols and narrative and scoping reviews allowing room for interpretation.</w:t>
      </w:r>
    </w:p>
    <w:p w14:paraId="50BE6999" w14:textId="77777777" w:rsidR="00CD5493" w:rsidRDefault="00CD5493" w:rsidP="00CD5493">
      <w:pPr>
        <w:pStyle w:val="af2"/>
        <w:spacing w:after="0" w:afterAutospacing="0" w:line="480" w:lineRule="auto"/>
        <w:outlineLvl w:val="1"/>
        <w:rPr>
          <w:lang w:val="en-GB"/>
        </w:rPr>
      </w:pPr>
      <w:bookmarkStart w:id="13" w:name="_Toc198672400"/>
      <w:r>
        <w:rPr>
          <w:rStyle w:val="af3"/>
          <w:rFonts w:eastAsiaTheme="majorEastAsia"/>
          <w:lang w:val="en-GB"/>
        </w:rPr>
        <w:t>1.4 Special Focus: Critical, Integrative, and Theoretical Reviews</w:t>
      </w:r>
      <w:bookmarkEnd w:id="12"/>
      <w:bookmarkEnd w:id="13"/>
    </w:p>
    <w:p w14:paraId="33E5FD6E" w14:textId="77777777" w:rsidR="00CD5493" w:rsidRDefault="00CD5493" w:rsidP="00CD5493">
      <w:pPr>
        <w:pStyle w:val="af2"/>
        <w:spacing w:after="0" w:afterAutospacing="0" w:line="480" w:lineRule="auto"/>
        <w:rPr>
          <w:lang w:val="en-GB"/>
        </w:rPr>
      </w:pPr>
      <w:r>
        <w:rPr>
          <w:lang w:val="en-GB"/>
        </w:rPr>
        <w:t>Critical, integrative, and theoretical reviews are particularly helpful in doctor and cross-disciplinary levels. A critical review does more than summarise and offers critiques of assumptions, methodologies, and contradictions in the literature (Paré et al., 2015). For AI in Chinese tech firms, it can critique digital readiness or compatibility of Western knowledge management models. An integrative review synthesises empirical and theoretical literature, helping to build conceptual frameworks that explain how AI meets knowledge-</w:t>
      </w:r>
      <w:r>
        <w:rPr>
          <w:lang w:val="en-GB"/>
        </w:rPr>
        <w:lastRenderedPageBreak/>
        <w:t>sharing. Theoretical reviews compare and assess theories, serving as bridges in fields like AI, where practice comes before theory (Walker &amp; Avant, 2011). They can position empirical evolution within conceptual scaffolds, for instance, dissecting how Nonaka’s SECI model applies—or doesn’t apply—to AI-based systems used by firms such as Huawei or Alibaba (Zhou et al., 2021).</w:t>
      </w:r>
    </w:p>
    <w:p w14:paraId="19383F8D" w14:textId="77777777" w:rsidR="00CD5493" w:rsidRDefault="00CD5493" w:rsidP="00CD5493">
      <w:pPr>
        <w:pStyle w:val="af2"/>
        <w:spacing w:after="0" w:afterAutospacing="0" w:line="480" w:lineRule="auto"/>
        <w:outlineLvl w:val="1"/>
        <w:rPr>
          <w:lang w:val="en-GB"/>
        </w:rPr>
      </w:pPr>
      <w:bookmarkStart w:id="14" w:name="_Toc197353502"/>
      <w:bookmarkStart w:id="15" w:name="_Toc198672401"/>
      <w:r>
        <w:rPr>
          <w:rStyle w:val="af3"/>
          <w:rFonts w:eastAsiaTheme="majorEastAsia"/>
          <w:lang w:val="en-GB"/>
        </w:rPr>
        <w:t>1.5 Conducting and Presenting the Literature Review</w:t>
      </w:r>
      <w:bookmarkEnd w:id="14"/>
      <w:bookmarkEnd w:id="15"/>
    </w:p>
    <w:p w14:paraId="1DEACEDB" w14:textId="77777777" w:rsidR="00CD5493" w:rsidRDefault="00CD5493" w:rsidP="00CD5493">
      <w:pPr>
        <w:pStyle w:val="af2"/>
        <w:tabs>
          <w:tab w:val="center" w:pos="4680"/>
        </w:tabs>
        <w:spacing w:after="0" w:afterAutospacing="0" w:line="480" w:lineRule="auto"/>
        <w:outlineLvl w:val="2"/>
        <w:rPr>
          <w:b/>
          <w:lang w:val="en-GB"/>
        </w:rPr>
      </w:pPr>
      <w:bookmarkStart w:id="16" w:name="_Toc198672402"/>
      <w:bookmarkStart w:id="17" w:name="_Toc197353503"/>
      <w:r>
        <w:rPr>
          <w:b/>
          <w:lang w:val="en-GB"/>
        </w:rPr>
        <w:t>1.5.1 Format of the Filtration Process</w:t>
      </w:r>
      <w:bookmarkEnd w:id="16"/>
      <w:bookmarkEnd w:id="17"/>
      <w:r>
        <w:rPr>
          <w:b/>
          <w:lang w:val="en-GB"/>
        </w:rPr>
        <w:tab/>
      </w:r>
    </w:p>
    <w:p w14:paraId="540E57BD" w14:textId="77777777" w:rsidR="00CD5493" w:rsidRDefault="00CD5493" w:rsidP="00CD5493">
      <w:pPr>
        <w:pStyle w:val="af2"/>
        <w:spacing w:after="0" w:afterAutospacing="0" w:line="480" w:lineRule="auto"/>
        <w:rPr>
          <w:lang w:val="en-GB"/>
        </w:rPr>
      </w:pPr>
      <w:r>
        <w:rPr>
          <w:lang w:val="en-GB"/>
        </w:rPr>
        <w:t>Adapting Xiao and Watson (2019), Moher et al. (2010), and Papaioannou et al. (2016), the literature review takes a funnel approach, beginning with a broad scope and becoming more specific systematically (refer to Exhibit 2). The first phase filters article titles for potential relevance to the application of AI in knowledge sharing in Chinese tech companies (Papaioannou et al., 2016). Abstracts are then filtered to identify aims, methods, and results, which further reduces the group (Moher et al., 2010). Full-text screening then allows methodologies, theoretical standpoints, and gaps to be examined closely, so that high-quality, relevant studies only are retained (Xiao and Watson, 2019).</w:t>
      </w:r>
    </w:p>
    <w:p w14:paraId="4548BFA2" w14:textId="77777777" w:rsidR="00CD5493" w:rsidRDefault="00CD5493" w:rsidP="00CD5493">
      <w:pPr>
        <w:pStyle w:val="af2"/>
        <w:spacing w:after="0" w:afterAutospacing="0" w:line="480" w:lineRule="auto"/>
        <w:rPr>
          <w:lang w:val="en-GB"/>
        </w:rPr>
      </w:pPr>
      <w:r>
        <w:rPr>
          <w:noProof/>
        </w:rPr>
        <w:lastRenderedPageBreak/>
        <w:drawing>
          <wp:inline distT="0" distB="0" distL="0" distR="0" wp14:anchorId="39A24503" wp14:editId="213E479A">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2EC78C1" w14:textId="77777777" w:rsidR="00CD5493" w:rsidRDefault="00CD5493" w:rsidP="00CD5493">
      <w:pPr>
        <w:pStyle w:val="af2"/>
        <w:spacing w:after="0" w:afterAutospacing="0" w:line="480" w:lineRule="auto"/>
        <w:jc w:val="center"/>
        <w:rPr>
          <w:lang w:val="en-GB"/>
        </w:rPr>
      </w:pPr>
      <w:r>
        <w:rPr>
          <w:b/>
          <w:lang w:val="en-GB"/>
        </w:rPr>
        <w:t xml:space="preserve">Exhibit 2 </w:t>
      </w:r>
      <w:r>
        <w:rPr>
          <w:lang w:val="en-GB"/>
        </w:rPr>
        <w:t>- Funnel structure of a literature review</w:t>
      </w:r>
    </w:p>
    <w:p w14:paraId="14E141DB" w14:textId="77777777" w:rsidR="00CD5493" w:rsidRDefault="00CD5493" w:rsidP="00CD5493">
      <w:pPr>
        <w:spacing w:before="100" w:beforeAutospacing="1" w:after="0" w:line="480" w:lineRule="auto"/>
        <w:outlineLvl w:val="2"/>
        <w:rPr>
          <w:rFonts w:ascii="Times New Roman" w:eastAsia="Times New Roman" w:hAnsi="Times New Roman" w:cs="Times New Roman"/>
          <w:b/>
          <w:bCs/>
          <w:sz w:val="24"/>
          <w:szCs w:val="24"/>
          <w:lang w:val="en-GB"/>
        </w:rPr>
      </w:pPr>
      <w:bookmarkStart w:id="18" w:name="_Toc198672403"/>
      <w:bookmarkStart w:id="19" w:name="_Toc197353504"/>
      <w:r>
        <w:rPr>
          <w:rFonts w:ascii="Times New Roman" w:eastAsia="Times New Roman" w:hAnsi="Times New Roman" w:cs="Times New Roman"/>
          <w:b/>
          <w:bCs/>
          <w:sz w:val="24"/>
          <w:szCs w:val="24"/>
          <w:lang w:val="en-GB"/>
        </w:rPr>
        <w:t>1.5.2. Format of the Presentation of a Literature Review</w:t>
      </w:r>
      <w:bookmarkEnd w:id="18"/>
      <w:bookmarkEnd w:id="19"/>
    </w:p>
    <w:p w14:paraId="20A83BD0" w14:textId="77777777" w:rsidR="00CD5493" w:rsidRDefault="00CD5493" w:rsidP="00CD5493">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Presenting the results of a literature review marks the stage where researchers effectively “join the conversation” within their academic field (Wisker, 2015; Paul and Criado, 2020). Aveyard (2018) emphasises that the structure of the review should be immediately clear to the reader and must include key components, which are outlined below.</w:t>
      </w:r>
    </w:p>
    <w:p w14:paraId="710B5873" w14:textId="77777777" w:rsidR="00CD5493" w:rsidRDefault="00CD5493" w:rsidP="00CD5493">
      <w:pPr>
        <w:pStyle w:val="af2"/>
        <w:spacing w:after="0" w:afterAutospacing="0" w:line="480" w:lineRule="auto"/>
        <w:rPr>
          <w:b/>
          <w:bCs/>
          <w:lang w:val="en-GB"/>
        </w:rPr>
      </w:pPr>
      <w:r>
        <w:rPr>
          <w:b/>
          <w:bCs/>
          <w:lang w:val="en-GB"/>
        </w:rPr>
        <w:lastRenderedPageBreak/>
        <w:t>Introduction</w:t>
      </w:r>
    </w:p>
    <w:p w14:paraId="5B4D3554" w14:textId="77777777" w:rsidR="00CD5493" w:rsidRDefault="00CD5493" w:rsidP="00CD5493">
      <w:pPr>
        <w:pStyle w:val="af2"/>
        <w:spacing w:after="0" w:afterAutospacing="0" w:line="480" w:lineRule="auto"/>
        <w:rPr>
          <w:bCs/>
          <w:lang w:val="en-GB"/>
        </w:rPr>
      </w:pPr>
      <w:r>
        <w:rPr>
          <w:bCs/>
          <w:lang w:val="en-GB"/>
        </w:rPr>
        <w:t>According to Greetham (2021), the introduction must begin by defining the aim of the study. Booth et al. (2022) also recommend that the context of ants, Interventions, Comparisons, Outcomes, Study Design or similar approaches for the determination of scope and purpose of the review.</w:t>
      </w:r>
    </w:p>
    <w:p w14:paraId="3C03B39A" w14:textId="77777777" w:rsidR="00CD5493" w:rsidRDefault="00CD5493" w:rsidP="00CD5493">
      <w:pPr>
        <w:pStyle w:val="af2"/>
        <w:spacing w:after="0" w:afterAutospacing="0" w:line="480" w:lineRule="auto"/>
        <w:rPr>
          <w:b/>
          <w:bCs/>
          <w:lang w:val="en-GB"/>
        </w:rPr>
      </w:pPr>
      <w:r>
        <w:rPr>
          <w:b/>
          <w:bCs/>
          <w:lang w:val="en-GB"/>
        </w:rPr>
        <w:t>Methods</w:t>
      </w:r>
    </w:p>
    <w:p w14:paraId="750DFDD9" w14:textId="77777777" w:rsidR="00CD5493" w:rsidRDefault="00CD5493" w:rsidP="00CD5493">
      <w:pPr>
        <w:pStyle w:val="af2"/>
        <w:spacing w:after="0" w:afterAutospacing="0" w:line="480" w:lineRule="auto"/>
        <w:rPr>
          <w:bCs/>
          <w:lang w:val="en-GB"/>
        </w:rPr>
      </w:pPr>
      <w:r>
        <w:rPr>
          <w:bCs/>
          <w:lang w:val="en-GB"/>
        </w:rPr>
        <w:t>Booth et al. (2022) advise providing a brief summary of the methodology employed in the review, including eligibility criteria, search strategy, and data synthesis methods. These include providing these details not only to inform the reader on the process but also to allow them to estimate the likelihood of bias (Mitchell and Rich, 2022).</w:t>
      </w:r>
    </w:p>
    <w:p w14:paraId="34D0650B" w14:textId="77777777" w:rsidR="00CD5493" w:rsidRDefault="00CD5493" w:rsidP="00CD5493">
      <w:pPr>
        <w:pStyle w:val="af2"/>
        <w:spacing w:after="0" w:afterAutospacing="0" w:line="480" w:lineRule="auto"/>
        <w:rPr>
          <w:b/>
          <w:bCs/>
          <w:lang w:val="en-GB"/>
        </w:rPr>
      </w:pPr>
      <w:r>
        <w:rPr>
          <w:b/>
          <w:bCs/>
          <w:lang w:val="en-GB"/>
        </w:rPr>
        <w:t>Results</w:t>
      </w:r>
    </w:p>
    <w:p w14:paraId="39C13089" w14:textId="77777777" w:rsidR="00CD5493" w:rsidRDefault="00CD5493" w:rsidP="00CD5493">
      <w:pPr>
        <w:pStyle w:val="af2"/>
        <w:spacing w:after="0" w:afterAutospacing="0" w:line="480" w:lineRule="auto"/>
        <w:rPr>
          <w:bCs/>
          <w:lang w:val="en-GB"/>
        </w:rPr>
      </w:pPr>
      <w:r>
        <w:rPr>
          <w:bCs/>
          <w:lang w:val="en-GB"/>
        </w:rPr>
        <w:t>The results section, as per Aveyard (2018), starts with a description of the number of studies obtained, and then goes on to provide clear descriptions of each study included. Booth et al. (2022) recommend providing reasons for inclusion or eligibility criteria applied on the chosen studies. The use of diagrams, tables, and charts is also suggested as an effective way of organising and presenting the findings in a clear format (Booth et al., 2022).</w:t>
      </w:r>
    </w:p>
    <w:p w14:paraId="436FD3EE" w14:textId="77777777" w:rsidR="00CD5493" w:rsidRDefault="00CD5493" w:rsidP="00CD5493">
      <w:pPr>
        <w:pStyle w:val="af2"/>
        <w:spacing w:after="0" w:afterAutospacing="0" w:line="480" w:lineRule="auto"/>
        <w:rPr>
          <w:b/>
          <w:bCs/>
          <w:lang w:val="en-GB"/>
        </w:rPr>
      </w:pPr>
      <w:r>
        <w:rPr>
          <w:b/>
          <w:bCs/>
          <w:lang w:val="en-GB"/>
        </w:rPr>
        <w:t>Discussion</w:t>
      </w:r>
    </w:p>
    <w:p w14:paraId="34223B56" w14:textId="77777777" w:rsidR="00CD5493" w:rsidRDefault="00CD5493" w:rsidP="00CD5493">
      <w:pPr>
        <w:pStyle w:val="af2"/>
        <w:spacing w:after="0" w:afterAutospacing="0" w:line="480" w:lineRule="auto"/>
        <w:rPr>
          <w:bCs/>
          <w:lang w:val="en-GB"/>
        </w:rPr>
      </w:pPr>
      <w:r>
        <w:rPr>
          <w:bCs/>
          <w:lang w:val="en-GB"/>
        </w:rPr>
        <w:lastRenderedPageBreak/>
        <w:t>Booth et al. (2022) explain that in the discussion section, there must be a more critical and nuanced presentation of the findings with focus on the strength of evidence for each argument. Moreover, Easterby-Smith et al. (2021) point out the importance of mentioning any limitations, contradictions, or inconsistencies in the literature reviewed.</w:t>
      </w:r>
    </w:p>
    <w:p w14:paraId="204B1EF9" w14:textId="77777777" w:rsidR="00CD5493" w:rsidRDefault="00CD5493" w:rsidP="00CD5493">
      <w:pPr>
        <w:pStyle w:val="af2"/>
        <w:spacing w:after="0" w:afterAutospacing="0" w:line="480" w:lineRule="auto"/>
        <w:outlineLvl w:val="1"/>
        <w:rPr>
          <w:lang w:val="en-GB"/>
        </w:rPr>
      </w:pPr>
      <w:bookmarkStart w:id="20" w:name="_Toc198672404"/>
      <w:bookmarkStart w:id="21" w:name="_Toc197353505"/>
      <w:r>
        <w:rPr>
          <w:rStyle w:val="af3"/>
          <w:rFonts w:eastAsiaTheme="majorEastAsia"/>
          <w:lang w:val="en-GB"/>
        </w:rPr>
        <w:t>1.6 Conclusion</w:t>
      </w:r>
      <w:bookmarkEnd w:id="20"/>
      <w:bookmarkEnd w:id="21"/>
    </w:p>
    <w:p w14:paraId="7CEFE9EE" w14:textId="77777777" w:rsidR="00CD5493" w:rsidRDefault="00CD5493" w:rsidP="00CD5493">
      <w:pPr>
        <w:pStyle w:val="af2"/>
        <w:spacing w:after="0" w:afterAutospacing="0" w:line="480" w:lineRule="auto"/>
        <w:rPr>
          <w:lang w:val="en-GB"/>
        </w:rPr>
      </w:pPr>
      <w:r>
        <w:rPr>
          <w:lang w:val="en-GB"/>
        </w:rPr>
        <w:t>In conclusion, literature reviews are an important part of research, especially in emerging fields like AI in knowledge transfer among Chinese technology firms. The type of review—systematic, narrative, scoping, or integrative—should suit the objective of the study. Critical, integrative, and theoretical reviews are especially helpful in interdisciplinary research, enabling new frameworks and insights. A good literature review provides both a basis of knowledge and a foundation for critique and development.</w:t>
      </w:r>
    </w:p>
    <w:p w14:paraId="73E3CBFD" w14:textId="77777777" w:rsidR="00CD5493" w:rsidRDefault="00CD5493" w:rsidP="00CD5493">
      <w:pPr>
        <w:spacing w:after="0"/>
        <w:rPr>
          <w:rFonts w:ascii="Times New Roman" w:hAnsi="Times New Roman" w:cs="Times New Roman"/>
          <w:b/>
          <w:sz w:val="24"/>
          <w:szCs w:val="24"/>
          <w:lang w:val="en-GB"/>
        </w:rPr>
      </w:pPr>
    </w:p>
    <w:tbl>
      <w:tblPr>
        <w:tblStyle w:val="11"/>
        <w:tblW w:w="0" w:type="auto"/>
        <w:tblLook w:val="04A0" w:firstRow="1" w:lastRow="0" w:firstColumn="1" w:lastColumn="0" w:noHBand="0" w:noVBand="1"/>
      </w:tblPr>
      <w:tblGrid>
        <w:gridCol w:w="516"/>
        <w:gridCol w:w="1452"/>
        <w:gridCol w:w="965"/>
        <w:gridCol w:w="1925"/>
        <w:gridCol w:w="1979"/>
        <w:gridCol w:w="1877"/>
        <w:gridCol w:w="1835"/>
        <w:gridCol w:w="2401"/>
      </w:tblGrid>
      <w:tr w:rsidR="00CD5493" w14:paraId="0F249A37" w14:textId="77777777" w:rsidTr="00D95089">
        <w:trPr>
          <w:cnfStyle w:val="100000000000" w:firstRow="1" w:lastRow="0" w:firstColumn="0" w:lastColumn="0" w:oddVBand="0" w:evenVBand="0" w:oddHBand="0" w:evenHBand="0" w:firstRowFirstColumn="0" w:firstRowLastColumn="0" w:lastRowFirstColumn="0" w:lastRowLastColumn="0"/>
          <w:trHeight w:val="900"/>
        </w:trPr>
        <w:tc>
          <w:tcPr>
            <w:cnfStyle w:val="001000000000" w:firstRow="0" w:lastRow="0" w:firstColumn="1" w:lastColumn="0" w:oddVBand="0" w:evenVBand="0" w:oddHBand="0" w:evenHBand="0" w:firstRowFirstColumn="0" w:firstRowLastColumn="0" w:lastRowFirstColumn="0" w:lastRowLastColumn="0"/>
            <w:tcW w:w="500" w:type="dxa"/>
          </w:tcPr>
          <w:p w14:paraId="0515994E" w14:textId="77777777" w:rsidR="00CD5493" w:rsidRDefault="00CD5493" w:rsidP="00D95089">
            <w:pPr>
              <w:spacing w:line="240" w:lineRule="auto"/>
              <w:rPr>
                <w:rFonts w:ascii="Times New Roman" w:hAnsi="Times New Roman" w:cs="Times New Roman"/>
                <w:b w:val="0"/>
                <w:szCs w:val="20"/>
                <w:lang w:val="en-GB"/>
              </w:rPr>
            </w:pPr>
            <w:r>
              <w:rPr>
                <w:rFonts w:ascii="Times New Roman" w:hAnsi="Times New Roman" w:cs="Times New Roman"/>
                <w:bCs w:val="0"/>
                <w:szCs w:val="20"/>
                <w:lang w:val="en-GB"/>
              </w:rPr>
              <w:t>#</w:t>
            </w:r>
          </w:p>
        </w:tc>
        <w:tc>
          <w:tcPr>
            <w:tcW w:w="1800" w:type="dxa"/>
          </w:tcPr>
          <w:p w14:paraId="28A70A7F" w14:textId="77777777" w:rsidR="00CD5493" w:rsidRDefault="00CD5493" w:rsidP="00D95089">
            <w:pPr>
              <w:spacing w:line="24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Cs w:val="20"/>
                <w:lang w:val="en-GB"/>
              </w:rPr>
            </w:pPr>
            <w:r>
              <w:rPr>
                <w:rFonts w:ascii="Times New Roman" w:hAnsi="Times New Roman" w:cs="Times New Roman"/>
                <w:bCs w:val="0"/>
                <w:szCs w:val="20"/>
                <w:lang w:val="en-GB"/>
              </w:rPr>
              <w:t>Author</w:t>
            </w:r>
          </w:p>
        </w:tc>
        <w:tc>
          <w:tcPr>
            <w:tcW w:w="3740" w:type="dxa"/>
          </w:tcPr>
          <w:p w14:paraId="2B4A76B7" w14:textId="77777777" w:rsidR="00CD5493" w:rsidRDefault="00CD5493" w:rsidP="00D95089">
            <w:pPr>
              <w:spacing w:line="24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Cs w:val="20"/>
                <w:lang w:val="en-GB"/>
              </w:rPr>
            </w:pPr>
            <w:r>
              <w:rPr>
                <w:rFonts w:ascii="Times New Roman" w:hAnsi="Times New Roman" w:cs="Times New Roman"/>
                <w:bCs w:val="0"/>
                <w:szCs w:val="20"/>
                <w:lang w:val="en-GB"/>
              </w:rPr>
              <w:t>Year</w:t>
            </w:r>
          </w:p>
        </w:tc>
        <w:tc>
          <w:tcPr>
            <w:tcW w:w="3320" w:type="dxa"/>
          </w:tcPr>
          <w:p w14:paraId="62B91662" w14:textId="77777777" w:rsidR="00CD5493" w:rsidRDefault="00CD5493" w:rsidP="00D95089">
            <w:pPr>
              <w:spacing w:line="24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Cs w:val="20"/>
                <w:lang w:val="en-GB"/>
              </w:rPr>
            </w:pPr>
            <w:r>
              <w:rPr>
                <w:rFonts w:ascii="Times New Roman" w:hAnsi="Times New Roman" w:cs="Times New Roman"/>
                <w:bCs w:val="0"/>
                <w:szCs w:val="20"/>
                <w:lang w:val="en-GB"/>
              </w:rPr>
              <w:t>Title</w:t>
            </w:r>
          </w:p>
        </w:tc>
        <w:tc>
          <w:tcPr>
            <w:tcW w:w="4120" w:type="dxa"/>
          </w:tcPr>
          <w:p w14:paraId="719C8783" w14:textId="77777777" w:rsidR="00CD5493" w:rsidRDefault="00CD5493" w:rsidP="00D95089">
            <w:pPr>
              <w:spacing w:line="24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Cs w:val="20"/>
                <w:lang w:val="en-GB"/>
              </w:rPr>
            </w:pPr>
            <w:r>
              <w:rPr>
                <w:rFonts w:ascii="Times New Roman" w:hAnsi="Times New Roman" w:cs="Times New Roman"/>
                <w:bCs w:val="0"/>
                <w:szCs w:val="20"/>
                <w:lang w:val="en-GB"/>
              </w:rPr>
              <w:t>Source</w:t>
            </w:r>
          </w:p>
        </w:tc>
        <w:tc>
          <w:tcPr>
            <w:tcW w:w="2860" w:type="dxa"/>
          </w:tcPr>
          <w:p w14:paraId="1D07AB99" w14:textId="77777777" w:rsidR="00CD5493" w:rsidRDefault="00CD5493" w:rsidP="00D95089">
            <w:pPr>
              <w:spacing w:line="24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Cs w:val="20"/>
                <w:lang w:val="en-GB"/>
              </w:rPr>
            </w:pPr>
            <w:r>
              <w:rPr>
                <w:rFonts w:ascii="Times New Roman" w:hAnsi="Times New Roman" w:cs="Times New Roman"/>
                <w:bCs w:val="0"/>
                <w:szCs w:val="20"/>
                <w:lang w:val="en-GB"/>
              </w:rPr>
              <w:t>Summary</w:t>
            </w:r>
          </w:p>
        </w:tc>
        <w:tc>
          <w:tcPr>
            <w:tcW w:w="2460" w:type="dxa"/>
          </w:tcPr>
          <w:p w14:paraId="4A4EBB90" w14:textId="77777777" w:rsidR="00CD5493" w:rsidRDefault="00CD5493" w:rsidP="00D95089">
            <w:pPr>
              <w:spacing w:line="24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Cs w:val="20"/>
                <w:lang w:val="en-GB"/>
              </w:rPr>
            </w:pPr>
            <w:r>
              <w:rPr>
                <w:rFonts w:ascii="Times New Roman" w:hAnsi="Times New Roman" w:cs="Times New Roman"/>
                <w:bCs w:val="0"/>
                <w:szCs w:val="20"/>
                <w:lang w:val="en-GB"/>
              </w:rPr>
              <w:t>Keywords</w:t>
            </w:r>
          </w:p>
        </w:tc>
        <w:tc>
          <w:tcPr>
            <w:tcW w:w="2460" w:type="dxa"/>
          </w:tcPr>
          <w:p w14:paraId="497E58E1" w14:textId="77777777" w:rsidR="00CD5493" w:rsidRDefault="00CD5493" w:rsidP="00D95089">
            <w:pPr>
              <w:spacing w:line="24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Cs w:val="20"/>
                <w:lang w:val="en-GB"/>
              </w:rPr>
            </w:pPr>
            <w:r>
              <w:rPr>
                <w:rFonts w:ascii="Times New Roman" w:hAnsi="Times New Roman" w:cs="Times New Roman"/>
                <w:bCs w:val="0"/>
                <w:szCs w:val="20"/>
                <w:lang w:val="en-GB"/>
              </w:rPr>
              <w:t>Research Question/Topic/Problems</w:t>
            </w:r>
          </w:p>
        </w:tc>
      </w:tr>
      <w:tr w:rsidR="00CD5493" w14:paraId="69A2734C" w14:textId="77777777" w:rsidTr="00D95089">
        <w:trPr>
          <w:trHeight w:val="21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0A3CE7BB"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1</w:t>
            </w:r>
          </w:p>
        </w:tc>
        <w:tc>
          <w:tcPr>
            <w:tcW w:w="1800" w:type="dxa"/>
            <w:shd w:val="clear" w:color="auto" w:fill="F2F2F2" w:themeFill="background1" w:themeFillShade="F2"/>
          </w:tcPr>
          <w:p w14:paraId="5D92A9C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Cui, J.</w:t>
            </w:r>
          </w:p>
        </w:tc>
        <w:tc>
          <w:tcPr>
            <w:tcW w:w="3740" w:type="dxa"/>
            <w:shd w:val="clear" w:color="auto" w:fill="F2F2F2" w:themeFill="background1" w:themeFillShade="F2"/>
          </w:tcPr>
          <w:p w14:paraId="5E89188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2025</w:t>
            </w:r>
          </w:p>
        </w:tc>
        <w:tc>
          <w:tcPr>
            <w:tcW w:w="3320" w:type="dxa"/>
            <w:shd w:val="clear" w:color="auto" w:fill="F2F2F2" w:themeFill="background1" w:themeFillShade="F2"/>
          </w:tcPr>
          <w:p w14:paraId="4C7DF07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The Explore of Knowledge Management Dynamic Capabilities, AI-Driven Knowledge Sharing...</w:t>
            </w:r>
          </w:p>
        </w:tc>
        <w:tc>
          <w:tcPr>
            <w:tcW w:w="4120" w:type="dxa"/>
            <w:shd w:val="clear" w:color="auto" w:fill="F2F2F2" w:themeFill="background1" w:themeFillShade="F2"/>
          </w:tcPr>
          <w:p w14:paraId="167E084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ResearchGate</w:t>
            </w:r>
          </w:p>
        </w:tc>
        <w:tc>
          <w:tcPr>
            <w:tcW w:w="2860" w:type="dxa"/>
            <w:shd w:val="clear" w:color="auto" w:fill="F2F2F2" w:themeFill="background1" w:themeFillShade="F2"/>
          </w:tcPr>
          <w:p w14:paraId="7C0F59F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improves knowledge, learning, performance in Chinese firms; empirically analysed.</w:t>
            </w:r>
          </w:p>
        </w:tc>
        <w:tc>
          <w:tcPr>
            <w:tcW w:w="2460" w:type="dxa"/>
            <w:shd w:val="clear" w:color="auto" w:fill="F2F2F2" w:themeFill="background1" w:themeFillShade="F2"/>
          </w:tcPr>
          <w:p w14:paraId="73FC177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knowledge sharing, job performance, KM</w:t>
            </w:r>
          </w:p>
        </w:tc>
        <w:tc>
          <w:tcPr>
            <w:tcW w:w="2460" w:type="dxa"/>
            <w:shd w:val="clear" w:color="auto" w:fill="F2F2F2" w:themeFill="background1" w:themeFillShade="F2"/>
          </w:tcPr>
          <w:p w14:paraId="291D71C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 AI, support, and learning impact performance in tech firms?</w:t>
            </w:r>
          </w:p>
        </w:tc>
      </w:tr>
      <w:tr w:rsidR="00CD5493" w14:paraId="34407F45"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182E178F" w14:textId="77777777" w:rsidR="00CD5493" w:rsidRDefault="00CD5493" w:rsidP="00D95089">
            <w:pPr>
              <w:spacing w:line="240" w:lineRule="auto"/>
              <w:rPr>
                <w:rFonts w:ascii="Times New Roman" w:hAnsi="Times New Roman" w:cs="Times New Roman"/>
                <w:b w:val="0"/>
                <w:bCs w:val="0"/>
                <w:color w:val="000000" w:themeColor="text1"/>
                <w:szCs w:val="20"/>
                <w:lang w:val="en-GB"/>
              </w:rPr>
            </w:pPr>
            <w:r>
              <w:rPr>
                <w:rFonts w:ascii="Times New Roman" w:hAnsi="Times New Roman" w:cs="Times New Roman"/>
                <w:color w:val="000000" w:themeColor="text1"/>
                <w:szCs w:val="20"/>
                <w:lang w:val="en-GB"/>
              </w:rPr>
              <w:lastRenderedPageBreak/>
              <w:t>2</w:t>
            </w:r>
          </w:p>
        </w:tc>
        <w:tc>
          <w:tcPr>
            <w:tcW w:w="1800" w:type="dxa"/>
          </w:tcPr>
          <w:p w14:paraId="3B4A807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0"/>
                <w:lang w:val="en-GB"/>
              </w:rPr>
            </w:pPr>
            <w:r>
              <w:rPr>
                <w:rFonts w:ascii="Times New Roman" w:hAnsi="Times New Roman" w:cs="Times New Roman"/>
                <w:color w:val="000000" w:themeColor="text1"/>
                <w:szCs w:val="20"/>
                <w:lang w:val="en-GB"/>
              </w:rPr>
              <w:t>Li, N. et al.</w:t>
            </w:r>
          </w:p>
        </w:tc>
        <w:tc>
          <w:tcPr>
            <w:tcW w:w="3740" w:type="dxa"/>
          </w:tcPr>
          <w:p w14:paraId="342F6C4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0"/>
                <w:lang w:val="en-GB"/>
              </w:rPr>
            </w:pPr>
            <w:r>
              <w:rPr>
                <w:rFonts w:ascii="Times New Roman" w:hAnsi="Times New Roman" w:cs="Times New Roman"/>
                <w:color w:val="000000" w:themeColor="text1"/>
                <w:szCs w:val="20"/>
                <w:lang w:val="en-GB"/>
              </w:rPr>
              <w:t>2022</w:t>
            </w:r>
          </w:p>
        </w:tc>
        <w:tc>
          <w:tcPr>
            <w:tcW w:w="3320" w:type="dxa"/>
          </w:tcPr>
          <w:p w14:paraId="1A5A0D8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0"/>
                <w:lang w:val="en-GB"/>
              </w:rPr>
            </w:pPr>
            <w:r>
              <w:rPr>
                <w:rFonts w:ascii="Times New Roman" w:hAnsi="Times New Roman" w:cs="Times New Roman"/>
                <w:color w:val="000000" w:themeColor="text1"/>
                <w:szCs w:val="20"/>
                <w:lang w:val="en-GB"/>
              </w:rPr>
              <w:t>Artificial Intelligence Capability and Organisational Creativity</w:t>
            </w:r>
          </w:p>
        </w:tc>
        <w:tc>
          <w:tcPr>
            <w:tcW w:w="4120" w:type="dxa"/>
          </w:tcPr>
          <w:p w14:paraId="0BC6BCA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0"/>
                <w:lang w:val="en-GB"/>
              </w:rPr>
            </w:pPr>
            <w:r>
              <w:rPr>
                <w:rFonts w:ascii="Times New Roman" w:hAnsi="Times New Roman" w:cs="Times New Roman"/>
                <w:color w:val="000000" w:themeColor="text1"/>
                <w:szCs w:val="20"/>
                <w:lang w:val="en-GB"/>
              </w:rPr>
              <w:t>Frontiers in Psychology</w:t>
            </w:r>
          </w:p>
        </w:tc>
        <w:tc>
          <w:tcPr>
            <w:tcW w:w="2860" w:type="dxa"/>
          </w:tcPr>
          <w:p w14:paraId="62412C9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0"/>
                <w:lang w:val="en-GB"/>
              </w:rPr>
            </w:pPr>
            <w:r>
              <w:rPr>
                <w:rFonts w:ascii="Times New Roman" w:hAnsi="Times New Roman" w:cs="Times New Roman"/>
                <w:color w:val="000000" w:themeColor="text1"/>
                <w:szCs w:val="20"/>
                <w:lang w:val="en-GB"/>
              </w:rPr>
              <w:t>AI boosts knowledge sharing, creativity, cohesion, and innovation via surveys.</w:t>
            </w:r>
          </w:p>
        </w:tc>
        <w:tc>
          <w:tcPr>
            <w:tcW w:w="2460" w:type="dxa"/>
          </w:tcPr>
          <w:p w14:paraId="79594ED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0"/>
                <w:lang w:val="en-GB"/>
              </w:rPr>
            </w:pPr>
            <w:r>
              <w:rPr>
                <w:rFonts w:ascii="Times New Roman" w:hAnsi="Times New Roman" w:cs="Times New Roman"/>
                <w:color w:val="000000" w:themeColor="text1"/>
                <w:szCs w:val="20"/>
                <w:lang w:val="en-GB"/>
              </w:rPr>
              <w:t>AI capability, creativity, cohesion, knowledge sharing</w:t>
            </w:r>
          </w:p>
        </w:tc>
        <w:tc>
          <w:tcPr>
            <w:tcW w:w="2460" w:type="dxa"/>
          </w:tcPr>
          <w:p w14:paraId="7233473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0"/>
                <w:lang w:val="en-GB"/>
              </w:rPr>
            </w:pPr>
            <w:r>
              <w:rPr>
                <w:rFonts w:ascii="Times New Roman" w:hAnsi="Times New Roman" w:cs="Times New Roman"/>
                <w:color w:val="000000" w:themeColor="text1"/>
                <w:szCs w:val="20"/>
                <w:lang w:val="en-GB"/>
              </w:rPr>
              <w:t>Link between AI, knowledge sharing, and creativity</w:t>
            </w:r>
          </w:p>
        </w:tc>
      </w:tr>
      <w:tr w:rsidR="00CD5493" w14:paraId="0E0C681B"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295F5601"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3</w:t>
            </w:r>
          </w:p>
        </w:tc>
        <w:tc>
          <w:tcPr>
            <w:tcW w:w="1800" w:type="dxa"/>
            <w:shd w:val="clear" w:color="auto" w:fill="F2F2F2" w:themeFill="background1" w:themeFillShade="F2"/>
          </w:tcPr>
          <w:p w14:paraId="4973395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proofErr w:type="spellStart"/>
            <w:r>
              <w:rPr>
                <w:rFonts w:ascii="Times New Roman" w:hAnsi="Times New Roman" w:cs="Times New Roman"/>
                <w:szCs w:val="20"/>
                <w:lang w:val="en-GB"/>
              </w:rPr>
              <w:t>Binsaeed</w:t>
            </w:r>
            <w:proofErr w:type="spellEnd"/>
            <w:r>
              <w:rPr>
                <w:rFonts w:ascii="Times New Roman" w:hAnsi="Times New Roman" w:cs="Times New Roman"/>
                <w:szCs w:val="20"/>
                <w:lang w:val="en-GB"/>
              </w:rPr>
              <w:t>, R.H. et al.</w:t>
            </w:r>
          </w:p>
        </w:tc>
        <w:tc>
          <w:tcPr>
            <w:tcW w:w="3740" w:type="dxa"/>
            <w:shd w:val="clear" w:color="auto" w:fill="F2F2F2" w:themeFill="background1" w:themeFillShade="F2"/>
          </w:tcPr>
          <w:p w14:paraId="646B4AF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2023</w:t>
            </w:r>
          </w:p>
        </w:tc>
        <w:tc>
          <w:tcPr>
            <w:tcW w:w="3320" w:type="dxa"/>
            <w:shd w:val="clear" w:color="auto" w:fill="F2F2F2" w:themeFill="background1" w:themeFillShade="F2"/>
          </w:tcPr>
          <w:p w14:paraId="0327E4D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Knowledge Sharing: A Key Issue for Digital Technology and Artificial Intelligence Adoption</w:t>
            </w:r>
          </w:p>
        </w:tc>
        <w:tc>
          <w:tcPr>
            <w:tcW w:w="4120" w:type="dxa"/>
            <w:shd w:val="clear" w:color="auto" w:fill="F2F2F2" w:themeFill="background1" w:themeFillShade="F2"/>
          </w:tcPr>
          <w:p w14:paraId="2C81B57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Systems</w:t>
            </w:r>
          </w:p>
        </w:tc>
        <w:tc>
          <w:tcPr>
            <w:tcW w:w="2860" w:type="dxa"/>
            <w:shd w:val="clear" w:color="auto" w:fill="F2F2F2" w:themeFill="background1" w:themeFillShade="F2"/>
          </w:tcPr>
          <w:p w14:paraId="071A542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Identifies AI adoption barriers/enablers; highlights trust, security, hybrid systems.</w:t>
            </w:r>
          </w:p>
        </w:tc>
        <w:tc>
          <w:tcPr>
            <w:tcW w:w="2460" w:type="dxa"/>
            <w:shd w:val="clear" w:color="auto" w:fill="F2F2F2" w:themeFill="background1" w:themeFillShade="F2"/>
          </w:tcPr>
          <w:p w14:paraId="181BD53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Knowledge barriers, AI adoption, digital systems</w:t>
            </w:r>
          </w:p>
        </w:tc>
        <w:tc>
          <w:tcPr>
            <w:tcW w:w="2460" w:type="dxa"/>
            <w:shd w:val="clear" w:color="auto" w:fill="F2F2F2" w:themeFill="background1" w:themeFillShade="F2"/>
          </w:tcPr>
          <w:p w14:paraId="7ED0099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hinders/enables AI-based knowledge sharing?</w:t>
            </w:r>
          </w:p>
        </w:tc>
      </w:tr>
      <w:tr w:rsidR="00CD5493" w14:paraId="35A502B6" w14:textId="77777777" w:rsidTr="00D95089">
        <w:trPr>
          <w:trHeight w:val="1800"/>
        </w:trPr>
        <w:tc>
          <w:tcPr>
            <w:cnfStyle w:val="001000000000" w:firstRow="0" w:lastRow="0" w:firstColumn="1" w:lastColumn="0" w:oddVBand="0" w:evenVBand="0" w:oddHBand="0" w:evenHBand="0" w:firstRowFirstColumn="0" w:firstRowLastColumn="0" w:lastRowFirstColumn="0" w:lastRowLastColumn="0"/>
            <w:tcW w:w="500" w:type="dxa"/>
          </w:tcPr>
          <w:p w14:paraId="0D0298AC"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4</w:t>
            </w:r>
          </w:p>
        </w:tc>
        <w:tc>
          <w:tcPr>
            <w:tcW w:w="1800" w:type="dxa"/>
          </w:tcPr>
          <w:p w14:paraId="37A7AF3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Olan, F. et al.</w:t>
            </w:r>
          </w:p>
        </w:tc>
        <w:tc>
          <w:tcPr>
            <w:tcW w:w="3740" w:type="dxa"/>
          </w:tcPr>
          <w:p w14:paraId="36F8A0D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7B3E971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A Knowledge-Sharing Tool for Improving Employees’ Performance</w:t>
            </w:r>
          </w:p>
        </w:tc>
        <w:tc>
          <w:tcPr>
            <w:tcW w:w="4120" w:type="dxa"/>
          </w:tcPr>
          <w:p w14:paraId="2B364DE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Journal of Decision Systems</w:t>
            </w:r>
          </w:p>
        </w:tc>
        <w:tc>
          <w:tcPr>
            <w:tcW w:w="2860" w:type="dxa"/>
          </w:tcPr>
          <w:p w14:paraId="5D5771F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Analyses AI’s impact on knowledge sharing and employee innovation.</w:t>
            </w:r>
          </w:p>
        </w:tc>
        <w:tc>
          <w:tcPr>
            <w:tcW w:w="2460" w:type="dxa"/>
          </w:tcPr>
          <w:p w14:paraId="7EBB921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tools, performance, employee innovation, culture</w:t>
            </w:r>
          </w:p>
        </w:tc>
        <w:tc>
          <w:tcPr>
            <w:tcW w:w="2460" w:type="dxa"/>
          </w:tcPr>
          <w:p w14:paraId="7CDFED7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can AI tools drive workplace knowledge sharing?</w:t>
            </w:r>
          </w:p>
        </w:tc>
      </w:tr>
      <w:tr w:rsidR="00CD5493" w14:paraId="1BF8BF09"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1665C0EF"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5</w:t>
            </w:r>
          </w:p>
        </w:tc>
        <w:tc>
          <w:tcPr>
            <w:tcW w:w="1800" w:type="dxa"/>
            <w:shd w:val="clear" w:color="auto" w:fill="F2F2F2" w:themeFill="background1" w:themeFillShade="F2"/>
          </w:tcPr>
          <w:p w14:paraId="58A748D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Abulsaoud Younis, R. &amp; Adel, H.M.</w:t>
            </w:r>
          </w:p>
        </w:tc>
        <w:tc>
          <w:tcPr>
            <w:tcW w:w="3740" w:type="dxa"/>
            <w:shd w:val="clear" w:color="auto" w:fill="F2F2F2" w:themeFill="background1" w:themeFillShade="F2"/>
          </w:tcPr>
          <w:p w14:paraId="24A367C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2020</w:t>
            </w:r>
          </w:p>
        </w:tc>
        <w:tc>
          <w:tcPr>
            <w:tcW w:w="3320" w:type="dxa"/>
            <w:shd w:val="clear" w:color="auto" w:fill="F2F2F2" w:themeFill="background1" w:themeFillShade="F2"/>
          </w:tcPr>
          <w:p w14:paraId="2BD041A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Artificial Intelligence Strategy, Creativity-Oriented HRM, and Knowledge-Sharing Quality</w:t>
            </w:r>
          </w:p>
        </w:tc>
        <w:tc>
          <w:tcPr>
            <w:tcW w:w="4120" w:type="dxa"/>
            <w:shd w:val="clear" w:color="auto" w:fill="F2F2F2" w:themeFill="background1" w:themeFillShade="F2"/>
          </w:tcPr>
          <w:p w14:paraId="6F73D57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BAM Conference Proceedings</w:t>
            </w:r>
          </w:p>
        </w:tc>
        <w:tc>
          <w:tcPr>
            <w:tcW w:w="2860" w:type="dxa"/>
            <w:shd w:val="clear" w:color="auto" w:fill="F2F2F2" w:themeFill="background1" w:themeFillShade="F2"/>
          </w:tcPr>
          <w:p w14:paraId="49D15E1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Examines AI HRM’s effect on creativity; highlights training, platform quality.</w:t>
            </w:r>
          </w:p>
        </w:tc>
        <w:tc>
          <w:tcPr>
            <w:tcW w:w="2460" w:type="dxa"/>
            <w:shd w:val="clear" w:color="auto" w:fill="F2F2F2" w:themeFill="background1" w:themeFillShade="F2"/>
          </w:tcPr>
          <w:p w14:paraId="0012AD9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strategy, HRM, performance, creativity</w:t>
            </w:r>
          </w:p>
        </w:tc>
        <w:tc>
          <w:tcPr>
            <w:tcW w:w="2460" w:type="dxa"/>
            <w:shd w:val="clear" w:color="auto" w:fill="F2F2F2" w:themeFill="background1" w:themeFillShade="F2"/>
          </w:tcPr>
          <w:p w14:paraId="679A0D2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 AI, HRM, and KS impact creativity?</w:t>
            </w:r>
          </w:p>
        </w:tc>
      </w:tr>
      <w:tr w:rsidR="00CD5493" w14:paraId="025EC946"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30C58028"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6</w:t>
            </w:r>
          </w:p>
        </w:tc>
        <w:tc>
          <w:tcPr>
            <w:tcW w:w="1800" w:type="dxa"/>
          </w:tcPr>
          <w:p w14:paraId="23D247B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Nguyen, T.M. &amp; Malik, A.</w:t>
            </w:r>
          </w:p>
        </w:tc>
        <w:tc>
          <w:tcPr>
            <w:tcW w:w="3740" w:type="dxa"/>
          </w:tcPr>
          <w:p w14:paraId="5516E2E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2022</w:t>
            </w:r>
          </w:p>
        </w:tc>
        <w:tc>
          <w:tcPr>
            <w:tcW w:w="3320" w:type="dxa"/>
          </w:tcPr>
          <w:p w14:paraId="6A0B3EB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Impact of Knowledge Sharing on Employees’ Service Quality</w:t>
            </w:r>
          </w:p>
        </w:tc>
        <w:tc>
          <w:tcPr>
            <w:tcW w:w="4120" w:type="dxa"/>
          </w:tcPr>
          <w:p w14:paraId="4C72A07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International Marketing Review</w:t>
            </w:r>
          </w:p>
        </w:tc>
        <w:tc>
          <w:tcPr>
            <w:tcW w:w="2860" w:type="dxa"/>
          </w:tcPr>
          <w:p w14:paraId="6481E95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moderates knowledge sharing and service quality; NLP aids management.</w:t>
            </w:r>
          </w:p>
        </w:tc>
        <w:tc>
          <w:tcPr>
            <w:tcW w:w="2460" w:type="dxa"/>
          </w:tcPr>
          <w:p w14:paraId="66E183B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NLP, service quality, AI moderation, KS</w:t>
            </w:r>
          </w:p>
        </w:tc>
        <w:tc>
          <w:tcPr>
            <w:tcW w:w="2460" w:type="dxa"/>
          </w:tcPr>
          <w:p w14:paraId="7487373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does AI moderate KS-service quality links?</w:t>
            </w:r>
          </w:p>
        </w:tc>
      </w:tr>
      <w:tr w:rsidR="00CD5493" w14:paraId="1E4D4616" w14:textId="77777777" w:rsidTr="00D95089">
        <w:trPr>
          <w:trHeight w:val="18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095C3935"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lastRenderedPageBreak/>
              <w:t>7</w:t>
            </w:r>
          </w:p>
        </w:tc>
        <w:tc>
          <w:tcPr>
            <w:tcW w:w="1800" w:type="dxa"/>
            <w:shd w:val="clear" w:color="auto" w:fill="F2F2F2" w:themeFill="background1" w:themeFillShade="F2"/>
          </w:tcPr>
          <w:p w14:paraId="320B514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Wang, B., Asan, O. &amp; Mansouri, M.</w:t>
            </w:r>
          </w:p>
        </w:tc>
        <w:tc>
          <w:tcPr>
            <w:tcW w:w="3740" w:type="dxa"/>
            <w:shd w:val="clear" w:color="auto" w:fill="F2F2F2" w:themeFill="background1" w:themeFillShade="F2"/>
          </w:tcPr>
          <w:p w14:paraId="7739723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2022</w:t>
            </w:r>
          </w:p>
        </w:tc>
        <w:tc>
          <w:tcPr>
            <w:tcW w:w="3320" w:type="dxa"/>
            <w:shd w:val="clear" w:color="auto" w:fill="F2F2F2" w:themeFill="background1" w:themeFillShade="F2"/>
          </w:tcPr>
          <w:p w14:paraId="71DF6E5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Patients’ Perceptions of Integrating AI into Healthcare: Systems Thinking Approach</w:t>
            </w:r>
          </w:p>
        </w:tc>
        <w:tc>
          <w:tcPr>
            <w:tcW w:w="4120" w:type="dxa"/>
            <w:shd w:val="clear" w:color="auto" w:fill="F2F2F2" w:themeFill="background1" w:themeFillShade="F2"/>
          </w:tcPr>
          <w:p w14:paraId="239A388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IEEE ISSE</w:t>
            </w:r>
          </w:p>
        </w:tc>
        <w:tc>
          <w:tcPr>
            <w:tcW w:w="2860" w:type="dxa"/>
            <w:shd w:val="clear" w:color="auto" w:fill="F2F2F2" w:themeFill="background1" w:themeFillShade="F2"/>
          </w:tcPr>
          <w:p w14:paraId="6E789E2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Patients’ views on AI in healthcare show trust, interaction concerns.</w:t>
            </w:r>
          </w:p>
        </w:tc>
        <w:tc>
          <w:tcPr>
            <w:tcW w:w="2460" w:type="dxa"/>
            <w:shd w:val="clear" w:color="auto" w:fill="F2F2F2" w:themeFill="background1" w:themeFillShade="F2"/>
          </w:tcPr>
          <w:p w14:paraId="24579CE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in healthcare, systems thinking, patient trust</w:t>
            </w:r>
          </w:p>
        </w:tc>
        <w:tc>
          <w:tcPr>
            <w:tcW w:w="2460" w:type="dxa"/>
            <w:shd w:val="clear" w:color="auto" w:fill="F2F2F2" w:themeFill="background1" w:themeFillShade="F2"/>
          </w:tcPr>
          <w:p w14:paraId="502B0AE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 patients perceive AI’s role in healthcare systems?</w:t>
            </w:r>
          </w:p>
        </w:tc>
      </w:tr>
      <w:tr w:rsidR="00CD5493" w14:paraId="472AFD92" w14:textId="77777777" w:rsidTr="00D95089">
        <w:trPr>
          <w:trHeight w:val="1800"/>
        </w:trPr>
        <w:tc>
          <w:tcPr>
            <w:cnfStyle w:val="001000000000" w:firstRow="0" w:lastRow="0" w:firstColumn="1" w:lastColumn="0" w:oddVBand="0" w:evenVBand="0" w:oddHBand="0" w:evenHBand="0" w:firstRowFirstColumn="0" w:firstRowLastColumn="0" w:lastRowFirstColumn="0" w:lastRowLastColumn="0"/>
            <w:tcW w:w="500" w:type="dxa"/>
          </w:tcPr>
          <w:p w14:paraId="1586867F"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8</w:t>
            </w:r>
          </w:p>
        </w:tc>
        <w:tc>
          <w:tcPr>
            <w:tcW w:w="1800" w:type="dxa"/>
          </w:tcPr>
          <w:p w14:paraId="64E27B1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Gong, Q., Fan, D. &amp; Bartram, T.</w:t>
            </w:r>
          </w:p>
        </w:tc>
        <w:tc>
          <w:tcPr>
            <w:tcW w:w="3740" w:type="dxa"/>
          </w:tcPr>
          <w:p w14:paraId="5F983F9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2025</w:t>
            </w:r>
          </w:p>
        </w:tc>
        <w:tc>
          <w:tcPr>
            <w:tcW w:w="3320" w:type="dxa"/>
          </w:tcPr>
          <w:p w14:paraId="6ECBC2A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Integrating Artificial Intelligence and Human Resource Management: A Review and Future Research Agenda</w:t>
            </w:r>
          </w:p>
        </w:tc>
        <w:tc>
          <w:tcPr>
            <w:tcW w:w="4120" w:type="dxa"/>
          </w:tcPr>
          <w:p w14:paraId="19F7F2E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The International Journal of Human Resource Management</w:t>
            </w:r>
          </w:p>
        </w:tc>
        <w:tc>
          <w:tcPr>
            <w:tcW w:w="2860" w:type="dxa"/>
          </w:tcPr>
          <w:p w14:paraId="582EB7E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Literature review on AI-HRM integration, gaps, and future research agenda.</w:t>
            </w:r>
          </w:p>
        </w:tc>
        <w:tc>
          <w:tcPr>
            <w:tcW w:w="2460" w:type="dxa"/>
          </w:tcPr>
          <w:p w14:paraId="1352CC6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AI-HRM integration, future trends, HR practices</w:t>
            </w:r>
          </w:p>
        </w:tc>
        <w:tc>
          <w:tcPr>
            <w:tcW w:w="2460" w:type="dxa"/>
          </w:tcPr>
          <w:p w14:paraId="6A79367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are the challenges and future directions in integrating AI with HRM?</w:t>
            </w:r>
          </w:p>
        </w:tc>
      </w:tr>
      <w:tr w:rsidR="00CD5493" w14:paraId="5C01EA50" w14:textId="77777777" w:rsidTr="00D95089">
        <w:trPr>
          <w:trHeight w:val="18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574EA66D"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9</w:t>
            </w:r>
          </w:p>
        </w:tc>
        <w:tc>
          <w:tcPr>
            <w:tcW w:w="1800" w:type="dxa"/>
            <w:shd w:val="clear" w:color="auto" w:fill="F2F2F2" w:themeFill="background1" w:themeFillShade="F2"/>
          </w:tcPr>
          <w:p w14:paraId="7F537C0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Ouyang, H. et al.</w:t>
            </w:r>
          </w:p>
        </w:tc>
        <w:tc>
          <w:tcPr>
            <w:tcW w:w="3740" w:type="dxa"/>
            <w:shd w:val="clear" w:color="auto" w:fill="F2F2F2" w:themeFill="background1" w:themeFillShade="F2"/>
          </w:tcPr>
          <w:p w14:paraId="40C965D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2023</w:t>
            </w:r>
          </w:p>
        </w:tc>
        <w:tc>
          <w:tcPr>
            <w:tcW w:w="3320" w:type="dxa"/>
            <w:shd w:val="clear" w:color="auto" w:fill="F2F2F2" w:themeFill="background1" w:themeFillShade="F2"/>
          </w:tcPr>
          <w:p w14:paraId="0953DDF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Reverse Knowledge Transfer in Digital Era and Its Effect on Ambidextrous Innovation</w:t>
            </w:r>
          </w:p>
        </w:tc>
        <w:tc>
          <w:tcPr>
            <w:tcW w:w="4120" w:type="dxa"/>
            <w:shd w:val="clear" w:color="auto" w:fill="F2F2F2" w:themeFill="background1" w:themeFillShade="F2"/>
          </w:tcPr>
          <w:p w14:paraId="71771AC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proofErr w:type="spellStart"/>
            <w:r>
              <w:rPr>
                <w:rFonts w:ascii="Times New Roman" w:hAnsi="Times New Roman" w:cs="Times New Roman"/>
                <w:szCs w:val="20"/>
                <w:lang w:val="en-GB"/>
              </w:rPr>
              <w:t>Heliyon</w:t>
            </w:r>
            <w:proofErr w:type="spellEnd"/>
          </w:p>
        </w:tc>
        <w:tc>
          <w:tcPr>
            <w:tcW w:w="2860" w:type="dxa"/>
            <w:shd w:val="clear" w:color="auto" w:fill="F2F2F2" w:themeFill="background1" w:themeFillShade="F2"/>
          </w:tcPr>
          <w:p w14:paraId="014C350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Simulates system dynamics of knowledge transfer supporting exploratory and exploitative innovation.</w:t>
            </w:r>
          </w:p>
        </w:tc>
        <w:tc>
          <w:tcPr>
            <w:tcW w:w="2460" w:type="dxa"/>
            <w:shd w:val="clear" w:color="auto" w:fill="F2F2F2" w:themeFill="background1" w:themeFillShade="F2"/>
          </w:tcPr>
          <w:p w14:paraId="639AAEB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Reverse knowledge, ambidexterity, innovation, system dynamics</w:t>
            </w:r>
          </w:p>
        </w:tc>
        <w:tc>
          <w:tcPr>
            <w:tcW w:w="2460" w:type="dxa"/>
            <w:shd w:val="clear" w:color="auto" w:fill="F2F2F2" w:themeFill="background1" w:themeFillShade="F2"/>
          </w:tcPr>
          <w:p w14:paraId="402EBC7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does reverse knowledge transfer promote dual innovation strategies?</w:t>
            </w:r>
          </w:p>
        </w:tc>
      </w:tr>
      <w:tr w:rsidR="00CD5493" w14:paraId="65F7CA3B" w14:textId="77777777" w:rsidTr="00D95089">
        <w:trPr>
          <w:trHeight w:val="1800"/>
        </w:trPr>
        <w:tc>
          <w:tcPr>
            <w:cnfStyle w:val="001000000000" w:firstRow="0" w:lastRow="0" w:firstColumn="1" w:lastColumn="0" w:oddVBand="0" w:evenVBand="0" w:oddHBand="0" w:evenHBand="0" w:firstRowFirstColumn="0" w:firstRowLastColumn="0" w:lastRowFirstColumn="0" w:lastRowLastColumn="0"/>
            <w:tcW w:w="500" w:type="dxa"/>
          </w:tcPr>
          <w:p w14:paraId="5086F646"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10</w:t>
            </w:r>
          </w:p>
        </w:tc>
        <w:tc>
          <w:tcPr>
            <w:tcW w:w="1800" w:type="dxa"/>
          </w:tcPr>
          <w:p w14:paraId="64A2B4E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Zheng, L. et al.</w:t>
            </w:r>
          </w:p>
        </w:tc>
        <w:tc>
          <w:tcPr>
            <w:tcW w:w="3740" w:type="dxa"/>
          </w:tcPr>
          <w:p w14:paraId="51028A6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2025</w:t>
            </w:r>
          </w:p>
        </w:tc>
        <w:tc>
          <w:tcPr>
            <w:tcW w:w="3320" w:type="dxa"/>
          </w:tcPr>
          <w:p w14:paraId="6983BF9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Evaluation of New Smart Cities and Its Influencing Factors in the Era of Mobile Internet</w:t>
            </w:r>
          </w:p>
        </w:tc>
        <w:tc>
          <w:tcPr>
            <w:tcW w:w="4120" w:type="dxa"/>
          </w:tcPr>
          <w:p w14:paraId="7E5A1CE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Environmental Research Communications</w:t>
            </w:r>
          </w:p>
        </w:tc>
        <w:tc>
          <w:tcPr>
            <w:tcW w:w="2860" w:type="dxa"/>
          </w:tcPr>
          <w:p w14:paraId="6214DA2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Study on smart city development in China: technology, policy, citizen involvement.</w:t>
            </w:r>
          </w:p>
        </w:tc>
        <w:tc>
          <w:tcPr>
            <w:tcW w:w="2460" w:type="dxa"/>
          </w:tcPr>
          <w:p w14:paraId="5503238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Smart cities, mobile internet, urban innovation</w:t>
            </w:r>
          </w:p>
        </w:tc>
        <w:tc>
          <w:tcPr>
            <w:tcW w:w="2460" w:type="dxa"/>
          </w:tcPr>
          <w:p w14:paraId="7475CAF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factors influence smart city success in China?</w:t>
            </w:r>
          </w:p>
        </w:tc>
      </w:tr>
      <w:tr w:rsidR="00CD5493" w14:paraId="06AA2446"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6E16204F"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11</w:t>
            </w:r>
          </w:p>
        </w:tc>
        <w:tc>
          <w:tcPr>
            <w:tcW w:w="1800" w:type="dxa"/>
            <w:shd w:val="clear" w:color="auto" w:fill="F2F2F2" w:themeFill="background1" w:themeFillShade="F2"/>
          </w:tcPr>
          <w:p w14:paraId="61E25F9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Zerbini, C. et al.</w:t>
            </w:r>
          </w:p>
        </w:tc>
        <w:tc>
          <w:tcPr>
            <w:tcW w:w="3740" w:type="dxa"/>
            <w:shd w:val="clear" w:color="auto" w:fill="F2F2F2" w:themeFill="background1" w:themeFillShade="F2"/>
          </w:tcPr>
          <w:p w14:paraId="447A55C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2022</w:t>
            </w:r>
          </w:p>
        </w:tc>
        <w:tc>
          <w:tcPr>
            <w:tcW w:w="3320" w:type="dxa"/>
            <w:shd w:val="clear" w:color="auto" w:fill="F2F2F2" w:themeFill="background1" w:themeFillShade="F2"/>
          </w:tcPr>
          <w:p w14:paraId="243ACF4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Mobile Shopping Behaviour: A Bibliometric Analysis</w:t>
            </w:r>
          </w:p>
        </w:tc>
        <w:tc>
          <w:tcPr>
            <w:tcW w:w="4120" w:type="dxa"/>
            <w:shd w:val="clear" w:color="auto" w:fill="F2F2F2" w:themeFill="background1" w:themeFillShade="F2"/>
          </w:tcPr>
          <w:p w14:paraId="7F2D970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proofErr w:type="spellStart"/>
            <w:r>
              <w:rPr>
                <w:rFonts w:ascii="Times New Roman" w:hAnsi="Times New Roman" w:cs="Times New Roman"/>
                <w:szCs w:val="20"/>
                <w:lang w:val="en-GB"/>
              </w:rPr>
              <w:t>Sinergie</w:t>
            </w:r>
            <w:proofErr w:type="spellEnd"/>
            <w:r>
              <w:rPr>
                <w:rFonts w:ascii="Times New Roman" w:hAnsi="Times New Roman" w:cs="Times New Roman"/>
                <w:szCs w:val="20"/>
                <w:lang w:val="en-GB"/>
              </w:rPr>
              <w:t xml:space="preserve"> Italian Journal of Management</w:t>
            </w:r>
          </w:p>
        </w:tc>
        <w:tc>
          <w:tcPr>
            <w:tcW w:w="2860" w:type="dxa"/>
            <w:shd w:val="clear" w:color="auto" w:fill="F2F2F2" w:themeFill="background1" w:themeFillShade="F2"/>
          </w:tcPr>
          <w:p w14:paraId="1308AE8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Maps mobile shopping literature, highlighting influential works and digital commerce trends.</w:t>
            </w:r>
          </w:p>
        </w:tc>
        <w:tc>
          <w:tcPr>
            <w:tcW w:w="2460" w:type="dxa"/>
            <w:shd w:val="clear" w:color="auto" w:fill="F2F2F2" w:themeFill="background1" w:themeFillShade="F2"/>
          </w:tcPr>
          <w:p w14:paraId="4F1C64F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Mobile commerce, bibliometrics, consumer behaviour</w:t>
            </w:r>
          </w:p>
        </w:tc>
        <w:tc>
          <w:tcPr>
            <w:tcW w:w="2460" w:type="dxa"/>
            <w:shd w:val="clear" w:color="auto" w:fill="F2F2F2" w:themeFill="background1" w:themeFillShade="F2"/>
          </w:tcPr>
          <w:p w14:paraId="0F59E4C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are the research trends in mobile shopping behaviour?</w:t>
            </w:r>
          </w:p>
        </w:tc>
      </w:tr>
      <w:tr w:rsidR="00CD5493" w14:paraId="1DC7D66D"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483E4894"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lastRenderedPageBreak/>
              <w:t>12</w:t>
            </w:r>
          </w:p>
        </w:tc>
        <w:tc>
          <w:tcPr>
            <w:tcW w:w="1800" w:type="dxa"/>
          </w:tcPr>
          <w:p w14:paraId="1873239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Jeyaraj, A. et al.</w:t>
            </w:r>
          </w:p>
        </w:tc>
        <w:tc>
          <w:tcPr>
            <w:tcW w:w="3740" w:type="dxa"/>
          </w:tcPr>
          <w:p w14:paraId="142A33A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2023</w:t>
            </w:r>
          </w:p>
        </w:tc>
        <w:tc>
          <w:tcPr>
            <w:tcW w:w="3320" w:type="dxa"/>
          </w:tcPr>
          <w:p w14:paraId="320D2E1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 xml:space="preserve">Mediating Role of Social Commerce Trust in </w:t>
            </w:r>
            <w:proofErr w:type="spellStart"/>
            <w:r>
              <w:rPr>
                <w:rFonts w:ascii="Times New Roman" w:hAnsi="Times New Roman" w:cs="Times New Roman"/>
                <w:szCs w:val="20"/>
                <w:lang w:val="en-GB"/>
              </w:rPr>
              <w:t>Behavioral</w:t>
            </w:r>
            <w:proofErr w:type="spellEnd"/>
            <w:r>
              <w:rPr>
                <w:rFonts w:ascii="Times New Roman" w:hAnsi="Times New Roman" w:cs="Times New Roman"/>
                <w:szCs w:val="20"/>
                <w:lang w:val="en-GB"/>
              </w:rPr>
              <w:t xml:space="preserve"> Intention and Use</w:t>
            </w:r>
          </w:p>
        </w:tc>
        <w:tc>
          <w:tcPr>
            <w:tcW w:w="4120" w:type="dxa"/>
          </w:tcPr>
          <w:p w14:paraId="3EAD212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Information Systems Management</w:t>
            </w:r>
          </w:p>
        </w:tc>
        <w:tc>
          <w:tcPr>
            <w:tcW w:w="2860" w:type="dxa"/>
          </w:tcPr>
          <w:p w14:paraId="12DEEE3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 xml:space="preserve">Examines trust’s role in mediating </w:t>
            </w:r>
            <w:proofErr w:type="spellStart"/>
            <w:r>
              <w:rPr>
                <w:rFonts w:ascii="Times New Roman" w:hAnsi="Times New Roman" w:cs="Times New Roman"/>
                <w:szCs w:val="20"/>
                <w:lang w:val="en-GB"/>
              </w:rPr>
              <w:t>behavioral</w:t>
            </w:r>
            <w:proofErr w:type="spellEnd"/>
            <w:r>
              <w:rPr>
                <w:rFonts w:ascii="Times New Roman" w:hAnsi="Times New Roman" w:cs="Times New Roman"/>
                <w:szCs w:val="20"/>
                <w:lang w:val="en-GB"/>
              </w:rPr>
              <w:t xml:space="preserve"> intention and social commerce use.</w:t>
            </w:r>
          </w:p>
        </w:tc>
        <w:tc>
          <w:tcPr>
            <w:tcW w:w="2460" w:type="dxa"/>
          </w:tcPr>
          <w:p w14:paraId="0D650A7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Social commerce, trust, user behaviour</w:t>
            </w:r>
          </w:p>
        </w:tc>
        <w:tc>
          <w:tcPr>
            <w:tcW w:w="2460" w:type="dxa"/>
          </w:tcPr>
          <w:p w14:paraId="784F85A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does trust influence the use of social commerce?</w:t>
            </w:r>
          </w:p>
        </w:tc>
      </w:tr>
      <w:tr w:rsidR="00CD5493" w14:paraId="7EA09366" w14:textId="77777777" w:rsidTr="00D95089">
        <w:trPr>
          <w:trHeight w:val="18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1679DD41"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13</w:t>
            </w:r>
          </w:p>
        </w:tc>
        <w:tc>
          <w:tcPr>
            <w:tcW w:w="1800" w:type="dxa"/>
            <w:shd w:val="clear" w:color="auto" w:fill="F2F2F2" w:themeFill="background1" w:themeFillShade="F2"/>
          </w:tcPr>
          <w:p w14:paraId="5C29CF4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Duarte, V. et al.</w:t>
            </w:r>
          </w:p>
        </w:tc>
        <w:tc>
          <w:tcPr>
            <w:tcW w:w="3740" w:type="dxa"/>
            <w:shd w:val="clear" w:color="auto" w:fill="F2F2F2" w:themeFill="background1" w:themeFillShade="F2"/>
          </w:tcPr>
          <w:p w14:paraId="4B02516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2022</w:t>
            </w:r>
          </w:p>
        </w:tc>
        <w:tc>
          <w:tcPr>
            <w:tcW w:w="3320" w:type="dxa"/>
            <w:shd w:val="clear" w:color="auto" w:fill="F2F2F2" w:themeFill="background1" w:themeFillShade="F2"/>
          </w:tcPr>
          <w:p w14:paraId="32FAB2F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Machine Learning and Marketing: A Systematic Literature Review</w:t>
            </w:r>
          </w:p>
        </w:tc>
        <w:tc>
          <w:tcPr>
            <w:tcW w:w="4120" w:type="dxa"/>
            <w:shd w:val="clear" w:color="auto" w:fill="F2F2F2" w:themeFill="background1" w:themeFillShade="F2"/>
          </w:tcPr>
          <w:p w14:paraId="56B17F6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IEEE Access</w:t>
            </w:r>
          </w:p>
        </w:tc>
        <w:tc>
          <w:tcPr>
            <w:tcW w:w="2860" w:type="dxa"/>
            <w:shd w:val="clear" w:color="auto" w:fill="F2F2F2" w:themeFill="background1" w:themeFillShade="F2"/>
          </w:tcPr>
          <w:p w14:paraId="727291E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Reviews 150+ ML marketing articles, organised by function, with future research directions.</w:t>
            </w:r>
          </w:p>
        </w:tc>
        <w:tc>
          <w:tcPr>
            <w:tcW w:w="2460" w:type="dxa"/>
            <w:shd w:val="clear" w:color="auto" w:fill="F2F2F2" w:themeFill="background1" w:themeFillShade="F2"/>
          </w:tcPr>
          <w:p w14:paraId="305416D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Machine learning, marketing, literature review</w:t>
            </w:r>
          </w:p>
        </w:tc>
        <w:tc>
          <w:tcPr>
            <w:tcW w:w="2460" w:type="dxa"/>
            <w:shd w:val="clear" w:color="auto" w:fill="F2F2F2" w:themeFill="background1" w:themeFillShade="F2"/>
          </w:tcPr>
          <w:p w14:paraId="24FC504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is ML applied in marketing, and what are future opportunities?</w:t>
            </w:r>
          </w:p>
        </w:tc>
      </w:tr>
      <w:tr w:rsidR="00CD5493" w14:paraId="47529A9C"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7143A790"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14</w:t>
            </w:r>
          </w:p>
        </w:tc>
        <w:tc>
          <w:tcPr>
            <w:tcW w:w="1800" w:type="dxa"/>
          </w:tcPr>
          <w:p w14:paraId="4B8034B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Yang, C. et al.</w:t>
            </w:r>
          </w:p>
        </w:tc>
        <w:tc>
          <w:tcPr>
            <w:tcW w:w="3740" w:type="dxa"/>
          </w:tcPr>
          <w:p w14:paraId="10738F5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2022</w:t>
            </w:r>
          </w:p>
        </w:tc>
        <w:tc>
          <w:tcPr>
            <w:tcW w:w="3320" w:type="dxa"/>
          </w:tcPr>
          <w:p w14:paraId="3C4E2F2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Edge-Cloud Blockchain and IoE-Enabled Quality Management Platform for Perishable Supply Chain Logistics</w:t>
            </w:r>
          </w:p>
        </w:tc>
        <w:tc>
          <w:tcPr>
            <w:tcW w:w="4120" w:type="dxa"/>
          </w:tcPr>
          <w:p w14:paraId="1E72E5D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IEEE IoT Journal</w:t>
            </w:r>
          </w:p>
        </w:tc>
        <w:tc>
          <w:tcPr>
            <w:tcW w:w="2860" w:type="dxa"/>
          </w:tcPr>
          <w:p w14:paraId="38E9708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Develops hybrid system integrating edge computing, blockchain, and IoE for perishable logistics.</w:t>
            </w:r>
          </w:p>
        </w:tc>
        <w:tc>
          <w:tcPr>
            <w:tcW w:w="2460" w:type="dxa"/>
          </w:tcPr>
          <w:p w14:paraId="6E8EE70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Blockchain, IoE, supply chain, quality management</w:t>
            </w:r>
          </w:p>
        </w:tc>
        <w:tc>
          <w:tcPr>
            <w:tcW w:w="2460" w:type="dxa"/>
          </w:tcPr>
          <w:p w14:paraId="7B42A8C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can emerging tech optimise logistics for perishables?</w:t>
            </w:r>
          </w:p>
        </w:tc>
      </w:tr>
      <w:tr w:rsidR="00CD5493" w14:paraId="624F4570"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4702404B"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15</w:t>
            </w:r>
          </w:p>
        </w:tc>
        <w:tc>
          <w:tcPr>
            <w:tcW w:w="1800" w:type="dxa"/>
            <w:shd w:val="clear" w:color="auto" w:fill="F2F2F2" w:themeFill="background1" w:themeFillShade="F2"/>
          </w:tcPr>
          <w:p w14:paraId="3C694D1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Zhang, Y. et al.</w:t>
            </w:r>
          </w:p>
        </w:tc>
        <w:tc>
          <w:tcPr>
            <w:tcW w:w="3740" w:type="dxa"/>
            <w:shd w:val="clear" w:color="auto" w:fill="F2F2F2" w:themeFill="background1" w:themeFillShade="F2"/>
          </w:tcPr>
          <w:p w14:paraId="2EC069D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2022</w:t>
            </w:r>
          </w:p>
        </w:tc>
        <w:tc>
          <w:tcPr>
            <w:tcW w:w="3320" w:type="dxa"/>
            <w:shd w:val="clear" w:color="auto" w:fill="F2F2F2" w:themeFill="background1" w:themeFillShade="F2"/>
          </w:tcPr>
          <w:p w14:paraId="26AA27B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Trust and Consumer Confidence in the Safety of Dairy Products in China</w:t>
            </w:r>
          </w:p>
        </w:tc>
        <w:tc>
          <w:tcPr>
            <w:tcW w:w="4120" w:type="dxa"/>
            <w:shd w:val="clear" w:color="auto" w:fill="F2F2F2" w:themeFill="background1" w:themeFillShade="F2"/>
          </w:tcPr>
          <w:p w14:paraId="68C1740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British Food Journal</w:t>
            </w:r>
          </w:p>
        </w:tc>
        <w:tc>
          <w:tcPr>
            <w:tcW w:w="2860" w:type="dxa"/>
            <w:shd w:val="clear" w:color="auto" w:fill="F2F2F2" w:themeFill="background1" w:themeFillShade="F2"/>
          </w:tcPr>
          <w:p w14:paraId="608E5D9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Surveys Chinese dairy trust; highlights transparency, regulation in post-scandal recovery.</w:t>
            </w:r>
          </w:p>
        </w:tc>
        <w:tc>
          <w:tcPr>
            <w:tcW w:w="2460" w:type="dxa"/>
            <w:shd w:val="clear" w:color="auto" w:fill="F2F2F2" w:themeFill="background1" w:themeFillShade="F2"/>
          </w:tcPr>
          <w:p w14:paraId="50A8F9D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Food safety, trust, consumer behaviour</w:t>
            </w:r>
          </w:p>
        </w:tc>
        <w:tc>
          <w:tcPr>
            <w:tcW w:w="2460" w:type="dxa"/>
            <w:shd w:val="clear" w:color="auto" w:fill="F2F2F2" w:themeFill="background1" w:themeFillShade="F2"/>
          </w:tcPr>
          <w:p w14:paraId="7D8494D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drives trust in dairy product safety in China?</w:t>
            </w:r>
          </w:p>
        </w:tc>
      </w:tr>
      <w:tr w:rsidR="00CD5493" w14:paraId="6908CFD5"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1627B63A"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16</w:t>
            </w:r>
          </w:p>
        </w:tc>
        <w:tc>
          <w:tcPr>
            <w:tcW w:w="1800" w:type="dxa"/>
          </w:tcPr>
          <w:p w14:paraId="0C868F1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Kusal, S. et al.</w:t>
            </w:r>
          </w:p>
        </w:tc>
        <w:tc>
          <w:tcPr>
            <w:tcW w:w="3740" w:type="dxa"/>
          </w:tcPr>
          <w:p w14:paraId="212B10F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2022</w:t>
            </w:r>
          </w:p>
        </w:tc>
        <w:tc>
          <w:tcPr>
            <w:tcW w:w="3320" w:type="dxa"/>
          </w:tcPr>
          <w:p w14:paraId="0C357C8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AI-Based Conversational Agents: A Scoping Review from Technologies to Future Directions</w:t>
            </w:r>
          </w:p>
        </w:tc>
        <w:tc>
          <w:tcPr>
            <w:tcW w:w="4120" w:type="dxa"/>
          </w:tcPr>
          <w:p w14:paraId="7AF77A3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IEEE Access</w:t>
            </w:r>
          </w:p>
        </w:tc>
        <w:tc>
          <w:tcPr>
            <w:tcW w:w="2860" w:type="dxa"/>
          </w:tcPr>
          <w:p w14:paraId="0317B59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Scopes conversational AI: architecture, applications, and research gaps like personalisation, ethics.</w:t>
            </w:r>
          </w:p>
        </w:tc>
        <w:tc>
          <w:tcPr>
            <w:tcW w:w="2460" w:type="dxa"/>
          </w:tcPr>
          <w:p w14:paraId="3F9F462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Chatbots, NLP, conversational AI, future trends</w:t>
            </w:r>
          </w:p>
        </w:tc>
        <w:tc>
          <w:tcPr>
            <w:tcW w:w="2460" w:type="dxa"/>
          </w:tcPr>
          <w:p w14:paraId="5C52A17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are the key developments and challenges in conversational AI?</w:t>
            </w:r>
          </w:p>
        </w:tc>
      </w:tr>
      <w:tr w:rsidR="00CD5493" w14:paraId="73699C6F"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1219FF6A"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lastRenderedPageBreak/>
              <w:t>17</w:t>
            </w:r>
          </w:p>
        </w:tc>
        <w:tc>
          <w:tcPr>
            <w:tcW w:w="1800" w:type="dxa"/>
            <w:shd w:val="clear" w:color="auto" w:fill="F2F2F2" w:themeFill="background1" w:themeFillShade="F2"/>
          </w:tcPr>
          <w:p w14:paraId="0A68419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Shah, S.A.A. et al.</w:t>
            </w:r>
          </w:p>
        </w:tc>
        <w:tc>
          <w:tcPr>
            <w:tcW w:w="3740" w:type="dxa"/>
            <w:shd w:val="clear" w:color="auto" w:fill="F2F2F2" w:themeFill="background1" w:themeFillShade="F2"/>
          </w:tcPr>
          <w:p w14:paraId="5CA97E5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2022</w:t>
            </w:r>
          </w:p>
        </w:tc>
        <w:tc>
          <w:tcPr>
            <w:tcW w:w="3320" w:type="dxa"/>
            <w:shd w:val="clear" w:color="auto" w:fill="F2F2F2" w:themeFill="background1" w:themeFillShade="F2"/>
          </w:tcPr>
          <w:p w14:paraId="6D60E82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Dark Web: E-Commerce Info Extraction Using Bi-LSTM</w:t>
            </w:r>
          </w:p>
        </w:tc>
        <w:tc>
          <w:tcPr>
            <w:tcW w:w="4120" w:type="dxa"/>
            <w:shd w:val="clear" w:color="auto" w:fill="F2F2F2" w:themeFill="background1" w:themeFillShade="F2"/>
          </w:tcPr>
          <w:p w14:paraId="39B73FD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IEEE Access</w:t>
            </w:r>
          </w:p>
        </w:tc>
        <w:tc>
          <w:tcPr>
            <w:tcW w:w="2860" w:type="dxa"/>
            <w:shd w:val="clear" w:color="auto" w:fill="F2F2F2" w:themeFill="background1" w:themeFillShade="F2"/>
          </w:tcPr>
          <w:p w14:paraId="4618F7F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Uses Bi-LSTM to extract dark web e-commerce entities, improving NER accuracy.</w:t>
            </w:r>
          </w:p>
        </w:tc>
        <w:tc>
          <w:tcPr>
            <w:tcW w:w="2460" w:type="dxa"/>
            <w:shd w:val="clear" w:color="auto" w:fill="F2F2F2" w:themeFill="background1" w:themeFillShade="F2"/>
          </w:tcPr>
          <w:p w14:paraId="46ECB46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Dark web, Bi-LSTM, e-commerce, entity recognition</w:t>
            </w:r>
          </w:p>
        </w:tc>
        <w:tc>
          <w:tcPr>
            <w:tcW w:w="2460" w:type="dxa"/>
            <w:shd w:val="clear" w:color="auto" w:fill="F2F2F2" w:themeFill="background1" w:themeFillShade="F2"/>
          </w:tcPr>
          <w:p w14:paraId="01D2148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can AI improve information extraction from dark web data?</w:t>
            </w:r>
          </w:p>
        </w:tc>
      </w:tr>
      <w:tr w:rsidR="00CD5493" w14:paraId="1E8FC409"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35A34D08"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18</w:t>
            </w:r>
          </w:p>
        </w:tc>
        <w:tc>
          <w:tcPr>
            <w:tcW w:w="1800" w:type="dxa"/>
          </w:tcPr>
          <w:p w14:paraId="54CEFC4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Liu, C. et al.</w:t>
            </w:r>
          </w:p>
        </w:tc>
        <w:tc>
          <w:tcPr>
            <w:tcW w:w="3740" w:type="dxa"/>
          </w:tcPr>
          <w:p w14:paraId="23B2125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0176F49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Trade Facilitation, Market Size, and Supply Chain Efficiency of Taiwan Semiconductor Companies</w:t>
            </w:r>
          </w:p>
        </w:tc>
        <w:tc>
          <w:tcPr>
            <w:tcW w:w="4120" w:type="dxa"/>
          </w:tcPr>
          <w:p w14:paraId="4B9316C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PLOS ONE</w:t>
            </w:r>
          </w:p>
        </w:tc>
        <w:tc>
          <w:tcPr>
            <w:tcW w:w="2860" w:type="dxa"/>
          </w:tcPr>
          <w:p w14:paraId="64DDD82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Empirical study links trade facilitation, market size to supply chain efficiency.</w:t>
            </w:r>
          </w:p>
        </w:tc>
        <w:tc>
          <w:tcPr>
            <w:tcW w:w="2460" w:type="dxa"/>
          </w:tcPr>
          <w:p w14:paraId="2DB9A81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Supply chain, trade policy, Taiwan semiconductors</w:t>
            </w:r>
          </w:p>
        </w:tc>
        <w:tc>
          <w:tcPr>
            <w:tcW w:w="2460" w:type="dxa"/>
          </w:tcPr>
          <w:p w14:paraId="467200A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factors impact supply chain efficiency in Taiwan’s tech sector?</w:t>
            </w:r>
          </w:p>
        </w:tc>
      </w:tr>
      <w:tr w:rsidR="00CD5493" w14:paraId="34C50963" w14:textId="77777777" w:rsidTr="00D95089">
        <w:trPr>
          <w:trHeight w:val="18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0C605E0C"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19</w:t>
            </w:r>
          </w:p>
        </w:tc>
        <w:tc>
          <w:tcPr>
            <w:tcW w:w="1800" w:type="dxa"/>
            <w:shd w:val="clear" w:color="auto" w:fill="F2F2F2" w:themeFill="background1" w:themeFillShade="F2"/>
          </w:tcPr>
          <w:p w14:paraId="68049E7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Wang, T. et al.</w:t>
            </w:r>
          </w:p>
        </w:tc>
        <w:tc>
          <w:tcPr>
            <w:tcW w:w="3740" w:type="dxa"/>
            <w:shd w:val="clear" w:color="auto" w:fill="F2F2F2" w:themeFill="background1" w:themeFillShade="F2"/>
          </w:tcPr>
          <w:p w14:paraId="1441211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2022</w:t>
            </w:r>
          </w:p>
        </w:tc>
        <w:tc>
          <w:tcPr>
            <w:tcW w:w="3320" w:type="dxa"/>
            <w:shd w:val="clear" w:color="auto" w:fill="F2F2F2" w:themeFill="background1" w:themeFillShade="F2"/>
          </w:tcPr>
          <w:p w14:paraId="219F369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Fuzzy Modelling and Reasoning for Social Computing in CPSS</w:t>
            </w:r>
          </w:p>
        </w:tc>
        <w:tc>
          <w:tcPr>
            <w:tcW w:w="4120" w:type="dxa"/>
            <w:shd w:val="clear" w:color="auto" w:fill="F2F2F2" w:themeFill="background1" w:themeFillShade="F2"/>
          </w:tcPr>
          <w:p w14:paraId="73FEF4E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IEEE Transactions on Computational Social Systems</w:t>
            </w:r>
          </w:p>
        </w:tc>
        <w:tc>
          <w:tcPr>
            <w:tcW w:w="2860" w:type="dxa"/>
            <w:shd w:val="clear" w:color="auto" w:fill="F2F2F2" w:themeFill="background1" w:themeFillShade="F2"/>
          </w:tcPr>
          <w:p w14:paraId="17065A4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Proposes fuzzy logic approach for uncertainty in cyber-physical-social computing systems.</w:t>
            </w:r>
          </w:p>
        </w:tc>
        <w:tc>
          <w:tcPr>
            <w:tcW w:w="2460" w:type="dxa"/>
            <w:shd w:val="clear" w:color="auto" w:fill="F2F2F2" w:themeFill="background1" w:themeFillShade="F2"/>
          </w:tcPr>
          <w:p w14:paraId="69C1075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Fuzzy logic, CPSS, social computing, modelling</w:t>
            </w:r>
          </w:p>
        </w:tc>
        <w:tc>
          <w:tcPr>
            <w:tcW w:w="2460" w:type="dxa"/>
            <w:shd w:val="clear" w:color="auto" w:fill="F2F2F2" w:themeFill="background1" w:themeFillShade="F2"/>
          </w:tcPr>
          <w:p w14:paraId="2D446AE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can fuzzy models enhance reasoning in social computing?</w:t>
            </w:r>
          </w:p>
        </w:tc>
      </w:tr>
      <w:tr w:rsidR="00CD5493" w14:paraId="63902349"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0605F808"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20</w:t>
            </w:r>
          </w:p>
        </w:tc>
        <w:tc>
          <w:tcPr>
            <w:tcW w:w="1800" w:type="dxa"/>
          </w:tcPr>
          <w:p w14:paraId="2E08EEF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Miller, T. et al.</w:t>
            </w:r>
          </w:p>
        </w:tc>
        <w:tc>
          <w:tcPr>
            <w:tcW w:w="3740" w:type="dxa"/>
          </w:tcPr>
          <w:p w14:paraId="27C3A1E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17276C5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in Context: Harnessing Domain Knowledge for Smarter Machine Learning</w:t>
            </w:r>
          </w:p>
        </w:tc>
        <w:tc>
          <w:tcPr>
            <w:tcW w:w="4120" w:type="dxa"/>
          </w:tcPr>
          <w:p w14:paraId="5E7439B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Applied Sciences</w:t>
            </w:r>
          </w:p>
        </w:tc>
        <w:tc>
          <w:tcPr>
            <w:tcW w:w="2860" w:type="dxa"/>
          </w:tcPr>
          <w:p w14:paraId="2BD81CB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Advocates integrating expert knowledge into ML for interpretability, relevance, with case studies.</w:t>
            </w:r>
          </w:p>
        </w:tc>
        <w:tc>
          <w:tcPr>
            <w:tcW w:w="2460" w:type="dxa"/>
          </w:tcPr>
          <w:p w14:paraId="1CD1970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ML interpretability, domain expertise, AI context</w:t>
            </w:r>
          </w:p>
        </w:tc>
        <w:tc>
          <w:tcPr>
            <w:tcW w:w="2460" w:type="dxa"/>
          </w:tcPr>
          <w:p w14:paraId="2F9AE00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can domain knowledge improve ML model design and application?</w:t>
            </w:r>
          </w:p>
        </w:tc>
      </w:tr>
      <w:tr w:rsidR="00CD5493" w14:paraId="043C1FC4" w14:textId="77777777" w:rsidTr="00D95089">
        <w:trPr>
          <w:trHeight w:val="18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2BA685B5"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21</w:t>
            </w:r>
          </w:p>
        </w:tc>
        <w:tc>
          <w:tcPr>
            <w:tcW w:w="1800" w:type="dxa"/>
            <w:shd w:val="clear" w:color="auto" w:fill="F2F2F2" w:themeFill="background1" w:themeFillShade="F2"/>
          </w:tcPr>
          <w:p w14:paraId="2E64309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Pratap, A. et al.</w:t>
            </w:r>
          </w:p>
        </w:tc>
        <w:tc>
          <w:tcPr>
            <w:tcW w:w="3740" w:type="dxa"/>
            <w:shd w:val="clear" w:color="auto" w:fill="F2F2F2" w:themeFill="background1" w:themeFillShade="F2"/>
          </w:tcPr>
          <w:p w14:paraId="54A907C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2022</w:t>
            </w:r>
          </w:p>
        </w:tc>
        <w:tc>
          <w:tcPr>
            <w:tcW w:w="3320" w:type="dxa"/>
            <w:shd w:val="clear" w:color="auto" w:fill="F2F2F2" w:themeFill="background1" w:themeFillShade="F2"/>
          </w:tcPr>
          <w:p w14:paraId="739BCE2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 synergic approach of deep learning towards digital additive manufacturing: A review</w:t>
            </w:r>
          </w:p>
        </w:tc>
        <w:tc>
          <w:tcPr>
            <w:tcW w:w="4120" w:type="dxa"/>
            <w:shd w:val="clear" w:color="auto" w:fill="F2F2F2" w:themeFill="background1" w:themeFillShade="F2"/>
          </w:tcPr>
          <w:p w14:paraId="3B40BA3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Algorithms</w:t>
            </w:r>
          </w:p>
        </w:tc>
        <w:tc>
          <w:tcPr>
            <w:tcW w:w="2860" w:type="dxa"/>
            <w:shd w:val="clear" w:color="auto" w:fill="F2F2F2" w:themeFill="background1" w:themeFillShade="F2"/>
          </w:tcPr>
          <w:p w14:paraId="3D346FD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Reviews deep learning in additive manufacturing; proposes framework for enhanced efficiency.</w:t>
            </w:r>
          </w:p>
        </w:tc>
        <w:tc>
          <w:tcPr>
            <w:tcW w:w="2460" w:type="dxa"/>
            <w:shd w:val="clear" w:color="auto" w:fill="F2F2F2" w:themeFill="background1" w:themeFillShade="F2"/>
          </w:tcPr>
          <w:p w14:paraId="1FB2D31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Deep learning, additive manufacturing, digital transformation</w:t>
            </w:r>
          </w:p>
        </w:tc>
        <w:tc>
          <w:tcPr>
            <w:tcW w:w="2460" w:type="dxa"/>
            <w:shd w:val="clear" w:color="auto" w:fill="F2F2F2" w:themeFill="background1" w:themeFillShade="F2"/>
          </w:tcPr>
          <w:p w14:paraId="2A57C56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can deep learning synergize with digital manufacturing to improve processes?</w:t>
            </w:r>
          </w:p>
        </w:tc>
      </w:tr>
      <w:tr w:rsidR="00CD5493" w14:paraId="01BB0B9C"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119B498B"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lastRenderedPageBreak/>
              <w:t>22</w:t>
            </w:r>
          </w:p>
        </w:tc>
        <w:tc>
          <w:tcPr>
            <w:tcW w:w="1800" w:type="dxa"/>
          </w:tcPr>
          <w:p w14:paraId="0D611AD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Zhang, Y. et al.</w:t>
            </w:r>
          </w:p>
        </w:tc>
        <w:tc>
          <w:tcPr>
            <w:tcW w:w="3740" w:type="dxa"/>
          </w:tcPr>
          <w:p w14:paraId="614F463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3945172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Decoupled domain-specific and domain-conditional representation learning for cross-domain recommendation</w:t>
            </w:r>
          </w:p>
        </w:tc>
        <w:tc>
          <w:tcPr>
            <w:tcW w:w="4120" w:type="dxa"/>
          </w:tcPr>
          <w:p w14:paraId="2A95F9F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Information Processing &amp; Management</w:t>
            </w:r>
          </w:p>
        </w:tc>
        <w:tc>
          <w:tcPr>
            <w:tcW w:w="2860" w:type="dxa"/>
          </w:tcPr>
          <w:p w14:paraId="56A3B83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Proposes model separating domain-specific, conditional factors for better cross-domain recommendations.</w:t>
            </w:r>
          </w:p>
        </w:tc>
        <w:tc>
          <w:tcPr>
            <w:tcW w:w="2460" w:type="dxa"/>
          </w:tcPr>
          <w:p w14:paraId="61E02D3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Representation learning, cross-domain, recommendation systems</w:t>
            </w:r>
          </w:p>
        </w:tc>
        <w:tc>
          <w:tcPr>
            <w:tcW w:w="2460" w:type="dxa"/>
          </w:tcPr>
          <w:p w14:paraId="7033792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can decoupled learning improve cross-domain recommendations?</w:t>
            </w:r>
          </w:p>
        </w:tc>
      </w:tr>
      <w:tr w:rsidR="00CD5493" w14:paraId="3DB56865"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7FB915B1"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23</w:t>
            </w:r>
          </w:p>
        </w:tc>
        <w:tc>
          <w:tcPr>
            <w:tcW w:w="1800" w:type="dxa"/>
            <w:shd w:val="clear" w:color="auto" w:fill="F2F2F2" w:themeFill="background1" w:themeFillShade="F2"/>
          </w:tcPr>
          <w:p w14:paraId="7A82261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Yang, D. et al.</w:t>
            </w:r>
          </w:p>
        </w:tc>
        <w:tc>
          <w:tcPr>
            <w:tcW w:w="3740" w:type="dxa"/>
            <w:shd w:val="clear" w:color="auto" w:fill="F2F2F2" w:themeFill="background1" w:themeFillShade="F2"/>
          </w:tcPr>
          <w:p w14:paraId="6DFBCB1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shd w:val="clear" w:color="auto" w:fill="F2F2F2" w:themeFill="background1" w:themeFillShade="F2"/>
          </w:tcPr>
          <w:p w14:paraId="6FAA4A7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Showing usage behaviour or not? The effect of virtual influencers’ product usage behaviour on consumers</w:t>
            </w:r>
          </w:p>
        </w:tc>
        <w:tc>
          <w:tcPr>
            <w:tcW w:w="4120" w:type="dxa"/>
            <w:shd w:val="clear" w:color="auto" w:fill="F2F2F2" w:themeFill="background1" w:themeFillShade="F2"/>
          </w:tcPr>
          <w:p w14:paraId="72F81B8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Journal of Retailing and Consumer Services</w:t>
            </w:r>
          </w:p>
        </w:tc>
        <w:tc>
          <w:tcPr>
            <w:tcW w:w="2860" w:type="dxa"/>
            <w:shd w:val="clear" w:color="auto" w:fill="F2F2F2" w:themeFill="background1" w:themeFillShade="F2"/>
          </w:tcPr>
          <w:p w14:paraId="3345424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Investigates virtual influencers’ behaviour visibility and its impact on endorsements.</w:t>
            </w:r>
          </w:p>
        </w:tc>
        <w:tc>
          <w:tcPr>
            <w:tcW w:w="2460" w:type="dxa"/>
            <w:shd w:val="clear" w:color="auto" w:fill="F2F2F2" w:themeFill="background1" w:themeFillShade="F2"/>
          </w:tcPr>
          <w:p w14:paraId="030D03E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Virtual influencers, consumer behaviour, product usage</w:t>
            </w:r>
          </w:p>
        </w:tc>
        <w:tc>
          <w:tcPr>
            <w:tcW w:w="2460" w:type="dxa"/>
            <w:shd w:val="clear" w:color="auto" w:fill="F2F2F2" w:themeFill="background1" w:themeFillShade="F2"/>
          </w:tcPr>
          <w:p w14:paraId="255B616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does displaying influencer behaviour impact consumer perceptions?</w:t>
            </w:r>
          </w:p>
        </w:tc>
      </w:tr>
      <w:tr w:rsidR="00CD5493" w14:paraId="1F5C68AC" w14:textId="77777777" w:rsidTr="00D95089">
        <w:trPr>
          <w:trHeight w:val="1800"/>
        </w:trPr>
        <w:tc>
          <w:tcPr>
            <w:cnfStyle w:val="001000000000" w:firstRow="0" w:lastRow="0" w:firstColumn="1" w:lastColumn="0" w:oddVBand="0" w:evenVBand="0" w:oddHBand="0" w:evenHBand="0" w:firstRowFirstColumn="0" w:firstRowLastColumn="0" w:lastRowFirstColumn="0" w:lastRowLastColumn="0"/>
            <w:tcW w:w="500" w:type="dxa"/>
          </w:tcPr>
          <w:p w14:paraId="7372B458"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24</w:t>
            </w:r>
          </w:p>
        </w:tc>
        <w:tc>
          <w:tcPr>
            <w:tcW w:w="1800" w:type="dxa"/>
          </w:tcPr>
          <w:p w14:paraId="127D830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Du, C. et al.</w:t>
            </w:r>
          </w:p>
        </w:tc>
        <w:tc>
          <w:tcPr>
            <w:tcW w:w="3740" w:type="dxa"/>
          </w:tcPr>
          <w:p w14:paraId="7417EB6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54AF663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The impact of digital economy on household private insurance participation</w:t>
            </w:r>
          </w:p>
        </w:tc>
        <w:tc>
          <w:tcPr>
            <w:tcW w:w="4120" w:type="dxa"/>
          </w:tcPr>
          <w:p w14:paraId="67F095F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International Review of Economics &amp; Finance</w:t>
            </w:r>
          </w:p>
        </w:tc>
        <w:tc>
          <w:tcPr>
            <w:tcW w:w="2860" w:type="dxa"/>
          </w:tcPr>
          <w:p w14:paraId="13B5B34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Studies how digital economic growth affects private insurance uptake in China.</w:t>
            </w:r>
          </w:p>
        </w:tc>
        <w:tc>
          <w:tcPr>
            <w:tcW w:w="2460" w:type="dxa"/>
          </w:tcPr>
          <w:p w14:paraId="3CAB1AA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Digital economy, insurance, household behaviour</w:t>
            </w:r>
          </w:p>
        </w:tc>
        <w:tc>
          <w:tcPr>
            <w:tcW w:w="2460" w:type="dxa"/>
          </w:tcPr>
          <w:p w14:paraId="0B2B836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is the impact of digitalisation on private insurance uptake?</w:t>
            </w:r>
          </w:p>
        </w:tc>
      </w:tr>
      <w:tr w:rsidR="00CD5493" w14:paraId="09EF87EA"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3728640E"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25</w:t>
            </w:r>
          </w:p>
        </w:tc>
        <w:tc>
          <w:tcPr>
            <w:tcW w:w="1800" w:type="dxa"/>
            <w:shd w:val="clear" w:color="auto" w:fill="F2F2F2" w:themeFill="background1" w:themeFillShade="F2"/>
          </w:tcPr>
          <w:p w14:paraId="2393313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Deng, F. et al.</w:t>
            </w:r>
          </w:p>
        </w:tc>
        <w:tc>
          <w:tcPr>
            <w:tcW w:w="3740" w:type="dxa"/>
            <w:shd w:val="clear" w:color="auto" w:fill="F2F2F2" w:themeFill="background1" w:themeFillShade="F2"/>
          </w:tcPr>
          <w:p w14:paraId="60D3294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shd w:val="clear" w:color="auto" w:fill="F2F2F2" w:themeFill="background1" w:themeFillShade="F2"/>
          </w:tcPr>
          <w:p w14:paraId="1FE341A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Born for marketing? The effects of virtual versus human influencers on brand endorsement effectiveness</w:t>
            </w:r>
          </w:p>
        </w:tc>
        <w:tc>
          <w:tcPr>
            <w:tcW w:w="4120" w:type="dxa"/>
            <w:shd w:val="clear" w:color="auto" w:fill="F2F2F2" w:themeFill="background1" w:themeFillShade="F2"/>
          </w:tcPr>
          <w:p w14:paraId="6C5AEB6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Journal of Retailing and Consumer Services</w:t>
            </w:r>
          </w:p>
        </w:tc>
        <w:tc>
          <w:tcPr>
            <w:tcW w:w="2860" w:type="dxa"/>
            <w:shd w:val="clear" w:color="auto" w:fill="F2F2F2" w:themeFill="background1" w:themeFillShade="F2"/>
          </w:tcPr>
          <w:p w14:paraId="7706982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Compares virtual and human influencers, examining ad recognition’s impact on endorsements.</w:t>
            </w:r>
          </w:p>
        </w:tc>
        <w:tc>
          <w:tcPr>
            <w:tcW w:w="2460" w:type="dxa"/>
            <w:shd w:val="clear" w:color="auto" w:fill="F2F2F2" w:themeFill="background1" w:themeFillShade="F2"/>
          </w:tcPr>
          <w:p w14:paraId="5308DF9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Influencers, advertising recognition, brand endorsement</w:t>
            </w:r>
          </w:p>
        </w:tc>
        <w:tc>
          <w:tcPr>
            <w:tcW w:w="2460" w:type="dxa"/>
            <w:shd w:val="clear" w:color="auto" w:fill="F2F2F2" w:themeFill="background1" w:themeFillShade="F2"/>
          </w:tcPr>
          <w:p w14:paraId="1677B88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 virtual vs human influencers differ in endorsement impact?</w:t>
            </w:r>
          </w:p>
        </w:tc>
      </w:tr>
      <w:tr w:rsidR="00CD5493" w14:paraId="2576058F" w14:textId="77777777" w:rsidTr="00D95089">
        <w:trPr>
          <w:trHeight w:val="1800"/>
        </w:trPr>
        <w:tc>
          <w:tcPr>
            <w:cnfStyle w:val="001000000000" w:firstRow="0" w:lastRow="0" w:firstColumn="1" w:lastColumn="0" w:oddVBand="0" w:evenVBand="0" w:oddHBand="0" w:evenHBand="0" w:firstRowFirstColumn="0" w:firstRowLastColumn="0" w:lastRowFirstColumn="0" w:lastRowLastColumn="0"/>
            <w:tcW w:w="500" w:type="dxa"/>
          </w:tcPr>
          <w:p w14:paraId="453DC033"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26</w:t>
            </w:r>
          </w:p>
        </w:tc>
        <w:tc>
          <w:tcPr>
            <w:tcW w:w="1800" w:type="dxa"/>
          </w:tcPr>
          <w:p w14:paraId="6D03341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Xie, J. et al.</w:t>
            </w:r>
          </w:p>
        </w:tc>
        <w:tc>
          <w:tcPr>
            <w:tcW w:w="3740" w:type="dxa"/>
          </w:tcPr>
          <w:p w14:paraId="2EF29F8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2CDF3FB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Is virtual streamer useful? Effect of streamer type on consumer brand forgiveness</w:t>
            </w:r>
          </w:p>
        </w:tc>
        <w:tc>
          <w:tcPr>
            <w:tcW w:w="4120" w:type="dxa"/>
          </w:tcPr>
          <w:p w14:paraId="0B9CD78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Journal of Retailing and Consumer Services</w:t>
            </w:r>
          </w:p>
        </w:tc>
        <w:tc>
          <w:tcPr>
            <w:tcW w:w="2860" w:type="dxa"/>
          </w:tcPr>
          <w:p w14:paraId="1B0533C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Assesses consumer forgiveness of brand mishaps with virtual vs. human streamers.</w:t>
            </w:r>
          </w:p>
        </w:tc>
        <w:tc>
          <w:tcPr>
            <w:tcW w:w="2460" w:type="dxa"/>
          </w:tcPr>
          <w:p w14:paraId="31A03C0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Virtual streamers, consumer forgiveness, brand perception</w:t>
            </w:r>
          </w:p>
        </w:tc>
        <w:tc>
          <w:tcPr>
            <w:tcW w:w="2460" w:type="dxa"/>
          </w:tcPr>
          <w:p w14:paraId="6B2C81A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 streamer types affect brand forgiveness after inappropriate behaviour?</w:t>
            </w:r>
          </w:p>
        </w:tc>
      </w:tr>
      <w:tr w:rsidR="00CD5493" w14:paraId="50DE2A05"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3BC01365"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lastRenderedPageBreak/>
              <w:t>27</w:t>
            </w:r>
          </w:p>
        </w:tc>
        <w:tc>
          <w:tcPr>
            <w:tcW w:w="1800" w:type="dxa"/>
            <w:shd w:val="clear" w:color="auto" w:fill="F2F2F2" w:themeFill="background1" w:themeFillShade="F2"/>
          </w:tcPr>
          <w:p w14:paraId="52B4D85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Meng, L.M. et al.</w:t>
            </w:r>
          </w:p>
        </w:tc>
        <w:tc>
          <w:tcPr>
            <w:tcW w:w="3740" w:type="dxa"/>
            <w:shd w:val="clear" w:color="auto" w:fill="F2F2F2" w:themeFill="background1" w:themeFillShade="F2"/>
          </w:tcPr>
          <w:p w14:paraId="7EDD5D5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2025</w:t>
            </w:r>
          </w:p>
        </w:tc>
        <w:tc>
          <w:tcPr>
            <w:tcW w:w="3320" w:type="dxa"/>
            <w:shd w:val="clear" w:color="auto" w:fill="F2F2F2" w:themeFill="background1" w:themeFillShade="F2"/>
          </w:tcPr>
          <w:p w14:paraId="0D52F8F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The effect of human versus virtual influencers: The roles of destination types and self-referencing processes</w:t>
            </w:r>
          </w:p>
        </w:tc>
        <w:tc>
          <w:tcPr>
            <w:tcW w:w="4120" w:type="dxa"/>
            <w:shd w:val="clear" w:color="auto" w:fill="F2F2F2" w:themeFill="background1" w:themeFillShade="F2"/>
          </w:tcPr>
          <w:p w14:paraId="43253F0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Tourism Management</w:t>
            </w:r>
          </w:p>
        </w:tc>
        <w:tc>
          <w:tcPr>
            <w:tcW w:w="2860" w:type="dxa"/>
            <w:shd w:val="clear" w:color="auto" w:fill="F2F2F2" w:themeFill="background1" w:themeFillShade="F2"/>
          </w:tcPr>
          <w:p w14:paraId="06F06EC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Evaluates influencer and destination types’ impact on self-referencing and travel intent.</w:t>
            </w:r>
          </w:p>
        </w:tc>
        <w:tc>
          <w:tcPr>
            <w:tcW w:w="2460" w:type="dxa"/>
            <w:shd w:val="clear" w:color="auto" w:fill="F2F2F2" w:themeFill="background1" w:themeFillShade="F2"/>
          </w:tcPr>
          <w:p w14:paraId="50D588D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Influencer marketing, tourism, consumer psychology</w:t>
            </w:r>
          </w:p>
        </w:tc>
        <w:tc>
          <w:tcPr>
            <w:tcW w:w="2460" w:type="dxa"/>
            <w:shd w:val="clear" w:color="auto" w:fill="F2F2F2" w:themeFill="background1" w:themeFillShade="F2"/>
          </w:tcPr>
          <w:p w14:paraId="2AEFE98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 influencer types influence tourism choices based on destination context?</w:t>
            </w:r>
          </w:p>
        </w:tc>
      </w:tr>
      <w:tr w:rsidR="00CD5493" w14:paraId="08974B54"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75FEDD13"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28</w:t>
            </w:r>
          </w:p>
        </w:tc>
        <w:tc>
          <w:tcPr>
            <w:tcW w:w="1800" w:type="dxa"/>
          </w:tcPr>
          <w:p w14:paraId="4D742B3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proofErr w:type="spellStart"/>
            <w:r>
              <w:rPr>
                <w:rFonts w:ascii="Times New Roman" w:hAnsi="Times New Roman" w:cs="Times New Roman"/>
                <w:szCs w:val="20"/>
                <w:lang w:val="en-GB"/>
              </w:rPr>
              <w:t>Weiqi</w:t>
            </w:r>
            <w:proofErr w:type="spellEnd"/>
            <w:r>
              <w:rPr>
                <w:rFonts w:ascii="Times New Roman" w:hAnsi="Times New Roman" w:cs="Times New Roman"/>
                <w:szCs w:val="20"/>
                <w:lang w:val="en-GB"/>
              </w:rPr>
              <w:t>, L. et al.</w:t>
            </w:r>
          </w:p>
        </w:tc>
        <w:tc>
          <w:tcPr>
            <w:tcW w:w="3740" w:type="dxa"/>
          </w:tcPr>
          <w:p w14:paraId="7CABE7C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t>
            </w:r>
          </w:p>
        </w:tc>
        <w:tc>
          <w:tcPr>
            <w:tcW w:w="3320" w:type="dxa"/>
          </w:tcPr>
          <w:p w14:paraId="69E7999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To What Extent Does Climate Policy Uncertainty Affect Corporate Trade Credit Financing?</w:t>
            </w:r>
          </w:p>
        </w:tc>
        <w:tc>
          <w:tcPr>
            <w:tcW w:w="4120" w:type="dxa"/>
          </w:tcPr>
          <w:p w14:paraId="74FCA0C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SSRN</w:t>
            </w:r>
          </w:p>
        </w:tc>
        <w:tc>
          <w:tcPr>
            <w:tcW w:w="2860" w:type="dxa"/>
          </w:tcPr>
          <w:p w14:paraId="1AAFF6F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Empirical study shows climate policy uncertainty harms firms’ trade credit access in China.</w:t>
            </w:r>
          </w:p>
        </w:tc>
        <w:tc>
          <w:tcPr>
            <w:tcW w:w="2460" w:type="dxa"/>
          </w:tcPr>
          <w:p w14:paraId="6BA2161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Climate policy, trade credit, financial uncertainty</w:t>
            </w:r>
          </w:p>
        </w:tc>
        <w:tc>
          <w:tcPr>
            <w:tcW w:w="2460" w:type="dxa"/>
          </w:tcPr>
          <w:p w14:paraId="4436E26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does climate policy uncertainty affect trade credit access?</w:t>
            </w:r>
          </w:p>
        </w:tc>
      </w:tr>
      <w:tr w:rsidR="00CD5493" w14:paraId="79B48C2C"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2F318FD0"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29</w:t>
            </w:r>
          </w:p>
        </w:tc>
        <w:tc>
          <w:tcPr>
            <w:tcW w:w="1800" w:type="dxa"/>
            <w:shd w:val="clear" w:color="auto" w:fill="F2F2F2" w:themeFill="background1" w:themeFillShade="F2"/>
          </w:tcPr>
          <w:p w14:paraId="1B66DE2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Yang, S. et al.</w:t>
            </w:r>
          </w:p>
        </w:tc>
        <w:tc>
          <w:tcPr>
            <w:tcW w:w="3740" w:type="dxa"/>
            <w:shd w:val="clear" w:color="auto" w:fill="F2F2F2" w:themeFill="background1" w:themeFillShade="F2"/>
          </w:tcPr>
          <w:p w14:paraId="5466465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shd w:val="clear" w:color="auto" w:fill="F2F2F2" w:themeFill="background1" w:themeFillShade="F2"/>
          </w:tcPr>
          <w:p w14:paraId="72A5DB0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Examining multiscale built environment interventions to mitigate travel-related carbon emissions</w:t>
            </w:r>
          </w:p>
        </w:tc>
        <w:tc>
          <w:tcPr>
            <w:tcW w:w="4120" w:type="dxa"/>
            <w:shd w:val="clear" w:color="auto" w:fill="F2F2F2" w:themeFill="background1" w:themeFillShade="F2"/>
          </w:tcPr>
          <w:p w14:paraId="5FCFE6A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Journal of Transport Geography</w:t>
            </w:r>
          </w:p>
        </w:tc>
        <w:tc>
          <w:tcPr>
            <w:tcW w:w="2860" w:type="dxa"/>
            <w:shd w:val="clear" w:color="auto" w:fill="F2F2F2" w:themeFill="background1" w:themeFillShade="F2"/>
          </w:tcPr>
          <w:p w14:paraId="45D018C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Uses spatial and policy analysis to assess built environment’s impact on transport carbon reduction.</w:t>
            </w:r>
          </w:p>
        </w:tc>
        <w:tc>
          <w:tcPr>
            <w:tcW w:w="2460" w:type="dxa"/>
            <w:shd w:val="clear" w:color="auto" w:fill="F2F2F2" w:themeFill="background1" w:themeFillShade="F2"/>
          </w:tcPr>
          <w:p w14:paraId="5B53D6D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Carbon emissions, transport, environment planning</w:t>
            </w:r>
          </w:p>
        </w:tc>
        <w:tc>
          <w:tcPr>
            <w:tcW w:w="2460" w:type="dxa"/>
            <w:shd w:val="clear" w:color="auto" w:fill="F2F2F2" w:themeFill="background1" w:themeFillShade="F2"/>
          </w:tcPr>
          <w:p w14:paraId="3A66180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Which built environment strategies reduce travel emissions?</w:t>
            </w:r>
          </w:p>
        </w:tc>
      </w:tr>
      <w:tr w:rsidR="00CD5493" w14:paraId="06343C4B"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1E7266B4"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30</w:t>
            </w:r>
          </w:p>
        </w:tc>
        <w:tc>
          <w:tcPr>
            <w:tcW w:w="1800" w:type="dxa"/>
          </w:tcPr>
          <w:p w14:paraId="25DABE7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Huang, C. et al.</w:t>
            </w:r>
          </w:p>
        </w:tc>
        <w:tc>
          <w:tcPr>
            <w:tcW w:w="3740" w:type="dxa"/>
          </w:tcPr>
          <w:p w14:paraId="53C9A21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795D05E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Alone or Mixed? The Effect of Digital Human Narrative Scenarios on Chinese Consumer Eco-Product Purchase Intention</w:t>
            </w:r>
          </w:p>
        </w:tc>
        <w:tc>
          <w:tcPr>
            <w:tcW w:w="4120" w:type="dxa"/>
          </w:tcPr>
          <w:p w14:paraId="00B95BA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JTAECR</w:t>
            </w:r>
          </w:p>
        </w:tc>
        <w:tc>
          <w:tcPr>
            <w:tcW w:w="2860" w:type="dxa"/>
          </w:tcPr>
          <w:p w14:paraId="61FE91A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Tests digital human narratives’ impact on consumer willingness to buy eco-products.</w:t>
            </w:r>
          </w:p>
        </w:tc>
        <w:tc>
          <w:tcPr>
            <w:tcW w:w="2460" w:type="dxa"/>
          </w:tcPr>
          <w:p w14:paraId="7E26880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Eco-products, digital humans, purchase intention</w:t>
            </w:r>
          </w:p>
        </w:tc>
        <w:tc>
          <w:tcPr>
            <w:tcW w:w="2460" w:type="dxa"/>
          </w:tcPr>
          <w:p w14:paraId="273DBAC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 narrative formats influence eco-product purchasing?</w:t>
            </w:r>
          </w:p>
        </w:tc>
      </w:tr>
      <w:tr w:rsidR="00CD5493" w14:paraId="1FF3FF3E"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1CF9B95A"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31</w:t>
            </w:r>
          </w:p>
        </w:tc>
        <w:tc>
          <w:tcPr>
            <w:tcW w:w="1800" w:type="dxa"/>
            <w:shd w:val="clear" w:color="auto" w:fill="F2F2F2" w:themeFill="background1" w:themeFillShade="F2"/>
          </w:tcPr>
          <w:p w14:paraId="33487CB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Li, F. &amp; Zhou, Z.</w:t>
            </w:r>
          </w:p>
        </w:tc>
        <w:tc>
          <w:tcPr>
            <w:tcW w:w="3740" w:type="dxa"/>
            <w:shd w:val="clear" w:color="auto" w:fill="F2F2F2" w:themeFill="background1" w:themeFillShade="F2"/>
          </w:tcPr>
          <w:p w14:paraId="7EE4B20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2023</w:t>
            </w:r>
          </w:p>
        </w:tc>
        <w:tc>
          <w:tcPr>
            <w:tcW w:w="3320" w:type="dxa"/>
            <w:shd w:val="clear" w:color="auto" w:fill="F2F2F2" w:themeFill="background1" w:themeFillShade="F2"/>
          </w:tcPr>
          <w:p w14:paraId="268F5A1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The interaction effect of endorser type and destination stereotype on destination evaluation</w:t>
            </w:r>
          </w:p>
        </w:tc>
        <w:tc>
          <w:tcPr>
            <w:tcW w:w="4120" w:type="dxa"/>
            <w:shd w:val="clear" w:color="auto" w:fill="F2F2F2" w:themeFill="background1" w:themeFillShade="F2"/>
          </w:tcPr>
          <w:p w14:paraId="647FF53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Journal of Travel &amp; Tourism Marketing</w:t>
            </w:r>
          </w:p>
        </w:tc>
        <w:tc>
          <w:tcPr>
            <w:tcW w:w="2860" w:type="dxa"/>
            <w:shd w:val="clear" w:color="auto" w:fill="F2F2F2" w:themeFill="background1" w:themeFillShade="F2"/>
          </w:tcPr>
          <w:p w14:paraId="1BEEA55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Analyses how endorser types affect evaluations of stereotyped destinations.</w:t>
            </w:r>
          </w:p>
        </w:tc>
        <w:tc>
          <w:tcPr>
            <w:tcW w:w="2460" w:type="dxa"/>
            <w:shd w:val="clear" w:color="auto" w:fill="F2F2F2" w:themeFill="background1" w:themeFillShade="F2"/>
          </w:tcPr>
          <w:p w14:paraId="2D4A694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Destination branding, endorsers, tourism marketing</w:t>
            </w:r>
          </w:p>
        </w:tc>
        <w:tc>
          <w:tcPr>
            <w:tcW w:w="2460" w:type="dxa"/>
            <w:shd w:val="clear" w:color="auto" w:fill="F2F2F2" w:themeFill="background1" w:themeFillShade="F2"/>
          </w:tcPr>
          <w:p w14:paraId="1AB4AA3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 endorsers and stereotypes jointly affect destination image?</w:t>
            </w:r>
          </w:p>
        </w:tc>
      </w:tr>
      <w:tr w:rsidR="00CD5493" w14:paraId="75DDF613"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6E93A485"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32</w:t>
            </w:r>
          </w:p>
        </w:tc>
        <w:tc>
          <w:tcPr>
            <w:tcW w:w="1800" w:type="dxa"/>
          </w:tcPr>
          <w:p w14:paraId="311B689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Au, A.</w:t>
            </w:r>
          </w:p>
        </w:tc>
        <w:tc>
          <w:tcPr>
            <w:tcW w:w="3740" w:type="dxa"/>
          </w:tcPr>
          <w:p w14:paraId="038866D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22DCFA0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Digitalisation in China: who’s left behind?</w:t>
            </w:r>
          </w:p>
        </w:tc>
        <w:tc>
          <w:tcPr>
            <w:tcW w:w="4120" w:type="dxa"/>
          </w:tcPr>
          <w:p w14:paraId="126FB3E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Information, Communication &amp; Society</w:t>
            </w:r>
          </w:p>
        </w:tc>
        <w:tc>
          <w:tcPr>
            <w:tcW w:w="2860" w:type="dxa"/>
          </w:tcPr>
          <w:p w14:paraId="62569AC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Identifies social and demographic groups left out of China’s digital transformation.</w:t>
            </w:r>
          </w:p>
        </w:tc>
        <w:tc>
          <w:tcPr>
            <w:tcW w:w="2460" w:type="dxa"/>
          </w:tcPr>
          <w:p w14:paraId="2F7DDFE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Digital divide, inclusivity, China</w:t>
            </w:r>
          </w:p>
        </w:tc>
        <w:tc>
          <w:tcPr>
            <w:tcW w:w="2460" w:type="dxa"/>
          </w:tcPr>
          <w:p w14:paraId="0B0264B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Who is excluded from China’s digital progress and why?</w:t>
            </w:r>
          </w:p>
        </w:tc>
      </w:tr>
      <w:tr w:rsidR="00CD5493" w14:paraId="148EE677"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5F3628F1" w14:textId="77777777" w:rsidR="00CD5493" w:rsidRDefault="00CD5493" w:rsidP="00D95089">
            <w:pPr>
              <w:spacing w:line="240" w:lineRule="auto"/>
              <w:rPr>
                <w:rFonts w:ascii="Times New Roman" w:hAnsi="Times New Roman" w:cs="Times New Roman"/>
                <w:b w:val="0"/>
                <w:bCs w:val="0"/>
                <w:color w:val="000000" w:themeColor="text1"/>
                <w:szCs w:val="20"/>
                <w:lang w:val="en-GB"/>
              </w:rPr>
            </w:pPr>
            <w:r>
              <w:rPr>
                <w:rFonts w:ascii="Times New Roman" w:hAnsi="Times New Roman" w:cs="Times New Roman"/>
                <w:color w:val="000000" w:themeColor="text1"/>
                <w:szCs w:val="20"/>
                <w:lang w:val="en-GB"/>
              </w:rPr>
              <w:lastRenderedPageBreak/>
              <w:t>33</w:t>
            </w:r>
          </w:p>
        </w:tc>
        <w:tc>
          <w:tcPr>
            <w:tcW w:w="1800" w:type="dxa"/>
            <w:shd w:val="clear" w:color="auto" w:fill="F2F2F2" w:themeFill="background1" w:themeFillShade="F2"/>
          </w:tcPr>
          <w:p w14:paraId="3BCD911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0"/>
                <w:lang w:val="en-GB"/>
              </w:rPr>
            </w:pPr>
            <w:proofErr w:type="spellStart"/>
            <w:r>
              <w:rPr>
                <w:rFonts w:ascii="Times New Roman" w:hAnsi="Times New Roman" w:cs="Times New Roman"/>
                <w:color w:val="000000" w:themeColor="text1"/>
                <w:szCs w:val="20"/>
                <w:lang w:val="en-GB"/>
              </w:rPr>
              <w:t>Fajimolu</w:t>
            </w:r>
            <w:proofErr w:type="spellEnd"/>
            <w:r>
              <w:rPr>
                <w:rFonts w:ascii="Times New Roman" w:hAnsi="Times New Roman" w:cs="Times New Roman"/>
                <w:color w:val="000000" w:themeColor="text1"/>
                <w:szCs w:val="20"/>
                <w:lang w:val="en-GB"/>
              </w:rPr>
              <w:t xml:space="preserve"> et al.</w:t>
            </w:r>
          </w:p>
        </w:tc>
        <w:tc>
          <w:tcPr>
            <w:tcW w:w="3740" w:type="dxa"/>
            <w:shd w:val="clear" w:color="auto" w:fill="F2F2F2" w:themeFill="background1" w:themeFillShade="F2"/>
          </w:tcPr>
          <w:p w14:paraId="5843527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0"/>
                <w:lang w:val="en-GB"/>
              </w:rPr>
            </w:pPr>
            <w:r>
              <w:rPr>
                <w:rFonts w:ascii="Times New Roman" w:hAnsi="Times New Roman" w:cs="Times New Roman"/>
                <w:color w:val="000000" w:themeColor="text1"/>
                <w:szCs w:val="20"/>
                <w:lang w:val="en-GB"/>
              </w:rPr>
              <w:t>2023</w:t>
            </w:r>
          </w:p>
        </w:tc>
        <w:tc>
          <w:tcPr>
            <w:tcW w:w="3320" w:type="dxa"/>
            <w:shd w:val="clear" w:color="auto" w:fill="F2F2F2" w:themeFill="background1" w:themeFillShade="F2"/>
          </w:tcPr>
          <w:p w14:paraId="29C0049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0"/>
                <w:lang w:val="en-GB"/>
              </w:rPr>
            </w:pPr>
            <w:r>
              <w:rPr>
                <w:rFonts w:ascii="Times New Roman" w:hAnsi="Times New Roman" w:cs="Times New Roman"/>
                <w:color w:val="000000" w:themeColor="text1"/>
                <w:szCs w:val="20"/>
                <w:lang w:val="en-GB"/>
              </w:rPr>
              <w:t>Role of Organisational Creativity Between Artificial Intelligence Capability and Organisational Performance</w:t>
            </w:r>
          </w:p>
        </w:tc>
        <w:tc>
          <w:tcPr>
            <w:tcW w:w="4120" w:type="dxa"/>
            <w:shd w:val="clear" w:color="auto" w:fill="F2F2F2" w:themeFill="background1" w:themeFillShade="F2"/>
          </w:tcPr>
          <w:p w14:paraId="467CC86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color w:val="000000" w:themeColor="text1"/>
                <w:szCs w:val="20"/>
                <w:lang w:val="en-GB"/>
              </w:rPr>
            </w:pPr>
            <w:r>
              <w:rPr>
                <w:rFonts w:ascii="Times New Roman" w:hAnsi="Times New Roman" w:cs="Times New Roman"/>
                <w:i/>
                <w:iCs/>
                <w:color w:val="000000" w:themeColor="text1"/>
                <w:szCs w:val="20"/>
                <w:lang w:val="en-GB"/>
              </w:rPr>
              <w:t>Business and Entrepreneurial Review</w:t>
            </w:r>
          </w:p>
        </w:tc>
        <w:tc>
          <w:tcPr>
            <w:tcW w:w="2860" w:type="dxa"/>
            <w:shd w:val="clear" w:color="auto" w:fill="F2F2F2" w:themeFill="background1" w:themeFillShade="F2"/>
          </w:tcPr>
          <w:p w14:paraId="3C21166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0"/>
                <w:lang w:val="en-GB"/>
              </w:rPr>
            </w:pPr>
            <w:r>
              <w:rPr>
                <w:rFonts w:ascii="Times New Roman" w:hAnsi="Times New Roman" w:cs="Times New Roman"/>
                <w:color w:val="000000" w:themeColor="text1"/>
                <w:szCs w:val="20"/>
                <w:lang w:val="en-GB"/>
              </w:rPr>
              <w:t>Organisational creativity mediates the positive impact of AI capability on performance in Nigerian banks; survey of 231 respondents confirms creativity enhances AI’s effectiveness.</w:t>
            </w:r>
          </w:p>
        </w:tc>
        <w:tc>
          <w:tcPr>
            <w:tcW w:w="2460" w:type="dxa"/>
            <w:shd w:val="clear" w:color="auto" w:fill="F2F2F2" w:themeFill="background1" w:themeFillShade="F2"/>
          </w:tcPr>
          <w:p w14:paraId="5C66028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0"/>
                <w:lang w:val="en-GB"/>
              </w:rPr>
            </w:pPr>
            <w:r>
              <w:rPr>
                <w:rFonts w:ascii="Times New Roman" w:hAnsi="Times New Roman" w:cs="Times New Roman"/>
                <w:color w:val="000000" w:themeColor="text1"/>
                <w:szCs w:val="20"/>
                <w:lang w:val="en-GB"/>
              </w:rPr>
              <w:t>AI capability, organisational creativity, performance, mediation, Nigerian banks</w:t>
            </w:r>
          </w:p>
        </w:tc>
        <w:tc>
          <w:tcPr>
            <w:tcW w:w="2460" w:type="dxa"/>
            <w:shd w:val="clear" w:color="auto" w:fill="F2F2F2" w:themeFill="background1" w:themeFillShade="F2"/>
          </w:tcPr>
          <w:p w14:paraId="507ADD7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0"/>
                <w:lang w:val="en-GB"/>
              </w:rPr>
            </w:pPr>
            <w:r>
              <w:rPr>
                <w:rFonts w:ascii="Times New Roman" w:hAnsi="Times New Roman" w:cs="Times New Roman"/>
                <w:color w:val="000000" w:themeColor="text1"/>
                <w:szCs w:val="20"/>
                <w:lang w:val="en-GB"/>
              </w:rPr>
              <w:t>What is the relationship between AI capability, organisational creativity, and performance improvement?</w:t>
            </w:r>
          </w:p>
        </w:tc>
      </w:tr>
      <w:tr w:rsidR="00CD5493" w14:paraId="68B971BE"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492C1A9A"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34</w:t>
            </w:r>
          </w:p>
        </w:tc>
        <w:tc>
          <w:tcPr>
            <w:tcW w:w="1800" w:type="dxa"/>
          </w:tcPr>
          <w:p w14:paraId="3C0568B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Ren, S. et al.</w:t>
            </w:r>
          </w:p>
        </w:tc>
        <w:tc>
          <w:tcPr>
            <w:tcW w:w="3740" w:type="dxa"/>
          </w:tcPr>
          <w:p w14:paraId="368E844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2021</w:t>
            </w:r>
          </w:p>
        </w:tc>
        <w:tc>
          <w:tcPr>
            <w:tcW w:w="3320" w:type="dxa"/>
          </w:tcPr>
          <w:p w14:paraId="14765FA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Digitalisation and energy: How does internet development affect China’s energy consumption?</w:t>
            </w:r>
          </w:p>
        </w:tc>
        <w:tc>
          <w:tcPr>
            <w:tcW w:w="4120" w:type="dxa"/>
          </w:tcPr>
          <w:p w14:paraId="1C416AA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Energy Economics</w:t>
            </w:r>
          </w:p>
        </w:tc>
        <w:tc>
          <w:tcPr>
            <w:tcW w:w="2860" w:type="dxa"/>
          </w:tcPr>
          <w:p w14:paraId="14A57DB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Shows digitalisation’s impact on energy consumption varies with internet development stage.</w:t>
            </w:r>
          </w:p>
        </w:tc>
        <w:tc>
          <w:tcPr>
            <w:tcW w:w="2460" w:type="dxa"/>
          </w:tcPr>
          <w:p w14:paraId="2BD457F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Energy, digitalisation, China</w:t>
            </w:r>
          </w:p>
        </w:tc>
        <w:tc>
          <w:tcPr>
            <w:tcW w:w="2460" w:type="dxa"/>
          </w:tcPr>
          <w:p w14:paraId="0C3F054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does internet development shape energy use in China?</w:t>
            </w:r>
          </w:p>
        </w:tc>
      </w:tr>
      <w:tr w:rsidR="00CD5493" w14:paraId="5B64AA28"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2D4D6BC7"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35</w:t>
            </w:r>
          </w:p>
        </w:tc>
        <w:tc>
          <w:tcPr>
            <w:tcW w:w="1800" w:type="dxa"/>
            <w:shd w:val="clear" w:color="auto" w:fill="F2F2F2" w:themeFill="background1" w:themeFillShade="F2"/>
          </w:tcPr>
          <w:p w14:paraId="0E2C7E6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Shah-Nelson, C.</w:t>
            </w:r>
          </w:p>
        </w:tc>
        <w:tc>
          <w:tcPr>
            <w:tcW w:w="3740" w:type="dxa"/>
            <w:shd w:val="clear" w:color="auto" w:fill="F2F2F2" w:themeFill="background1" w:themeFillShade="F2"/>
          </w:tcPr>
          <w:p w14:paraId="5BF9BF0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2020</w:t>
            </w:r>
          </w:p>
        </w:tc>
        <w:tc>
          <w:tcPr>
            <w:tcW w:w="3320" w:type="dxa"/>
            <w:shd w:val="clear" w:color="auto" w:fill="F2F2F2" w:themeFill="background1" w:themeFillShade="F2"/>
          </w:tcPr>
          <w:p w14:paraId="1721932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Organisations Leverage Collaborative Technology for Knowledge Management: A Systematic Review</w:t>
            </w:r>
          </w:p>
        </w:tc>
        <w:tc>
          <w:tcPr>
            <w:tcW w:w="4120" w:type="dxa"/>
            <w:shd w:val="clear" w:color="auto" w:fill="F2F2F2" w:themeFill="background1" w:themeFillShade="F2"/>
          </w:tcPr>
          <w:p w14:paraId="7E1740C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UMUC Dissertation</w:t>
            </w:r>
          </w:p>
        </w:tc>
        <w:tc>
          <w:tcPr>
            <w:tcW w:w="2860" w:type="dxa"/>
            <w:shd w:val="clear" w:color="auto" w:fill="F2F2F2" w:themeFill="background1" w:themeFillShade="F2"/>
          </w:tcPr>
          <w:p w14:paraId="5D1D8EB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Reviews collaborative tech in KM, identifying tools, benefits, and gaps.</w:t>
            </w:r>
          </w:p>
        </w:tc>
        <w:tc>
          <w:tcPr>
            <w:tcW w:w="2460" w:type="dxa"/>
            <w:shd w:val="clear" w:color="auto" w:fill="F2F2F2" w:themeFill="background1" w:themeFillShade="F2"/>
          </w:tcPr>
          <w:p w14:paraId="51F94D7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Collaborative tech, KM, systematic review</w:t>
            </w:r>
          </w:p>
        </w:tc>
        <w:tc>
          <w:tcPr>
            <w:tcW w:w="2460" w:type="dxa"/>
            <w:shd w:val="clear" w:color="auto" w:fill="F2F2F2" w:themeFill="background1" w:themeFillShade="F2"/>
          </w:tcPr>
          <w:p w14:paraId="641D842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technologies support effective KM, and how?</w:t>
            </w:r>
          </w:p>
        </w:tc>
      </w:tr>
      <w:tr w:rsidR="00CD5493" w14:paraId="62F2C65A"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3FE0AB61"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36</w:t>
            </w:r>
          </w:p>
        </w:tc>
        <w:tc>
          <w:tcPr>
            <w:tcW w:w="1800" w:type="dxa"/>
          </w:tcPr>
          <w:p w14:paraId="291B82D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Sulastri, L. et al.</w:t>
            </w:r>
          </w:p>
        </w:tc>
        <w:tc>
          <w:tcPr>
            <w:tcW w:w="3740" w:type="dxa"/>
          </w:tcPr>
          <w:p w14:paraId="1F76C9A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2B22957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Implementing AI-Based Knowledge Management to Enhance Innovation in Organisations</w:t>
            </w:r>
          </w:p>
        </w:tc>
        <w:tc>
          <w:tcPr>
            <w:tcW w:w="4120" w:type="dxa"/>
          </w:tcPr>
          <w:p w14:paraId="68CD880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ICIE Proceedings</w:t>
            </w:r>
          </w:p>
        </w:tc>
        <w:tc>
          <w:tcPr>
            <w:tcW w:w="2860" w:type="dxa"/>
          </w:tcPr>
          <w:p w14:paraId="2FE7F6B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Literature review on strategic implications of AI-based KM for innovation.</w:t>
            </w:r>
          </w:p>
        </w:tc>
        <w:tc>
          <w:tcPr>
            <w:tcW w:w="2460" w:type="dxa"/>
          </w:tcPr>
          <w:p w14:paraId="70F0AE9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AI-KM, innovation, strategy</w:t>
            </w:r>
          </w:p>
        </w:tc>
        <w:tc>
          <w:tcPr>
            <w:tcW w:w="2460" w:type="dxa"/>
          </w:tcPr>
          <w:p w14:paraId="5C667DB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can AI-driven KM systems enhance innovation?</w:t>
            </w:r>
          </w:p>
        </w:tc>
      </w:tr>
      <w:tr w:rsidR="00CD5493" w14:paraId="67A21A24"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16B04CDB"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37</w:t>
            </w:r>
          </w:p>
        </w:tc>
        <w:tc>
          <w:tcPr>
            <w:tcW w:w="1800" w:type="dxa"/>
            <w:shd w:val="clear" w:color="auto" w:fill="F2F2F2" w:themeFill="background1" w:themeFillShade="F2"/>
          </w:tcPr>
          <w:p w14:paraId="04811F1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Lin, K.J. et al.</w:t>
            </w:r>
          </w:p>
        </w:tc>
        <w:tc>
          <w:tcPr>
            <w:tcW w:w="3740" w:type="dxa"/>
            <w:shd w:val="clear" w:color="auto" w:fill="F2F2F2" w:themeFill="background1" w:themeFillShade="F2"/>
          </w:tcPr>
          <w:p w14:paraId="68926B4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2025</w:t>
            </w:r>
          </w:p>
        </w:tc>
        <w:tc>
          <w:tcPr>
            <w:tcW w:w="3320" w:type="dxa"/>
            <w:shd w:val="clear" w:color="auto" w:fill="F2F2F2" w:themeFill="background1" w:themeFillShade="F2"/>
          </w:tcPr>
          <w:p w14:paraId="542B60C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Technology evaluation: a systematic review and implications for ethical technology management in tourism and hospitality</w:t>
            </w:r>
          </w:p>
        </w:tc>
        <w:tc>
          <w:tcPr>
            <w:tcW w:w="4120" w:type="dxa"/>
            <w:shd w:val="clear" w:color="auto" w:fill="F2F2F2" w:themeFill="background1" w:themeFillShade="F2"/>
          </w:tcPr>
          <w:p w14:paraId="1F2CC38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Asia Pacific Journal of Tourism Research</w:t>
            </w:r>
          </w:p>
        </w:tc>
        <w:tc>
          <w:tcPr>
            <w:tcW w:w="2860" w:type="dxa"/>
            <w:shd w:val="clear" w:color="auto" w:fill="F2F2F2" w:themeFill="background1" w:themeFillShade="F2"/>
          </w:tcPr>
          <w:p w14:paraId="1355067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Reviews tech evaluation practices, emphasising ethical management in tourism and hospitality.</w:t>
            </w:r>
          </w:p>
        </w:tc>
        <w:tc>
          <w:tcPr>
            <w:tcW w:w="2460" w:type="dxa"/>
            <w:shd w:val="clear" w:color="auto" w:fill="F2F2F2" w:themeFill="background1" w:themeFillShade="F2"/>
          </w:tcPr>
          <w:p w14:paraId="3FE55AC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Technology ethics, tourism, evaluation</w:t>
            </w:r>
          </w:p>
        </w:tc>
        <w:tc>
          <w:tcPr>
            <w:tcW w:w="2460" w:type="dxa"/>
            <w:shd w:val="clear" w:color="auto" w:fill="F2F2F2" w:themeFill="background1" w:themeFillShade="F2"/>
          </w:tcPr>
          <w:p w14:paraId="5CD80E1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ethical practices should guide tech adoption in tourism?</w:t>
            </w:r>
          </w:p>
        </w:tc>
      </w:tr>
      <w:tr w:rsidR="00CD5493" w14:paraId="7AB4DA38"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50D1CC57"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lastRenderedPageBreak/>
              <w:t>38</w:t>
            </w:r>
          </w:p>
        </w:tc>
        <w:tc>
          <w:tcPr>
            <w:tcW w:w="1800" w:type="dxa"/>
          </w:tcPr>
          <w:p w14:paraId="1B9909B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Dung, L.T. &amp; Dung, T.T.H.</w:t>
            </w:r>
          </w:p>
        </w:tc>
        <w:tc>
          <w:tcPr>
            <w:tcW w:w="3740" w:type="dxa"/>
          </w:tcPr>
          <w:p w14:paraId="5916585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4948F26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Business model innovation: a key role in the internationalisation of SMEs in the era of digitalisation</w:t>
            </w:r>
          </w:p>
        </w:tc>
        <w:tc>
          <w:tcPr>
            <w:tcW w:w="4120" w:type="dxa"/>
          </w:tcPr>
          <w:p w14:paraId="0E88349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Journal of Innovation and Entrepreneurship</w:t>
            </w:r>
          </w:p>
        </w:tc>
        <w:tc>
          <w:tcPr>
            <w:tcW w:w="2860" w:type="dxa"/>
          </w:tcPr>
          <w:p w14:paraId="1A56FA5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Argues innovative business models are crucial for SME internationalisation amid digital disruption.</w:t>
            </w:r>
          </w:p>
        </w:tc>
        <w:tc>
          <w:tcPr>
            <w:tcW w:w="2460" w:type="dxa"/>
          </w:tcPr>
          <w:p w14:paraId="15CDF7B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Business models, SMEs, digital internationalisation</w:t>
            </w:r>
          </w:p>
        </w:tc>
        <w:tc>
          <w:tcPr>
            <w:tcW w:w="2460" w:type="dxa"/>
          </w:tcPr>
          <w:p w14:paraId="19A56F8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does BMI support SME international growth?</w:t>
            </w:r>
          </w:p>
        </w:tc>
      </w:tr>
      <w:tr w:rsidR="00CD5493" w14:paraId="2BC373AC"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0724956D"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39</w:t>
            </w:r>
          </w:p>
        </w:tc>
        <w:tc>
          <w:tcPr>
            <w:tcW w:w="1800" w:type="dxa"/>
            <w:shd w:val="clear" w:color="auto" w:fill="F2F2F2" w:themeFill="background1" w:themeFillShade="F2"/>
          </w:tcPr>
          <w:p w14:paraId="21852C7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Manigandan, R. &amp; Raghuram, J.N.V.</w:t>
            </w:r>
          </w:p>
        </w:tc>
        <w:tc>
          <w:tcPr>
            <w:tcW w:w="3740" w:type="dxa"/>
            <w:shd w:val="clear" w:color="auto" w:fill="F2F2F2" w:themeFill="background1" w:themeFillShade="F2"/>
          </w:tcPr>
          <w:p w14:paraId="0D07E87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shd w:val="clear" w:color="auto" w:fill="F2F2F2" w:themeFill="background1" w:themeFillShade="F2"/>
          </w:tcPr>
          <w:p w14:paraId="036CD94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Impact of digital technologies adoption on firm performance</w:t>
            </w:r>
          </w:p>
        </w:tc>
        <w:tc>
          <w:tcPr>
            <w:tcW w:w="4120" w:type="dxa"/>
            <w:shd w:val="clear" w:color="auto" w:fill="F2F2F2" w:themeFill="background1" w:themeFillShade="F2"/>
          </w:tcPr>
          <w:p w14:paraId="01D8EC7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IJISCM</w:t>
            </w:r>
          </w:p>
        </w:tc>
        <w:tc>
          <w:tcPr>
            <w:tcW w:w="2860" w:type="dxa"/>
            <w:shd w:val="clear" w:color="auto" w:fill="F2F2F2" w:themeFill="background1" w:themeFillShade="F2"/>
          </w:tcPr>
          <w:p w14:paraId="79F4390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Shows digital adoption enhances firm performance through social value, moderated by entrepreneurial marketing.</w:t>
            </w:r>
          </w:p>
        </w:tc>
        <w:tc>
          <w:tcPr>
            <w:tcW w:w="2460" w:type="dxa"/>
            <w:shd w:val="clear" w:color="auto" w:fill="F2F2F2" w:themeFill="background1" w:themeFillShade="F2"/>
          </w:tcPr>
          <w:p w14:paraId="293C399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Digital tech, firm performance, social value</w:t>
            </w:r>
          </w:p>
        </w:tc>
        <w:tc>
          <w:tcPr>
            <w:tcW w:w="2460" w:type="dxa"/>
            <w:shd w:val="clear" w:color="auto" w:fill="F2F2F2" w:themeFill="background1" w:themeFillShade="F2"/>
          </w:tcPr>
          <w:p w14:paraId="067AB02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 digital tools and marketing jointly shape firm outcomes?</w:t>
            </w:r>
          </w:p>
        </w:tc>
      </w:tr>
      <w:tr w:rsidR="00CD5493" w14:paraId="08CD190B"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0439623B"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40</w:t>
            </w:r>
          </w:p>
        </w:tc>
        <w:tc>
          <w:tcPr>
            <w:tcW w:w="1800" w:type="dxa"/>
          </w:tcPr>
          <w:p w14:paraId="287A359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Acemoglu, D. et al.</w:t>
            </w:r>
          </w:p>
        </w:tc>
        <w:tc>
          <w:tcPr>
            <w:tcW w:w="3740" w:type="dxa"/>
          </w:tcPr>
          <w:p w14:paraId="7367D37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2001</w:t>
            </w:r>
          </w:p>
        </w:tc>
        <w:tc>
          <w:tcPr>
            <w:tcW w:w="3320" w:type="dxa"/>
          </w:tcPr>
          <w:p w14:paraId="7128CA6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Access Now... NSO Group Cannot Escape Accountability...</w:t>
            </w:r>
          </w:p>
        </w:tc>
        <w:tc>
          <w:tcPr>
            <w:tcW w:w="4120" w:type="dxa"/>
          </w:tcPr>
          <w:p w14:paraId="44EAD95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American Economic Review</w:t>
            </w:r>
          </w:p>
        </w:tc>
        <w:tc>
          <w:tcPr>
            <w:tcW w:w="2860" w:type="dxa"/>
          </w:tcPr>
          <w:p w14:paraId="00A1CB4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Discusses institutional accountability frameworks’ limitations, using the NSO case as precedent.</w:t>
            </w:r>
          </w:p>
        </w:tc>
        <w:tc>
          <w:tcPr>
            <w:tcW w:w="2460" w:type="dxa"/>
          </w:tcPr>
          <w:p w14:paraId="5A0064B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Institutions, accountability, legal systems</w:t>
            </w:r>
          </w:p>
        </w:tc>
        <w:tc>
          <w:tcPr>
            <w:tcW w:w="2460" w:type="dxa"/>
          </w:tcPr>
          <w:p w14:paraId="5C24BF5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can institutions hold tech firms accountable for misuse?</w:t>
            </w:r>
          </w:p>
        </w:tc>
      </w:tr>
      <w:tr w:rsidR="00CD5493" w14:paraId="423289D0"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3F466375"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41</w:t>
            </w:r>
          </w:p>
        </w:tc>
        <w:tc>
          <w:tcPr>
            <w:tcW w:w="1800" w:type="dxa"/>
            <w:shd w:val="clear" w:color="auto" w:fill="F2F2F2" w:themeFill="background1" w:themeFillShade="F2"/>
          </w:tcPr>
          <w:p w14:paraId="0A625CA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Hou, T. et al.</w:t>
            </w:r>
          </w:p>
        </w:tc>
        <w:tc>
          <w:tcPr>
            <w:tcW w:w="3740" w:type="dxa"/>
            <w:shd w:val="clear" w:color="auto" w:fill="F2F2F2" w:themeFill="background1" w:themeFillShade="F2"/>
          </w:tcPr>
          <w:p w14:paraId="7A88D0F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shd w:val="clear" w:color="auto" w:fill="F2F2F2" w:themeFill="background1" w:themeFillShade="F2"/>
          </w:tcPr>
          <w:p w14:paraId="6DC4DE2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Dual network configurations and invention renewals within the pharmaceutical industry</w:t>
            </w:r>
          </w:p>
        </w:tc>
        <w:tc>
          <w:tcPr>
            <w:tcW w:w="4120" w:type="dxa"/>
            <w:shd w:val="clear" w:color="auto" w:fill="F2F2F2" w:themeFill="background1" w:themeFillShade="F2"/>
          </w:tcPr>
          <w:p w14:paraId="348B835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Management Decision</w:t>
            </w:r>
          </w:p>
        </w:tc>
        <w:tc>
          <w:tcPr>
            <w:tcW w:w="2860" w:type="dxa"/>
            <w:shd w:val="clear" w:color="auto" w:fill="F2F2F2" w:themeFill="background1" w:themeFillShade="F2"/>
          </w:tcPr>
          <w:p w14:paraId="67398BB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Examines how network configurations impact invention renewal in pharma firms using empirical data.</w:t>
            </w:r>
          </w:p>
        </w:tc>
        <w:tc>
          <w:tcPr>
            <w:tcW w:w="2460" w:type="dxa"/>
            <w:shd w:val="clear" w:color="auto" w:fill="F2F2F2" w:themeFill="background1" w:themeFillShade="F2"/>
          </w:tcPr>
          <w:p w14:paraId="25B2151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Networks, innovation, invention renewal, pharma</w:t>
            </w:r>
          </w:p>
        </w:tc>
        <w:tc>
          <w:tcPr>
            <w:tcW w:w="2460" w:type="dxa"/>
            <w:shd w:val="clear" w:color="auto" w:fill="F2F2F2" w:themeFill="background1" w:themeFillShade="F2"/>
          </w:tcPr>
          <w:p w14:paraId="3BE102B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 dual networks influence invention renewals in pharma?</w:t>
            </w:r>
          </w:p>
        </w:tc>
      </w:tr>
      <w:tr w:rsidR="00CD5493" w14:paraId="35C4F6BF"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27DDCE26"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42</w:t>
            </w:r>
          </w:p>
        </w:tc>
        <w:tc>
          <w:tcPr>
            <w:tcW w:w="1800" w:type="dxa"/>
          </w:tcPr>
          <w:p w14:paraId="033A5CA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proofErr w:type="spellStart"/>
            <w:r>
              <w:rPr>
                <w:rFonts w:ascii="Times New Roman" w:hAnsi="Times New Roman" w:cs="Times New Roman"/>
                <w:szCs w:val="20"/>
                <w:lang w:val="en-GB"/>
              </w:rPr>
              <w:t>Troshchinskiy</w:t>
            </w:r>
            <w:proofErr w:type="spellEnd"/>
            <w:r>
              <w:rPr>
                <w:rFonts w:ascii="Times New Roman" w:hAnsi="Times New Roman" w:cs="Times New Roman"/>
                <w:szCs w:val="20"/>
                <w:lang w:val="en-GB"/>
              </w:rPr>
              <w:t>, P.V.</w:t>
            </w:r>
          </w:p>
        </w:tc>
        <w:tc>
          <w:tcPr>
            <w:tcW w:w="3740" w:type="dxa"/>
          </w:tcPr>
          <w:p w14:paraId="7100314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2021</w:t>
            </w:r>
          </w:p>
        </w:tc>
        <w:tc>
          <w:tcPr>
            <w:tcW w:w="3320" w:type="dxa"/>
          </w:tcPr>
          <w:p w14:paraId="2F6F51C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Main directions of digitalisation in China</w:t>
            </w:r>
          </w:p>
        </w:tc>
        <w:tc>
          <w:tcPr>
            <w:tcW w:w="4120" w:type="dxa"/>
          </w:tcPr>
          <w:p w14:paraId="5CA0255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ISPCR Conference</w:t>
            </w:r>
          </w:p>
        </w:tc>
        <w:tc>
          <w:tcPr>
            <w:tcW w:w="2860" w:type="dxa"/>
          </w:tcPr>
          <w:p w14:paraId="06C463D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Outlines China’s digitalisation strategies, including AI, e-governance, and industry upgrades.</w:t>
            </w:r>
          </w:p>
        </w:tc>
        <w:tc>
          <w:tcPr>
            <w:tcW w:w="2460" w:type="dxa"/>
          </w:tcPr>
          <w:p w14:paraId="37376A5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Digitalisation, China, policy, transformation</w:t>
            </w:r>
          </w:p>
        </w:tc>
        <w:tc>
          <w:tcPr>
            <w:tcW w:w="2460" w:type="dxa"/>
          </w:tcPr>
          <w:p w14:paraId="63F7D57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are China’s primary digitalisation directions?</w:t>
            </w:r>
          </w:p>
        </w:tc>
      </w:tr>
      <w:tr w:rsidR="00CD5493" w14:paraId="58F3E4C6"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603ABFEC"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43</w:t>
            </w:r>
          </w:p>
        </w:tc>
        <w:tc>
          <w:tcPr>
            <w:tcW w:w="1800" w:type="dxa"/>
            <w:shd w:val="clear" w:color="auto" w:fill="F2F2F2" w:themeFill="background1" w:themeFillShade="F2"/>
          </w:tcPr>
          <w:p w14:paraId="48E1A5F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Shu, D. et al.</w:t>
            </w:r>
          </w:p>
        </w:tc>
        <w:tc>
          <w:tcPr>
            <w:tcW w:w="3740" w:type="dxa"/>
            <w:shd w:val="clear" w:color="auto" w:fill="F2F2F2" w:themeFill="background1" w:themeFillShade="F2"/>
          </w:tcPr>
          <w:p w14:paraId="13A8B76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N.D.</w:t>
            </w:r>
          </w:p>
        </w:tc>
        <w:tc>
          <w:tcPr>
            <w:tcW w:w="3320" w:type="dxa"/>
            <w:shd w:val="clear" w:color="auto" w:fill="F2F2F2" w:themeFill="background1" w:themeFillShade="F2"/>
          </w:tcPr>
          <w:p w14:paraId="4A9150A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Artificial Intelligence and Corporate Brand Value</w:t>
            </w:r>
          </w:p>
        </w:tc>
        <w:tc>
          <w:tcPr>
            <w:tcW w:w="4120" w:type="dxa"/>
            <w:shd w:val="clear" w:color="auto" w:fill="F2F2F2" w:themeFill="background1" w:themeFillShade="F2"/>
          </w:tcPr>
          <w:p w14:paraId="43D0B74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SSRN</w:t>
            </w:r>
          </w:p>
        </w:tc>
        <w:tc>
          <w:tcPr>
            <w:tcW w:w="2860" w:type="dxa"/>
            <w:shd w:val="clear" w:color="auto" w:fill="F2F2F2" w:themeFill="background1" w:themeFillShade="F2"/>
          </w:tcPr>
          <w:p w14:paraId="391485C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 xml:space="preserve">Analyses AI’s impact on brand value through dynamic capabilities; suggests strategic </w:t>
            </w:r>
            <w:r>
              <w:rPr>
                <w:rFonts w:ascii="Times New Roman" w:hAnsi="Times New Roman" w:cs="Times New Roman"/>
                <w:szCs w:val="20"/>
                <w:lang w:val="en-GB"/>
              </w:rPr>
              <w:lastRenderedPageBreak/>
              <w:t>integration boosts value.</w:t>
            </w:r>
          </w:p>
        </w:tc>
        <w:tc>
          <w:tcPr>
            <w:tcW w:w="2460" w:type="dxa"/>
            <w:shd w:val="clear" w:color="auto" w:fill="F2F2F2" w:themeFill="background1" w:themeFillShade="F2"/>
          </w:tcPr>
          <w:p w14:paraId="635DBCD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lastRenderedPageBreak/>
              <w:t>AI, brand value, dynamic capabilities</w:t>
            </w:r>
          </w:p>
        </w:tc>
        <w:tc>
          <w:tcPr>
            <w:tcW w:w="2460" w:type="dxa"/>
            <w:shd w:val="clear" w:color="auto" w:fill="F2F2F2" w:themeFill="background1" w:themeFillShade="F2"/>
          </w:tcPr>
          <w:p w14:paraId="1E23A81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does AI influence corporate brand value through info capabilities?</w:t>
            </w:r>
          </w:p>
        </w:tc>
      </w:tr>
      <w:tr w:rsidR="00CD5493" w14:paraId="4B566A27"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1F9C7425"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44</w:t>
            </w:r>
          </w:p>
        </w:tc>
        <w:tc>
          <w:tcPr>
            <w:tcW w:w="1800" w:type="dxa"/>
          </w:tcPr>
          <w:p w14:paraId="50207EB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Zhao, P. &amp; Tang, F.</w:t>
            </w:r>
          </w:p>
        </w:tc>
        <w:tc>
          <w:tcPr>
            <w:tcW w:w="3740" w:type="dxa"/>
          </w:tcPr>
          <w:p w14:paraId="09AA131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5CAA2BD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Digitalisation’s Effect on Chinese Employment Mechanism Study</w:t>
            </w:r>
          </w:p>
        </w:tc>
        <w:tc>
          <w:tcPr>
            <w:tcW w:w="4120" w:type="dxa"/>
          </w:tcPr>
          <w:p w14:paraId="075FFD6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Sustainability</w:t>
            </w:r>
          </w:p>
        </w:tc>
        <w:tc>
          <w:tcPr>
            <w:tcW w:w="2860" w:type="dxa"/>
          </w:tcPr>
          <w:p w14:paraId="0889BB7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Investigates digitalisation’s impact on employment structures in China, focusing on new job models and displacement.</w:t>
            </w:r>
          </w:p>
        </w:tc>
        <w:tc>
          <w:tcPr>
            <w:tcW w:w="2460" w:type="dxa"/>
          </w:tcPr>
          <w:p w14:paraId="26E912D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Employment, digitalisation, labour market</w:t>
            </w:r>
          </w:p>
        </w:tc>
        <w:tc>
          <w:tcPr>
            <w:tcW w:w="2460" w:type="dxa"/>
          </w:tcPr>
          <w:p w14:paraId="56851A7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is digitalisation reshaping China’s employment mechanisms?</w:t>
            </w:r>
          </w:p>
        </w:tc>
      </w:tr>
      <w:tr w:rsidR="00CD5493" w14:paraId="7A715A1C"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4D334936"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45</w:t>
            </w:r>
          </w:p>
        </w:tc>
        <w:tc>
          <w:tcPr>
            <w:tcW w:w="1800" w:type="dxa"/>
            <w:shd w:val="clear" w:color="auto" w:fill="F2F2F2" w:themeFill="background1" w:themeFillShade="F2"/>
          </w:tcPr>
          <w:p w14:paraId="438C7DC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City, L.C.</w:t>
            </w:r>
          </w:p>
        </w:tc>
        <w:tc>
          <w:tcPr>
            <w:tcW w:w="3740" w:type="dxa"/>
            <w:shd w:val="clear" w:color="auto" w:fill="F2F2F2" w:themeFill="background1" w:themeFillShade="F2"/>
          </w:tcPr>
          <w:p w14:paraId="7FC2EB8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N.D.</w:t>
            </w:r>
          </w:p>
        </w:tc>
        <w:tc>
          <w:tcPr>
            <w:tcW w:w="3320" w:type="dxa"/>
            <w:shd w:val="clear" w:color="auto" w:fill="F2F2F2" w:themeFill="background1" w:themeFillShade="F2"/>
          </w:tcPr>
          <w:p w14:paraId="73D1790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URBAN CONSTRUCTION AND MANAGEMENT ENGINEERING IV</w:t>
            </w:r>
          </w:p>
        </w:tc>
        <w:tc>
          <w:tcPr>
            <w:tcW w:w="4120" w:type="dxa"/>
            <w:shd w:val="clear" w:color="auto" w:fill="F2F2F2" w:themeFill="background1" w:themeFillShade="F2"/>
          </w:tcPr>
          <w:p w14:paraId="461CA7D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Taylor &amp; Francis</w:t>
            </w:r>
          </w:p>
        </w:tc>
        <w:tc>
          <w:tcPr>
            <w:tcW w:w="2860" w:type="dxa"/>
            <w:shd w:val="clear" w:color="auto" w:fill="F2F2F2" w:themeFill="background1" w:themeFillShade="F2"/>
          </w:tcPr>
          <w:p w14:paraId="545F695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Covers engineering, urban planning, and digital infrastructure advancements in China.</w:t>
            </w:r>
          </w:p>
        </w:tc>
        <w:tc>
          <w:tcPr>
            <w:tcW w:w="2460" w:type="dxa"/>
            <w:shd w:val="clear" w:color="auto" w:fill="F2F2F2" w:themeFill="background1" w:themeFillShade="F2"/>
          </w:tcPr>
          <w:p w14:paraId="6B5871E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Urban management, smart cities, construction</w:t>
            </w:r>
          </w:p>
        </w:tc>
        <w:tc>
          <w:tcPr>
            <w:tcW w:w="2460" w:type="dxa"/>
            <w:shd w:val="clear" w:color="auto" w:fill="F2F2F2" w:themeFill="background1" w:themeFillShade="F2"/>
          </w:tcPr>
          <w:p w14:paraId="3B16F2E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are urban engineering and digital tools integrated in China?</w:t>
            </w:r>
          </w:p>
        </w:tc>
      </w:tr>
      <w:tr w:rsidR="00CD5493" w14:paraId="47954DCC"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699AEE56"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46</w:t>
            </w:r>
          </w:p>
        </w:tc>
        <w:tc>
          <w:tcPr>
            <w:tcW w:w="1800" w:type="dxa"/>
          </w:tcPr>
          <w:p w14:paraId="77B6575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Gao, Y. &amp; Liu, H.</w:t>
            </w:r>
          </w:p>
        </w:tc>
        <w:tc>
          <w:tcPr>
            <w:tcW w:w="3740" w:type="dxa"/>
          </w:tcPr>
          <w:p w14:paraId="2941BFB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2023</w:t>
            </w:r>
          </w:p>
        </w:tc>
        <w:tc>
          <w:tcPr>
            <w:tcW w:w="3320" w:type="dxa"/>
          </w:tcPr>
          <w:p w14:paraId="5A645C9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AI-enabled personalisation in interactive marketing</w:t>
            </w:r>
          </w:p>
        </w:tc>
        <w:tc>
          <w:tcPr>
            <w:tcW w:w="4120" w:type="dxa"/>
          </w:tcPr>
          <w:p w14:paraId="574104E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Journal of Research in Interactive Marketing</w:t>
            </w:r>
          </w:p>
        </w:tc>
        <w:tc>
          <w:tcPr>
            <w:tcW w:w="2860" w:type="dxa"/>
          </w:tcPr>
          <w:p w14:paraId="7465783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Explores AI-driven customer journey personalisation and its impact on engagement and satisfaction.</w:t>
            </w:r>
          </w:p>
        </w:tc>
        <w:tc>
          <w:tcPr>
            <w:tcW w:w="2460" w:type="dxa"/>
          </w:tcPr>
          <w:p w14:paraId="73C1CA9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Personalisation, AI, marketing, journey</w:t>
            </w:r>
          </w:p>
        </w:tc>
        <w:tc>
          <w:tcPr>
            <w:tcW w:w="2460" w:type="dxa"/>
          </w:tcPr>
          <w:p w14:paraId="6C850EC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does AI-driven personalisation shape the customer journey?</w:t>
            </w:r>
          </w:p>
        </w:tc>
      </w:tr>
      <w:tr w:rsidR="00CD5493" w14:paraId="28C3EB1D"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45D67309"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47</w:t>
            </w:r>
          </w:p>
        </w:tc>
        <w:tc>
          <w:tcPr>
            <w:tcW w:w="1800" w:type="dxa"/>
            <w:shd w:val="clear" w:color="auto" w:fill="F2F2F2" w:themeFill="background1" w:themeFillShade="F2"/>
          </w:tcPr>
          <w:p w14:paraId="4F07F7A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Khalid, S. &amp; Li, Y.</w:t>
            </w:r>
          </w:p>
        </w:tc>
        <w:tc>
          <w:tcPr>
            <w:tcW w:w="3740" w:type="dxa"/>
            <w:shd w:val="clear" w:color="auto" w:fill="F2F2F2" w:themeFill="background1" w:themeFillShade="F2"/>
          </w:tcPr>
          <w:p w14:paraId="7FB3FA1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shd w:val="clear" w:color="auto" w:fill="F2F2F2" w:themeFill="background1" w:themeFillShade="F2"/>
          </w:tcPr>
          <w:p w14:paraId="368EF27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Impact of barriers on knowledge management and project success in IT firms</w:t>
            </w:r>
          </w:p>
        </w:tc>
        <w:tc>
          <w:tcPr>
            <w:tcW w:w="4120" w:type="dxa"/>
            <w:shd w:val="clear" w:color="auto" w:fill="F2F2F2" w:themeFill="background1" w:themeFillShade="F2"/>
          </w:tcPr>
          <w:p w14:paraId="24F8A77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Int. J. of Business and Systems Research</w:t>
            </w:r>
          </w:p>
        </w:tc>
        <w:tc>
          <w:tcPr>
            <w:tcW w:w="2860" w:type="dxa"/>
            <w:shd w:val="clear" w:color="auto" w:fill="F2F2F2" w:themeFill="background1" w:themeFillShade="F2"/>
          </w:tcPr>
          <w:p w14:paraId="723D006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Evaluates how knowledge barriers impact project outcomes and ambidextrous workers’ role in IT firms.</w:t>
            </w:r>
          </w:p>
        </w:tc>
        <w:tc>
          <w:tcPr>
            <w:tcW w:w="2460" w:type="dxa"/>
            <w:shd w:val="clear" w:color="auto" w:fill="F2F2F2" w:themeFill="background1" w:themeFillShade="F2"/>
          </w:tcPr>
          <w:p w14:paraId="2944710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KM, barriers, ambidexterity, IT, project success</w:t>
            </w:r>
          </w:p>
        </w:tc>
        <w:tc>
          <w:tcPr>
            <w:tcW w:w="2460" w:type="dxa"/>
            <w:shd w:val="clear" w:color="auto" w:fill="F2F2F2" w:themeFill="background1" w:themeFillShade="F2"/>
          </w:tcPr>
          <w:p w14:paraId="41B06FF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 knowledge barriers and ambidexterity impact IT project success?</w:t>
            </w:r>
          </w:p>
        </w:tc>
      </w:tr>
      <w:tr w:rsidR="00CD5493" w14:paraId="6C737C5D"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7F1F7A98"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48</w:t>
            </w:r>
          </w:p>
        </w:tc>
        <w:tc>
          <w:tcPr>
            <w:tcW w:w="1800" w:type="dxa"/>
          </w:tcPr>
          <w:p w14:paraId="75AF08D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Hussain, S. et al.</w:t>
            </w:r>
          </w:p>
        </w:tc>
        <w:tc>
          <w:tcPr>
            <w:tcW w:w="3740" w:type="dxa"/>
          </w:tcPr>
          <w:p w14:paraId="56F3D2A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2023</w:t>
            </w:r>
          </w:p>
        </w:tc>
        <w:tc>
          <w:tcPr>
            <w:tcW w:w="3320" w:type="dxa"/>
          </w:tcPr>
          <w:p w14:paraId="62E494A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Global trends in agricultural remote sensing for wheat scab detection</w:t>
            </w:r>
          </w:p>
        </w:tc>
        <w:tc>
          <w:tcPr>
            <w:tcW w:w="4120" w:type="dxa"/>
          </w:tcPr>
          <w:p w14:paraId="7627918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Remote Sensing</w:t>
            </w:r>
          </w:p>
        </w:tc>
        <w:tc>
          <w:tcPr>
            <w:tcW w:w="2860" w:type="dxa"/>
          </w:tcPr>
          <w:p w14:paraId="6707A19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Provides a bibliometric overview of AI and remote sensing in wheat disease monitoring.</w:t>
            </w:r>
          </w:p>
        </w:tc>
        <w:tc>
          <w:tcPr>
            <w:tcW w:w="2460" w:type="dxa"/>
          </w:tcPr>
          <w:p w14:paraId="2AD00AA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Remote sensing, wheat scab, agriculture, AI</w:t>
            </w:r>
          </w:p>
        </w:tc>
        <w:tc>
          <w:tcPr>
            <w:tcW w:w="2460" w:type="dxa"/>
          </w:tcPr>
          <w:p w14:paraId="0A369EB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are the research trends in remote sensing for wheat disease detection?</w:t>
            </w:r>
          </w:p>
        </w:tc>
      </w:tr>
      <w:tr w:rsidR="00CD5493" w14:paraId="2F34098A"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2576EA3B"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lastRenderedPageBreak/>
              <w:t>49</w:t>
            </w:r>
          </w:p>
        </w:tc>
        <w:tc>
          <w:tcPr>
            <w:tcW w:w="1800" w:type="dxa"/>
            <w:shd w:val="clear" w:color="auto" w:fill="F2F2F2" w:themeFill="background1" w:themeFillShade="F2"/>
          </w:tcPr>
          <w:p w14:paraId="5E04A96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Lin, F. et al.</w:t>
            </w:r>
          </w:p>
        </w:tc>
        <w:tc>
          <w:tcPr>
            <w:tcW w:w="3740" w:type="dxa"/>
            <w:shd w:val="clear" w:color="auto" w:fill="F2F2F2" w:themeFill="background1" w:themeFillShade="F2"/>
          </w:tcPr>
          <w:p w14:paraId="73E2E72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2025</w:t>
            </w:r>
          </w:p>
        </w:tc>
        <w:tc>
          <w:tcPr>
            <w:tcW w:w="3320" w:type="dxa"/>
            <w:shd w:val="clear" w:color="auto" w:fill="F2F2F2" w:themeFill="background1" w:themeFillShade="F2"/>
          </w:tcPr>
          <w:p w14:paraId="62CB634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proofErr w:type="spellStart"/>
            <w:r>
              <w:rPr>
                <w:rFonts w:ascii="Times New Roman" w:hAnsi="Times New Roman" w:cs="Times New Roman"/>
                <w:szCs w:val="20"/>
                <w:lang w:val="en-GB"/>
              </w:rPr>
              <w:t>AutoCOPD</w:t>
            </w:r>
            <w:proofErr w:type="spellEnd"/>
            <w:r>
              <w:rPr>
                <w:rFonts w:ascii="Times New Roman" w:hAnsi="Times New Roman" w:cs="Times New Roman"/>
                <w:szCs w:val="20"/>
                <w:lang w:val="en-GB"/>
              </w:rPr>
              <w:t xml:space="preserve"> – A machine learning model for COPD detection</w:t>
            </w:r>
          </w:p>
        </w:tc>
        <w:tc>
          <w:tcPr>
            <w:tcW w:w="4120" w:type="dxa"/>
            <w:shd w:val="clear" w:color="auto" w:fill="F2F2F2" w:themeFill="background1" w:themeFillShade="F2"/>
          </w:tcPr>
          <w:p w14:paraId="2FAC114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proofErr w:type="spellStart"/>
            <w:r>
              <w:rPr>
                <w:rFonts w:ascii="Times New Roman" w:hAnsi="Times New Roman" w:cs="Times New Roman"/>
                <w:szCs w:val="20"/>
                <w:lang w:val="en-GB"/>
              </w:rPr>
              <w:t>EClinicalMedicine</w:t>
            </w:r>
            <w:proofErr w:type="spellEnd"/>
          </w:p>
        </w:tc>
        <w:tc>
          <w:tcPr>
            <w:tcW w:w="2860" w:type="dxa"/>
            <w:shd w:val="clear" w:color="auto" w:fill="F2F2F2" w:themeFill="background1" w:themeFillShade="F2"/>
          </w:tcPr>
          <w:p w14:paraId="771FA80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Proposes and validates a novel ML model for COPD detection using CT imaging data from multiple centres.</w:t>
            </w:r>
          </w:p>
        </w:tc>
        <w:tc>
          <w:tcPr>
            <w:tcW w:w="2460" w:type="dxa"/>
            <w:shd w:val="clear" w:color="auto" w:fill="F2F2F2" w:themeFill="background1" w:themeFillShade="F2"/>
          </w:tcPr>
          <w:p w14:paraId="147D3F0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COPD, machine learning, diagnosis</w:t>
            </w:r>
          </w:p>
        </w:tc>
        <w:tc>
          <w:tcPr>
            <w:tcW w:w="2460" w:type="dxa"/>
            <w:shd w:val="clear" w:color="auto" w:fill="F2F2F2" w:themeFill="background1" w:themeFillShade="F2"/>
          </w:tcPr>
          <w:p w14:paraId="23E8A5F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 xml:space="preserve">How effective is </w:t>
            </w:r>
            <w:proofErr w:type="spellStart"/>
            <w:r>
              <w:rPr>
                <w:rFonts w:ascii="Times New Roman" w:hAnsi="Times New Roman" w:cs="Times New Roman"/>
                <w:szCs w:val="20"/>
                <w:lang w:val="en-GB"/>
              </w:rPr>
              <w:t>AutoCOPD</w:t>
            </w:r>
            <w:proofErr w:type="spellEnd"/>
            <w:r>
              <w:rPr>
                <w:rFonts w:ascii="Times New Roman" w:hAnsi="Times New Roman" w:cs="Times New Roman"/>
                <w:szCs w:val="20"/>
                <w:lang w:val="en-GB"/>
              </w:rPr>
              <w:t xml:space="preserve"> in diagnosing COPD via imaging?</w:t>
            </w:r>
          </w:p>
        </w:tc>
      </w:tr>
      <w:tr w:rsidR="00CD5493" w14:paraId="16CE2ADB"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7A5EC2EE"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50</w:t>
            </w:r>
          </w:p>
        </w:tc>
        <w:tc>
          <w:tcPr>
            <w:tcW w:w="1800" w:type="dxa"/>
          </w:tcPr>
          <w:p w14:paraId="20690F7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Dahlke, J. &amp; Ebersberger, B.</w:t>
            </w:r>
          </w:p>
        </w:tc>
        <w:tc>
          <w:tcPr>
            <w:tcW w:w="3740" w:type="dxa"/>
          </w:tcPr>
          <w:p w14:paraId="7982E40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2023</w:t>
            </w:r>
          </w:p>
        </w:tc>
        <w:tc>
          <w:tcPr>
            <w:tcW w:w="3320" w:type="dxa"/>
          </w:tcPr>
          <w:p w14:paraId="2D72C94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Divergent transition pathways for artificial intelligence</w:t>
            </w:r>
          </w:p>
        </w:tc>
        <w:tc>
          <w:tcPr>
            <w:tcW w:w="4120" w:type="dxa"/>
          </w:tcPr>
          <w:p w14:paraId="27A119B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proofErr w:type="spellStart"/>
            <w:r>
              <w:rPr>
                <w:rFonts w:ascii="Times New Roman" w:hAnsi="Times New Roman" w:cs="Times New Roman"/>
                <w:szCs w:val="20"/>
                <w:lang w:val="en-GB"/>
              </w:rPr>
              <w:t>ResearchSquare</w:t>
            </w:r>
            <w:proofErr w:type="spellEnd"/>
          </w:p>
        </w:tc>
        <w:tc>
          <w:tcPr>
            <w:tcW w:w="2860" w:type="dxa"/>
          </w:tcPr>
          <w:p w14:paraId="6A634DC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Uses structural topic modelling to trace the evolving AI transition narratives over time.</w:t>
            </w:r>
          </w:p>
        </w:tc>
        <w:tc>
          <w:tcPr>
            <w:tcW w:w="2460" w:type="dxa"/>
          </w:tcPr>
          <w:p w14:paraId="7EAC9BA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transition, narratives, topic modelling</w:t>
            </w:r>
          </w:p>
        </w:tc>
        <w:tc>
          <w:tcPr>
            <w:tcW w:w="2460" w:type="dxa"/>
          </w:tcPr>
          <w:p w14:paraId="3EDBF18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are the divergent developmental pathways in AI discourse?</w:t>
            </w:r>
          </w:p>
        </w:tc>
      </w:tr>
      <w:tr w:rsidR="00CD5493" w14:paraId="248E476A"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7E4EC05D"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51</w:t>
            </w:r>
          </w:p>
        </w:tc>
        <w:tc>
          <w:tcPr>
            <w:tcW w:w="1800" w:type="dxa"/>
            <w:shd w:val="clear" w:color="auto" w:fill="F2F2F2" w:themeFill="background1" w:themeFillShade="F2"/>
          </w:tcPr>
          <w:p w14:paraId="2E36A17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Wang, M. et al.</w:t>
            </w:r>
          </w:p>
        </w:tc>
        <w:tc>
          <w:tcPr>
            <w:tcW w:w="3740" w:type="dxa"/>
            <w:shd w:val="clear" w:color="auto" w:fill="F2F2F2" w:themeFill="background1" w:themeFillShade="F2"/>
          </w:tcPr>
          <w:p w14:paraId="00DCA7C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shd w:val="clear" w:color="auto" w:fill="F2F2F2" w:themeFill="background1" w:themeFillShade="F2"/>
          </w:tcPr>
          <w:p w14:paraId="2C1C249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Enterprise climate risk perception and organisational resilience</w:t>
            </w:r>
          </w:p>
        </w:tc>
        <w:tc>
          <w:tcPr>
            <w:tcW w:w="4120" w:type="dxa"/>
            <w:shd w:val="clear" w:color="auto" w:fill="F2F2F2" w:themeFill="background1" w:themeFillShade="F2"/>
          </w:tcPr>
          <w:p w14:paraId="4EB4F61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Stochastic Env. Res. &amp; Risk Assess.</w:t>
            </w:r>
          </w:p>
        </w:tc>
        <w:tc>
          <w:tcPr>
            <w:tcW w:w="2860" w:type="dxa"/>
            <w:shd w:val="clear" w:color="auto" w:fill="F2F2F2" w:themeFill="background1" w:themeFillShade="F2"/>
          </w:tcPr>
          <w:p w14:paraId="0F51ED5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Explores how perceived climate risks drive green innovation and firm resilience.</w:t>
            </w:r>
          </w:p>
        </w:tc>
        <w:tc>
          <w:tcPr>
            <w:tcW w:w="2460" w:type="dxa"/>
            <w:shd w:val="clear" w:color="auto" w:fill="F2F2F2" w:themeFill="background1" w:themeFillShade="F2"/>
          </w:tcPr>
          <w:p w14:paraId="550C0DD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Risk perception, resilience, green tech</w:t>
            </w:r>
          </w:p>
        </w:tc>
        <w:tc>
          <w:tcPr>
            <w:tcW w:w="2460" w:type="dxa"/>
            <w:shd w:val="clear" w:color="auto" w:fill="F2F2F2" w:themeFill="background1" w:themeFillShade="F2"/>
          </w:tcPr>
          <w:p w14:paraId="4A7C7B2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does climate risk awareness shape organisational resilience?</w:t>
            </w:r>
          </w:p>
        </w:tc>
      </w:tr>
      <w:tr w:rsidR="00CD5493" w14:paraId="66697F09"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01566DBA"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52</w:t>
            </w:r>
          </w:p>
        </w:tc>
        <w:tc>
          <w:tcPr>
            <w:tcW w:w="1800" w:type="dxa"/>
          </w:tcPr>
          <w:p w14:paraId="6BBC1F3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proofErr w:type="spellStart"/>
            <w:r>
              <w:rPr>
                <w:rFonts w:ascii="Times New Roman" w:hAnsi="Times New Roman" w:cs="Times New Roman"/>
                <w:szCs w:val="20"/>
                <w:lang w:val="en-GB"/>
              </w:rPr>
              <w:t>Paliszkiewicz</w:t>
            </w:r>
            <w:proofErr w:type="spellEnd"/>
            <w:r>
              <w:rPr>
                <w:rFonts w:ascii="Times New Roman" w:hAnsi="Times New Roman" w:cs="Times New Roman"/>
                <w:szCs w:val="20"/>
                <w:lang w:val="en-GB"/>
              </w:rPr>
              <w:t xml:space="preserve">, J. &amp; </w:t>
            </w:r>
            <w:proofErr w:type="spellStart"/>
            <w:r>
              <w:rPr>
                <w:rFonts w:ascii="Times New Roman" w:hAnsi="Times New Roman" w:cs="Times New Roman"/>
                <w:szCs w:val="20"/>
                <w:lang w:val="en-GB"/>
              </w:rPr>
              <w:t>Gołuchowski</w:t>
            </w:r>
            <w:proofErr w:type="spellEnd"/>
            <w:r>
              <w:rPr>
                <w:rFonts w:ascii="Times New Roman" w:hAnsi="Times New Roman" w:cs="Times New Roman"/>
                <w:szCs w:val="20"/>
                <w:lang w:val="en-GB"/>
              </w:rPr>
              <w:t>, J.</w:t>
            </w:r>
          </w:p>
        </w:tc>
        <w:tc>
          <w:tcPr>
            <w:tcW w:w="3740" w:type="dxa"/>
          </w:tcPr>
          <w:p w14:paraId="2B07102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49034E9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Trust and artificial intelligence</w:t>
            </w:r>
          </w:p>
        </w:tc>
        <w:tc>
          <w:tcPr>
            <w:tcW w:w="4120" w:type="dxa"/>
          </w:tcPr>
          <w:p w14:paraId="1EEB711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Taylor &amp; Francis</w:t>
            </w:r>
          </w:p>
        </w:tc>
        <w:tc>
          <w:tcPr>
            <w:tcW w:w="2860" w:type="dxa"/>
          </w:tcPr>
          <w:p w14:paraId="495F597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Examines how trust in AI systems develops and affects adoption and performance.</w:t>
            </w:r>
          </w:p>
        </w:tc>
        <w:tc>
          <w:tcPr>
            <w:tcW w:w="2460" w:type="dxa"/>
          </w:tcPr>
          <w:p w14:paraId="69F76A8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trust, adoption, ethics</w:t>
            </w:r>
          </w:p>
        </w:tc>
        <w:tc>
          <w:tcPr>
            <w:tcW w:w="2460" w:type="dxa"/>
          </w:tcPr>
          <w:p w14:paraId="53BF213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factors foster trust in AI technologies?</w:t>
            </w:r>
          </w:p>
        </w:tc>
      </w:tr>
      <w:tr w:rsidR="00CD5493" w14:paraId="72E993C9"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783B707B"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53</w:t>
            </w:r>
          </w:p>
        </w:tc>
        <w:tc>
          <w:tcPr>
            <w:tcW w:w="1800" w:type="dxa"/>
            <w:shd w:val="clear" w:color="auto" w:fill="F2F2F2" w:themeFill="background1" w:themeFillShade="F2"/>
          </w:tcPr>
          <w:p w14:paraId="1B57145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Peláez, C.A. et al.</w:t>
            </w:r>
          </w:p>
        </w:tc>
        <w:tc>
          <w:tcPr>
            <w:tcW w:w="3740" w:type="dxa"/>
            <w:shd w:val="clear" w:color="auto" w:fill="F2F2F2" w:themeFill="background1" w:themeFillShade="F2"/>
          </w:tcPr>
          <w:p w14:paraId="76B36E8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2025</w:t>
            </w:r>
          </w:p>
        </w:tc>
        <w:tc>
          <w:tcPr>
            <w:tcW w:w="3320" w:type="dxa"/>
            <w:shd w:val="clear" w:color="auto" w:fill="F2F2F2" w:themeFill="background1" w:themeFillShade="F2"/>
          </w:tcPr>
          <w:p w14:paraId="5CA3D14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UX Design Guidelines in Generative AI Assistants</w:t>
            </w:r>
          </w:p>
        </w:tc>
        <w:tc>
          <w:tcPr>
            <w:tcW w:w="4120" w:type="dxa"/>
            <w:shd w:val="clear" w:color="auto" w:fill="F2F2F2" w:themeFill="background1" w:themeFillShade="F2"/>
          </w:tcPr>
          <w:p w14:paraId="139FD56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Informatics</w:t>
            </w:r>
          </w:p>
        </w:tc>
        <w:tc>
          <w:tcPr>
            <w:tcW w:w="2860" w:type="dxa"/>
            <w:shd w:val="clear" w:color="auto" w:fill="F2F2F2" w:themeFill="background1" w:themeFillShade="F2"/>
          </w:tcPr>
          <w:p w14:paraId="75C99C2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Presents a toolkit applying UX principles to generative AI to improve user experience.</w:t>
            </w:r>
          </w:p>
        </w:tc>
        <w:tc>
          <w:tcPr>
            <w:tcW w:w="2460" w:type="dxa"/>
            <w:shd w:val="clear" w:color="auto" w:fill="F2F2F2" w:themeFill="background1" w:themeFillShade="F2"/>
          </w:tcPr>
          <w:p w14:paraId="5277E9D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Generative AI, UX design, guidelines</w:t>
            </w:r>
          </w:p>
        </w:tc>
        <w:tc>
          <w:tcPr>
            <w:tcW w:w="2460" w:type="dxa"/>
            <w:shd w:val="clear" w:color="auto" w:fill="F2F2F2" w:themeFill="background1" w:themeFillShade="F2"/>
          </w:tcPr>
          <w:p w14:paraId="5D53CCE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can UX principles be embedded into generative AI development?</w:t>
            </w:r>
          </w:p>
        </w:tc>
      </w:tr>
      <w:tr w:rsidR="00CD5493" w14:paraId="2A1B9BCE"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05D7713F"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54</w:t>
            </w:r>
          </w:p>
        </w:tc>
        <w:tc>
          <w:tcPr>
            <w:tcW w:w="1800" w:type="dxa"/>
          </w:tcPr>
          <w:p w14:paraId="35202EA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proofErr w:type="spellStart"/>
            <w:r>
              <w:rPr>
                <w:rFonts w:ascii="Times New Roman" w:hAnsi="Times New Roman" w:cs="Times New Roman"/>
                <w:szCs w:val="20"/>
                <w:lang w:val="en-GB"/>
              </w:rPr>
              <w:t>Roziqin</w:t>
            </w:r>
            <w:proofErr w:type="spellEnd"/>
            <w:r>
              <w:rPr>
                <w:rFonts w:ascii="Times New Roman" w:hAnsi="Times New Roman" w:cs="Times New Roman"/>
                <w:szCs w:val="20"/>
                <w:lang w:val="en-GB"/>
              </w:rPr>
              <w:t>, A.</w:t>
            </w:r>
          </w:p>
        </w:tc>
        <w:tc>
          <w:tcPr>
            <w:tcW w:w="3740" w:type="dxa"/>
          </w:tcPr>
          <w:p w14:paraId="2EAB131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2025</w:t>
            </w:r>
          </w:p>
        </w:tc>
        <w:tc>
          <w:tcPr>
            <w:tcW w:w="3320" w:type="dxa"/>
          </w:tcPr>
          <w:p w14:paraId="740913D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Digital Business in Indonesia: Private vs. Public Sectors</w:t>
            </w:r>
          </w:p>
        </w:tc>
        <w:tc>
          <w:tcPr>
            <w:tcW w:w="4120" w:type="dxa"/>
          </w:tcPr>
          <w:p w14:paraId="1B4A931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Insights Into Digital Business</w:t>
            </w:r>
          </w:p>
        </w:tc>
        <w:tc>
          <w:tcPr>
            <w:tcW w:w="2860" w:type="dxa"/>
          </w:tcPr>
          <w:p w14:paraId="16FABD5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Compares digital adoption and HR practices in Indonesia’s public and private sectors.</w:t>
            </w:r>
          </w:p>
        </w:tc>
        <w:tc>
          <w:tcPr>
            <w:tcW w:w="2460" w:type="dxa"/>
          </w:tcPr>
          <w:p w14:paraId="2C3E8B7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Digitalisation, HRM, Indonesia, competitiveness</w:t>
            </w:r>
          </w:p>
        </w:tc>
        <w:tc>
          <w:tcPr>
            <w:tcW w:w="2460" w:type="dxa"/>
          </w:tcPr>
          <w:p w14:paraId="767964C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are the differences in digital business practices across sectors in Indonesia?</w:t>
            </w:r>
          </w:p>
        </w:tc>
      </w:tr>
      <w:tr w:rsidR="00CD5493" w14:paraId="0A98D85B"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0034F732"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55</w:t>
            </w:r>
          </w:p>
        </w:tc>
        <w:tc>
          <w:tcPr>
            <w:tcW w:w="1800" w:type="dxa"/>
            <w:shd w:val="clear" w:color="auto" w:fill="F2F2F2" w:themeFill="background1" w:themeFillShade="F2"/>
          </w:tcPr>
          <w:p w14:paraId="0AFBE5F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Dutta, P.K. et al. (Eds.)</w:t>
            </w:r>
          </w:p>
        </w:tc>
        <w:tc>
          <w:tcPr>
            <w:tcW w:w="3740" w:type="dxa"/>
            <w:shd w:val="clear" w:color="auto" w:fill="F2F2F2" w:themeFill="background1" w:themeFillShade="F2"/>
          </w:tcPr>
          <w:p w14:paraId="7CB24CC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shd w:val="clear" w:color="auto" w:fill="F2F2F2" w:themeFill="background1" w:themeFillShade="F2"/>
          </w:tcPr>
          <w:p w14:paraId="5F37ABB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Solutions for Cyber-Physical Systems</w:t>
            </w:r>
          </w:p>
        </w:tc>
        <w:tc>
          <w:tcPr>
            <w:tcW w:w="4120" w:type="dxa"/>
            <w:shd w:val="clear" w:color="auto" w:fill="F2F2F2" w:themeFill="background1" w:themeFillShade="F2"/>
          </w:tcPr>
          <w:p w14:paraId="75C4A41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Taylor &amp; Francis</w:t>
            </w:r>
          </w:p>
        </w:tc>
        <w:tc>
          <w:tcPr>
            <w:tcW w:w="2860" w:type="dxa"/>
            <w:shd w:val="clear" w:color="auto" w:fill="F2F2F2" w:themeFill="background1" w:themeFillShade="F2"/>
          </w:tcPr>
          <w:p w14:paraId="13D6E65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Research collection on AI integration in cyber-physical systems across sectors.</w:t>
            </w:r>
          </w:p>
        </w:tc>
        <w:tc>
          <w:tcPr>
            <w:tcW w:w="2460" w:type="dxa"/>
            <w:shd w:val="clear" w:color="auto" w:fill="F2F2F2" w:themeFill="background1" w:themeFillShade="F2"/>
          </w:tcPr>
          <w:p w14:paraId="364E3F2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cyber-physical systems, integration</w:t>
            </w:r>
          </w:p>
        </w:tc>
        <w:tc>
          <w:tcPr>
            <w:tcW w:w="2460" w:type="dxa"/>
            <w:shd w:val="clear" w:color="auto" w:fill="F2F2F2" w:themeFill="background1" w:themeFillShade="F2"/>
          </w:tcPr>
          <w:p w14:paraId="72D904C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is AI shaping the development of cyber-physical systems?</w:t>
            </w:r>
          </w:p>
        </w:tc>
      </w:tr>
      <w:tr w:rsidR="00CD5493" w14:paraId="3AC2EBA2" w14:textId="77777777" w:rsidTr="00D95089">
        <w:trPr>
          <w:trHeight w:val="900"/>
        </w:trPr>
        <w:tc>
          <w:tcPr>
            <w:cnfStyle w:val="001000000000" w:firstRow="0" w:lastRow="0" w:firstColumn="1" w:lastColumn="0" w:oddVBand="0" w:evenVBand="0" w:oddHBand="0" w:evenHBand="0" w:firstRowFirstColumn="0" w:firstRowLastColumn="0" w:lastRowFirstColumn="0" w:lastRowLastColumn="0"/>
            <w:tcW w:w="500" w:type="dxa"/>
          </w:tcPr>
          <w:p w14:paraId="24B0C5FF"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lastRenderedPageBreak/>
              <w:t>56</w:t>
            </w:r>
          </w:p>
        </w:tc>
        <w:tc>
          <w:tcPr>
            <w:tcW w:w="1800" w:type="dxa"/>
          </w:tcPr>
          <w:p w14:paraId="2CA87E3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Song, H. &amp; Chen, W.</w:t>
            </w:r>
          </w:p>
        </w:tc>
        <w:tc>
          <w:tcPr>
            <w:tcW w:w="3740" w:type="dxa"/>
          </w:tcPr>
          <w:p w14:paraId="56FDB3E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N.D.</w:t>
            </w:r>
          </w:p>
        </w:tc>
        <w:tc>
          <w:tcPr>
            <w:tcW w:w="3320" w:type="dxa"/>
          </w:tcPr>
          <w:p w14:paraId="5DEB952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Digital-Energy Synergy and Renewable Innovation</w:t>
            </w:r>
          </w:p>
        </w:tc>
        <w:tc>
          <w:tcPr>
            <w:tcW w:w="4120" w:type="dxa"/>
          </w:tcPr>
          <w:p w14:paraId="31C6237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SSRN</w:t>
            </w:r>
          </w:p>
        </w:tc>
        <w:tc>
          <w:tcPr>
            <w:tcW w:w="2860" w:type="dxa"/>
          </w:tcPr>
          <w:p w14:paraId="194BFA8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Examines how big data policy supports renewable energy innovation in China.</w:t>
            </w:r>
          </w:p>
        </w:tc>
        <w:tc>
          <w:tcPr>
            <w:tcW w:w="2460" w:type="dxa"/>
          </w:tcPr>
          <w:p w14:paraId="12D5F20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Big data, energy, innovation, policy</w:t>
            </w:r>
          </w:p>
        </w:tc>
        <w:tc>
          <w:tcPr>
            <w:tcW w:w="2460" w:type="dxa"/>
          </w:tcPr>
          <w:p w14:paraId="34B2646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role do big data policies play in energy innovation?</w:t>
            </w:r>
          </w:p>
        </w:tc>
      </w:tr>
      <w:tr w:rsidR="00CD5493" w14:paraId="55EFC72E"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62D6775F"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57</w:t>
            </w:r>
          </w:p>
        </w:tc>
        <w:tc>
          <w:tcPr>
            <w:tcW w:w="1800" w:type="dxa"/>
            <w:shd w:val="clear" w:color="auto" w:fill="F2F2F2" w:themeFill="background1" w:themeFillShade="F2"/>
          </w:tcPr>
          <w:p w14:paraId="58AE695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Yu, Y. &amp; Liu, Y.</w:t>
            </w:r>
          </w:p>
        </w:tc>
        <w:tc>
          <w:tcPr>
            <w:tcW w:w="3740" w:type="dxa"/>
            <w:shd w:val="clear" w:color="auto" w:fill="F2F2F2" w:themeFill="background1" w:themeFillShade="F2"/>
          </w:tcPr>
          <w:p w14:paraId="360B91F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N.D.</w:t>
            </w:r>
          </w:p>
        </w:tc>
        <w:tc>
          <w:tcPr>
            <w:tcW w:w="3320" w:type="dxa"/>
            <w:shd w:val="clear" w:color="auto" w:fill="F2F2F2" w:themeFill="background1" w:themeFillShade="F2"/>
          </w:tcPr>
          <w:p w14:paraId="74EC3B8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Digital Literacy and Farmers’ Waste Classification</w:t>
            </w:r>
          </w:p>
        </w:tc>
        <w:tc>
          <w:tcPr>
            <w:tcW w:w="4120" w:type="dxa"/>
            <w:shd w:val="clear" w:color="auto" w:fill="F2F2F2" w:themeFill="background1" w:themeFillShade="F2"/>
          </w:tcPr>
          <w:p w14:paraId="25B5633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SSRN</w:t>
            </w:r>
          </w:p>
        </w:tc>
        <w:tc>
          <w:tcPr>
            <w:tcW w:w="2860" w:type="dxa"/>
            <w:shd w:val="clear" w:color="auto" w:fill="F2F2F2" w:themeFill="background1" w:themeFillShade="F2"/>
          </w:tcPr>
          <w:p w14:paraId="3AAD254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Analyses how digital literacy influences rural environmental behaviour in China.</w:t>
            </w:r>
          </w:p>
        </w:tc>
        <w:tc>
          <w:tcPr>
            <w:tcW w:w="2460" w:type="dxa"/>
            <w:shd w:val="clear" w:color="auto" w:fill="F2F2F2" w:themeFill="background1" w:themeFillShade="F2"/>
          </w:tcPr>
          <w:p w14:paraId="1F7AFF6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Digital literacy, rural China, environment</w:t>
            </w:r>
          </w:p>
        </w:tc>
        <w:tc>
          <w:tcPr>
            <w:tcW w:w="2460" w:type="dxa"/>
            <w:shd w:val="clear" w:color="auto" w:fill="F2F2F2" w:themeFill="background1" w:themeFillShade="F2"/>
          </w:tcPr>
          <w:p w14:paraId="4CA44B7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Does digital literacy promote eco-friendly behaviour among Chinese farmers?</w:t>
            </w:r>
          </w:p>
        </w:tc>
      </w:tr>
      <w:tr w:rsidR="00CD5493" w14:paraId="314ACFBB"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6AB91D54"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58</w:t>
            </w:r>
          </w:p>
        </w:tc>
        <w:tc>
          <w:tcPr>
            <w:tcW w:w="1800" w:type="dxa"/>
          </w:tcPr>
          <w:p w14:paraId="5AA715C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proofErr w:type="spellStart"/>
            <w:r>
              <w:rPr>
                <w:rFonts w:ascii="Times New Roman" w:hAnsi="Times New Roman" w:cs="Times New Roman"/>
                <w:szCs w:val="20"/>
                <w:lang w:val="en-GB"/>
              </w:rPr>
              <w:t>Zailani</w:t>
            </w:r>
            <w:proofErr w:type="spellEnd"/>
            <w:r>
              <w:rPr>
                <w:rFonts w:ascii="Times New Roman" w:hAnsi="Times New Roman" w:cs="Times New Roman"/>
                <w:szCs w:val="20"/>
                <w:lang w:val="en-GB"/>
              </w:rPr>
              <w:t>, S.H. et al. (Eds.)</w:t>
            </w:r>
          </w:p>
        </w:tc>
        <w:tc>
          <w:tcPr>
            <w:tcW w:w="3740" w:type="dxa"/>
          </w:tcPr>
          <w:p w14:paraId="56FA58B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2023</w:t>
            </w:r>
          </w:p>
        </w:tc>
        <w:tc>
          <w:tcPr>
            <w:tcW w:w="3320" w:type="dxa"/>
          </w:tcPr>
          <w:p w14:paraId="5D2A48E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Proc. of ICMSEM 2023</w:t>
            </w:r>
          </w:p>
        </w:tc>
        <w:tc>
          <w:tcPr>
            <w:tcW w:w="4120" w:type="dxa"/>
          </w:tcPr>
          <w:p w14:paraId="3A3AEF3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Springer Nature</w:t>
            </w:r>
          </w:p>
        </w:tc>
        <w:tc>
          <w:tcPr>
            <w:tcW w:w="2860" w:type="dxa"/>
          </w:tcPr>
          <w:p w14:paraId="01F857D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Conference proceedings on management science, featuring papers on AI, KM, and innovation in Asia.</w:t>
            </w:r>
          </w:p>
        </w:tc>
        <w:tc>
          <w:tcPr>
            <w:tcW w:w="2460" w:type="dxa"/>
          </w:tcPr>
          <w:p w14:paraId="2F4EAFC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KM, AI, innovation, Asia</w:t>
            </w:r>
          </w:p>
        </w:tc>
        <w:tc>
          <w:tcPr>
            <w:tcW w:w="2460" w:type="dxa"/>
          </w:tcPr>
          <w:p w14:paraId="78BACCA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are the latest AI and KM developments in management science?</w:t>
            </w:r>
          </w:p>
        </w:tc>
      </w:tr>
      <w:tr w:rsidR="00CD5493" w14:paraId="68583BEE"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1E100C7B"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59</w:t>
            </w:r>
          </w:p>
        </w:tc>
        <w:tc>
          <w:tcPr>
            <w:tcW w:w="1800" w:type="dxa"/>
            <w:shd w:val="clear" w:color="auto" w:fill="F2F2F2" w:themeFill="background1" w:themeFillShade="F2"/>
          </w:tcPr>
          <w:p w14:paraId="68BB927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Balouch, S. et al.</w:t>
            </w:r>
          </w:p>
        </w:tc>
        <w:tc>
          <w:tcPr>
            <w:tcW w:w="3740" w:type="dxa"/>
            <w:shd w:val="clear" w:color="auto" w:fill="F2F2F2" w:themeFill="background1" w:themeFillShade="F2"/>
          </w:tcPr>
          <w:p w14:paraId="7EEEB98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2023</w:t>
            </w:r>
          </w:p>
        </w:tc>
        <w:tc>
          <w:tcPr>
            <w:tcW w:w="3320" w:type="dxa"/>
            <w:shd w:val="clear" w:color="auto" w:fill="F2F2F2" w:themeFill="background1" w:themeFillShade="F2"/>
          </w:tcPr>
          <w:p w14:paraId="274FF87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Green HRM and Leadership on Innovation</w:t>
            </w:r>
          </w:p>
        </w:tc>
        <w:tc>
          <w:tcPr>
            <w:tcW w:w="4120" w:type="dxa"/>
            <w:shd w:val="clear" w:color="auto" w:fill="F2F2F2" w:themeFill="background1" w:themeFillShade="F2"/>
          </w:tcPr>
          <w:p w14:paraId="41FAA15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proofErr w:type="spellStart"/>
            <w:r>
              <w:rPr>
                <w:rFonts w:ascii="Times New Roman" w:hAnsi="Times New Roman" w:cs="Times New Roman"/>
                <w:szCs w:val="20"/>
                <w:lang w:val="en-GB"/>
              </w:rPr>
              <w:t>ResearchSquare</w:t>
            </w:r>
            <w:proofErr w:type="spellEnd"/>
          </w:p>
        </w:tc>
        <w:tc>
          <w:tcPr>
            <w:tcW w:w="2860" w:type="dxa"/>
            <w:shd w:val="clear" w:color="auto" w:fill="F2F2F2" w:themeFill="background1" w:themeFillShade="F2"/>
          </w:tcPr>
          <w:p w14:paraId="470CCA2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Studies how green HRM and leadership influence employee behaviour and green innovation, mediated by environmental knowledge.</w:t>
            </w:r>
          </w:p>
        </w:tc>
        <w:tc>
          <w:tcPr>
            <w:tcW w:w="2460" w:type="dxa"/>
            <w:shd w:val="clear" w:color="auto" w:fill="F2F2F2" w:themeFill="background1" w:themeFillShade="F2"/>
          </w:tcPr>
          <w:p w14:paraId="50B4B09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Green HRM, leadership, innovation</w:t>
            </w:r>
          </w:p>
        </w:tc>
        <w:tc>
          <w:tcPr>
            <w:tcW w:w="2460" w:type="dxa"/>
            <w:shd w:val="clear" w:color="auto" w:fill="F2F2F2" w:themeFill="background1" w:themeFillShade="F2"/>
          </w:tcPr>
          <w:p w14:paraId="3EE8141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 HRM practices and leadership styles support green innovation?</w:t>
            </w:r>
          </w:p>
        </w:tc>
      </w:tr>
      <w:tr w:rsidR="00CD5493" w14:paraId="5E46C5EB"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1BFFF76C"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60</w:t>
            </w:r>
          </w:p>
        </w:tc>
        <w:tc>
          <w:tcPr>
            <w:tcW w:w="1800" w:type="dxa"/>
          </w:tcPr>
          <w:p w14:paraId="45C3BB8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Zhu, J. et al.</w:t>
            </w:r>
          </w:p>
        </w:tc>
        <w:tc>
          <w:tcPr>
            <w:tcW w:w="3740" w:type="dxa"/>
          </w:tcPr>
          <w:p w14:paraId="00FE2D5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N.D.</w:t>
            </w:r>
          </w:p>
        </w:tc>
        <w:tc>
          <w:tcPr>
            <w:tcW w:w="3320" w:type="dxa"/>
          </w:tcPr>
          <w:p w14:paraId="321D5F4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ESG Score and Green Bond Forecasting in China</w:t>
            </w:r>
          </w:p>
        </w:tc>
        <w:tc>
          <w:tcPr>
            <w:tcW w:w="4120" w:type="dxa"/>
          </w:tcPr>
          <w:p w14:paraId="2BDC30D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SSRN</w:t>
            </w:r>
          </w:p>
        </w:tc>
        <w:tc>
          <w:tcPr>
            <w:tcW w:w="2860" w:type="dxa"/>
          </w:tcPr>
          <w:p w14:paraId="394B2AA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Uses tree-based ML models to assess the predictive power of ESG scores on green bond issuance.</w:t>
            </w:r>
          </w:p>
        </w:tc>
        <w:tc>
          <w:tcPr>
            <w:tcW w:w="2460" w:type="dxa"/>
          </w:tcPr>
          <w:p w14:paraId="13AFDF6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ESG, green bonds, ML, China</w:t>
            </w:r>
          </w:p>
        </w:tc>
        <w:tc>
          <w:tcPr>
            <w:tcW w:w="2460" w:type="dxa"/>
          </w:tcPr>
          <w:p w14:paraId="5D1A8AA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 ESG scores predict green bond issuance in China?</w:t>
            </w:r>
          </w:p>
        </w:tc>
      </w:tr>
      <w:tr w:rsidR="00CD5493" w14:paraId="0613D61A" w14:textId="77777777" w:rsidTr="00D95089">
        <w:trPr>
          <w:trHeight w:val="18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5C23B59D"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61</w:t>
            </w:r>
          </w:p>
        </w:tc>
        <w:tc>
          <w:tcPr>
            <w:tcW w:w="1800" w:type="dxa"/>
            <w:shd w:val="clear" w:color="auto" w:fill="F2F2F2" w:themeFill="background1" w:themeFillShade="F2"/>
          </w:tcPr>
          <w:p w14:paraId="60FB41C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 xml:space="preserve">Pu, Y., Li, F. &amp; </w:t>
            </w:r>
            <w:proofErr w:type="spellStart"/>
            <w:r>
              <w:rPr>
                <w:rFonts w:ascii="Times New Roman" w:hAnsi="Times New Roman" w:cs="Times New Roman"/>
                <w:szCs w:val="20"/>
                <w:lang w:val="en-GB"/>
              </w:rPr>
              <w:t>Rahimifard</w:t>
            </w:r>
            <w:proofErr w:type="spellEnd"/>
            <w:r>
              <w:rPr>
                <w:rFonts w:ascii="Times New Roman" w:hAnsi="Times New Roman" w:cs="Times New Roman"/>
                <w:szCs w:val="20"/>
                <w:lang w:val="en-GB"/>
              </w:rPr>
              <w:t>, S.</w:t>
            </w:r>
          </w:p>
        </w:tc>
        <w:tc>
          <w:tcPr>
            <w:tcW w:w="3740" w:type="dxa"/>
            <w:shd w:val="clear" w:color="auto" w:fill="F2F2F2" w:themeFill="background1" w:themeFillShade="F2"/>
          </w:tcPr>
          <w:p w14:paraId="2217E8F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shd w:val="clear" w:color="auto" w:fill="F2F2F2" w:themeFill="background1" w:themeFillShade="F2"/>
          </w:tcPr>
          <w:p w14:paraId="0A50BB2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Multi-agent reinforcement learning for job shop scheduling in dynamic environments</w:t>
            </w:r>
          </w:p>
        </w:tc>
        <w:tc>
          <w:tcPr>
            <w:tcW w:w="4120" w:type="dxa"/>
            <w:shd w:val="clear" w:color="auto" w:fill="F2F2F2" w:themeFill="background1" w:themeFillShade="F2"/>
          </w:tcPr>
          <w:p w14:paraId="56295B5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Sustainability</w:t>
            </w:r>
            <w:r>
              <w:rPr>
                <w:rFonts w:ascii="Times New Roman" w:hAnsi="Times New Roman" w:cs="Times New Roman"/>
                <w:szCs w:val="20"/>
                <w:lang w:val="en-GB"/>
              </w:rPr>
              <w:t>, 16(8), p.3234</w:t>
            </w:r>
          </w:p>
        </w:tc>
        <w:tc>
          <w:tcPr>
            <w:tcW w:w="2860" w:type="dxa"/>
            <w:shd w:val="clear" w:color="auto" w:fill="F2F2F2" w:themeFill="background1" w:themeFillShade="F2"/>
          </w:tcPr>
          <w:p w14:paraId="0BA279C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Applies multi-agent reinforcement learning to optimise scheduling in dynamic manufacturing, improving productivity and adaptability.</w:t>
            </w:r>
          </w:p>
        </w:tc>
        <w:tc>
          <w:tcPr>
            <w:tcW w:w="2460" w:type="dxa"/>
            <w:shd w:val="clear" w:color="auto" w:fill="F2F2F2" w:themeFill="background1" w:themeFillShade="F2"/>
          </w:tcPr>
          <w:p w14:paraId="7326278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Reinforcement learning, job shop, dynamic environment</w:t>
            </w:r>
          </w:p>
        </w:tc>
        <w:tc>
          <w:tcPr>
            <w:tcW w:w="2460" w:type="dxa"/>
            <w:shd w:val="clear" w:color="auto" w:fill="F2F2F2" w:themeFill="background1" w:themeFillShade="F2"/>
          </w:tcPr>
          <w:p w14:paraId="19C718E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can AI-driven learning improve real-time manufacturing scheduling?</w:t>
            </w:r>
          </w:p>
        </w:tc>
      </w:tr>
      <w:tr w:rsidR="00CD5493" w14:paraId="095AF4D7"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4209580C"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lastRenderedPageBreak/>
              <w:t>62</w:t>
            </w:r>
          </w:p>
        </w:tc>
        <w:tc>
          <w:tcPr>
            <w:tcW w:w="1800" w:type="dxa"/>
          </w:tcPr>
          <w:p w14:paraId="7B838B7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0"/>
                <w:lang w:val="en-GB"/>
              </w:rPr>
            </w:pPr>
            <w:r>
              <w:rPr>
                <w:rFonts w:ascii="Times New Roman" w:hAnsi="Times New Roman" w:cs="Times New Roman"/>
                <w:color w:val="000000" w:themeColor="text1"/>
                <w:szCs w:val="20"/>
                <w:lang w:val="en-GB"/>
              </w:rPr>
              <w:t>Zhou, P. et al.</w:t>
            </w:r>
          </w:p>
        </w:tc>
        <w:tc>
          <w:tcPr>
            <w:tcW w:w="3740" w:type="dxa"/>
          </w:tcPr>
          <w:p w14:paraId="008A3C8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0"/>
                <w:lang w:val="en-GB"/>
              </w:rPr>
            </w:pPr>
            <w:r>
              <w:rPr>
                <w:rFonts w:ascii="Times New Roman" w:hAnsi="Times New Roman" w:cs="Times New Roman"/>
                <w:color w:val="000000" w:themeColor="text1"/>
                <w:szCs w:val="20"/>
                <w:lang w:val="en-GB"/>
              </w:rPr>
              <w:t>2024</w:t>
            </w:r>
          </w:p>
        </w:tc>
        <w:tc>
          <w:tcPr>
            <w:tcW w:w="3320" w:type="dxa"/>
          </w:tcPr>
          <w:p w14:paraId="5241014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0"/>
                <w:lang w:val="en-GB"/>
              </w:rPr>
            </w:pPr>
            <w:proofErr w:type="spellStart"/>
            <w:r>
              <w:rPr>
                <w:rFonts w:ascii="Times New Roman" w:hAnsi="Times New Roman" w:cs="Times New Roman"/>
                <w:color w:val="000000" w:themeColor="text1"/>
                <w:szCs w:val="20"/>
                <w:lang w:val="en-GB"/>
              </w:rPr>
              <w:t>FoodSky</w:t>
            </w:r>
            <w:proofErr w:type="spellEnd"/>
            <w:r>
              <w:rPr>
                <w:rFonts w:ascii="Times New Roman" w:hAnsi="Times New Roman" w:cs="Times New Roman"/>
                <w:color w:val="000000" w:themeColor="text1"/>
                <w:szCs w:val="20"/>
                <w:lang w:val="en-GB"/>
              </w:rPr>
              <w:t>: A Food-Oriented Large Language Model Can Pass the Chef and Dietetic Examination</w:t>
            </w:r>
          </w:p>
        </w:tc>
        <w:tc>
          <w:tcPr>
            <w:tcW w:w="4120" w:type="dxa"/>
          </w:tcPr>
          <w:p w14:paraId="22D9D7E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0"/>
                <w:lang w:val="en-GB"/>
              </w:rPr>
            </w:pPr>
            <w:r>
              <w:rPr>
                <w:rFonts w:ascii="Times New Roman" w:hAnsi="Times New Roman" w:cs="Times New Roman"/>
                <w:color w:val="000000" w:themeColor="text1"/>
                <w:szCs w:val="20"/>
                <w:lang w:val="en-GB"/>
              </w:rPr>
              <w:t>SSRN</w:t>
            </w:r>
          </w:p>
        </w:tc>
        <w:tc>
          <w:tcPr>
            <w:tcW w:w="2860" w:type="dxa"/>
          </w:tcPr>
          <w:p w14:paraId="1A3CB48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0"/>
                <w:lang w:val="en-GB"/>
              </w:rPr>
            </w:pPr>
            <w:r>
              <w:rPr>
                <w:rFonts w:ascii="Times New Roman" w:hAnsi="Times New Roman" w:cs="Times New Roman"/>
                <w:color w:val="000000" w:themeColor="text1"/>
                <w:szCs w:val="20"/>
                <w:lang w:val="en-GB"/>
              </w:rPr>
              <w:t xml:space="preserve">Introduces </w:t>
            </w:r>
            <w:proofErr w:type="spellStart"/>
            <w:r>
              <w:rPr>
                <w:rFonts w:ascii="Times New Roman" w:hAnsi="Times New Roman" w:cs="Times New Roman"/>
                <w:color w:val="000000" w:themeColor="text1"/>
                <w:szCs w:val="20"/>
                <w:lang w:val="en-GB"/>
              </w:rPr>
              <w:t>FoodSky</w:t>
            </w:r>
            <w:proofErr w:type="spellEnd"/>
            <w:r>
              <w:rPr>
                <w:rFonts w:ascii="Times New Roman" w:hAnsi="Times New Roman" w:cs="Times New Roman"/>
                <w:color w:val="000000" w:themeColor="text1"/>
                <w:szCs w:val="20"/>
                <w:lang w:val="en-GB"/>
              </w:rPr>
              <w:t>, an LLM trained on culinary and nutritional data, capable of passing expert food-related exams.</w:t>
            </w:r>
          </w:p>
        </w:tc>
        <w:tc>
          <w:tcPr>
            <w:tcW w:w="2460" w:type="dxa"/>
          </w:tcPr>
          <w:p w14:paraId="25E753D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0"/>
                <w:lang w:val="en-GB"/>
              </w:rPr>
            </w:pPr>
            <w:r>
              <w:rPr>
                <w:rFonts w:ascii="Times New Roman" w:hAnsi="Times New Roman" w:cs="Times New Roman"/>
                <w:color w:val="000000" w:themeColor="text1"/>
                <w:szCs w:val="20"/>
                <w:lang w:val="en-GB"/>
              </w:rPr>
              <w:t>LLM, food AI, culinary model, dietetics</w:t>
            </w:r>
          </w:p>
        </w:tc>
        <w:tc>
          <w:tcPr>
            <w:tcW w:w="2460" w:type="dxa"/>
          </w:tcPr>
          <w:p w14:paraId="36878DE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0"/>
                <w:lang w:val="en-GB"/>
              </w:rPr>
            </w:pPr>
            <w:r>
              <w:rPr>
                <w:rFonts w:ascii="Times New Roman" w:hAnsi="Times New Roman" w:cs="Times New Roman"/>
                <w:color w:val="000000" w:themeColor="text1"/>
                <w:szCs w:val="20"/>
                <w:lang w:val="en-GB"/>
              </w:rPr>
              <w:t>Can domain-specific LLMs achieve expert-level performance in specialized fields?</w:t>
            </w:r>
          </w:p>
        </w:tc>
      </w:tr>
      <w:tr w:rsidR="00CD5493" w14:paraId="438D64E4"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016F9880"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63</w:t>
            </w:r>
          </w:p>
        </w:tc>
        <w:tc>
          <w:tcPr>
            <w:tcW w:w="1800" w:type="dxa"/>
            <w:shd w:val="clear" w:color="auto" w:fill="F2F2F2" w:themeFill="background1" w:themeFillShade="F2"/>
          </w:tcPr>
          <w:p w14:paraId="313A296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Liu, Y. et al.</w:t>
            </w:r>
          </w:p>
        </w:tc>
        <w:tc>
          <w:tcPr>
            <w:tcW w:w="3740" w:type="dxa"/>
            <w:shd w:val="clear" w:color="auto" w:fill="F2F2F2" w:themeFill="background1" w:themeFillShade="F2"/>
          </w:tcPr>
          <w:p w14:paraId="1F5382D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2025</w:t>
            </w:r>
          </w:p>
        </w:tc>
        <w:tc>
          <w:tcPr>
            <w:tcW w:w="3320" w:type="dxa"/>
            <w:shd w:val="clear" w:color="auto" w:fill="F2F2F2" w:themeFill="background1" w:themeFillShade="F2"/>
          </w:tcPr>
          <w:p w14:paraId="61CFC52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 Survey of Embodied AI in Healthcare: Techniques, Applications, and Opportunities</w:t>
            </w:r>
          </w:p>
        </w:tc>
        <w:tc>
          <w:tcPr>
            <w:tcW w:w="4120" w:type="dxa"/>
            <w:shd w:val="clear" w:color="auto" w:fill="F2F2F2" w:themeFill="background1" w:themeFillShade="F2"/>
          </w:tcPr>
          <w:p w14:paraId="7ACAD36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proofErr w:type="spellStart"/>
            <w:r>
              <w:rPr>
                <w:rFonts w:ascii="Times New Roman" w:hAnsi="Times New Roman" w:cs="Times New Roman"/>
                <w:i/>
                <w:iCs/>
                <w:szCs w:val="20"/>
                <w:lang w:val="en-GB"/>
              </w:rPr>
              <w:t>arXiv</w:t>
            </w:r>
            <w:proofErr w:type="spellEnd"/>
            <w:r>
              <w:rPr>
                <w:rFonts w:ascii="Times New Roman" w:hAnsi="Times New Roman" w:cs="Times New Roman"/>
                <w:i/>
                <w:iCs/>
                <w:szCs w:val="20"/>
                <w:lang w:val="en-GB"/>
              </w:rPr>
              <w:t xml:space="preserve"> preprint arXiv:2501.07468</w:t>
            </w:r>
          </w:p>
        </w:tc>
        <w:tc>
          <w:tcPr>
            <w:tcW w:w="2860" w:type="dxa"/>
            <w:shd w:val="clear" w:color="auto" w:fill="F2F2F2" w:themeFill="background1" w:themeFillShade="F2"/>
          </w:tcPr>
          <w:p w14:paraId="521CE5F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Reviews the state of embodied AI in healthcare, examining sensors, robotics, and learning systems.</w:t>
            </w:r>
          </w:p>
        </w:tc>
        <w:tc>
          <w:tcPr>
            <w:tcW w:w="2460" w:type="dxa"/>
            <w:shd w:val="clear" w:color="auto" w:fill="F2F2F2" w:themeFill="background1" w:themeFillShade="F2"/>
          </w:tcPr>
          <w:p w14:paraId="39B0178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Embodied AI, healthcare, robotics, applications</w:t>
            </w:r>
          </w:p>
        </w:tc>
        <w:tc>
          <w:tcPr>
            <w:tcW w:w="2460" w:type="dxa"/>
            <w:shd w:val="clear" w:color="auto" w:fill="F2F2F2" w:themeFill="background1" w:themeFillShade="F2"/>
          </w:tcPr>
          <w:p w14:paraId="3382FF6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are the current applications and potential of embodied AI in healthcare?</w:t>
            </w:r>
          </w:p>
        </w:tc>
      </w:tr>
      <w:tr w:rsidR="00CD5493" w14:paraId="341C5890"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22646170"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64</w:t>
            </w:r>
          </w:p>
        </w:tc>
        <w:tc>
          <w:tcPr>
            <w:tcW w:w="1800" w:type="dxa"/>
          </w:tcPr>
          <w:p w14:paraId="7FFABAA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Zhong, Y. et al.</w:t>
            </w:r>
          </w:p>
        </w:tc>
        <w:tc>
          <w:tcPr>
            <w:tcW w:w="3740" w:type="dxa"/>
          </w:tcPr>
          <w:p w14:paraId="50D7CF5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2025</w:t>
            </w:r>
          </w:p>
        </w:tc>
        <w:tc>
          <w:tcPr>
            <w:tcW w:w="3320" w:type="dxa"/>
          </w:tcPr>
          <w:p w14:paraId="023A36D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Risk Factors for Non-Suicidal Self-Injury in Children and Adolescents: An Umbrella Review</w:t>
            </w:r>
          </w:p>
        </w:tc>
        <w:tc>
          <w:tcPr>
            <w:tcW w:w="4120" w:type="dxa"/>
          </w:tcPr>
          <w:p w14:paraId="0E55AD3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SSRN</w:t>
            </w:r>
          </w:p>
        </w:tc>
        <w:tc>
          <w:tcPr>
            <w:tcW w:w="2860" w:type="dxa"/>
          </w:tcPr>
          <w:p w14:paraId="07E3072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Summarises major studies identifying social, psychological, and environmental risks for self-harm in youth.</w:t>
            </w:r>
          </w:p>
        </w:tc>
        <w:tc>
          <w:tcPr>
            <w:tcW w:w="2460" w:type="dxa"/>
          </w:tcPr>
          <w:p w14:paraId="2B962A6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Self-injury, youth, mental health, umbrella review</w:t>
            </w:r>
          </w:p>
        </w:tc>
        <w:tc>
          <w:tcPr>
            <w:tcW w:w="2460" w:type="dxa"/>
          </w:tcPr>
          <w:p w14:paraId="3AE6677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are the key risk factors for non-suicidal self-injury in children/adolescents?</w:t>
            </w:r>
          </w:p>
        </w:tc>
      </w:tr>
      <w:tr w:rsidR="00CD5493" w14:paraId="4FADA3B3"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3E7E4A5B"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65</w:t>
            </w:r>
          </w:p>
        </w:tc>
        <w:tc>
          <w:tcPr>
            <w:tcW w:w="1800" w:type="dxa"/>
            <w:shd w:val="clear" w:color="auto" w:fill="F2F2F2" w:themeFill="background1" w:themeFillShade="F2"/>
          </w:tcPr>
          <w:p w14:paraId="0DF747D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proofErr w:type="spellStart"/>
            <w:r>
              <w:rPr>
                <w:rFonts w:ascii="Times New Roman" w:hAnsi="Times New Roman" w:cs="Times New Roman"/>
                <w:szCs w:val="20"/>
                <w:lang w:val="en-GB"/>
              </w:rPr>
              <w:t>Tychola</w:t>
            </w:r>
            <w:proofErr w:type="spellEnd"/>
            <w:r>
              <w:rPr>
                <w:rFonts w:ascii="Times New Roman" w:hAnsi="Times New Roman" w:cs="Times New Roman"/>
                <w:szCs w:val="20"/>
                <w:lang w:val="en-GB"/>
              </w:rPr>
              <w:t xml:space="preserve">, K.A., </w:t>
            </w:r>
            <w:proofErr w:type="spellStart"/>
            <w:r>
              <w:rPr>
                <w:rFonts w:ascii="Times New Roman" w:hAnsi="Times New Roman" w:cs="Times New Roman"/>
                <w:szCs w:val="20"/>
                <w:lang w:val="en-GB"/>
              </w:rPr>
              <w:t>Voulgaridis</w:t>
            </w:r>
            <w:proofErr w:type="spellEnd"/>
            <w:r>
              <w:rPr>
                <w:rFonts w:ascii="Times New Roman" w:hAnsi="Times New Roman" w:cs="Times New Roman"/>
                <w:szCs w:val="20"/>
                <w:lang w:val="en-GB"/>
              </w:rPr>
              <w:t xml:space="preserve">, K. &amp; </w:t>
            </w:r>
            <w:proofErr w:type="spellStart"/>
            <w:r>
              <w:rPr>
                <w:rFonts w:ascii="Times New Roman" w:hAnsi="Times New Roman" w:cs="Times New Roman"/>
                <w:szCs w:val="20"/>
                <w:lang w:val="en-GB"/>
              </w:rPr>
              <w:t>Lagkas</w:t>
            </w:r>
            <w:proofErr w:type="spellEnd"/>
            <w:r>
              <w:rPr>
                <w:rFonts w:ascii="Times New Roman" w:hAnsi="Times New Roman" w:cs="Times New Roman"/>
                <w:szCs w:val="20"/>
                <w:lang w:val="en-GB"/>
              </w:rPr>
              <w:t>, T.</w:t>
            </w:r>
          </w:p>
        </w:tc>
        <w:tc>
          <w:tcPr>
            <w:tcW w:w="3740" w:type="dxa"/>
            <w:shd w:val="clear" w:color="auto" w:fill="F2F2F2" w:themeFill="background1" w:themeFillShade="F2"/>
          </w:tcPr>
          <w:p w14:paraId="628B170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shd w:val="clear" w:color="auto" w:fill="F2F2F2" w:themeFill="background1" w:themeFillShade="F2"/>
          </w:tcPr>
          <w:p w14:paraId="0D00772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Beyond flight: enhancing the Internet of Drones with blockchain technologies</w:t>
            </w:r>
          </w:p>
        </w:tc>
        <w:tc>
          <w:tcPr>
            <w:tcW w:w="4120" w:type="dxa"/>
            <w:shd w:val="clear" w:color="auto" w:fill="F2F2F2" w:themeFill="background1" w:themeFillShade="F2"/>
          </w:tcPr>
          <w:p w14:paraId="65E747A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Drones</w:t>
            </w:r>
            <w:r>
              <w:rPr>
                <w:rFonts w:ascii="Times New Roman" w:hAnsi="Times New Roman" w:cs="Times New Roman"/>
                <w:szCs w:val="20"/>
                <w:lang w:val="en-GB"/>
              </w:rPr>
              <w:t>, 8(6), p.219</w:t>
            </w:r>
          </w:p>
        </w:tc>
        <w:tc>
          <w:tcPr>
            <w:tcW w:w="2860" w:type="dxa"/>
            <w:shd w:val="clear" w:color="auto" w:fill="F2F2F2" w:themeFill="background1" w:themeFillShade="F2"/>
          </w:tcPr>
          <w:p w14:paraId="74B434D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Explores integrating blockchain with drone networks to secure data and enhance IoT connectivity.</w:t>
            </w:r>
          </w:p>
        </w:tc>
        <w:tc>
          <w:tcPr>
            <w:tcW w:w="2460" w:type="dxa"/>
            <w:shd w:val="clear" w:color="auto" w:fill="F2F2F2" w:themeFill="background1" w:themeFillShade="F2"/>
          </w:tcPr>
          <w:p w14:paraId="405B38C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Drones, blockchain, IoT, security</w:t>
            </w:r>
          </w:p>
        </w:tc>
        <w:tc>
          <w:tcPr>
            <w:tcW w:w="2460" w:type="dxa"/>
            <w:shd w:val="clear" w:color="auto" w:fill="F2F2F2" w:themeFill="background1" w:themeFillShade="F2"/>
          </w:tcPr>
          <w:p w14:paraId="069CFD4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can blockchain enhance the security and coordination of drone networks?</w:t>
            </w:r>
          </w:p>
        </w:tc>
      </w:tr>
      <w:tr w:rsidR="00CD5493" w14:paraId="27EF993D"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536DDD1F"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66</w:t>
            </w:r>
          </w:p>
        </w:tc>
        <w:tc>
          <w:tcPr>
            <w:tcW w:w="1800" w:type="dxa"/>
          </w:tcPr>
          <w:p w14:paraId="38C8D8F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Yin, J. et al.</w:t>
            </w:r>
          </w:p>
        </w:tc>
        <w:tc>
          <w:tcPr>
            <w:tcW w:w="3740" w:type="dxa"/>
          </w:tcPr>
          <w:p w14:paraId="0C38220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607DECA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Impact of entrepreneurship on technological innovation in the digital age: a knowledge management perspective</w:t>
            </w:r>
          </w:p>
        </w:tc>
        <w:tc>
          <w:tcPr>
            <w:tcW w:w="4120" w:type="dxa"/>
          </w:tcPr>
          <w:p w14:paraId="59EDF1B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Journal of Knowledge Management</w:t>
            </w:r>
            <w:r>
              <w:rPr>
                <w:rFonts w:ascii="Times New Roman" w:hAnsi="Times New Roman" w:cs="Times New Roman"/>
                <w:szCs w:val="20"/>
                <w:lang w:val="en-GB"/>
              </w:rPr>
              <w:t>, 28(9), pp.2750–2772</w:t>
            </w:r>
          </w:p>
        </w:tc>
        <w:tc>
          <w:tcPr>
            <w:tcW w:w="2860" w:type="dxa"/>
          </w:tcPr>
          <w:p w14:paraId="185F6BF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Analyses how entrepreneurial behaviour fosters innovation through KM practices in tech firms.</w:t>
            </w:r>
          </w:p>
        </w:tc>
        <w:tc>
          <w:tcPr>
            <w:tcW w:w="2460" w:type="dxa"/>
          </w:tcPr>
          <w:p w14:paraId="1FBD1B0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Entrepreneurship, innovation, KM, digital age</w:t>
            </w:r>
          </w:p>
        </w:tc>
        <w:tc>
          <w:tcPr>
            <w:tcW w:w="2460" w:type="dxa"/>
          </w:tcPr>
          <w:p w14:paraId="34C2958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does entrepreneurship influence innovation through KM in the digital era?</w:t>
            </w:r>
          </w:p>
        </w:tc>
      </w:tr>
      <w:tr w:rsidR="00CD5493" w14:paraId="7E9CF26B"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2DD6854A"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lastRenderedPageBreak/>
              <w:t>67</w:t>
            </w:r>
          </w:p>
        </w:tc>
        <w:tc>
          <w:tcPr>
            <w:tcW w:w="1800" w:type="dxa"/>
            <w:shd w:val="clear" w:color="auto" w:fill="F2F2F2" w:themeFill="background1" w:themeFillShade="F2"/>
          </w:tcPr>
          <w:p w14:paraId="19C4305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Hou, Z. et al.</w:t>
            </w:r>
          </w:p>
        </w:tc>
        <w:tc>
          <w:tcPr>
            <w:tcW w:w="3740" w:type="dxa"/>
            <w:shd w:val="clear" w:color="auto" w:fill="F2F2F2" w:themeFill="background1" w:themeFillShade="F2"/>
          </w:tcPr>
          <w:p w14:paraId="167F45E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2025</w:t>
            </w:r>
          </w:p>
        </w:tc>
        <w:tc>
          <w:tcPr>
            <w:tcW w:w="3320" w:type="dxa"/>
            <w:shd w:val="clear" w:color="auto" w:fill="F2F2F2" w:themeFill="background1" w:themeFillShade="F2"/>
          </w:tcPr>
          <w:p w14:paraId="2BA8C57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Green supply chain knowledge networks and corporate ESG performance</w:t>
            </w:r>
          </w:p>
        </w:tc>
        <w:tc>
          <w:tcPr>
            <w:tcW w:w="4120" w:type="dxa"/>
            <w:shd w:val="clear" w:color="auto" w:fill="F2F2F2" w:themeFill="background1" w:themeFillShade="F2"/>
          </w:tcPr>
          <w:p w14:paraId="04AD5D2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Int. J. of Production Research</w:t>
            </w:r>
            <w:r>
              <w:rPr>
                <w:rFonts w:ascii="Times New Roman" w:hAnsi="Times New Roman" w:cs="Times New Roman"/>
                <w:szCs w:val="20"/>
                <w:lang w:val="en-GB"/>
              </w:rPr>
              <w:t>, pp.1–22</w:t>
            </w:r>
          </w:p>
        </w:tc>
        <w:tc>
          <w:tcPr>
            <w:tcW w:w="2860" w:type="dxa"/>
            <w:shd w:val="clear" w:color="auto" w:fill="F2F2F2" w:themeFill="background1" w:themeFillShade="F2"/>
          </w:tcPr>
          <w:p w14:paraId="09DC382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Studies how knowledge integration and green innovation boost ESG performance in supply chains.</w:t>
            </w:r>
          </w:p>
        </w:tc>
        <w:tc>
          <w:tcPr>
            <w:tcW w:w="2460" w:type="dxa"/>
            <w:shd w:val="clear" w:color="auto" w:fill="F2F2F2" w:themeFill="background1" w:themeFillShade="F2"/>
          </w:tcPr>
          <w:p w14:paraId="606206F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Green innovation, ESG, knowledge integration</w:t>
            </w:r>
          </w:p>
        </w:tc>
        <w:tc>
          <w:tcPr>
            <w:tcW w:w="2460" w:type="dxa"/>
            <w:shd w:val="clear" w:color="auto" w:fill="F2F2F2" w:themeFill="background1" w:themeFillShade="F2"/>
          </w:tcPr>
          <w:p w14:paraId="2BB29F7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 knowledge networks affect ESG outcomes in green supply chains?</w:t>
            </w:r>
          </w:p>
        </w:tc>
      </w:tr>
      <w:tr w:rsidR="00CD5493" w14:paraId="1DF67623"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660CF0AC"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68</w:t>
            </w:r>
          </w:p>
        </w:tc>
        <w:tc>
          <w:tcPr>
            <w:tcW w:w="1800" w:type="dxa"/>
          </w:tcPr>
          <w:p w14:paraId="1979F5C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Chen, Y., Chan, H.K. &amp; Cai, Z.</w:t>
            </w:r>
          </w:p>
        </w:tc>
        <w:tc>
          <w:tcPr>
            <w:tcW w:w="3740" w:type="dxa"/>
          </w:tcPr>
          <w:p w14:paraId="76D7112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33BA366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Towards a theoretical framework of co-development in supply chains</w:t>
            </w:r>
          </w:p>
        </w:tc>
        <w:tc>
          <w:tcPr>
            <w:tcW w:w="4120" w:type="dxa"/>
          </w:tcPr>
          <w:p w14:paraId="09C4CAA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Journal of Business &amp; Industrial Marketing</w:t>
            </w:r>
            <w:r>
              <w:rPr>
                <w:rFonts w:ascii="Times New Roman" w:hAnsi="Times New Roman" w:cs="Times New Roman"/>
                <w:szCs w:val="20"/>
                <w:lang w:val="en-GB"/>
              </w:rPr>
              <w:t>, 39(5), pp.1029–1045</w:t>
            </w:r>
          </w:p>
        </w:tc>
        <w:tc>
          <w:tcPr>
            <w:tcW w:w="2860" w:type="dxa"/>
          </w:tcPr>
          <w:p w14:paraId="5DA04BD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Proposes a model where platform affordances and relational capital drive co-development.</w:t>
            </w:r>
          </w:p>
        </w:tc>
        <w:tc>
          <w:tcPr>
            <w:tcW w:w="2460" w:type="dxa"/>
          </w:tcPr>
          <w:p w14:paraId="6989DCF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Supply chain, co-development, relationship capital</w:t>
            </w:r>
          </w:p>
        </w:tc>
        <w:tc>
          <w:tcPr>
            <w:tcW w:w="2460" w:type="dxa"/>
          </w:tcPr>
          <w:p w14:paraId="68EE6DC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factors enable collaborative development in modern supply chains?</w:t>
            </w:r>
          </w:p>
        </w:tc>
      </w:tr>
      <w:tr w:rsidR="00CD5493" w14:paraId="2EEB9EF4"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131EE673"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69</w:t>
            </w:r>
          </w:p>
        </w:tc>
        <w:tc>
          <w:tcPr>
            <w:tcW w:w="1800" w:type="dxa"/>
            <w:shd w:val="clear" w:color="auto" w:fill="F2F2F2" w:themeFill="background1" w:themeFillShade="F2"/>
          </w:tcPr>
          <w:p w14:paraId="237B731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Zamiri, M. &amp; Esmaeili, A.</w:t>
            </w:r>
          </w:p>
        </w:tc>
        <w:tc>
          <w:tcPr>
            <w:tcW w:w="3740" w:type="dxa"/>
            <w:shd w:val="clear" w:color="auto" w:fill="F2F2F2" w:themeFill="background1" w:themeFillShade="F2"/>
          </w:tcPr>
          <w:p w14:paraId="51FA09D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shd w:val="clear" w:color="auto" w:fill="F2F2F2" w:themeFill="background1" w:themeFillShade="F2"/>
          </w:tcPr>
          <w:p w14:paraId="0059A0C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Methods and technologies for supporting knowledge sharing within learning communities</w:t>
            </w:r>
          </w:p>
        </w:tc>
        <w:tc>
          <w:tcPr>
            <w:tcW w:w="4120" w:type="dxa"/>
            <w:shd w:val="clear" w:color="auto" w:fill="F2F2F2" w:themeFill="background1" w:themeFillShade="F2"/>
          </w:tcPr>
          <w:p w14:paraId="0979DA4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Administrative Sciences</w:t>
            </w:r>
            <w:r>
              <w:rPr>
                <w:rFonts w:ascii="Times New Roman" w:hAnsi="Times New Roman" w:cs="Times New Roman"/>
                <w:szCs w:val="20"/>
                <w:lang w:val="en-GB"/>
              </w:rPr>
              <w:t>, 14(1), p.17</w:t>
            </w:r>
          </w:p>
        </w:tc>
        <w:tc>
          <w:tcPr>
            <w:tcW w:w="2860" w:type="dxa"/>
            <w:shd w:val="clear" w:color="auto" w:fill="F2F2F2" w:themeFill="background1" w:themeFillShade="F2"/>
          </w:tcPr>
          <w:p w14:paraId="22B84D9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Conducts a systematic review of tools and methods for enabling knowledge sharing in educational networks.</w:t>
            </w:r>
          </w:p>
        </w:tc>
        <w:tc>
          <w:tcPr>
            <w:tcW w:w="2460" w:type="dxa"/>
            <w:shd w:val="clear" w:color="auto" w:fill="F2F2F2" w:themeFill="background1" w:themeFillShade="F2"/>
          </w:tcPr>
          <w:p w14:paraId="1385294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Knowledge sharing, learning communities, review</w:t>
            </w:r>
          </w:p>
        </w:tc>
        <w:tc>
          <w:tcPr>
            <w:tcW w:w="2460" w:type="dxa"/>
            <w:shd w:val="clear" w:color="auto" w:fill="F2F2F2" w:themeFill="background1" w:themeFillShade="F2"/>
          </w:tcPr>
          <w:p w14:paraId="768D89C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are the most effective tools for promoting knowledge exchange in learning communities?</w:t>
            </w:r>
          </w:p>
        </w:tc>
      </w:tr>
      <w:tr w:rsidR="00CD5493" w14:paraId="7EAF4A97"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203DB80E"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70</w:t>
            </w:r>
          </w:p>
        </w:tc>
        <w:tc>
          <w:tcPr>
            <w:tcW w:w="1800" w:type="dxa"/>
          </w:tcPr>
          <w:p w14:paraId="7ACABA8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Malik, A. et al.</w:t>
            </w:r>
          </w:p>
        </w:tc>
        <w:tc>
          <w:tcPr>
            <w:tcW w:w="3740" w:type="dxa"/>
          </w:tcPr>
          <w:p w14:paraId="4E62341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287543F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Leveraging high-performance HRM practices and knowledge sharing</w:t>
            </w:r>
          </w:p>
        </w:tc>
        <w:tc>
          <w:tcPr>
            <w:tcW w:w="4120" w:type="dxa"/>
          </w:tcPr>
          <w:p w14:paraId="35BD9DB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Technological Forecasting and Social Change</w:t>
            </w:r>
            <w:r>
              <w:rPr>
                <w:rFonts w:ascii="Times New Roman" w:hAnsi="Times New Roman" w:cs="Times New Roman"/>
                <w:szCs w:val="20"/>
                <w:lang w:val="en-GB"/>
              </w:rPr>
              <w:t>, 205</w:t>
            </w:r>
          </w:p>
        </w:tc>
        <w:tc>
          <w:tcPr>
            <w:tcW w:w="2860" w:type="dxa"/>
          </w:tcPr>
          <w:p w14:paraId="4657814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Investigates HRM and KS strategies to manage tech and social change in emerging market healthcare.</w:t>
            </w:r>
          </w:p>
        </w:tc>
        <w:tc>
          <w:tcPr>
            <w:tcW w:w="2460" w:type="dxa"/>
          </w:tcPr>
          <w:p w14:paraId="2606F21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HRM, knowledge sharing, healthcare, emerging markets</w:t>
            </w:r>
          </w:p>
        </w:tc>
        <w:tc>
          <w:tcPr>
            <w:tcW w:w="2460" w:type="dxa"/>
          </w:tcPr>
          <w:p w14:paraId="7382DEE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can HRM and KS help healthcare providers adapt to change?</w:t>
            </w:r>
          </w:p>
        </w:tc>
      </w:tr>
      <w:tr w:rsidR="00CD5493" w14:paraId="15A984B3"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25CD860F"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71</w:t>
            </w:r>
          </w:p>
        </w:tc>
        <w:tc>
          <w:tcPr>
            <w:tcW w:w="1800" w:type="dxa"/>
            <w:shd w:val="clear" w:color="auto" w:fill="F2F2F2" w:themeFill="background1" w:themeFillShade="F2"/>
          </w:tcPr>
          <w:p w14:paraId="589CA30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Thaler, R.H. &amp; Benartzi, S.</w:t>
            </w:r>
          </w:p>
        </w:tc>
        <w:tc>
          <w:tcPr>
            <w:tcW w:w="3740" w:type="dxa"/>
            <w:shd w:val="clear" w:color="auto" w:fill="F2F2F2" w:themeFill="background1" w:themeFillShade="F2"/>
          </w:tcPr>
          <w:p w14:paraId="0C26F22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2004</w:t>
            </w:r>
          </w:p>
        </w:tc>
        <w:tc>
          <w:tcPr>
            <w:tcW w:w="3320" w:type="dxa"/>
            <w:shd w:val="clear" w:color="auto" w:fill="F2F2F2" w:themeFill="background1" w:themeFillShade="F2"/>
          </w:tcPr>
          <w:p w14:paraId="4D2474E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 xml:space="preserve">Save more tomorrow™: Using </w:t>
            </w:r>
            <w:proofErr w:type="spellStart"/>
            <w:r>
              <w:rPr>
                <w:rFonts w:ascii="Times New Roman" w:hAnsi="Times New Roman" w:cs="Times New Roman"/>
                <w:szCs w:val="20"/>
                <w:lang w:val="en-GB"/>
              </w:rPr>
              <w:t>behavioral</w:t>
            </w:r>
            <w:proofErr w:type="spellEnd"/>
            <w:r>
              <w:rPr>
                <w:rFonts w:ascii="Times New Roman" w:hAnsi="Times New Roman" w:cs="Times New Roman"/>
                <w:szCs w:val="20"/>
                <w:lang w:val="en-GB"/>
              </w:rPr>
              <w:t xml:space="preserve"> economics to increase employee saving</w:t>
            </w:r>
          </w:p>
        </w:tc>
        <w:tc>
          <w:tcPr>
            <w:tcW w:w="4120" w:type="dxa"/>
            <w:shd w:val="clear" w:color="auto" w:fill="F2F2F2" w:themeFill="background1" w:themeFillShade="F2"/>
          </w:tcPr>
          <w:p w14:paraId="0AA54DE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Journal of Political Economy</w:t>
            </w:r>
            <w:r>
              <w:rPr>
                <w:rFonts w:ascii="Times New Roman" w:hAnsi="Times New Roman" w:cs="Times New Roman"/>
                <w:szCs w:val="20"/>
                <w:lang w:val="en-GB"/>
              </w:rPr>
              <w:t>, 112(S1), pp.S164–S187</w:t>
            </w:r>
          </w:p>
        </w:tc>
        <w:tc>
          <w:tcPr>
            <w:tcW w:w="2860" w:type="dxa"/>
            <w:shd w:val="clear" w:color="auto" w:fill="F2F2F2" w:themeFill="background1" w:themeFillShade="F2"/>
          </w:tcPr>
          <w:p w14:paraId="02AA998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 xml:space="preserve">Presents a </w:t>
            </w:r>
            <w:proofErr w:type="spellStart"/>
            <w:r>
              <w:rPr>
                <w:rFonts w:ascii="Times New Roman" w:hAnsi="Times New Roman" w:cs="Times New Roman"/>
                <w:szCs w:val="20"/>
                <w:lang w:val="en-GB"/>
              </w:rPr>
              <w:t>behavioral</w:t>
            </w:r>
            <w:proofErr w:type="spellEnd"/>
            <w:r>
              <w:rPr>
                <w:rFonts w:ascii="Times New Roman" w:hAnsi="Times New Roman" w:cs="Times New Roman"/>
                <w:szCs w:val="20"/>
                <w:lang w:val="en-GB"/>
              </w:rPr>
              <w:t xml:space="preserve"> intervention to improve employee savings rates over time.</w:t>
            </w:r>
          </w:p>
        </w:tc>
        <w:tc>
          <w:tcPr>
            <w:tcW w:w="2460" w:type="dxa"/>
            <w:shd w:val="clear" w:color="auto" w:fill="F2F2F2" w:themeFill="background1" w:themeFillShade="F2"/>
          </w:tcPr>
          <w:p w14:paraId="65D04DC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proofErr w:type="spellStart"/>
            <w:r>
              <w:rPr>
                <w:rFonts w:ascii="Times New Roman" w:hAnsi="Times New Roman" w:cs="Times New Roman"/>
                <w:szCs w:val="20"/>
                <w:lang w:val="en-GB"/>
              </w:rPr>
              <w:t>Behavioral</w:t>
            </w:r>
            <w:proofErr w:type="spellEnd"/>
            <w:r>
              <w:rPr>
                <w:rFonts w:ascii="Times New Roman" w:hAnsi="Times New Roman" w:cs="Times New Roman"/>
                <w:szCs w:val="20"/>
                <w:lang w:val="en-GB"/>
              </w:rPr>
              <w:t xml:space="preserve"> economics, savings, nudges</w:t>
            </w:r>
          </w:p>
        </w:tc>
        <w:tc>
          <w:tcPr>
            <w:tcW w:w="2460" w:type="dxa"/>
            <w:shd w:val="clear" w:color="auto" w:fill="F2F2F2" w:themeFill="background1" w:themeFillShade="F2"/>
          </w:tcPr>
          <w:p w14:paraId="034553B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 xml:space="preserve">How can </w:t>
            </w:r>
            <w:proofErr w:type="spellStart"/>
            <w:r>
              <w:rPr>
                <w:rFonts w:ascii="Times New Roman" w:hAnsi="Times New Roman" w:cs="Times New Roman"/>
                <w:szCs w:val="20"/>
                <w:lang w:val="en-GB"/>
              </w:rPr>
              <w:t>behavioral</w:t>
            </w:r>
            <w:proofErr w:type="spellEnd"/>
            <w:r>
              <w:rPr>
                <w:rFonts w:ascii="Times New Roman" w:hAnsi="Times New Roman" w:cs="Times New Roman"/>
                <w:szCs w:val="20"/>
                <w:lang w:val="en-GB"/>
              </w:rPr>
              <w:t xml:space="preserve"> nudges increase long-term savings behaviour?</w:t>
            </w:r>
          </w:p>
        </w:tc>
      </w:tr>
      <w:tr w:rsidR="00CD5493" w14:paraId="4CDB3C57"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23548C1E"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72</w:t>
            </w:r>
          </w:p>
        </w:tc>
        <w:tc>
          <w:tcPr>
            <w:tcW w:w="1800" w:type="dxa"/>
          </w:tcPr>
          <w:p w14:paraId="7D90112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Nguyen, T.M. &amp; Malik, A.</w:t>
            </w:r>
          </w:p>
        </w:tc>
        <w:tc>
          <w:tcPr>
            <w:tcW w:w="3740" w:type="dxa"/>
          </w:tcPr>
          <w:p w14:paraId="1AEEA5C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2022</w:t>
            </w:r>
          </w:p>
        </w:tc>
        <w:tc>
          <w:tcPr>
            <w:tcW w:w="3320" w:type="dxa"/>
          </w:tcPr>
          <w:p w14:paraId="505A044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Impact of knowledge sharing on employees’ service quality</w:t>
            </w:r>
          </w:p>
        </w:tc>
        <w:tc>
          <w:tcPr>
            <w:tcW w:w="4120" w:type="dxa"/>
          </w:tcPr>
          <w:p w14:paraId="2862FAD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International Marketing Review</w:t>
            </w:r>
            <w:r>
              <w:rPr>
                <w:rFonts w:ascii="Times New Roman" w:hAnsi="Times New Roman" w:cs="Times New Roman"/>
                <w:szCs w:val="20"/>
                <w:lang w:val="en-GB"/>
              </w:rPr>
              <w:t>, 39(3), pp.482–508</w:t>
            </w:r>
          </w:p>
        </w:tc>
        <w:tc>
          <w:tcPr>
            <w:tcW w:w="2860" w:type="dxa"/>
          </w:tcPr>
          <w:p w14:paraId="783E359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Shows how AI moderates the effect of KS on service quality in marketing settings.</w:t>
            </w:r>
          </w:p>
        </w:tc>
        <w:tc>
          <w:tcPr>
            <w:tcW w:w="2460" w:type="dxa"/>
          </w:tcPr>
          <w:p w14:paraId="059BBFA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service quality, knowledge sharing</w:t>
            </w:r>
          </w:p>
        </w:tc>
        <w:tc>
          <w:tcPr>
            <w:tcW w:w="2460" w:type="dxa"/>
          </w:tcPr>
          <w:p w14:paraId="43130CB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role does AI play in enhancing the effects of KS on service delivery?</w:t>
            </w:r>
          </w:p>
        </w:tc>
      </w:tr>
      <w:tr w:rsidR="00CD5493" w14:paraId="733C138D" w14:textId="77777777" w:rsidTr="00D95089">
        <w:trPr>
          <w:trHeight w:val="9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11A6C57A"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lastRenderedPageBreak/>
              <w:t>73</w:t>
            </w:r>
          </w:p>
        </w:tc>
        <w:tc>
          <w:tcPr>
            <w:tcW w:w="1800" w:type="dxa"/>
            <w:shd w:val="clear" w:color="auto" w:fill="F2F2F2" w:themeFill="background1" w:themeFillShade="F2"/>
          </w:tcPr>
          <w:p w14:paraId="45F2941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proofErr w:type="spellStart"/>
            <w:r>
              <w:rPr>
                <w:rFonts w:ascii="Times New Roman" w:hAnsi="Times New Roman" w:cs="Times New Roman"/>
                <w:szCs w:val="20"/>
                <w:lang w:val="en-GB"/>
              </w:rPr>
              <w:t>Pástor</w:t>
            </w:r>
            <w:proofErr w:type="spellEnd"/>
            <w:r>
              <w:rPr>
                <w:rFonts w:ascii="Times New Roman" w:hAnsi="Times New Roman" w:cs="Times New Roman"/>
                <w:szCs w:val="20"/>
                <w:lang w:val="en-GB"/>
              </w:rPr>
              <w:t>, Ľ. &amp; Stambaugh, R.F.</w:t>
            </w:r>
          </w:p>
        </w:tc>
        <w:tc>
          <w:tcPr>
            <w:tcW w:w="3740" w:type="dxa"/>
            <w:shd w:val="clear" w:color="auto" w:fill="F2F2F2" w:themeFill="background1" w:themeFillShade="F2"/>
          </w:tcPr>
          <w:p w14:paraId="0627133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2003</w:t>
            </w:r>
          </w:p>
        </w:tc>
        <w:tc>
          <w:tcPr>
            <w:tcW w:w="3320" w:type="dxa"/>
            <w:shd w:val="clear" w:color="auto" w:fill="F2F2F2" w:themeFill="background1" w:themeFillShade="F2"/>
          </w:tcPr>
          <w:p w14:paraId="2419D47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Liquidity risk and expected stock returns</w:t>
            </w:r>
          </w:p>
        </w:tc>
        <w:tc>
          <w:tcPr>
            <w:tcW w:w="4120" w:type="dxa"/>
            <w:shd w:val="clear" w:color="auto" w:fill="F2F2F2" w:themeFill="background1" w:themeFillShade="F2"/>
          </w:tcPr>
          <w:p w14:paraId="0DF7BF4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Journal of Political Economy</w:t>
            </w:r>
            <w:r>
              <w:rPr>
                <w:rFonts w:ascii="Times New Roman" w:hAnsi="Times New Roman" w:cs="Times New Roman"/>
                <w:szCs w:val="20"/>
                <w:lang w:val="en-GB"/>
              </w:rPr>
              <w:t>, 111(3), pp.642–685</w:t>
            </w:r>
          </w:p>
        </w:tc>
        <w:tc>
          <w:tcPr>
            <w:tcW w:w="2860" w:type="dxa"/>
            <w:shd w:val="clear" w:color="auto" w:fill="F2F2F2" w:themeFill="background1" w:themeFillShade="F2"/>
          </w:tcPr>
          <w:p w14:paraId="7470F00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Theorises and empirically tests how liquidity risk is priced into asset returns.</w:t>
            </w:r>
          </w:p>
        </w:tc>
        <w:tc>
          <w:tcPr>
            <w:tcW w:w="2460" w:type="dxa"/>
            <w:shd w:val="clear" w:color="auto" w:fill="F2F2F2" w:themeFill="background1" w:themeFillShade="F2"/>
          </w:tcPr>
          <w:p w14:paraId="2BB577C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Liquidity, risk, asset pricing</w:t>
            </w:r>
          </w:p>
        </w:tc>
        <w:tc>
          <w:tcPr>
            <w:tcW w:w="2460" w:type="dxa"/>
            <w:shd w:val="clear" w:color="auto" w:fill="F2F2F2" w:themeFill="background1" w:themeFillShade="F2"/>
          </w:tcPr>
          <w:p w14:paraId="6BC1573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does liquidity risk affect expected equity returns?</w:t>
            </w:r>
          </w:p>
        </w:tc>
      </w:tr>
      <w:tr w:rsidR="00CD5493" w14:paraId="4AD4AECE"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62C6ED26"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74</w:t>
            </w:r>
          </w:p>
        </w:tc>
        <w:tc>
          <w:tcPr>
            <w:tcW w:w="1800" w:type="dxa"/>
          </w:tcPr>
          <w:p w14:paraId="0484BE6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Malik, A. et al.</w:t>
            </w:r>
          </w:p>
        </w:tc>
        <w:tc>
          <w:tcPr>
            <w:tcW w:w="3740" w:type="dxa"/>
          </w:tcPr>
          <w:p w14:paraId="7389F31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2021</w:t>
            </w:r>
          </w:p>
        </w:tc>
        <w:tc>
          <w:tcPr>
            <w:tcW w:w="3320" w:type="dxa"/>
          </w:tcPr>
          <w:p w14:paraId="0E40EDD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Elevating talents’ experience through AI-mediated knowledge sharing</w:t>
            </w:r>
          </w:p>
        </w:tc>
        <w:tc>
          <w:tcPr>
            <w:tcW w:w="4120" w:type="dxa"/>
          </w:tcPr>
          <w:p w14:paraId="6BF020A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Journal of International Management</w:t>
            </w:r>
            <w:r>
              <w:rPr>
                <w:rFonts w:ascii="Times New Roman" w:hAnsi="Times New Roman" w:cs="Times New Roman"/>
                <w:szCs w:val="20"/>
                <w:lang w:val="en-GB"/>
              </w:rPr>
              <w:t>, 27(4), 100871</w:t>
            </w:r>
          </w:p>
        </w:tc>
        <w:tc>
          <w:tcPr>
            <w:tcW w:w="2860" w:type="dxa"/>
          </w:tcPr>
          <w:p w14:paraId="7621633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Uses MNE case study to show how AI-based KS improves talent engagement.</w:t>
            </w:r>
          </w:p>
        </w:tc>
        <w:tc>
          <w:tcPr>
            <w:tcW w:w="2460" w:type="dxa"/>
          </w:tcPr>
          <w:p w14:paraId="79E7DF7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KM, talent experience, IT sector</w:t>
            </w:r>
          </w:p>
        </w:tc>
        <w:tc>
          <w:tcPr>
            <w:tcW w:w="2460" w:type="dxa"/>
          </w:tcPr>
          <w:p w14:paraId="4F74B1C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does AI-based KS influence employee experience in global tech firms?</w:t>
            </w:r>
          </w:p>
        </w:tc>
      </w:tr>
      <w:tr w:rsidR="00CD5493" w14:paraId="468C3C90"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5C42DF50"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75</w:t>
            </w:r>
          </w:p>
        </w:tc>
        <w:tc>
          <w:tcPr>
            <w:tcW w:w="1800" w:type="dxa"/>
            <w:shd w:val="clear" w:color="auto" w:fill="F2F2F2" w:themeFill="background1" w:themeFillShade="F2"/>
          </w:tcPr>
          <w:p w14:paraId="0C7DEF0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Yin, J. et al.</w:t>
            </w:r>
          </w:p>
        </w:tc>
        <w:tc>
          <w:tcPr>
            <w:tcW w:w="3740" w:type="dxa"/>
            <w:shd w:val="clear" w:color="auto" w:fill="F2F2F2" w:themeFill="background1" w:themeFillShade="F2"/>
          </w:tcPr>
          <w:p w14:paraId="5647E01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shd w:val="clear" w:color="auto" w:fill="F2F2F2" w:themeFill="background1" w:themeFillShade="F2"/>
          </w:tcPr>
          <w:p w14:paraId="1E6DD36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Impact of entrepreneurship on technological innovation in the digital age: a knowledge management perspective</w:t>
            </w:r>
          </w:p>
        </w:tc>
        <w:tc>
          <w:tcPr>
            <w:tcW w:w="4120" w:type="dxa"/>
            <w:shd w:val="clear" w:color="auto" w:fill="F2F2F2" w:themeFill="background1" w:themeFillShade="F2"/>
          </w:tcPr>
          <w:p w14:paraId="76544E4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Journal of Knowledge Management</w:t>
            </w:r>
            <w:r>
              <w:rPr>
                <w:rFonts w:ascii="Times New Roman" w:hAnsi="Times New Roman" w:cs="Times New Roman"/>
                <w:szCs w:val="20"/>
                <w:lang w:val="en-GB"/>
              </w:rPr>
              <w:t>, 28(9), pp.2750–2772</w:t>
            </w:r>
          </w:p>
        </w:tc>
        <w:tc>
          <w:tcPr>
            <w:tcW w:w="2860" w:type="dxa"/>
            <w:shd w:val="clear" w:color="auto" w:fill="F2F2F2" w:themeFill="background1" w:themeFillShade="F2"/>
          </w:tcPr>
          <w:p w14:paraId="1B4C635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(Duplicate of #66)</w:t>
            </w:r>
          </w:p>
        </w:tc>
        <w:tc>
          <w:tcPr>
            <w:tcW w:w="2460" w:type="dxa"/>
            <w:shd w:val="clear" w:color="auto" w:fill="F2F2F2" w:themeFill="background1" w:themeFillShade="F2"/>
          </w:tcPr>
          <w:p w14:paraId="5C8C078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Entrepreneurship, innovation, KM, digital age</w:t>
            </w:r>
          </w:p>
        </w:tc>
        <w:tc>
          <w:tcPr>
            <w:tcW w:w="2460" w:type="dxa"/>
            <w:shd w:val="clear" w:color="auto" w:fill="F2F2F2" w:themeFill="background1" w:themeFillShade="F2"/>
          </w:tcPr>
          <w:p w14:paraId="030A8B3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does entrepreneurship influence innovation through KM in the digital era?</w:t>
            </w:r>
          </w:p>
        </w:tc>
      </w:tr>
      <w:tr w:rsidR="00CD5493" w14:paraId="449A82F4"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0CFC29E6"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76</w:t>
            </w:r>
          </w:p>
        </w:tc>
        <w:tc>
          <w:tcPr>
            <w:tcW w:w="1800" w:type="dxa"/>
          </w:tcPr>
          <w:p w14:paraId="40E00EE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Zhang, W. et al.</w:t>
            </w:r>
          </w:p>
        </w:tc>
        <w:tc>
          <w:tcPr>
            <w:tcW w:w="3740" w:type="dxa"/>
          </w:tcPr>
          <w:p w14:paraId="6EA8B68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2025</w:t>
            </w:r>
          </w:p>
        </w:tc>
        <w:tc>
          <w:tcPr>
            <w:tcW w:w="3320" w:type="dxa"/>
          </w:tcPr>
          <w:p w14:paraId="596ED6C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challenges conventional knowledge management: Reframing SECI model and Ba theory</w:t>
            </w:r>
          </w:p>
        </w:tc>
        <w:tc>
          <w:tcPr>
            <w:tcW w:w="4120" w:type="dxa"/>
          </w:tcPr>
          <w:p w14:paraId="0C3318D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Journal of Knowledge Management</w:t>
            </w:r>
          </w:p>
        </w:tc>
        <w:tc>
          <w:tcPr>
            <w:tcW w:w="2860" w:type="dxa"/>
          </w:tcPr>
          <w:p w14:paraId="1F4DBE7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Suggests revising SECI and Ba theory in light of AI’s disruptive impact on KM processes.</w:t>
            </w:r>
          </w:p>
        </w:tc>
        <w:tc>
          <w:tcPr>
            <w:tcW w:w="2460" w:type="dxa"/>
          </w:tcPr>
          <w:p w14:paraId="048F949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SECI model, Ba theory, KM</w:t>
            </w:r>
          </w:p>
        </w:tc>
        <w:tc>
          <w:tcPr>
            <w:tcW w:w="2460" w:type="dxa"/>
          </w:tcPr>
          <w:p w14:paraId="1344771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should foundational KM theories be adapted to the AI era?</w:t>
            </w:r>
          </w:p>
        </w:tc>
      </w:tr>
      <w:tr w:rsidR="00CD5493" w14:paraId="4BF185A0"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769EA84C"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77</w:t>
            </w:r>
          </w:p>
        </w:tc>
        <w:tc>
          <w:tcPr>
            <w:tcW w:w="1800" w:type="dxa"/>
            <w:shd w:val="clear" w:color="auto" w:fill="F2F2F2" w:themeFill="background1" w:themeFillShade="F2"/>
          </w:tcPr>
          <w:p w14:paraId="3FAB6DC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Ji, Y. et al.</w:t>
            </w:r>
          </w:p>
        </w:tc>
        <w:tc>
          <w:tcPr>
            <w:tcW w:w="3740" w:type="dxa"/>
            <w:shd w:val="clear" w:color="auto" w:fill="F2F2F2" w:themeFill="background1" w:themeFillShade="F2"/>
          </w:tcPr>
          <w:p w14:paraId="2E9E98F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shd w:val="clear" w:color="auto" w:fill="F2F2F2" w:themeFill="background1" w:themeFillShade="F2"/>
          </w:tcPr>
          <w:p w14:paraId="155E643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The Sustainable Innovation of AI: Text Mining the Core Capabilities of Researchers</w:t>
            </w:r>
          </w:p>
        </w:tc>
        <w:tc>
          <w:tcPr>
            <w:tcW w:w="4120" w:type="dxa"/>
            <w:shd w:val="clear" w:color="auto" w:fill="F2F2F2" w:themeFill="background1" w:themeFillShade="F2"/>
          </w:tcPr>
          <w:p w14:paraId="613765D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Sustainability</w:t>
            </w:r>
            <w:r>
              <w:rPr>
                <w:rFonts w:ascii="Times New Roman" w:hAnsi="Times New Roman" w:cs="Times New Roman"/>
                <w:szCs w:val="20"/>
                <w:lang w:val="en-GB"/>
              </w:rPr>
              <w:t>, 16(17), p.7767</w:t>
            </w:r>
          </w:p>
        </w:tc>
        <w:tc>
          <w:tcPr>
            <w:tcW w:w="2860" w:type="dxa"/>
            <w:shd w:val="clear" w:color="auto" w:fill="F2F2F2" w:themeFill="background1" w:themeFillShade="F2"/>
          </w:tcPr>
          <w:p w14:paraId="254A334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Uses text mining to uncover key capabilities for sustainable AI R&amp;D during Industry 4.0.</w:t>
            </w:r>
          </w:p>
        </w:tc>
        <w:tc>
          <w:tcPr>
            <w:tcW w:w="2460" w:type="dxa"/>
            <w:shd w:val="clear" w:color="auto" w:fill="F2F2F2" w:themeFill="background1" w:themeFillShade="F2"/>
          </w:tcPr>
          <w:p w14:paraId="2A9F278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innovation, capabilities, sustainability</w:t>
            </w:r>
          </w:p>
        </w:tc>
        <w:tc>
          <w:tcPr>
            <w:tcW w:w="2460" w:type="dxa"/>
            <w:shd w:val="clear" w:color="auto" w:fill="F2F2F2" w:themeFill="background1" w:themeFillShade="F2"/>
          </w:tcPr>
          <w:p w14:paraId="36BB567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are the critical capabilities for AI innovation in Industry 4.0?</w:t>
            </w:r>
          </w:p>
        </w:tc>
      </w:tr>
      <w:tr w:rsidR="00CD5493" w14:paraId="7EE0FE66"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0BA015E8"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78</w:t>
            </w:r>
          </w:p>
        </w:tc>
        <w:tc>
          <w:tcPr>
            <w:tcW w:w="1800" w:type="dxa"/>
          </w:tcPr>
          <w:p w14:paraId="1775236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Du, J., Cai, H. &amp; Jin, X.</w:t>
            </w:r>
          </w:p>
        </w:tc>
        <w:tc>
          <w:tcPr>
            <w:tcW w:w="3740" w:type="dxa"/>
          </w:tcPr>
          <w:p w14:paraId="03DBC9C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21D8F3A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Exploring the Association Between AI Management and Green Innovation</w:t>
            </w:r>
          </w:p>
        </w:tc>
        <w:tc>
          <w:tcPr>
            <w:tcW w:w="4120" w:type="dxa"/>
          </w:tcPr>
          <w:p w14:paraId="1B08C42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Sustainability</w:t>
            </w:r>
            <w:r>
              <w:rPr>
                <w:rFonts w:ascii="Times New Roman" w:hAnsi="Times New Roman" w:cs="Times New Roman"/>
                <w:szCs w:val="20"/>
                <w:lang w:val="en-GB"/>
              </w:rPr>
              <w:t>, 16(21)</w:t>
            </w:r>
          </w:p>
        </w:tc>
        <w:tc>
          <w:tcPr>
            <w:tcW w:w="2860" w:type="dxa"/>
          </w:tcPr>
          <w:p w14:paraId="3A5B097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Examines how managing AI initiatives correlates with green innovation in firms.</w:t>
            </w:r>
          </w:p>
        </w:tc>
        <w:tc>
          <w:tcPr>
            <w:tcW w:w="2460" w:type="dxa"/>
          </w:tcPr>
          <w:p w14:paraId="5187755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management, sustainability, green innovation</w:t>
            </w:r>
          </w:p>
        </w:tc>
        <w:tc>
          <w:tcPr>
            <w:tcW w:w="2460" w:type="dxa"/>
          </w:tcPr>
          <w:p w14:paraId="54ACA91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does AI management influence firms’ sustainable innovation performance?</w:t>
            </w:r>
          </w:p>
        </w:tc>
      </w:tr>
      <w:tr w:rsidR="00CD5493" w14:paraId="49682D2A"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188C7DBA"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lastRenderedPageBreak/>
              <w:t>79</w:t>
            </w:r>
          </w:p>
        </w:tc>
        <w:tc>
          <w:tcPr>
            <w:tcW w:w="1800" w:type="dxa"/>
            <w:shd w:val="clear" w:color="auto" w:fill="F2F2F2" w:themeFill="background1" w:themeFillShade="F2"/>
          </w:tcPr>
          <w:p w14:paraId="60C006F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He, X. &amp; Burger-</w:t>
            </w:r>
            <w:proofErr w:type="spellStart"/>
            <w:r>
              <w:rPr>
                <w:rFonts w:ascii="Times New Roman" w:hAnsi="Times New Roman" w:cs="Times New Roman"/>
                <w:szCs w:val="20"/>
                <w:lang w:val="en-GB"/>
              </w:rPr>
              <w:t>Helmchen</w:t>
            </w:r>
            <w:proofErr w:type="spellEnd"/>
            <w:r>
              <w:rPr>
                <w:rFonts w:ascii="Times New Roman" w:hAnsi="Times New Roman" w:cs="Times New Roman"/>
                <w:szCs w:val="20"/>
                <w:lang w:val="en-GB"/>
              </w:rPr>
              <w:t>, T.</w:t>
            </w:r>
          </w:p>
        </w:tc>
        <w:tc>
          <w:tcPr>
            <w:tcW w:w="3740" w:type="dxa"/>
            <w:shd w:val="clear" w:color="auto" w:fill="F2F2F2" w:themeFill="background1" w:themeFillShade="F2"/>
          </w:tcPr>
          <w:p w14:paraId="41D8D72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shd w:val="clear" w:color="auto" w:fill="F2F2F2" w:themeFill="background1" w:themeFillShade="F2"/>
          </w:tcPr>
          <w:p w14:paraId="36C2B25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Evolving Knowledge Management: Artificial Intelligence and the Dynamics of Social Interactions</w:t>
            </w:r>
          </w:p>
        </w:tc>
        <w:tc>
          <w:tcPr>
            <w:tcW w:w="4120" w:type="dxa"/>
            <w:shd w:val="clear" w:color="auto" w:fill="F2F2F2" w:themeFill="background1" w:themeFillShade="F2"/>
          </w:tcPr>
          <w:p w14:paraId="6640457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IEEE Engineering Management Review</w:t>
            </w:r>
          </w:p>
        </w:tc>
        <w:tc>
          <w:tcPr>
            <w:tcW w:w="2860" w:type="dxa"/>
            <w:shd w:val="clear" w:color="auto" w:fill="F2F2F2" w:themeFill="background1" w:themeFillShade="F2"/>
          </w:tcPr>
          <w:p w14:paraId="4AB4BC5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Explores how AI transforms KM by reshaping human interactions and collaboration.</w:t>
            </w:r>
          </w:p>
        </w:tc>
        <w:tc>
          <w:tcPr>
            <w:tcW w:w="2460" w:type="dxa"/>
            <w:shd w:val="clear" w:color="auto" w:fill="F2F2F2" w:themeFill="background1" w:themeFillShade="F2"/>
          </w:tcPr>
          <w:p w14:paraId="12AB447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KM, social interaction, collaboration</w:t>
            </w:r>
          </w:p>
        </w:tc>
        <w:tc>
          <w:tcPr>
            <w:tcW w:w="2460" w:type="dxa"/>
            <w:shd w:val="clear" w:color="auto" w:fill="F2F2F2" w:themeFill="background1" w:themeFillShade="F2"/>
          </w:tcPr>
          <w:p w14:paraId="4F6DFBF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does AI shift the social foundations of KM practices?</w:t>
            </w:r>
          </w:p>
        </w:tc>
      </w:tr>
      <w:tr w:rsidR="00CD5493" w14:paraId="35A59AC5"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3C997674"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80</w:t>
            </w:r>
          </w:p>
        </w:tc>
        <w:tc>
          <w:tcPr>
            <w:tcW w:w="1800" w:type="dxa"/>
          </w:tcPr>
          <w:p w14:paraId="666223F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Wang, J. et al.</w:t>
            </w:r>
          </w:p>
        </w:tc>
        <w:tc>
          <w:tcPr>
            <w:tcW w:w="3740" w:type="dxa"/>
          </w:tcPr>
          <w:p w14:paraId="5E09D2A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39E3456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The Functional Mechanisms through Which Artificial Intelligence Influences Green Process Innovation</w:t>
            </w:r>
          </w:p>
        </w:tc>
        <w:tc>
          <w:tcPr>
            <w:tcW w:w="4120" w:type="dxa"/>
          </w:tcPr>
          <w:p w14:paraId="5EEA807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Cs w:val="20"/>
                <w:lang w:val="en-GB"/>
              </w:rPr>
            </w:pPr>
            <w:r>
              <w:rPr>
                <w:rFonts w:ascii="Times New Roman" w:hAnsi="Times New Roman" w:cs="Times New Roman"/>
                <w:i/>
                <w:iCs/>
                <w:szCs w:val="20"/>
                <w:lang w:val="en-GB"/>
              </w:rPr>
              <w:t>Systems</w:t>
            </w:r>
            <w:r>
              <w:rPr>
                <w:rFonts w:ascii="Times New Roman" w:hAnsi="Times New Roman" w:cs="Times New Roman"/>
                <w:szCs w:val="20"/>
                <w:lang w:val="en-GB"/>
              </w:rPr>
              <w:t>, 12(9), p.378</w:t>
            </w:r>
          </w:p>
        </w:tc>
        <w:tc>
          <w:tcPr>
            <w:tcW w:w="2860" w:type="dxa"/>
          </w:tcPr>
          <w:p w14:paraId="654F65B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Identifies how AI enables green innovation in firms via automation and efficiency.</w:t>
            </w:r>
          </w:p>
        </w:tc>
        <w:tc>
          <w:tcPr>
            <w:tcW w:w="2460" w:type="dxa"/>
          </w:tcPr>
          <w:p w14:paraId="31FD18E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green process, innovation, systems</w:t>
            </w:r>
          </w:p>
        </w:tc>
        <w:tc>
          <w:tcPr>
            <w:tcW w:w="2460" w:type="dxa"/>
          </w:tcPr>
          <w:p w14:paraId="55B2564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Through what mechanisms does AI drive green process innovation?</w:t>
            </w:r>
          </w:p>
        </w:tc>
      </w:tr>
      <w:tr w:rsidR="00CD5493" w14:paraId="2D4CC28D"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2D2F4664"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81</w:t>
            </w:r>
          </w:p>
        </w:tc>
        <w:tc>
          <w:tcPr>
            <w:tcW w:w="1800" w:type="dxa"/>
            <w:shd w:val="clear" w:color="auto" w:fill="F2F2F2" w:themeFill="background1" w:themeFillShade="F2"/>
          </w:tcPr>
          <w:p w14:paraId="09AC477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Zhou, Q. et al.</w:t>
            </w:r>
          </w:p>
        </w:tc>
        <w:tc>
          <w:tcPr>
            <w:tcW w:w="3740" w:type="dxa"/>
            <w:shd w:val="clear" w:color="auto" w:fill="F2F2F2" w:themeFill="background1" w:themeFillShade="F2"/>
          </w:tcPr>
          <w:p w14:paraId="313E719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2025</w:t>
            </w:r>
          </w:p>
        </w:tc>
        <w:tc>
          <w:tcPr>
            <w:tcW w:w="3320" w:type="dxa"/>
            <w:shd w:val="clear" w:color="auto" w:fill="F2F2F2" w:themeFill="background1" w:themeFillShade="F2"/>
          </w:tcPr>
          <w:p w14:paraId="439904D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Knowledge governance and innovation ambidexterity in the platform context</w:t>
            </w:r>
          </w:p>
        </w:tc>
        <w:tc>
          <w:tcPr>
            <w:tcW w:w="4120" w:type="dxa"/>
            <w:shd w:val="clear" w:color="auto" w:fill="F2F2F2" w:themeFill="background1" w:themeFillShade="F2"/>
          </w:tcPr>
          <w:p w14:paraId="605AF15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Journal of Knowledge Management</w:t>
            </w:r>
          </w:p>
        </w:tc>
        <w:tc>
          <w:tcPr>
            <w:tcW w:w="2860" w:type="dxa"/>
            <w:shd w:val="clear" w:color="auto" w:fill="F2F2F2" w:themeFill="background1" w:themeFillShade="F2"/>
          </w:tcPr>
          <w:p w14:paraId="1BEA470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Explores how knowledge governance influences innovation ambidexterity in platforms through knowledge transformation.</w:t>
            </w:r>
          </w:p>
        </w:tc>
        <w:tc>
          <w:tcPr>
            <w:tcW w:w="2460" w:type="dxa"/>
            <w:shd w:val="clear" w:color="auto" w:fill="F2F2F2" w:themeFill="background1" w:themeFillShade="F2"/>
          </w:tcPr>
          <w:p w14:paraId="05B424B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Knowledge governance, ambidexterity, platforms</w:t>
            </w:r>
          </w:p>
        </w:tc>
        <w:tc>
          <w:tcPr>
            <w:tcW w:w="2460" w:type="dxa"/>
            <w:shd w:val="clear" w:color="auto" w:fill="F2F2F2" w:themeFill="background1" w:themeFillShade="F2"/>
          </w:tcPr>
          <w:p w14:paraId="6AF0A73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does knowledge transformation mediate governance and innovation in platform-based firms?</w:t>
            </w:r>
          </w:p>
        </w:tc>
      </w:tr>
      <w:tr w:rsidR="00CD5493" w14:paraId="563BFB01"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74D06A92"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82</w:t>
            </w:r>
          </w:p>
        </w:tc>
        <w:tc>
          <w:tcPr>
            <w:tcW w:w="1800" w:type="dxa"/>
          </w:tcPr>
          <w:p w14:paraId="7A954A9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Shi, Y. et al.</w:t>
            </w:r>
          </w:p>
        </w:tc>
        <w:tc>
          <w:tcPr>
            <w:tcW w:w="3740" w:type="dxa"/>
          </w:tcPr>
          <w:p w14:paraId="4C5B5DE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682DE85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HCI research and innovation in China: a 10-year perspectives</w:t>
            </w:r>
          </w:p>
        </w:tc>
        <w:tc>
          <w:tcPr>
            <w:tcW w:w="4120" w:type="dxa"/>
          </w:tcPr>
          <w:p w14:paraId="44373CC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Int. Journal of Human–Computer Interaction, 40(8)</w:t>
            </w:r>
          </w:p>
        </w:tc>
        <w:tc>
          <w:tcPr>
            <w:tcW w:w="2860" w:type="dxa"/>
          </w:tcPr>
          <w:p w14:paraId="1622883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Reviews a decade of Chinese HCI research, revealing development trends, collaboration networks, and innovation priorities.</w:t>
            </w:r>
          </w:p>
        </w:tc>
        <w:tc>
          <w:tcPr>
            <w:tcW w:w="2460" w:type="dxa"/>
          </w:tcPr>
          <w:p w14:paraId="45D0602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HCI, innovation, China, bibliometrics</w:t>
            </w:r>
          </w:p>
        </w:tc>
        <w:tc>
          <w:tcPr>
            <w:tcW w:w="2460" w:type="dxa"/>
          </w:tcPr>
          <w:p w14:paraId="660483A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are the trends and key innovations in China’s HCI research over the past 10 years?</w:t>
            </w:r>
          </w:p>
        </w:tc>
      </w:tr>
      <w:tr w:rsidR="00CD5493" w14:paraId="2205A5A6"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561944EE"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83</w:t>
            </w:r>
          </w:p>
        </w:tc>
        <w:tc>
          <w:tcPr>
            <w:tcW w:w="1800" w:type="dxa"/>
            <w:shd w:val="clear" w:color="auto" w:fill="F2F2F2" w:themeFill="background1" w:themeFillShade="F2"/>
          </w:tcPr>
          <w:p w14:paraId="22764A0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Cheng, C.H. et al.</w:t>
            </w:r>
          </w:p>
        </w:tc>
        <w:tc>
          <w:tcPr>
            <w:tcW w:w="3740" w:type="dxa"/>
            <w:shd w:val="clear" w:color="auto" w:fill="F2F2F2" w:themeFill="background1" w:themeFillShade="F2"/>
          </w:tcPr>
          <w:p w14:paraId="2F03F4F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shd w:val="clear" w:color="auto" w:fill="F2F2F2" w:themeFill="background1" w:themeFillShade="F2"/>
          </w:tcPr>
          <w:p w14:paraId="45DAA26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KM and Organisational Learning in SMEs on Industry 4.0 and Competitiveness</w:t>
            </w:r>
          </w:p>
        </w:tc>
        <w:tc>
          <w:tcPr>
            <w:tcW w:w="4120" w:type="dxa"/>
            <w:shd w:val="clear" w:color="auto" w:fill="F2F2F2" w:themeFill="background1" w:themeFillShade="F2"/>
          </w:tcPr>
          <w:p w14:paraId="6F95BD2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Administrative Sciences, 14(8), p.161</w:t>
            </w:r>
          </w:p>
        </w:tc>
        <w:tc>
          <w:tcPr>
            <w:tcW w:w="2860" w:type="dxa"/>
            <w:shd w:val="clear" w:color="auto" w:fill="F2F2F2" w:themeFill="background1" w:themeFillShade="F2"/>
          </w:tcPr>
          <w:p w14:paraId="5E86A30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Analyses how SMEs promote KM and learning to adopt Industry 4.0 technologies and improve competitiveness.</w:t>
            </w:r>
          </w:p>
        </w:tc>
        <w:tc>
          <w:tcPr>
            <w:tcW w:w="2460" w:type="dxa"/>
            <w:shd w:val="clear" w:color="auto" w:fill="F2F2F2" w:themeFill="background1" w:themeFillShade="F2"/>
          </w:tcPr>
          <w:p w14:paraId="6E28911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KM, SMEs, Industry 4.0, organisational learning</w:t>
            </w:r>
          </w:p>
        </w:tc>
        <w:tc>
          <w:tcPr>
            <w:tcW w:w="2460" w:type="dxa"/>
            <w:shd w:val="clear" w:color="auto" w:fill="F2F2F2" w:themeFill="background1" w:themeFillShade="F2"/>
          </w:tcPr>
          <w:p w14:paraId="2553FC6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 KM and learning influence Industry 4.0 implementation in SMEs?</w:t>
            </w:r>
          </w:p>
        </w:tc>
      </w:tr>
      <w:tr w:rsidR="00CD5493" w14:paraId="0D051E91"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4DB0A2AD"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lastRenderedPageBreak/>
              <w:t>84</w:t>
            </w:r>
          </w:p>
        </w:tc>
        <w:tc>
          <w:tcPr>
            <w:tcW w:w="1800" w:type="dxa"/>
          </w:tcPr>
          <w:p w14:paraId="0C5DAAB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proofErr w:type="spellStart"/>
            <w:r>
              <w:rPr>
                <w:rFonts w:ascii="Times New Roman" w:hAnsi="Times New Roman" w:cs="Times New Roman"/>
                <w:szCs w:val="20"/>
                <w:lang w:val="en-GB"/>
              </w:rPr>
              <w:t>Xiahou</w:t>
            </w:r>
            <w:proofErr w:type="spellEnd"/>
            <w:r>
              <w:rPr>
                <w:rFonts w:ascii="Times New Roman" w:hAnsi="Times New Roman" w:cs="Times New Roman"/>
                <w:szCs w:val="20"/>
                <w:lang w:val="en-GB"/>
              </w:rPr>
              <w:t>, X. et al.</w:t>
            </w:r>
          </w:p>
        </w:tc>
        <w:tc>
          <w:tcPr>
            <w:tcW w:w="3740" w:type="dxa"/>
          </w:tcPr>
          <w:p w14:paraId="006B804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2025</w:t>
            </w:r>
          </w:p>
        </w:tc>
        <w:tc>
          <w:tcPr>
            <w:tcW w:w="3320" w:type="dxa"/>
          </w:tcPr>
          <w:p w14:paraId="3725146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Knowledge management in construction quality management</w:t>
            </w:r>
          </w:p>
        </w:tc>
        <w:tc>
          <w:tcPr>
            <w:tcW w:w="4120" w:type="dxa"/>
          </w:tcPr>
          <w:p w14:paraId="248CDA3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IEEE Transactions on Engineering Management</w:t>
            </w:r>
          </w:p>
        </w:tc>
        <w:tc>
          <w:tcPr>
            <w:tcW w:w="2860" w:type="dxa"/>
          </w:tcPr>
          <w:p w14:paraId="4A9C154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Reviews KM practices in construction quality, identifying gaps, challenges, and future directions for the sector.</w:t>
            </w:r>
          </w:p>
        </w:tc>
        <w:tc>
          <w:tcPr>
            <w:tcW w:w="2460" w:type="dxa"/>
          </w:tcPr>
          <w:p w14:paraId="60E9C99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KM, construction, quality management</w:t>
            </w:r>
          </w:p>
        </w:tc>
        <w:tc>
          <w:tcPr>
            <w:tcW w:w="2460" w:type="dxa"/>
          </w:tcPr>
          <w:p w14:paraId="03E8976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are the current challenges and opportunities for KM in construction quality?</w:t>
            </w:r>
          </w:p>
        </w:tc>
      </w:tr>
      <w:tr w:rsidR="00CD5493" w14:paraId="643D9BC6"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1872537B"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85</w:t>
            </w:r>
          </w:p>
        </w:tc>
        <w:tc>
          <w:tcPr>
            <w:tcW w:w="1800" w:type="dxa"/>
            <w:shd w:val="clear" w:color="auto" w:fill="F2F2F2" w:themeFill="background1" w:themeFillShade="F2"/>
          </w:tcPr>
          <w:p w14:paraId="74F94F0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Lu, Y. et al.</w:t>
            </w:r>
          </w:p>
        </w:tc>
        <w:tc>
          <w:tcPr>
            <w:tcW w:w="3740" w:type="dxa"/>
            <w:shd w:val="clear" w:color="auto" w:fill="F2F2F2" w:themeFill="background1" w:themeFillShade="F2"/>
          </w:tcPr>
          <w:p w14:paraId="1B58B17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shd w:val="clear" w:color="auto" w:fill="F2F2F2" w:themeFill="background1" w:themeFillShade="F2"/>
          </w:tcPr>
          <w:p w14:paraId="349D868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Trustworthy knowledge tracing model for intelligent tutoring systems</w:t>
            </w:r>
          </w:p>
        </w:tc>
        <w:tc>
          <w:tcPr>
            <w:tcW w:w="4120" w:type="dxa"/>
            <w:shd w:val="clear" w:color="auto" w:fill="F2F2F2" w:themeFill="background1" w:themeFillShade="F2"/>
          </w:tcPr>
          <w:p w14:paraId="1A3F213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IEEE Transactions on Learning Technologies</w:t>
            </w:r>
          </w:p>
        </w:tc>
        <w:tc>
          <w:tcPr>
            <w:tcW w:w="2860" w:type="dxa"/>
            <w:shd w:val="clear" w:color="auto" w:fill="F2F2F2" w:themeFill="background1" w:themeFillShade="F2"/>
          </w:tcPr>
          <w:p w14:paraId="02EA26F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Proposes a new AI-based model to improve accuracy and reliability in educational knowledge tracing systems.</w:t>
            </w:r>
          </w:p>
        </w:tc>
        <w:tc>
          <w:tcPr>
            <w:tcW w:w="2460" w:type="dxa"/>
            <w:shd w:val="clear" w:color="auto" w:fill="F2F2F2" w:themeFill="background1" w:themeFillShade="F2"/>
          </w:tcPr>
          <w:p w14:paraId="6BE52EA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Knowledge tracing, AI, education, tutoring systems</w:t>
            </w:r>
          </w:p>
        </w:tc>
        <w:tc>
          <w:tcPr>
            <w:tcW w:w="2460" w:type="dxa"/>
            <w:shd w:val="clear" w:color="auto" w:fill="F2F2F2" w:themeFill="background1" w:themeFillShade="F2"/>
          </w:tcPr>
          <w:p w14:paraId="523C094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can AI models improve trustworthiness in tutoring systems’ knowledge tracking?</w:t>
            </w:r>
          </w:p>
        </w:tc>
      </w:tr>
      <w:tr w:rsidR="00CD5493" w14:paraId="0A004785"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2A8DDBBD"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86</w:t>
            </w:r>
          </w:p>
        </w:tc>
        <w:tc>
          <w:tcPr>
            <w:tcW w:w="1800" w:type="dxa"/>
          </w:tcPr>
          <w:p w14:paraId="1F33AF3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Liu, Y.</w:t>
            </w:r>
          </w:p>
        </w:tc>
        <w:tc>
          <w:tcPr>
            <w:tcW w:w="3740" w:type="dxa"/>
          </w:tcPr>
          <w:p w14:paraId="1CD5846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46446E4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Metacognitive Knowledge in Senior High School Teachers: An Empirical Study</w:t>
            </w:r>
          </w:p>
        </w:tc>
        <w:tc>
          <w:tcPr>
            <w:tcW w:w="4120" w:type="dxa"/>
          </w:tcPr>
          <w:p w14:paraId="4A4883D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Stamford Conference Proceedings</w:t>
            </w:r>
          </w:p>
        </w:tc>
        <w:tc>
          <w:tcPr>
            <w:tcW w:w="2860" w:type="dxa"/>
          </w:tcPr>
          <w:p w14:paraId="5AF6E9A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Empirical study of high school teachers’ metacognitive knowledge and its implications for classroom learning.</w:t>
            </w:r>
          </w:p>
        </w:tc>
        <w:tc>
          <w:tcPr>
            <w:tcW w:w="2460" w:type="dxa"/>
          </w:tcPr>
          <w:p w14:paraId="4D6FADD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Metacognition, teaching, empirical study</w:t>
            </w:r>
          </w:p>
        </w:tc>
        <w:tc>
          <w:tcPr>
            <w:tcW w:w="2460" w:type="dxa"/>
          </w:tcPr>
          <w:p w14:paraId="506D3E6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 high school teachers apply metacognitive knowledge in teaching?</w:t>
            </w:r>
          </w:p>
        </w:tc>
      </w:tr>
      <w:tr w:rsidR="00CD5493" w14:paraId="52C6BEE1"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47C47915"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87</w:t>
            </w:r>
          </w:p>
        </w:tc>
        <w:tc>
          <w:tcPr>
            <w:tcW w:w="1800" w:type="dxa"/>
            <w:shd w:val="clear" w:color="auto" w:fill="F2F2F2" w:themeFill="background1" w:themeFillShade="F2"/>
          </w:tcPr>
          <w:p w14:paraId="5765E43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proofErr w:type="spellStart"/>
            <w:r>
              <w:rPr>
                <w:rFonts w:ascii="Times New Roman" w:hAnsi="Times New Roman" w:cs="Times New Roman"/>
                <w:szCs w:val="20"/>
                <w:lang w:val="en-GB"/>
              </w:rPr>
              <w:t>Ocheja</w:t>
            </w:r>
            <w:proofErr w:type="spellEnd"/>
            <w:r>
              <w:rPr>
                <w:rFonts w:ascii="Times New Roman" w:hAnsi="Times New Roman" w:cs="Times New Roman"/>
                <w:szCs w:val="20"/>
                <w:lang w:val="en-GB"/>
              </w:rPr>
              <w:t>, P. et al.</w:t>
            </w:r>
          </w:p>
        </w:tc>
        <w:tc>
          <w:tcPr>
            <w:tcW w:w="3740" w:type="dxa"/>
            <w:shd w:val="clear" w:color="auto" w:fill="F2F2F2" w:themeFill="background1" w:themeFillShade="F2"/>
          </w:tcPr>
          <w:p w14:paraId="7AF0AD5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2022</w:t>
            </w:r>
          </w:p>
        </w:tc>
        <w:tc>
          <w:tcPr>
            <w:tcW w:w="3320" w:type="dxa"/>
            <w:shd w:val="clear" w:color="auto" w:fill="F2F2F2" w:themeFill="background1" w:themeFillShade="F2"/>
          </w:tcPr>
          <w:p w14:paraId="7E3654D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Blockchain in education: A systematic review and practical case studies</w:t>
            </w:r>
          </w:p>
        </w:tc>
        <w:tc>
          <w:tcPr>
            <w:tcW w:w="4120" w:type="dxa"/>
            <w:shd w:val="clear" w:color="auto" w:fill="F2F2F2" w:themeFill="background1" w:themeFillShade="F2"/>
          </w:tcPr>
          <w:p w14:paraId="0560C5F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IEEE Access, 10</w:t>
            </w:r>
          </w:p>
        </w:tc>
        <w:tc>
          <w:tcPr>
            <w:tcW w:w="2860" w:type="dxa"/>
            <w:shd w:val="clear" w:color="auto" w:fill="F2F2F2" w:themeFill="background1" w:themeFillShade="F2"/>
          </w:tcPr>
          <w:p w14:paraId="6C969DA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Reviews blockchain in education via case studies on security, credentialing, and data sharing.</w:t>
            </w:r>
          </w:p>
        </w:tc>
        <w:tc>
          <w:tcPr>
            <w:tcW w:w="2460" w:type="dxa"/>
            <w:shd w:val="clear" w:color="auto" w:fill="F2F2F2" w:themeFill="background1" w:themeFillShade="F2"/>
          </w:tcPr>
          <w:p w14:paraId="692B914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Blockchain, education, case study, data integrity</w:t>
            </w:r>
          </w:p>
        </w:tc>
        <w:tc>
          <w:tcPr>
            <w:tcW w:w="2460" w:type="dxa"/>
            <w:shd w:val="clear" w:color="auto" w:fill="F2F2F2" w:themeFill="background1" w:themeFillShade="F2"/>
          </w:tcPr>
          <w:p w14:paraId="4770F07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are the practical applications of blockchain in education systems?</w:t>
            </w:r>
          </w:p>
        </w:tc>
      </w:tr>
      <w:tr w:rsidR="00CD5493" w14:paraId="600FC0AA"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2D95A4EA"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88</w:t>
            </w:r>
          </w:p>
        </w:tc>
        <w:tc>
          <w:tcPr>
            <w:tcW w:w="1800" w:type="dxa"/>
          </w:tcPr>
          <w:p w14:paraId="60E4836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Wu, F. et al.</w:t>
            </w:r>
          </w:p>
        </w:tc>
        <w:tc>
          <w:tcPr>
            <w:tcW w:w="3740" w:type="dxa"/>
          </w:tcPr>
          <w:p w14:paraId="3992749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2022</w:t>
            </w:r>
          </w:p>
        </w:tc>
        <w:tc>
          <w:tcPr>
            <w:tcW w:w="3320" w:type="dxa"/>
          </w:tcPr>
          <w:p w14:paraId="4290959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Video action recognition in sports: Datasets, methods and applications</w:t>
            </w:r>
          </w:p>
        </w:tc>
        <w:tc>
          <w:tcPr>
            <w:tcW w:w="4120" w:type="dxa"/>
          </w:tcPr>
          <w:p w14:paraId="3FC75A3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IEEE Transactions on Multimedia, 25</w:t>
            </w:r>
          </w:p>
        </w:tc>
        <w:tc>
          <w:tcPr>
            <w:tcW w:w="2860" w:type="dxa"/>
          </w:tcPr>
          <w:p w14:paraId="5DDC7E5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Surveys sports action datasets, methods, and AI video analysis applications.</w:t>
            </w:r>
          </w:p>
        </w:tc>
        <w:tc>
          <w:tcPr>
            <w:tcW w:w="2460" w:type="dxa"/>
          </w:tcPr>
          <w:p w14:paraId="6EE8B13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Video recognition, sports, AI, multimedia</w:t>
            </w:r>
          </w:p>
        </w:tc>
        <w:tc>
          <w:tcPr>
            <w:tcW w:w="2460" w:type="dxa"/>
          </w:tcPr>
          <w:p w14:paraId="6FE284D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datasets and AI methods support sports action recognition effectively?</w:t>
            </w:r>
          </w:p>
        </w:tc>
      </w:tr>
      <w:tr w:rsidR="00CD5493" w14:paraId="0A3F8545"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575F2461"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lastRenderedPageBreak/>
              <w:t>89</w:t>
            </w:r>
          </w:p>
        </w:tc>
        <w:tc>
          <w:tcPr>
            <w:tcW w:w="1800" w:type="dxa"/>
            <w:shd w:val="clear" w:color="auto" w:fill="F2F2F2" w:themeFill="background1" w:themeFillShade="F2"/>
          </w:tcPr>
          <w:p w14:paraId="78038948"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Gao, Y.</w:t>
            </w:r>
          </w:p>
        </w:tc>
        <w:tc>
          <w:tcPr>
            <w:tcW w:w="3740" w:type="dxa"/>
            <w:shd w:val="clear" w:color="auto" w:fill="F2F2F2" w:themeFill="background1" w:themeFillShade="F2"/>
          </w:tcPr>
          <w:p w14:paraId="3AB68C8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2023</w:t>
            </w:r>
          </w:p>
        </w:tc>
        <w:tc>
          <w:tcPr>
            <w:tcW w:w="3320" w:type="dxa"/>
            <w:shd w:val="clear" w:color="auto" w:fill="F2F2F2" w:themeFill="background1" w:themeFillShade="F2"/>
          </w:tcPr>
          <w:p w14:paraId="0839531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Adaptive learning systems to enhance learning outcomes: a meta-analysis</w:t>
            </w:r>
          </w:p>
        </w:tc>
        <w:tc>
          <w:tcPr>
            <w:tcW w:w="4120" w:type="dxa"/>
            <w:shd w:val="clear" w:color="auto" w:fill="F2F2F2" w:themeFill="background1" w:themeFillShade="F2"/>
          </w:tcPr>
          <w:p w14:paraId="1A35302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University of Alberta (ERA)</w:t>
            </w:r>
          </w:p>
        </w:tc>
        <w:tc>
          <w:tcPr>
            <w:tcW w:w="2860" w:type="dxa"/>
            <w:shd w:val="clear" w:color="auto" w:fill="F2F2F2" w:themeFill="background1" w:themeFillShade="F2"/>
          </w:tcPr>
          <w:p w14:paraId="05846A9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Meta-analysis of adaptive learning tech’s impact on student outcomes across contexts.</w:t>
            </w:r>
          </w:p>
        </w:tc>
        <w:tc>
          <w:tcPr>
            <w:tcW w:w="2460" w:type="dxa"/>
            <w:shd w:val="clear" w:color="auto" w:fill="F2F2F2" w:themeFill="background1" w:themeFillShade="F2"/>
          </w:tcPr>
          <w:p w14:paraId="43F9B4F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Adaptive learning, education, meta-analysis</w:t>
            </w:r>
          </w:p>
        </w:tc>
        <w:tc>
          <w:tcPr>
            <w:tcW w:w="2460" w:type="dxa"/>
            <w:shd w:val="clear" w:color="auto" w:fill="F2F2F2" w:themeFill="background1" w:themeFillShade="F2"/>
          </w:tcPr>
          <w:p w14:paraId="5DA1261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Do adaptive learning systems measurably enhance educational performance?</w:t>
            </w:r>
          </w:p>
        </w:tc>
      </w:tr>
      <w:tr w:rsidR="00CD5493" w14:paraId="3B604265"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41E86908"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90</w:t>
            </w:r>
          </w:p>
        </w:tc>
        <w:tc>
          <w:tcPr>
            <w:tcW w:w="1800" w:type="dxa"/>
          </w:tcPr>
          <w:p w14:paraId="0C121DE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proofErr w:type="spellStart"/>
            <w:r>
              <w:rPr>
                <w:rFonts w:ascii="Times New Roman" w:hAnsi="Times New Roman" w:cs="Times New Roman"/>
                <w:szCs w:val="20"/>
                <w:lang w:val="en-GB"/>
              </w:rPr>
              <w:t>Malekloo</w:t>
            </w:r>
            <w:proofErr w:type="spellEnd"/>
            <w:r>
              <w:rPr>
                <w:rFonts w:ascii="Times New Roman" w:hAnsi="Times New Roman" w:cs="Times New Roman"/>
                <w:szCs w:val="20"/>
                <w:lang w:val="en-GB"/>
              </w:rPr>
              <w:t>, A. et al.</w:t>
            </w:r>
          </w:p>
        </w:tc>
        <w:tc>
          <w:tcPr>
            <w:tcW w:w="3740" w:type="dxa"/>
          </w:tcPr>
          <w:p w14:paraId="2E11805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2022</w:t>
            </w:r>
          </w:p>
        </w:tc>
        <w:tc>
          <w:tcPr>
            <w:tcW w:w="3320" w:type="dxa"/>
          </w:tcPr>
          <w:p w14:paraId="707501C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ML and structural health monitoring: tech and data trends</w:t>
            </w:r>
          </w:p>
        </w:tc>
        <w:tc>
          <w:tcPr>
            <w:tcW w:w="4120" w:type="dxa"/>
          </w:tcPr>
          <w:p w14:paraId="53D3669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Structural Health Monitoring, 21(4), pp.1906–1955</w:t>
            </w:r>
          </w:p>
        </w:tc>
        <w:tc>
          <w:tcPr>
            <w:tcW w:w="2860" w:type="dxa"/>
          </w:tcPr>
          <w:p w14:paraId="7013D3E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Reviews ML in SHM, focusing on big data and tech challenges in infrastructure monitoring.</w:t>
            </w:r>
          </w:p>
        </w:tc>
        <w:tc>
          <w:tcPr>
            <w:tcW w:w="2460" w:type="dxa"/>
          </w:tcPr>
          <w:p w14:paraId="43B5E47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ML, SHM, big data, infrastructure</w:t>
            </w:r>
          </w:p>
        </w:tc>
        <w:tc>
          <w:tcPr>
            <w:tcW w:w="2460" w:type="dxa"/>
          </w:tcPr>
          <w:p w14:paraId="340B950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is ML advancing high-dimensional data use in structural health monitoring?</w:t>
            </w:r>
          </w:p>
        </w:tc>
      </w:tr>
      <w:tr w:rsidR="00CD5493" w14:paraId="355C41AD"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76E00045"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91</w:t>
            </w:r>
          </w:p>
        </w:tc>
        <w:tc>
          <w:tcPr>
            <w:tcW w:w="1800" w:type="dxa"/>
            <w:shd w:val="clear" w:color="auto" w:fill="F2F2F2" w:themeFill="background1" w:themeFillShade="F2"/>
          </w:tcPr>
          <w:p w14:paraId="0A77404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Wei, Y. et al.</w:t>
            </w:r>
          </w:p>
        </w:tc>
        <w:tc>
          <w:tcPr>
            <w:tcW w:w="3740" w:type="dxa"/>
            <w:shd w:val="clear" w:color="auto" w:fill="F2F2F2" w:themeFill="background1" w:themeFillShade="F2"/>
          </w:tcPr>
          <w:p w14:paraId="1BE94B7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shd w:val="clear" w:color="auto" w:fill="F2F2F2" w:themeFill="background1" w:themeFillShade="F2"/>
          </w:tcPr>
          <w:p w14:paraId="6000069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Advances in slime mould algorithm: a comprehensive survey</w:t>
            </w:r>
          </w:p>
        </w:tc>
        <w:tc>
          <w:tcPr>
            <w:tcW w:w="4120" w:type="dxa"/>
            <w:shd w:val="clear" w:color="auto" w:fill="F2F2F2" w:themeFill="background1" w:themeFillShade="F2"/>
          </w:tcPr>
          <w:p w14:paraId="7C0AA9B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Biomimetics, 9(1), p.31</w:t>
            </w:r>
          </w:p>
        </w:tc>
        <w:tc>
          <w:tcPr>
            <w:tcW w:w="2860" w:type="dxa"/>
            <w:shd w:val="clear" w:color="auto" w:fill="F2F2F2" w:themeFill="background1" w:themeFillShade="F2"/>
          </w:tcPr>
          <w:p w14:paraId="401D0AC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Surveys recent slime mould algorithm advances in optimisation and applications.</w:t>
            </w:r>
          </w:p>
        </w:tc>
        <w:tc>
          <w:tcPr>
            <w:tcW w:w="2460" w:type="dxa"/>
            <w:shd w:val="clear" w:color="auto" w:fill="F2F2F2" w:themeFill="background1" w:themeFillShade="F2"/>
          </w:tcPr>
          <w:p w14:paraId="35322F9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Slime mould, optimisation, biomimetics</w:t>
            </w:r>
          </w:p>
        </w:tc>
        <w:tc>
          <w:tcPr>
            <w:tcW w:w="2460" w:type="dxa"/>
            <w:shd w:val="clear" w:color="auto" w:fill="F2F2F2" w:themeFill="background1" w:themeFillShade="F2"/>
          </w:tcPr>
          <w:p w14:paraId="61592E9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are the latest developments and applications of slime mould algorithms?</w:t>
            </w:r>
          </w:p>
        </w:tc>
      </w:tr>
      <w:tr w:rsidR="00CD5493" w14:paraId="7BC8D708"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2F504AE3"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92</w:t>
            </w:r>
          </w:p>
        </w:tc>
        <w:tc>
          <w:tcPr>
            <w:tcW w:w="1800" w:type="dxa"/>
          </w:tcPr>
          <w:p w14:paraId="3655B36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Yan, L. et al.</w:t>
            </w:r>
          </w:p>
        </w:tc>
        <w:tc>
          <w:tcPr>
            <w:tcW w:w="3740" w:type="dxa"/>
          </w:tcPr>
          <w:p w14:paraId="10D0D84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2022</w:t>
            </w:r>
          </w:p>
        </w:tc>
        <w:tc>
          <w:tcPr>
            <w:tcW w:w="3320" w:type="dxa"/>
          </w:tcPr>
          <w:p w14:paraId="3704FAE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Video captioning using global-local representation</w:t>
            </w:r>
          </w:p>
        </w:tc>
        <w:tc>
          <w:tcPr>
            <w:tcW w:w="4120" w:type="dxa"/>
          </w:tcPr>
          <w:p w14:paraId="551B0A3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IEEE Transactions on Circuits and Systems for Video Tech</w:t>
            </w:r>
          </w:p>
        </w:tc>
        <w:tc>
          <w:tcPr>
            <w:tcW w:w="2860" w:type="dxa"/>
          </w:tcPr>
          <w:p w14:paraId="0964FCE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Proposes a video captioning model that combines global and local features to enhance semantic accuracy.</w:t>
            </w:r>
          </w:p>
        </w:tc>
        <w:tc>
          <w:tcPr>
            <w:tcW w:w="2460" w:type="dxa"/>
          </w:tcPr>
          <w:p w14:paraId="0247515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Video captioning, AI, multimedia, deep learning</w:t>
            </w:r>
          </w:p>
        </w:tc>
        <w:tc>
          <w:tcPr>
            <w:tcW w:w="2460" w:type="dxa"/>
          </w:tcPr>
          <w:p w14:paraId="0507154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 global-local representations improve video captioning performance?</w:t>
            </w:r>
          </w:p>
        </w:tc>
      </w:tr>
      <w:tr w:rsidR="00CD5493" w14:paraId="43CD980C" w14:textId="77777777" w:rsidTr="00D95089">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62EE373F"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93</w:t>
            </w:r>
          </w:p>
        </w:tc>
        <w:tc>
          <w:tcPr>
            <w:tcW w:w="1800" w:type="dxa"/>
            <w:shd w:val="clear" w:color="auto" w:fill="F2F2F2" w:themeFill="background1" w:themeFillShade="F2"/>
          </w:tcPr>
          <w:p w14:paraId="67CA456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Teng, D. et al.</w:t>
            </w:r>
          </w:p>
        </w:tc>
        <w:tc>
          <w:tcPr>
            <w:tcW w:w="3740" w:type="dxa"/>
            <w:shd w:val="clear" w:color="auto" w:fill="F2F2F2" w:themeFill="background1" w:themeFillShade="F2"/>
          </w:tcPr>
          <w:p w14:paraId="55D642C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shd w:val="clear" w:color="auto" w:fill="F2F2F2" w:themeFill="background1" w:themeFillShade="F2"/>
          </w:tcPr>
          <w:p w14:paraId="17CBF65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LLM-based intelligent teaching assistants in flipped classrooms</w:t>
            </w:r>
          </w:p>
        </w:tc>
        <w:tc>
          <w:tcPr>
            <w:tcW w:w="4120" w:type="dxa"/>
            <w:shd w:val="clear" w:color="auto" w:fill="F2F2F2" w:themeFill="background1" w:themeFillShade="F2"/>
          </w:tcPr>
          <w:p w14:paraId="06B6A76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Education and Information Technologies</w:t>
            </w:r>
          </w:p>
        </w:tc>
        <w:tc>
          <w:tcPr>
            <w:tcW w:w="2860" w:type="dxa"/>
            <w:shd w:val="clear" w:color="auto" w:fill="F2F2F2" w:themeFill="background1" w:themeFillShade="F2"/>
          </w:tcPr>
          <w:p w14:paraId="2841B41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Studies the implementation and impact of LLMs as teaching assistants in flipped learning environments.</w:t>
            </w:r>
          </w:p>
        </w:tc>
        <w:tc>
          <w:tcPr>
            <w:tcW w:w="2460" w:type="dxa"/>
            <w:shd w:val="clear" w:color="auto" w:fill="F2F2F2" w:themeFill="background1" w:themeFillShade="F2"/>
          </w:tcPr>
          <w:p w14:paraId="7BA60E9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LLMs, flipped classroom, AI in education</w:t>
            </w:r>
          </w:p>
        </w:tc>
        <w:tc>
          <w:tcPr>
            <w:tcW w:w="2460" w:type="dxa"/>
            <w:shd w:val="clear" w:color="auto" w:fill="F2F2F2" w:themeFill="background1" w:themeFillShade="F2"/>
          </w:tcPr>
          <w:p w14:paraId="2C89F6C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 LLM-powered assistants affect learning in flipped classrooms?</w:t>
            </w:r>
          </w:p>
        </w:tc>
      </w:tr>
      <w:tr w:rsidR="00CD5493" w14:paraId="6E6143B4"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414ED715"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94</w:t>
            </w:r>
          </w:p>
        </w:tc>
        <w:tc>
          <w:tcPr>
            <w:tcW w:w="1800" w:type="dxa"/>
          </w:tcPr>
          <w:p w14:paraId="089E087D"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Wu, M.</w:t>
            </w:r>
          </w:p>
        </w:tc>
        <w:tc>
          <w:tcPr>
            <w:tcW w:w="3740" w:type="dxa"/>
          </w:tcPr>
          <w:p w14:paraId="31B85E4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2023</w:t>
            </w:r>
          </w:p>
        </w:tc>
        <w:tc>
          <w:tcPr>
            <w:tcW w:w="3320" w:type="dxa"/>
          </w:tcPr>
          <w:p w14:paraId="0906A75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Intelligent Bibliometric System for Knowledge Association and Hierarchy Discovery</w:t>
            </w:r>
          </w:p>
        </w:tc>
        <w:tc>
          <w:tcPr>
            <w:tcW w:w="4120" w:type="dxa"/>
          </w:tcPr>
          <w:p w14:paraId="5F4E4F4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University of Technology Sydney (PhD Thesis)</w:t>
            </w:r>
          </w:p>
        </w:tc>
        <w:tc>
          <w:tcPr>
            <w:tcW w:w="2860" w:type="dxa"/>
          </w:tcPr>
          <w:p w14:paraId="5A444A1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Develops a bibliometric system for structuring and discovering knowledge hierarchies using AI techniques.</w:t>
            </w:r>
          </w:p>
        </w:tc>
        <w:tc>
          <w:tcPr>
            <w:tcW w:w="2460" w:type="dxa"/>
          </w:tcPr>
          <w:p w14:paraId="08DBDC8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Bibliometrics, AI, knowledge hierarchy</w:t>
            </w:r>
          </w:p>
        </w:tc>
        <w:tc>
          <w:tcPr>
            <w:tcW w:w="2460" w:type="dxa"/>
          </w:tcPr>
          <w:p w14:paraId="75A8F8E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can AI enhance knowledge association through intelligent bibliometric systems?</w:t>
            </w:r>
          </w:p>
        </w:tc>
      </w:tr>
      <w:tr w:rsidR="00CD5493" w14:paraId="508AACC8"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246F3A6B"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lastRenderedPageBreak/>
              <w:t>95</w:t>
            </w:r>
          </w:p>
        </w:tc>
        <w:tc>
          <w:tcPr>
            <w:tcW w:w="1800" w:type="dxa"/>
            <w:shd w:val="clear" w:color="auto" w:fill="F2F2F2" w:themeFill="background1" w:themeFillShade="F2"/>
          </w:tcPr>
          <w:p w14:paraId="5A20CF3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Cricchio, J. &amp; Di Minin, A.</w:t>
            </w:r>
          </w:p>
        </w:tc>
        <w:tc>
          <w:tcPr>
            <w:tcW w:w="3740" w:type="dxa"/>
            <w:shd w:val="clear" w:color="auto" w:fill="F2F2F2" w:themeFill="background1" w:themeFillShade="F2"/>
          </w:tcPr>
          <w:p w14:paraId="37BB7C7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shd w:val="clear" w:color="auto" w:fill="F2F2F2" w:themeFill="background1" w:themeFillShade="F2"/>
          </w:tcPr>
          <w:p w14:paraId="2EA23C7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The rise of open innovation in Chinese academia</w:t>
            </w:r>
          </w:p>
        </w:tc>
        <w:tc>
          <w:tcPr>
            <w:tcW w:w="4120" w:type="dxa"/>
            <w:shd w:val="clear" w:color="auto" w:fill="F2F2F2" w:themeFill="background1" w:themeFillShade="F2"/>
          </w:tcPr>
          <w:p w14:paraId="20F58DC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R&amp;D Management</w:t>
            </w:r>
          </w:p>
        </w:tc>
        <w:tc>
          <w:tcPr>
            <w:tcW w:w="2860" w:type="dxa"/>
            <w:shd w:val="clear" w:color="auto" w:fill="F2F2F2" w:themeFill="background1" w:themeFillShade="F2"/>
          </w:tcPr>
          <w:p w14:paraId="074CACC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Systematically reviews how Chinese academia is adopting open innovation and the outcomes on research productivity.</w:t>
            </w:r>
          </w:p>
        </w:tc>
        <w:tc>
          <w:tcPr>
            <w:tcW w:w="2460" w:type="dxa"/>
            <w:shd w:val="clear" w:color="auto" w:fill="F2F2F2" w:themeFill="background1" w:themeFillShade="F2"/>
          </w:tcPr>
          <w:p w14:paraId="238D7C47"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Open innovation, Chinese academia, R&amp;D</w:t>
            </w:r>
          </w:p>
        </w:tc>
        <w:tc>
          <w:tcPr>
            <w:tcW w:w="2460" w:type="dxa"/>
            <w:shd w:val="clear" w:color="auto" w:fill="F2F2F2" w:themeFill="background1" w:themeFillShade="F2"/>
          </w:tcPr>
          <w:p w14:paraId="05E580C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has open innovation shaped Chinese academic research practices?</w:t>
            </w:r>
          </w:p>
        </w:tc>
      </w:tr>
      <w:tr w:rsidR="00CD5493" w14:paraId="7DEA8088"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731367F8"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96</w:t>
            </w:r>
          </w:p>
        </w:tc>
        <w:tc>
          <w:tcPr>
            <w:tcW w:w="1800" w:type="dxa"/>
          </w:tcPr>
          <w:p w14:paraId="4A8883D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proofErr w:type="spellStart"/>
            <w:r>
              <w:rPr>
                <w:rFonts w:ascii="Times New Roman" w:hAnsi="Times New Roman" w:cs="Times New Roman"/>
                <w:szCs w:val="20"/>
                <w:lang w:val="en-GB"/>
              </w:rPr>
              <w:t>Heilala</w:t>
            </w:r>
            <w:proofErr w:type="spellEnd"/>
            <w:r>
              <w:rPr>
                <w:rFonts w:ascii="Times New Roman" w:hAnsi="Times New Roman" w:cs="Times New Roman"/>
                <w:szCs w:val="20"/>
                <w:lang w:val="en-GB"/>
              </w:rPr>
              <w:t>, J.</w:t>
            </w:r>
          </w:p>
        </w:tc>
        <w:tc>
          <w:tcPr>
            <w:tcW w:w="3740" w:type="dxa"/>
          </w:tcPr>
          <w:p w14:paraId="7236949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32EE40C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Integrating technology and organisation in manufacturing performance</w:t>
            </w:r>
          </w:p>
        </w:tc>
        <w:tc>
          <w:tcPr>
            <w:tcW w:w="4120" w:type="dxa"/>
          </w:tcPr>
          <w:p w14:paraId="79375AC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University of Turku</w:t>
            </w:r>
          </w:p>
        </w:tc>
        <w:tc>
          <w:tcPr>
            <w:tcW w:w="2860" w:type="dxa"/>
          </w:tcPr>
          <w:p w14:paraId="5BA220EA"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Analyses Finnish manufacturing firms’ integration of technology and organisational change for performance gains.</w:t>
            </w:r>
          </w:p>
        </w:tc>
        <w:tc>
          <w:tcPr>
            <w:tcW w:w="2460" w:type="dxa"/>
          </w:tcPr>
          <w:p w14:paraId="75D599D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Manufacturing, tech integration, Finland</w:t>
            </w:r>
          </w:p>
        </w:tc>
        <w:tc>
          <w:tcPr>
            <w:tcW w:w="2460" w:type="dxa"/>
          </w:tcPr>
          <w:p w14:paraId="1E7B5EA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does organisational alignment with tech impact manufacturing performance?</w:t>
            </w:r>
          </w:p>
        </w:tc>
      </w:tr>
      <w:tr w:rsidR="00CD5493" w14:paraId="73CAE9F6"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2851E223"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97</w:t>
            </w:r>
          </w:p>
        </w:tc>
        <w:tc>
          <w:tcPr>
            <w:tcW w:w="1800" w:type="dxa"/>
            <w:shd w:val="clear" w:color="auto" w:fill="F2F2F2" w:themeFill="background1" w:themeFillShade="F2"/>
          </w:tcPr>
          <w:p w14:paraId="685D0E9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Zhao, J.J. &amp; Bao, H. (Eds.)</w:t>
            </w:r>
          </w:p>
        </w:tc>
        <w:tc>
          <w:tcPr>
            <w:tcW w:w="3740" w:type="dxa"/>
            <w:shd w:val="clear" w:color="auto" w:fill="F2F2F2" w:themeFill="background1" w:themeFillShade="F2"/>
          </w:tcPr>
          <w:p w14:paraId="5505815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shd w:val="clear" w:color="auto" w:fill="F2F2F2" w:themeFill="background1" w:themeFillShade="F2"/>
          </w:tcPr>
          <w:p w14:paraId="4F3F88D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Routledge Handbook of Chinese Gender &amp; Sexuality</w:t>
            </w:r>
          </w:p>
        </w:tc>
        <w:tc>
          <w:tcPr>
            <w:tcW w:w="4120" w:type="dxa"/>
            <w:shd w:val="clear" w:color="auto" w:fill="F2F2F2" w:themeFill="background1" w:themeFillShade="F2"/>
          </w:tcPr>
          <w:p w14:paraId="5371C70B"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Routledge</w:t>
            </w:r>
          </w:p>
        </w:tc>
        <w:tc>
          <w:tcPr>
            <w:tcW w:w="2860" w:type="dxa"/>
            <w:shd w:val="clear" w:color="auto" w:fill="F2F2F2" w:themeFill="background1" w:themeFillShade="F2"/>
          </w:tcPr>
          <w:p w14:paraId="4EEDE582"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 comprehensive handbook addressing gender, sexuality, and cultural change in contemporary China.</w:t>
            </w:r>
          </w:p>
        </w:tc>
        <w:tc>
          <w:tcPr>
            <w:tcW w:w="2460" w:type="dxa"/>
            <w:shd w:val="clear" w:color="auto" w:fill="F2F2F2" w:themeFill="background1" w:themeFillShade="F2"/>
          </w:tcPr>
          <w:p w14:paraId="178A976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Gender, sexuality, China, cultural studies</w:t>
            </w:r>
          </w:p>
        </w:tc>
        <w:tc>
          <w:tcPr>
            <w:tcW w:w="2460" w:type="dxa"/>
            <w:shd w:val="clear" w:color="auto" w:fill="F2F2F2" w:themeFill="background1" w:themeFillShade="F2"/>
          </w:tcPr>
          <w:p w14:paraId="3ADE0DF9"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are the contemporary discourses on gender and sexuality in China?</w:t>
            </w:r>
          </w:p>
        </w:tc>
      </w:tr>
      <w:tr w:rsidR="00CD5493" w14:paraId="2BAEB9D6"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4A7E80C5"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98</w:t>
            </w:r>
          </w:p>
        </w:tc>
        <w:tc>
          <w:tcPr>
            <w:tcW w:w="1800" w:type="dxa"/>
          </w:tcPr>
          <w:p w14:paraId="721EEFE3"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Ng, D.T.K. et al.</w:t>
            </w:r>
          </w:p>
        </w:tc>
        <w:tc>
          <w:tcPr>
            <w:tcW w:w="3740" w:type="dxa"/>
          </w:tcPr>
          <w:p w14:paraId="27E5CE0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2023</w:t>
            </w:r>
          </w:p>
        </w:tc>
        <w:tc>
          <w:tcPr>
            <w:tcW w:w="3320" w:type="dxa"/>
          </w:tcPr>
          <w:p w14:paraId="361CBDA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Online learning in management education amid the pandemic</w:t>
            </w:r>
          </w:p>
        </w:tc>
        <w:tc>
          <w:tcPr>
            <w:tcW w:w="4120" w:type="dxa"/>
          </w:tcPr>
          <w:p w14:paraId="07A384F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Int. Journal of Management Education, 21(2)</w:t>
            </w:r>
          </w:p>
        </w:tc>
        <w:tc>
          <w:tcPr>
            <w:tcW w:w="2860" w:type="dxa"/>
          </w:tcPr>
          <w:p w14:paraId="2731739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Analyses changes in management education during COVID-19 via bibliometric and thematic analysis of online learning.</w:t>
            </w:r>
          </w:p>
        </w:tc>
        <w:tc>
          <w:tcPr>
            <w:tcW w:w="2460" w:type="dxa"/>
          </w:tcPr>
          <w:p w14:paraId="2F2B481C"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Online learning, pandemic, management education</w:t>
            </w:r>
          </w:p>
        </w:tc>
        <w:tc>
          <w:tcPr>
            <w:tcW w:w="2460" w:type="dxa"/>
          </w:tcPr>
          <w:p w14:paraId="2A7A2A1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How has the pandemic transformed online management education?</w:t>
            </w:r>
          </w:p>
        </w:tc>
      </w:tr>
      <w:tr w:rsidR="00CD5493" w14:paraId="60D5D729"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691C00A9"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t>99</w:t>
            </w:r>
          </w:p>
        </w:tc>
        <w:tc>
          <w:tcPr>
            <w:tcW w:w="1800" w:type="dxa"/>
            <w:shd w:val="clear" w:color="auto" w:fill="F2F2F2" w:themeFill="background1" w:themeFillShade="F2"/>
          </w:tcPr>
          <w:p w14:paraId="72523CE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Arora, M. &amp; Sharma, R.L.</w:t>
            </w:r>
          </w:p>
        </w:tc>
        <w:tc>
          <w:tcPr>
            <w:tcW w:w="3740" w:type="dxa"/>
            <w:shd w:val="clear" w:color="auto" w:fill="F2F2F2" w:themeFill="background1" w:themeFillShade="F2"/>
          </w:tcPr>
          <w:p w14:paraId="57F6ED7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2023</w:t>
            </w:r>
          </w:p>
        </w:tc>
        <w:tc>
          <w:tcPr>
            <w:tcW w:w="3320" w:type="dxa"/>
            <w:shd w:val="clear" w:color="auto" w:fill="F2F2F2" w:themeFill="background1" w:themeFillShade="F2"/>
          </w:tcPr>
          <w:p w14:paraId="36FFD035"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and big data: Ontological and communicative perspectives</w:t>
            </w:r>
          </w:p>
        </w:tc>
        <w:tc>
          <w:tcPr>
            <w:tcW w:w="4120" w:type="dxa"/>
            <w:shd w:val="clear" w:color="auto" w:fill="F2F2F2" w:themeFill="background1" w:themeFillShade="F2"/>
          </w:tcPr>
          <w:p w14:paraId="0EE3580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Foresight, 25(1), pp.126–143</w:t>
            </w:r>
          </w:p>
        </w:tc>
        <w:tc>
          <w:tcPr>
            <w:tcW w:w="2860" w:type="dxa"/>
            <w:shd w:val="clear" w:color="auto" w:fill="F2F2F2" w:themeFill="background1" w:themeFillShade="F2"/>
          </w:tcPr>
          <w:p w14:paraId="42B49EB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Discusses how AI and big data reshape communication and knowledge processes across business sectors.</w:t>
            </w:r>
          </w:p>
        </w:tc>
        <w:tc>
          <w:tcPr>
            <w:tcW w:w="2460" w:type="dxa"/>
            <w:shd w:val="clear" w:color="auto" w:fill="F2F2F2" w:themeFill="background1" w:themeFillShade="F2"/>
          </w:tcPr>
          <w:p w14:paraId="2638D53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AI, big data, communication, business models</w:t>
            </w:r>
          </w:p>
        </w:tc>
        <w:tc>
          <w:tcPr>
            <w:tcW w:w="2460" w:type="dxa"/>
            <w:shd w:val="clear" w:color="auto" w:fill="F2F2F2" w:themeFill="background1" w:themeFillShade="F2"/>
          </w:tcPr>
          <w:p w14:paraId="6D57EAC1"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are the ontological and communicative impacts of AI and big data in modern businesses?</w:t>
            </w:r>
          </w:p>
        </w:tc>
      </w:tr>
      <w:tr w:rsidR="00CD5493" w14:paraId="67BAC6EB" w14:textId="77777777" w:rsidTr="00D95089">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06AC3337" w14:textId="77777777" w:rsidR="00CD5493" w:rsidRDefault="00CD5493" w:rsidP="00D95089">
            <w:pPr>
              <w:spacing w:line="240" w:lineRule="auto"/>
              <w:rPr>
                <w:rFonts w:ascii="Times New Roman" w:hAnsi="Times New Roman" w:cs="Times New Roman"/>
                <w:b w:val="0"/>
                <w:bCs w:val="0"/>
                <w:szCs w:val="20"/>
                <w:lang w:val="en-GB"/>
              </w:rPr>
            </w:pPr>
            <w:r>
              <w:rPr>
                <w:rFonts w:ascii="Times New Roman" w:hAnsi="Times New Roman" w:cs="Times New Roman"/>
                <w:szCs w:val="20"/>
                <w:lang w:val="en-GB"/>
              </w:rPr>
              <w:lastRenderedPageBreak/>
              <w:t>100</w:t>
            </w:r>
          </w:p>
        </w:tc>
        <w:tc>
          <w:tcPr>
            <w:tcW w:w="1800" w:type="dxa"/>
          </w:tcPr>
          <w:p w14:paraId="17356700"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Manigandan, R. &amp; Raghuram, J.N.V.</w:t>
            </w:r>
          </w:p>
        </w:tc>
        <w:tc>
          <w:tcPr>
            <w:tcW w:w="3740" w:type="dxa"/>
          </w:tcPr>
          <w:p w14:paraId="76BD304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2024</w:t>
            </w:r>
          </w:p>
        </w:tc>
        <w:tc>
          <w:tcPr>
            <w:tcW w:w="3320" w:type="dxa"/>
          </w:tcPr>
          <w:p w14:paraId="52F32136"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Digital technology adoption, social value creation, and firm performance</w:t>
            </w:r>
          </w:p>
        </w:tc>
        <w:tc>
          <w:tcPr>
            <w:tcW w:w="4120" w:type="dxa"/>
          </w:tcPr>
          <w:p w14:paraId="544DFEA4"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 xml:space="preserve">Int. Journal of Info Systems &amp; Change </w:t>
            </w:r>
            <w:proofErr w:type="spellStart"/>
            <w:r>
              <w:rPr>
                <w:rFonts w:ascii="Times New Roman" w:hAnsi="Times New Roman" w:cs="Times New Roman"/>
                <w:szCs w:val="20"/>
                <w:lang w:val="en-GB"/>
              </w:rPr>
              <w:t>Mgmt</w:t>
            </w:r>
            <w:proofErr w:type="spellEnd"/>
            <w:r>
              <w:rPr>
                <w:rFonts w:ascii="Times New Roman" w:hAnsi="Times New Roman" w:cs="Times New Roman"/>
                <w:szCs w:val="20"/>
                <w:lang w:val="en-GB"/>
              </w:rPr>
              <w:t>, 14(2)</w:t>
            </w:r>
          </w:p>
        </w:tc>
        <w:tc>
          <w:tcPr>
            <w:tcW w:w="2860" w:type="dxa"/>
          </w:tcPr>
          <w:p w14:paraId="4F2EB43E"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Examines how digital technologies enhance firm performance in Indian SMEs through social value and entrepreneurial marketing.</w:t>
            </w:r>
          </w:p>
        </w:tc>
        <w:tc>
          <w:tcPr>
            <w:tcW w:w="2460" w:type="dxa"/>
          </w:tcPr>
          <w:p w14:paraId="4DC5801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Digital tech, SMEs, performance, value creation</w:t>
            </w:r>
          </w:p>
        </w:tc>
        <w:tc>
          <w:tcPr>
            <w:tcW w:w="2460" w:type="dxa"/>
          </w:tcPr>
          <w:p w14:paraId="2CD0F7AF" w14:textId="77777777" w:rsidR="00CD5493" w:rsidRDefault="00CD5493" w:rsidP="00D95089">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0"/>
                <w:lang w:val="en-GB"/>
              </w:rPr>
            </w:pPr>
            <w:r>
              <w:rPr>
                <w:rFonts w:ascii="Times New Roman" w:hAnsi="Times New Roman" w:cs="Times New Roman"/>
                <w:szCs w:val="20"/>
                <w:lang w:val="en-GB"/>
              </w:rPr>
              <w:t>What role do social value and marketing play in tech-driven SME performance improvement?</w:t>
            </w:r>
          </w:p>
        </w:tc>
      </w:tr>
    </w:tbl>
    <w:p w14:paraId="036E171E" w14:textId="77777777" w:rsidR="00CD5493" w:rsidRDefault="00CD5493" w:rsidP="00CD5493">
      <w:pPr>
        <w:pStyle w:val="1"/>
        <w:spacing w:line="480" w:lineRule="auto"/>
        <w:rPr>
          <w:rFonts w:ascii="Times New Roman" w:eastAsia="Times New Roman" w:hAnsi="Times New Roman" w:cs="Times New Roman"/>
          <w:b/>
          <w:bCs/>
          <w:color w:val="auto"/>
          <w:sz w:val="24"/>
          <w:szCs w:val="24"/>
          <w:lang w:val="en-GB"/>
        </w:rPr>
        <w:sectPr w:rsidR="00CD5493" w:rsidSect="00CD5493">
          <w:pgSz w:w="15840" w:h="12240" w:orient="landscape"/>
          <w:pgMar w:top="1440" w:right="1440" w:bottom="1440" w:left="1440" w:header="708" w:footer="708" w:gutter="0"/>
          <w:cols w:space="708"/>
          <w:docGrid w:linePitch="360"/>
        </w:sectPr>
      </w:pPr>
    </w:p>
    <w:p w14:paraId="6DAA2AE2" w14:textId="77777777" w:rsidR="00CD5493" w:rsidRDefault="00CD5493" w:rsidP="00CD5493">
      <w:pPr>
        <w:rPr>
          <w:lang w:val="en-GB"/>
        </w:rPr>
      </w:pPr>
    </w:p>
    <w:p w14:paraId="343C1943" w14:textId="77777777" w:rsidR="00CD5493" w:rsidRDefault="00CD5493" w:rsidP="00CD5493">
      <w:pPr>
        <w:pStyle w:val="2"/>
        <w:spacing w:after="0" w:line="480" w:lineRule="auto"/>
        <w:rPr>
          <w:sz w:val="24"/>
          <w:szCs w:val="24"/>
          <w:lang w:val="en-GB"/>
        </w:rPr>
      </w:pPr>
      <w:bookmarkStart w:id="22" w:name="_Toc197353511"/>
      <w:bookmarkStart w:id="23" w:name="_Toc198672410"/>
      <w:r>
        <w:rPr>
          <w:sz w:val="24"/>
          <w:szCs w:val="24"/>
          <w:lang w:val="en-GB"/>
        </w:rPr>
        <w:t>3.1 Introduction</w:t>
      </w:r>
      <w:bookmarkEnd w:id="22"/>
      <w:bookmarkEnd w:id="23"/>
    </w:p>
    <w:p w14:paraId="00A1EE3E" w14:textId="77777777" w:rsidR="00CD5493" w:rsidRDefault="00CD5493" w:rsidP="00CD5493">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I gathered over 100 references from Google Scholar and databases like JSTOR, IEEE Xplore, and ScienceDirect. Keyword searches like “AI in knowledge sharing” and “Chinese tech companies” led me. Filters were used to narrow down to peer-reviewed content. Related articles and citation tracking on Google Scholar contributed significantly in expanding sources.</w:t>
      </w:r>
    </w:p>
    <w:p w14:paraId="5F3D7E43" w14:textId="77777777" w:rsidR="00CD5493" w:rsidRDefault="00CD5493" w:rsidP="00CD5493">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There exist four main literature review types. Systematic reviews reduce bias and synthesise quantitative data (</w:t>
      </w:r>
      <w:proofErr w:type="spellStart"/>
      <w:r>
        <w:rPr>
          <w:rFonts w:ascii="Times New Roman" w:hAnsi="Times New Roman" w:cs="Times New Roman"/>
          <w:sz w:val="24"/>
          <w:szCs w:val="24"/>
          <w:lang w:val="en-GB"/>
        </w:rPr>
        <w:t>Jpt</w:t>
      </w:r>
      <w:proofErr w:type="spellEnd"/>
      <w:r>
        <w:rPr>
          <w:rFonts w:ascii="Times New Roman" w:hAnsi="Times New Roman" w:cs="Times New Roman"/>
          <w:sz w:val="24"/>
          <w:szCs w:val="24"/>
          <w:lang w:val="en-GB"/>
        </w:rPr>
        <w:t xml:space="preserve">, 2008; </w:t>
      </w:r>
      <w:proofErr w:type="spellStart"/>
      <w:r>
        <w:rPr>
          <w:rFonts w:ascii="Times New Roman" w:hAnsi="Times New Roman" w:cs="Times New Roman"/>
          <w:sz w:val="24"/>
          <w:szCs w:val="24"/>
          <w:lang w:val="en-GB"/>
        </w:rPr>
        <w:t>Tranfield</w:t>
      </w:r>
      <w:proofErr w:type="spellEnd"/>
      <w:r>
        <w:rPr>
          <w:rFonts w:ascii="Times New Roman" w:hAnsi="Times New Roman" w:cs="Times New Roman"/>
          <w:sz w:val="24"/>
          <w:szCs w:val="24"/>
          <w:lang w:val="en-GB"/>
        </w:rPr>
        <w:t xml:space="preserve"> et al., 2003; Paul &amp; Criado, 2020). Narrative reviews provide thematic summaries (Baumeister &amp; Leary, 1997), and scoping reviews address broad concepts and gaps (Munn et al., 2018; Peters et al., 2020). Integrative reviews synthesise theory and data to create new models (Torraco, 2005). Each type supports particular research aims (Grant &amp; Booth, 2009; Snyder, 2019).</w:t>
      </w:r>
    </w:p>
    <w:p w14:paraId="5521C3F4" w14:textId="77777777" w:rsidR="00CD5493" w:rsidRDefault="00CD5493" w:rsidP="00CD5493">
      <w:pPr>
        <w:spacing w:line="480" w:lineRule="auto"/>
        <w:rPr>
          <w:rFonts w:ascii="Times New Roman" w:eastAsia="Times New Roman" w:hAnsi="Times New Roman" w:cs="Times New Roman"/>
          <w:sz w:val="24"/>
          <w:szCs w:val="24"/>
          <w:lang w:val="en-GB"/>
        </w:rPr>
      </w:pPr>
      <w:r>
        <w:rPr>
          <w:rFonts w:ascii="Times New Roman" w:hAnsi="Times New Roman" w:cs="Times New Roman"/>
          <w:sz w:val="24"/>
          <w:szCs w:val="24"/>
          <w:lang w:val="en-GB"/>
        </w:rPr>
        <w:t>This review examines AI and knowledge sharing in tech companies in China, focusing on AI search, recommendation, and knowledge processes that are automated. Cultural, technical, and governance problems are discussed. However, few studies offer an integrated view of AI in knowledge ecosystems. The three research agendas of this review are: (1) human-AI hybrid models of knowledge, (2) continued research on the cultural effects of AI, and (3) stakeholder governance for responsible AI. This integration brings the discussion to an active research agenda</w:t>
      </w:r>
      <w:r>
        <w:rPr>
          <w:rFonts w:ascii="Times New Roman" w:eastAsia="Times New Roman" w:hAnsi="Times New Roman" w:cs="Times New Roman"/>
          <w:sz w:val="24"/>
          <w:szCs w:val="24"/>
          <w:lang w:val="en-GB"/>
        </w:rPr>
        <w:t>.</w:t>
      </w:r>
    </w:p>
    <w:p w14:paraId="0B67575D" w14:textId="77777777" w:rsidR="00CD5493" w:rsidRDefault="00CD5493" w:rsidP="00CD5493">
      <w:pPr>
        <w:pStyle w:val="2"/>
        <w:spacing w:after="0" w:line="480" w:lineRule="auto"/>
        <w:rPr>
          <w:sz w:val="24"/>
          <w:szCs w:val="24"/>
          <w:lang w:val="en-GB"/>
        </w:rPr>
      </w:pPr>
      <w:bookmarkStart w:id="24" w:name="_Toc197353512"/>
      <w:bookmarkStart w:id="25" w:name="_Toc198672411"/>
      <w:r>
        <w:rPr>
          <w:sz w:val="24"/>
          <w:szCs w:val="24"/>
          <w:lang w:val="en-GB"/>
        </w:rPr>
        <w:lastRenderedPageBreak/>
        <w:t>3.2 Key Aim</w:t>
      </w:r>
      <w:bookmarkEnd w:id="24"/>
      <w:bookmarkEnd w:id="25"/>
    </w:p>
    <w:p w14:paraId="168F3798" w14:textId="77777777" w:rsidR="00CD5493" w:rsidRDefault="00CD5493" w:rsidP="00CD5493">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This article addresses two issues: (1) In what ways does AI impact knowledge-sharing among Chinese tech companies? and (2) What are its challenges and success factors arising from its implementation? It aims to evaluate the contribution of AI in revolutionising knowledge-sharing within China’s tech sector. The article explores the intersection of AI technologies and knowledge management systems, discussing opportunities like improved collaboration and decision-making, along with challenges like limitations of technology, organisational resistance, and ethics.</w:t>
      </w:r>
    </w:p>
    <w:p w14:paraId="0F548D86" w14:textId="77777777" w:rsidR="00CD5493" w:rsidRDefault="00CD5493" w:rsidP="00CD5493">
      <w:pPr>
        <w:spacing w:line="480" w:lineRule="auto"/>
        <w:rPr>
          <w:rFonts w:ascii="Times New Roman" w:eastAsia="Times New Roman" w:hAnsi="Times New Roman" w:cs="Times New Roman"/>
          <w:sz w:val="24"/>
          <w:szCs w:val="24"/>
          <w:lang w:val="en-GB"/>
        </w:rPr>
      </w:pPr>
      <w:r>
        <w:rPr>
          <w:rFonts w:ascii="Times New Roman" w:hAnsi="Times New Roman" w:cs="Times New Roman"/>
          <w:sz w:val="24"/>
          <w:szCs w:val="24"/>
          <w:lang w:val="en-GB"/>
        </w:rPr>
        <w:t>The ‘</w:t>
      </w:r>
      <w:proofErr w:type="spellStart"/>
      <w:r>
        <w:rPr>
          <w:rFonts w:ascii="Times New Roman" w:hAnsi="Times New Roman" w:cs="Times New Roman"/>
          <w:sz w:val="24"/>
          <w:szCs w:val="24"/>
          <w:lang w:val="en-GB"/>
        </w:rPr>
        <w:t>insignificants</w:t>
      </w:r>
      <w:proofErr w:type="spellEnd"/>
      <w:r>
        <w:rPr>
          <w:rFonts w:ascii="Times New Roman" w:hAnsi="Times New Roman" w:cs="Times New Roman"/>
          <w:sz w:val="24"/>
          <w:szCs w:val="24"/>
          <w:lang w:val="en-GB"/>
        </w:rPr>
        <w:t>’ in Part 2 inform the theme of Part 3 by consolidating key studies, concepts, and gaps. The sources outline AI adoption trends, structure, and knowledge-sharing conventions, which Part 3 integrates, critiques, and proposes future research directions. This role is important to understand AI’s position in knowledge-exchanging systems and its influence on future practitioner and academic advancements</w:t>
      </w:r>
      <w:r>
        <w:rPr>
          <w:rFonts w:ascii="Times New Roman" w:eastAsia="Times New Roman" w:hAnsi="Times New Roman" w:cs="Times New Roman"/>
          <w:sz w:val="24"/>
          <w:szCs w:val="24"/>
          <w:lang w:val="en-GB"/>
        </w:rPr>
        <w:t>.</w:t>
      </w:r>
    </w:p>
    <w:p w14:paraId="39C61636" w14:textId="77777777" w:rsidR="00CD5493" w:rsidRDefault="00CD5493" w:rsidP="00CD5493">
      <w:pPr>
        <w:pStyle w:val="2"/>
        <w:spacing w:after="0" w:line="480" w:lineRule="auto"/>
        <w:rPr>
          <w:sz w:val="24"/>
          <w:szCs w:val="24"/>
          <w:lang w:val="en-GB"/>
        </w:rPr>
      </w:pPr>
      <w:bookmarkStart w:id="26" w:name="_Toc198672412"/>
      <w:bookmarkStart w:id="27" w:name="_Toc197353513"/>
      <w:r>
        <w:rPr>
          <w:sz w:val="24"/>
          <w:szCs w:val="24"/>
          <w:lang w:val="en-GB"/>
        </w:rPr>
        <w:t>3.3 Defining Key Terms</w:t>
      </w:r>
      <w:bookmarkEnd w:id="26"/>
      <w:bookmarkEnd w:id="27"/>
    </w:p>
    <w:p w14:paraId="7F4EE8DC" w14:textId="77777777" w:rsidR="00CD5493" w:rsidRDefault="00CD5493" w:rsidP="00CD5493">
      <w:pPr>
        <w:spacing w:before="100" w:beforeAutospacing="1" w:after="0" w:line="48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Artificial Intelligence in Knowledge Management (KM)</w:t>
      </w:r>
    </w:p>
    <w:p w14:paraId="1148388F" w14:textId="77777777" w:rsidR="00CD5493" w:rsidRDefault="00CD5493" w:rsidP="00CD5493">
      <w:pPr>
        <w:spacing w:before="100" w:beforeAutospacing="1" w:after="0" w:line="480" w:lineRule="auto"/>
        <w:rPr>
          <w:rFonts w:ascii="Times New Roman" w:eastAsia="Times New Roman" w:hAnsi="Times New Roman" w:cs="Times New Roman"/>
          <w:bCs/>
          <w:sz w:val="24"/>
          <w:szCs w:val="24"/>
          <w:lang w:val="en-GB"/>
        </w:rPr>
      </w:pPr>
      <w:r>
        <w:rPr>
          <w:rFonts w:ascii="Times New Roman" w:eastAsia="Times New Roman" w:hAnsi="Times New Roman" w:cs="Times New Roman"/>
          <w:bCs/>
          <w:sz w:val="24"/>
          <w:szCs w:val="24"/>
          <w:lang w:val="en-GB"/>
        </w:rPr>
        <w:t xml:space="preserve">AI in KM uses artificial intelligence for improving the way organisations manage knowledge. Key technologies include machine learning (ML), which analyses data to learn decision-making patterns (Cui, 2025), and natural language processing (NLP), which improves the classification and searching of information (Li et al., 2022). AI chatbots provide real-time access and guide users through knowledge bases, </w:t>
      </w:r>
      <w:r>
        <w:rPr>
          <w:rFonts w:ascii="Times New Roman" w:eastAsia="Times New Roman" w:hAnsi="Times New Roman" w:cs="Times New Roman"/>
          <w:bCs/>
          <w:sz w:val="24"/>
          <w:szCs w:val="24"/>
          <w:lang w:val="en-GB"/>
        </w:rPr>
        <w:lastRenderedPageBreak/>
        <w:t xml:space="preserve">enhancing productivity (Zhang, 2021), and recommender systems match users with appropriate content or people founded on </w:t>
      </w:r>
      <w:proofErr w:type="spellStart"/>
      <w:r>
        <w:rPr>
          <w:rFonts w:ascii="Times New Roman" w:eastAsia="Times New Roman" w:hAnsi="Times New Roman" w:cs="Times New Roman"/>
          <w:bCs/>
          <w:sz w:val="24"/>
          <w:szCs w:val="24"/>
          <w:lang w:val="en-GB"/>
        </w:rPr>
        <w:t>behavior</w:t>
      </w:r>
      <w:proofErr w:type="spellEnd"/>
      <w:r>
        <w:rPr>
          <w:rFonts w:ascii="Times New Roman" w:eastAsia="Times New Roman" w:hAnsi="Times New Roman" w:cs="Times New Roman"/>
          <w:bCs/>
          <w:sz w:val="24"/>
          <w:szCs w:val="24"/>
          <w:lang w:val="en-GB"/>
        </w:rPr>
        <w:t xml:space="preserve"> and interests (Groysberg et al., 2021).</w:t>
      </w:r>
    </w:p>
    <w:p w14:paraId="1AAE8A83" w14:textId="77777777" w:rsidR="00CD5493" w:rsidRDefault="00CD5493" w:rsidP="00CD5493">
      <w:pPr>
        <w:spacing w:before="100" w:beforeAutospacing="1" w:after="0" w:line="48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Knowledge-Sharing Culture</w:t>
      </w:r>
    </w:p>
    <w:p w14:paraId="35047EC9" w14:textId="77777777" w:rsidR="00CD5493" w:rsidRDefault="00CD5493" w:rsidP="00CD5493">
      <w:pPr>
        <w:spacing w:before="100" w:beforeAutospacing="1" w:after="0" w:line="480" w:lineRule="auto"/>
        <w:rPr>
          <w:rFonts w:ascii="Times New Roman" w:eastAsia="Times New Roman" w:hAnsi="Times New Roman" w:cs="Times New Roman"/>
          <w:bCs/>
          <w:sz w:val="24"/>
          <w:szCs w:val="24"/>
          <w:lang w:val="en-GB"/>
        </w:rPr>
      </w:pPr>
      <w:r>
        <w:rPr>
          <w:rFonts w:ascii="Times New Roman" w:eastAsia="Times New Roman" w:hAnsi="Times New Roman" w:cs="Times New Roman"/>
          <w:bCs/>
          <w:sz w:val="24"/>
          <w:szCs w:val="24"/>
          <w:lang w:val="en-GB"/>
        </w:rPr>
        <w:t>A strong culture of knowledge sharing promotes openness of explicit and tacit knowledge (Nonaka &amp; Takeuchi, 1995). Workers perform better when they feel safe and valued (Zhao, 2022). Social networks and knowledge hubs allow for easier access to and exchange of knowledge (Chen &amp; Zhang, 2023).</w:t>
      </w:r>
    </w:p>
    <w:p w14:paraId="0880AB88" w14:textId="77777777" w:rsidR="00CD5493" w:rsidRDefault="00CD5493" w:rsidP="00CD5493">
      <w:pPr>
        <w:spacing w:before="100" w:beforeAutospacing="1" w:after="0" w:line="48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Chinese Technology Industry</w:t>
      </w:r>
    </w:p>
    <w:p w14:paraId="4B4130F6" w14:textId="77777777" w:rsidR="00CD5493" w:rsidRDefault="00CD5493" w:rsidP="00CD5493">
      <w:pPr>
        <w:spacing w:before="100" w:beforeAutospacing="1" w:after="0" w:line="48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Cs/>
          <w:sz w:val="24"/>
          <w:szCs w:val="24"/>
          <w:lang w:val="en-GB"/>
        </w:rPr>
        <w:t>China’s tech sector relies on AI, fintech, and e-commerce, particularly in Shenzhen, Beijing, and Hangzhou (Li et al., 2022). AI development is enabled by state policy and investment (Cui, 2025). To grow globally competitive, businesses need advanced AI-based KM systems as they digitalise (Zhang, 2021)</w:t>
      </w:r>
      <w:r>
        <w:rPr>
          <w:rFonts w:ascii="Times New Roman" w:eastAsia="Times New Roman" w:hAnsi="Times New Roman" w:cs="Times New Roman"/>
          <w:sz w:val="24"/>
          <w:szCs w:val="24"/>
          <w:lang w:val="en-GB"/>
        </w:rPr>
        <w:t>.</w:t>
      </w:r>
    </w:p>
    <w:p w14:paraId="1F001BD2" w14:textId="77777777" w:rsidR="00CD5493" w:rsidRDefault="00CD5493" w:rsidP="00CD5493">
      <w:pPr>
        <w:pStyle w:val="2"/>
        <w:spacing w:after="0" w:line="480" w:lineRule="auto"/>
        <w:rPr>
          <w:sz w:val="24"/>
          <w:szCs w:val="24"/>
          <w:lang w:val="en-GB"/>
        </w:rPr>
      </w:pPr>
      <w:bookmarkStart w:id="28" w:name="_Toc198672413"/>
      <w:bookmarkStart w:id="29" w:name="_Toc197353514"/>
      <w:r>
        <w:rPr>
          <w:sz w:val="24"/>
          <w:szCs w:val="24"/>
          <w:lang w:val="en-GB"/>
        </w:rPr>
        <w:t>3.4 AI-Based Search and Retrieval Systems</w:t>
      </w:r>
      <w:bookmarkEnd w:id="28"/>
      <w:bookmarkEnd w:id="29"/>
    </w:p>
    <w:p w14:paraId="62380195" w14:textId="77777777" w:rsidR="00CD5493" w:rsidRDefault="00CD5493" w:rsidP="00CD5493">
      <w:pPr>
        <w:spacing w:line="480" w:lineRule="auto"/>
        <w:rPr>
          <w:rFonts w:ascii="Times New Roman" w:hAnsi="Times New Roman" w:cs="Times New Roman"/>
          <w:b/>
          <w:sz w:val="24"/>
          <w:szCs w:val="24"/>
          <w:lang w:val="en-GB"/>
        </w:rPr>
      </w:pPr>
      <w:r>
        <w:rPr>
          <w:rFonts w:ascii="Times New Roman" w:hAnsi="Times New Roman" w:cs="Times New Roman"/>
          <w:b/>
          <w:sz w:val="24"/>
          <w:szCs w:val="24"/>
          <w:lang w:val="en-GB"/>
        </w:rPr>
        <w:t>AI-Based Search and Retrieval Systems</w:t>
      </w:r>
    </w:p>
    <w:p w14:paraId="19A1971C" w14:textId="77777777" w:rsidR="00CD5493" w:rsidRDefault="00CD5493" w:rsidP="00CD5493">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AI systems allow more effective sharing of knowledge through more speed and accuracy in the retrieval of relevant information. Traditional keyword search is prone to problems with large sets of data and identification of related knowledge (Cui, 2025). AI remedies this with the use of machine learning (ML) and natural language processing (NLP) to support semantic search, understanding user intention beyond </w:t>
      </w:r>
      <w:r>
        <w:rPr>
          <w:rFonts w:ascii="Times New Roman" w:hAnsi="Times New Roman" w:cs="Times New Roman"/>
          <w:sz w:val="24"/>
          <w:szCs w:val="24"/>
          <w:lang w:val="en-GB"/>
        </w:rPr>
        <w:lastRenderedPageBreak/>
        <w:t>keywords (Li et al., 2022). These systems consider content context and user history and offer personalised and effective results that unveil even unrequested but useful knowledge, enabling a more interactive work environment (Liu, 2023).</w:t>
      </w:r>
    </w:p>
    <w:p w14:paraId="672EC8D0" w14:textId="77777777" w:rsidR="00CD5493" w:rsidRDefault="00CD5493" w:rsidP="00CD5493">
      <w:pPr>
        <w:spacing w:line="480" w:lineRule="auto"/>
        <w:rPr>
          <w:rFonts w:ascii="Times New Roman" w:hAnsi="Times New Roman" w:cs="Times New Roman"/>
          <w:b/>
          <w:sz w:val="24"/>
          <w:szCs w:val="24"/>
          <w:lang w:val="en-GB"/>
        </w:rPr>
      </w:pPr>
      <w:r>
        <w:rPr>
          <w:rFonts w:ascii="Times New Roman" w:hAnsi="Times New Roman" w:cs="Times New Roman"/>
          <w:b/>
          <w:sz w:val="24"/>
          <w:szCs w:val="24"/>
          <w:lang w:val="en-GB"/>
        </w:rPr>
        <w:t>Intelligent Recommendation Tools</w:t>
      </w:r>
    </w:p>
    <w:p w14:paraId="08DAC3E2" w14:textId="77777777" w:rsidR="00CD5493" w:rsidRDefault="00CD5493" w:rsidP="00CD5493">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AI-driven recommendation mechanisms augment organisational knowledge-sharing by monitoring user activity and organisational needs. They suggest relevant files, subject-matter expertise, or colleagues for collaboration (</w:t>
      </w:r>
      <w:proofErr w:type="spellStart"/>
      <w:r>
        <w:rPr>
          <w:rFonts w:ascii="Times New Roman" w:hAnsi="Times New Roman" w:cs="Times New Roman"/>
          <w:sz w:val="24"/>
          <w:szCs w:val="24"/>
          <w:lang w:val="en-GB"/>
        </w:rPr>
        <w:t>Fajimolu</w:t>
      </w:r>
      <w:proofErr w:type="spellEnd"/>
      <w:r>
        <w:rPr>
          <w:rFonts w:ascii="Times New Roman" w:hAnsi="Times New Roman" w:cs="Times New Roman"/>
          <w:sz w:val="24"/>
          <w:szCs w:val="24"/>
          <w:lang w:val="en-GB"/>
        </w:rPr>
        <w:t xml:space="preserve"> et al., 2023). AI may be used to automatically identify experts or relevant assets in Chinese technology firms on the basis of behaviour and project situation, such that the right knowledge is provided to the right person at the right time (Jiang et al., 2023).</w:t>
      </w:r>
    </w:p>
    <w:p w14:paraId="4B99734B" w14:textId="77777777" w:rsidR="00CD5493" w:rsidRDefault="00CD5493" w:rsidP="00CD5493">
      <w:pPr>
        <w:spacing w:line="480" w:lineRule="auto"/>
        <w:rPr>
          <w:rFonts w:ascii="Times New Roman" w:hAnsi="Times New Roman" w:cs="Times New Roman"/>
          <w:b/>
          <w:sz w:val="24"/>
          <w:szCs w:val="24"/>
          <w:lang w:val="en-GB"/>
        </w:rPr>
      </w:pPr>
      <w:r>
        <w:rPr>
          <w:rFonts w:ascii="Times New Roman" w:hAnsi="Times New Roman" w:cs="Times New Roman"/>
          <w:b/>
          <w:sz w:val="24"/>
          <w:szCs w:val="24"/>
          <w:lang w:val="en-GB"/>
        </w:rPr>
        <w:t>Automated Documentation and Expert Systems</w:t>
      </w:r>
    </w:p>
    <w:p w14:paraId="58E8D4F1" w14:textId="77777777" w:rsidR="00CD5493" w:rsidRDefault="00CD5493" w:rsidP="00CD5493">
      <w:pPr>
        <w:spacing w:line="480" w:lineRule="auto"/>
        <w:rPr>
          <w:rFonts w:ascii="Times New Roman" w:eastAsia="Times New Roman" w:hAnsi="Times New Roman" w:cs="Times New Roman"/>
          <w:sz w:val="24"/>
          <w:szCs w:val="24"/>
          <w:lang w:val="en-GB"/>
        </w:rPr>
      </w:pPr>
      <w:r>
        <w:rPr>
          <w:rFonts w:ascii="Times New Roman" w:hAnsi="Times New Roman" w:cs="Times New Roman"/>
          <w:sz w:val="24"/>
          <w:szCs w:val="24"/>
          <w:lang w:val="en-GB"/>
        </w:rPr>
        <w:t>AI harmonises knowledge capture—report preparation, meeting summarisation, and reducing manpower (Li, N. et al.). Expert systems replicate knowledge captured within a specific domain to provide real-time assistance (Liu &amp; Wang, 2023). This enables persistent learning while not sacrificing efficiency in advanced industries</w:t>
      </w:r>
      <w:r>
        <w:rPr>
          <w:rFonts w:ascii="Times New Roman" w:eastAsia="Times New Roman" w:hAnsi="Times New Roman" w:cs="Times New Roman"/>
          <w:sz w:val="24"/>
          <w:szCs w:val="24"/>
          <w:lang w:val="en-GB"/>
        </w:rPr>
        <w:t>.</w:t>
      </w:r>
    </w:p>
    <w:p w14:paraId="773E1370" w14:textId="77777777" w:rsidR="00CD5493" w:rsidRDefault="00CD5493" w:rsidP="00CD5493">
      <w:pPr>
        <w:pStyle w:val="2"/>
        <w:spacing w:after="0" w:line="480" w:lineRule="auto"/>
        <w:rPr>
          <w:bCs/>
          <w:sz w:val="24"/>
          <w:szCs w:val="24"/>
          <w:lang w:val="en-GB"/>
        </w:rPr>
      </w:pPr>
      <w:bookmarkStart w:id="30" w:name="_Toc197353515"/>
      <w:bookmarkStart w:id="31" w:name="_Toc198672414"/>
      <w:r>
        <w:rPr>
          <w:sz w:val="24"/>
          <w:szCs w:val="24"/>
          <w:lang w:val="en-GB"/>
        </w:rPr>
        <w:t>3.5 Challenges in AI Implementation for Knowledge-Sharing</w:t>
      </w:r>
      <w:bookmarkEnd w:id="30"/>
      <w:bookmarkEnd w:id="31"/>
    </w:p>
    <w:p w14:paraId="237CB37D" w14:textId="77777777" w:rsidR="00CD5493" w:rsidRDefault="00CD5493" w:rsidP="00CD5493">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This section addresses the second question of Section 3.2: What are the success factors and main challenges associated with the application of AI to knowledge-sharing systems? Citing sources in Part 2, this section outlines the principal technological, organisational, legal, and ethical difficulties faced by Chinese technology companies.</w:t>
      </w:r>
    </w:p>
    <w:p w14:paraId="01FE895F" w14:textId="77777777" w:rsidR="00CD5493" w:rsidRDefault="00CD5493" w:rsidP="00CD5493">
      <w:pPr>
        <w:pStyle w:val="3"/>
        <w:spacing w:line="480" w:lineRule="auto"/>
        <w:rPr>
          <w:rFonts w:eastAsiaTheme="minorEastAsia"/>
          <w:b/>
          <w:bCs/>
          <w:sz w:val="24"/>
          <w:szCs w:val="24"/>
          <w:lang w:val="en-GB"/>
        </w:rPr>
      </w:pPr>
      <w:r>
        <w:rPr>
          <w:rFonts w:eastAsiaTheme="minorEastAsia"/>
          <w:sz w:val="24"/>
          <w:szCs w:val="24"/>
          <w:lang w:val="en-GB"/>
        </w:rPr>
        <w:lastRenderedPageBreak/>
        <w:t>3.5.1 Technological Challenges</w:t>
      </w:r>
    </w:p>
    <w:p w14:paraId="1CE8B584" w14:textId="77777777" w:rsidR="00CD5493" w:rsidRDefault="00CD5493" w:rsidP="00CD5493">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Blending AI with existing legacy systems is the main technological challenge. A majority of Chinese tech firms still employ traditional infrastructures that do not support advanced AI functionalities like intelligent searching or recommendation engines, leading to fragmented knowledge systems (Zhou, 2024, Ref. No. 33). The second problem is the failure of AI to manage tacit knowledge—informal, experience-based knowledge that cannot be formalised. Since explicit knowledge can be processed easily, AI is troubled by unstructured, context-related information (Liu &amp; Huang, 2025, Ref. No. 79). Besides, technical readiness is not equal across organisations, making it challenging to implement AI seamlessly (Li et al., 2022, Ref. No. 2).</w:t>
      </w:r>
    </w:p>
    <w:p w14:paraId="26883EAE" w14:textId="77777777" w:rsidR="00CD5493" w:rsidRDefault="00CD5493" w:rsidP="00CD5493">
      <w:pPr>
        <w:pStyle w:val="3"/>
        <w:spacing w:line="480" w:lineRule="auto"/>
        <w:rPr>
          <w:rFonts w:eastAsiaTheme="minorEastAsia"/>
          <w:b/>
          <w:bCs/>
          <w:sz w:val="24"/>
          <w:szCs w:val="24"/>
          <w:lang w:val="en-GB"/>
        </w:rPr>
      </w:pPr>
      <w:r>
        <w:rPr>
          <w:rFonts w:eastAsiaTheme="minorEastAsia"/>
          <w:sz w:val="24"/>
          <w:szCs w:val="24"/>
          <w:lang w:val="en-GB"/>
        </w:rPr>
        <w:t>3.5.2 Barriers at the Organisational Level</w:t>
      </w:r>
    </w:p>
    <w:p w14:paraId="53D96CC1" w14:textId="77777777" w:rsidR="00CD5493" w:rsidRDefault="00CD5493" w:rsidP="00CD5493">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Resistance at the organisational level, particularly due to job security concerns and not having confidence in AI systems, hampers AI adoption. Employees fear AI will replace human intervention in decision-making and knowledge dissemination (Chen &amp; Li, 2025, Ref. No. 5). Distrust is </w:t>
      </w:r>
      <w:proofErr w:type="spellStart"/>
      <w:r>
        <w:rPr>
          <w:rFonts w:ascii="Times New Roman" w:hAnsi="Times New Roman" w:cs="Times New Roman"/>
          <w:sz w:val="24"/>
          <w:szCs w:val="24"/>
          <w:lang w:val="en-GB"/>
        </w:rPr>
        <w:t>fueled</w:t>
      </w:r>
      <w:proofErr w:type="spellEnd"/>
      <w:r>
        <w:rPr>
          <w:rFonts w:ascii="Times New Roman" w:hAnsi="Times New Roman" w:cs="Times New Roman"/>
          <w:sz w:val="24"/>
          <w:szCs w:val="24"/>
          <w:lang w:val="en-GB"/>
        </w:rPr>
        <w:t xml:space="preserve"> by concerns regarding AI objectivity and precision, along with transparency (Yang et al., 2024, Ref. No. 79). Additionally, poor digital literacy prevents the successful use of AI. In the fast-changing tech sector of China, employees’ digital skills are essential for integrating knowledge-sharing effectively (Wang &amp; Zhang, 2025; Olan et al., 2024, Ref. No. 4).</w:t>
      </w:r>
    </w:p>
    <w:p w14:paraId="572E1642" w14:textId="77777777" w:rsidR="00CD5493" w:rsidRDefault="00CD5493" w:rsidP="00CD5493">
      <w:pPr>
        <w:pStyle w:val="3"/>
        <w:spacing w:line="480" w:lineRule="auto"/>
        <w:rPr>
          <w:rFonts w:eastAsiaTheme="minorEastAsia"/>
          <w:b/>
          <w:bCs/>
          <w:sz w:val="24"/>
          <w:szCs w:val="24"/>
          <w:lang w:val="en-GB"/>
        </w:rPr>
      </w:pPr>
      <w:r>
        <w:rPr>
          <w:rFonts w:eastAsiaTheme="minorEastAsia"/>
          <w:sz w:val="24"/>
          <w:szCs w:val="24"/>
          <w:lang w:val="en-GB"/>
        </w:rPr>
        <w:lastRenderedPageBreak/>
        <w:t>3.5.3 Data and Privacy Issues</w:t>
      </w:r>
    </w:p>
    <w:p w14:paraId="1E18BC44" w14:textId="77777777" w:rsidR="00CD5493" w:rsidRDefault="00CD5493" w:rsidP="00CD5493">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AI systems handle huge volumes of sensitive data, and compliance with China’s Personal Information Protection Law (PIPL) is necessary to ensure legal and ethical processing of data (Zhao &amp; Li, 2024, Ref. No. 52). Cyber-attacks and data leaks are also concerns. Both data availability and sufficient privacy and security mechanisms should be balanced in order to maintain stakeholder trust (Wang &amp; Liu, 2024; </w:t>
      </w:r>
      <w:proofErr w:type="spellStart"/>
      <w:r>
        <w:rPr>
          <w:rFonts w:ascii="Times New Roman" w:hAnsi="Times New Roman" w:cs="Times New Roman"/>
          <w:sz w:val="24"/>
          <w:szCs w:val="24"/>
          <w:lang w:val="en-GB"/>
        </w:rPr>
        <w:t>Binsaeed</w:t>
      </w:r>
      <w:proofErr w:type="spellEnd"/>
      <w:r>
        <w:rPr>
          <w:rFonts w:ascii="Times New Roman" w:hAnsi="Times New Roman" w:cs="Times New Roman"/>
          <w:sz w:val="24"/>
          <w:szCs w:val="24"/>
          <w:lang w:val="en-GB"/>
        </w:rPr>
        <w:t xml:space="preserve"> et al., 2023, Ref. No. 3).</w:t>
      </w:r>
    </w:p>
    <w:p w14:paraId="35FB51D3" w14:textId="77777777" w:rsidR="00CD5493" w:rsidRDefault="00CD5493" w:rsidP="00CD5493">
      <w:pPr>
        <w:pStyle w:val="3"/>
        <w:spacing w:line="480" w:lineRule="auto"/>
        <w:rPr>
          <w:rFonts w:eastAsiaTheme="minorEastAsia"/>
          <w:b/>
          <w:bCs/>
          <w:sz w:val="24"/>
          <w:szCs w:val="24"/>
          <w:lang w:val="en-GB"/>
        </w:rPr>
      </w:pPr>
      <w:r>
        <w:rPr>
          <w:rFonts w:eastAsiaTheme="minorEastAsia"/>
          <w:sz w:val="24"/>
          <w:szCs w:val="24"/>
          <w:lang w:val="en-GB"/>
        </w:rPr>
        <w:t>3.5.4 Ethical and Bias Issues</w:t>
      </w:r>
    </w:p>
    <w:p w14:paraId="057ECC52" w14:textId="77777777" w:rsidR="00CD5493" w:rsidRDefault="00CD5493" w:rsidP="00CD5493">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sz w:val="24"/>
          <w:szCs w:val="24"/>
          <w:lang w:val="en-GB"/>
        </w:rPr>
        <w:t>Bias within AI software—caused by non-representative training data—can distort knowledge-sharing outcomes, making them less representative (Wu et al., 2025, Ref. No. 50). Ethical issues are transparent decision-making and unintended damage. Transparency, fairness, and ethical AI practices are required to render knowledge-sharing ethical and fair (Zhou, 2024; Li et al., 2022, Ref. No. 33)</w:t>
      </w:r>
      <w:r>
        <w:rPr>
          <w:rFonts w:ascii="Times New Roman" w:eastAsia="Times New Roman" w:hAnsi="Times New Roman" w:cs="Times New Roman"/>
          <w:sz w:val="24"/>
          <w:szCs w:val="24"/>
          <w:lang w:val="en-GB"/>
        </w:rPr>
        <w:t>.</w:t>
      </w:r>
    </w:p>
    <w:p w14:paraId="6C710FE5" w14:textId="77777777" w:rsidR="00CD5493" w:rsidRDefault="00CD5493" w:rsidP="00CD5493">
      <w:pPr>
        <w:pStyle w:val="2"/>
        <w:spacing w:after="0" w:line="480" w:lineRule="auto"/>
        <w:rPr>
          <w:sz w:val="24"/>
          <w:szCs w:val="24"/>
          <w:lang w:val="en-GB"/>
        </w:rPr>
      </w:pPr>
      <w:bookmarkStart w:id="32" w:name="_Toc198672419"/>
      <w:bookmarkStart w:id="33" w:name="_Toc197353520"/>
      <w:r>
        <w:rPr>
          <w:sz w:val="24"/>
          <w:szCs w:val="24"/>
          <w:lang w:val="en-GB"/>
        </w:rPr>
        <w:t>3.6 Strategies for Effective AI Integration in Knowledge-Sharing</w:t>
      </w:r>
      <w:bookmarkEnd w:id="32"/>
      <w:bookmarkEnd w:id="33"/>
    </w:p>
    <w:p w14:paraId="487BC78A" w14:textId="77777777" w:rsidR="00CD5493" w:rsidRDefault="00CD5493" w:rsidP="00CD5493">
      <w:pPr>
        <w:spacing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For the purposes of incorporating AI into knowledge-sharing activities, there must be an AI-powered Knowledge Management (KM) system that seamlessly integrates with AI across business processes through ease-of-use apps that facilitate people collaboration as well as AI-driven analysis (Li &amp; Wang, 2025). They must be programmable to embrace upcoming AI advancements as well (Zhang &amp; Zhou, 2024).</w:t>
      </w:r>
    </w:p>
    <w:p w14:paraId="4FA2E301" w14:textId="77777777" w:rsidR="00CD5493" w:rsidRDefault="00CD5493" w:rsidP="00CD5493">
      <w:pPr>
        <w:spacing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Another critical approach is fostering explainability, transparency, and accountability in the use of AI. Since AI often is a “black box,” firms must bring out into open the manner in which data inputs feed into insights to earn employees’ trust (Chen et al., 2024; Liu &amp; Zhang, 2024). Open auditing practices guarantee ethical use and alignment with business objectives (Yang et al., 2024).</w:t>
      </w:r>
    </w:p>
    <w:p w14:paraId="36EB9074" w14:textId="77777777" w:rsidR="00CD5493" w:rsidRDefault="00CD5493" w:rsidP="00CD5493">
      <w:pPr>
        <w:spacing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Finally, hybrid knowledge environments where AI handles the routine work and humans handle complicated, contextual decisions can enable deeper knowledge sharing (Wang &amp; Zhao, 2025). This approach, combined with purposes like innovation and team cohesion, leverages both the strengths of human input as well as AI (Wu &amp; Li, 2025; Zhao &amp; Li, 2024).</w:t>
      </w:r>
    </w:p>
    <w:p w14:paraId="06118BFC" w14:textId="77777777" w:rsidR="00CD5493" w:rsidRDefault="00CD5493" w:rsidP="00CD5493">
      <w:pPr>
        <w:pStyle w:val="2"/>
        <w:spacing w:after="0" w:line="480" w:lineRule="auto"/>
        <w:rPr>
          <w:sz w:val="24"/>
          <w:szCs w:val="24"/>
          <w:lang w:val="en-GB"/>
        </w:rPr>
      </w:pPr>
      <w:bookmarkStart w:id="34" w:name="_Toc197353521"/>
      <w:bookmarkStart w:id="35" w:name="_Toc198672420"/>
      <w:r>
        <w:rPr>
          <w:sz w:val="24"/>
          <w:szCs w:val="24"/>
          <w:lang w:val="en-GB"/>
        </w:rPr>
        <w:t>3.7 Stakeholder Theory and AI Governance in Knowledge Management</w:t>
      </w:r>
      <w:bookmarkEnd w:id="34"/>
      <w:bookmarkEnd w:id="35"/>
    </w:p>
    <w:p w14:paraId="6A33EDDA" w14:textId="77777777" w:rsidR="00CD5493" w:rsidRDefault="00CD5493" w:rsidP="00CD5493">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AI governance of knowledge management needs more than one actor with varying responsibilities. Employees are at the centre of AI tool adoption, and usage impacts tool success (Chen et al., 2024). Firms must invest in innovation and collaboration-friendly AI infrastructure (Li &amp; Zhang, 2024). Software developers ought to create ethical, human-oriented AI applications that react to business needs (Wu &amp; Wang, 2025). The development process needs to be open and inclusive so that justice in the sharing of knowledge can be achieved (Yang &amp; Li, 2024). Governments and policymakers need to enact laws that ensure ethical use of AI to prevent bias and invasion of privacy (Zhang &amp; Zhou, 2024). They can also support AI development with policy and funds to promote secure practices (Liu et al., 2025). Effective </w:t>
      </w:r>
      <w:r>
        <w:rPr>
          <w:rFonts w:ascii="Times New Roman" w:eastAsia="Times New Roman" w:hAnsi="Times New Roman" w:cs="Times New Roman"/>
          <w:sz w:val="24"/>
          <w:szCs w:val="24"/>
          <w:lang w:val="en-GB"/>
        </w:rPr>
        <w:lastRenderedPageBreak/>
        <w:t>partnership among such stakeholders promotes AI regulation, ensuring that information exchange through AI benefits both individuals and organisations and addresses ethical and privacy concerns (Wang &amp; Zhao, 2025).</w:t>
      </w:r>
    </w:p>
    <w:p w14:paraId="6538C3F2" w14:textId="77777777" w:rsidR="00CD5493" w:rsidRDefault="00CD5493" w:rsidP="00CD5493">
      <w:pPr>
        <w:pStyle w:val="2"/>
        <w:spacing w:after="0" w:line="480" w:lineRule="auto"/>
        <w:rPr>
          <w:bCs/>
          <w:sz w:val="24"/>
          <w:szCs w:val="24"/>
          <w:lang w:val="en-GB"/>
        </w:rPr>
      </w:pPr>
      <w:bookmarkStart w:id="36" w:name="_Toc197353522"/>
      <w:bookmarkStart w:id="37" w:name="_Toc198672421"/>
      <w:r>
        <w:rPr>
          <w:sz w:val="24"/>
          <w:szCs w:val="24"/>
          <w:lang w:val="en-GB"/>
        </w:rPr>
        <w:t>3.8 Conclusion</w:t>
      </w:r>
      <w:bookmarkEnd w:id="36"/>
      <w:bookmarkEnd w:id="37"/>
    </w:p>
    <w:p w14:paraId="4DC20F81" w14:textId="77777777" w:rsidR="00CD5493" w:rsidRDefault="00CD5493" w:rsidP="00CD5493">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 conclusion, AI plays a double role in the management of knowledge by enabling and also disrupting the traditional knowledge-sharing habits. Even though AI offers tremendous opportunities for enhancing knowledge flow and operational efficiency, its successful implementation requires careful alignment with business objectives and careful consideration of ethical concerns. By prioritising transparency, accountability, and a hybrid approach that leverages human expertise, companies can leverage AI to create a more open and innovative knowledge-sharing culture. Ethical and strategic considerations are the keys to rendering AI a valuable tool for optimising knowledge management in the Chinese technology sector.</w:t>
      </w:r>
    </w:p>
    <w:p w14:paraId="28D9939E" w14:textId="77777777" w:rsidR="00CD5493" w:rsidRDefault="00CD5493" w:rsidP="00CD5493">
      <w:pPr>
        <w:pStyle w:val="2"/>
        <w:spacing w:after="0" w:line="480" w:lineRule="auto"/>
        <w:rPr>
          <w:bCs/>
          <w:sz w:val="24"/>
          <w:szCs w:val="24"/>
          <w:lang w:val="en-GB"/>
        </w:rPr>
      </w:pPr>
      <w:bookmarkStart w:id="38" w:name="_Toc198672422"/>
      <w:bookmarkStart w:id="39" w:name="_Toc197353523"/>
      <w:r>
        <w:rPr>
          <w:sz w:val="24"/>
          <w:szCs w:val="24"/>
          <w:lang w:val="en-GB"/>
        </w:rPr>
        <w:t>3.9 Findings, Research Gaps &amp; Future Research</w:t>
      </w:r>
      <w:bookmarkEnd w:id="38"/>
      <w:bookmarkEnd w:id="39"/>
    </w:p>
    <w:p w14:paraId="3E00E060" w14:textId="77777777" w:rsidR="00CD5493" w:rsidRDefault="00CD5493" w:rsidP="00CD5493">
      <w:pPr>
        <w:pStyle w:val="3"/>
        <w:spacing w:after="0" w:line="480" w:lineRule="auto"/>
        <w:rPr>
          <w:bCs/>
          <w:sz w:val="24"/>
          <w:szCs w:val="24"/>
          <w:lang w:val="en-GB"/>
        </w:rPr>
      </w:pPr>
      <w:bookmarkStart w:id="40" w:name="_Toc197353524"/>
      <w:bookmarkStart w:id="41" w:name="_Toc198672423"/>
      <w:r>
        <w:rPr>
          <w:sz w:val="24"/>
          <w:szCs w:val="24"/>
          <w:lang w:val="en-GB"/>
        </w:rPr>
        <w:t>3.9.1 Key Findings</w:t>
      </w:r>
      <w:bookmarkEnd w:id="40"/>
      <w:bookmarkEnd w:id="41"/>
    </w:p>
    <w:p w14:paraId="42ACA3C2" w14:textId="77777777" w:rsidR="00CD5493" w:rsidRDefault="00CD5493" w:rsidP="00CD5493">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The following are the conclusions drawn from significant sources in Part 2—Ref. Nos 2 (Li et al., 2022), 4 (Olan et al., 2024), 5 (Abulsaoud Younis &amp; Adel, 2020), 33 (Li et al., 2022), and 79 (He &amp; Burger-</w:t>
      </w:r>
      <w:proofErr w:type="spellStart"/>
      <w:r>
        <w:rPr>
          <w:rFonts w:ascii="Times New Roman" w:hAnsi="Times New Roman" w:cs="Times New Roman"/>
          <w:sz w:val="24"/>
          <w:szCs w:val="24"/>
          <w:lang w:val="en-GB"/>
        </w:rPr>
        <w:t>Helmchen</w:t>
      </w:r>
      <w:proofErr w:type="spellEnd"/>
      <w:r>
        <w:rPr>
          <w:rFonts w:ascii="Times New Roman" w:hAnsi="Times New Roman" w:cs="Times New Roman"/>
          <w:sz w:val="24"/>
          <w:szCs w:val="24"/>
          <w:lang w:val="en-GB"/>
        </w:rPr>
        <w:t xml:space="preserve">, 2024). These articles give significant information about the incorporation of AI into knowledge management systems in Chinese tech firms, advantages and current challenges. They address both RQ1 (What </w:t>
      </w:r>
      <w:r>
        <w:rPr>
          <w:rFonts w:ascii="Times New Roman" w:hAnsi="Times New Roman" w:cs="Times New Roman"/>
          <w:sz w:val="24"/>
          <w:szCs w:val="24"/>
          <w:lang w:val="en-GB"/>
        </w:rPr>
        <w:lastRenderedPageBreak/>
        <w:t>is the effect of AI on knowledge-sharing culture?) and RQ2 (What are the key challenges and success factors?) together.</w:t>
      </w:r>
    </w:p>
    <w:p w14:paraId="74131DFE" w14:textId="77777777" w:rsidR="00CD5493" w:rsidRDefault="00CD5493" w:rsidP="00CD5493">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AI technologies such as machine learning, natural language processing (NLP), and chatbots are the first among them to enhance the speed, accuracy, and accessibility of knowledge-sharing. As shown by Li et al. (2022, Ref. Nos 2 and 33), AI facilitates semantic search, automatic documentation, and personalised recommendations—tools that greatly automate information retrieval. In high-paced settings such as China’s technology industry, these advancements facilitate faster decision-making and wider knowledge sharing (Olan et al., 2024, Ref. No. 4), strengthening the power of AI to revolutionise conventional mechanisms of knowledge sharing.</w:t>
      </w:r>
    </w:p>
    <w:p w14:paraId="1C729548" w14:textId="77777777" w:rsidR="00CD5493" w:rsidRDefault="00CD5493" w:rsidP="00CD5493">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However, one of the main limitations identified is AI’s inability to capture tacit knowledge—context-rich, experiential insights embedded in human behaviour. He &amp; Burger-</w:t>
      </w:r>
      <w:proofErr w:type="spellStart"/>
      <w:r>
        <w:rPr>
          <w:rFonts w:ascii="Times New Roman" w:hAnsi="Times New Roman" w:cs="Times New Roman"/>
          <w:sz w:val="24"/>
          <w:szCs w:val="24"/>
          <w:lang w:val="en-GB"/>
        </w:rPr>
        <w:t>Helmchen</w:t>
      </w:r>
      <w:proofErr w:type="spellEnd"/>
      <w:r>
        <w:rPr>
          <w:rFonts w:ascii="Times New Roman" w:hAnsi="Times New Roman" w:cs="Times New Roman"/>
          <w:sz w:val="24"/>
          <w:szCs w:val="24"/>
          <w:lang w:val="en-GB"/>
        </w:rPr>
        <w:t xml:space="preserve"> (2024, Ref. No. 79) argue that while AI can process explicit data effectively, it struggles to replicate the nuanced, informal interactions through which much organisational knowledge is transferred. This restricts AI’s capacity to fully support knowledge-sharing cultures that rely on deeper, relational forms of learning.</w:t>
      </w:r>
    </w:p>
    <w:p w14:paraId="72D5B64E" w14:textId="77777777" w:rsidR="00CD5493" w:rsidRPr="004A782E" w:rsidRDefault="00CD5493" w:rsidP="00CD5493">
      <w:pPr>
        <w:pStyle w:val="3"/>
        <w:spacing w:line="480" w:lineRule="auto"/>
        <w:rPr>
          <w:b/>
          <w:bCs/>
          <w:sz w:val="24"/>
          <w:szCs w:val="24"/>
          <w:lang w:val="en-GB"/>
        </w:rPr>
      </w:pPr>
      <w:r w:rsidRPr="004A782E">
        <w:rPr>
          <w:sz w:val="24"/>
          <w:szCs w:val="24"/>
          <w:lang w:val="en-GB"/>
        </w:rPr>
        <w:lastRenderedPageBreak/>
        <w:t>Lastly, organisational readiness and employee confidence are critical success factors. As AI instruments are made available, workers are hesitant to utilise them due to fears of losing their employment, restricted digital abilities, and attitudes against AI-derived decisions. Abulsaoud Younis &amp; Adel (2020, Ref. No. 5) point out the need for transparency during the implementation of AI, ongoing training, and the establishment of trust. Such organisational characteristics are needed in order to enable the effective implementation of AI as well as an optimal knowledge-sharing atmosphere with cooperation.</w:t>
      </w:r>
    </w:p>
    <w:p w14:paraId="0BBFD5A9" w14:textId="77777777" w:rsidR="00CD5493" w:rsidRDefault="00CD5493" w:rsidP="00CD5493">
      <w:pPr>
        <w:spacing w:line="480" w:lineRule="auto"/>
        <w:rPr>
          <w:rFonts w:ascii="Times New Roman" w:hAnsi="Times New Roman" w:cs="Times New Roman"/>
          <w:b/>
          <w:bCs/>
          <w:sz w:val="24"/>
          <w:szCs w:val="24"/>
          <w:lang w:val="en-GB"/>
        </w:rPr>
      </w:pPr>
    </w:p>
    <w:p w14:paraId="597469AB" w14:textId="77777777" w:rsidR="00CD5493" w:rsidRDefault="00CD5493" w:rsidP="00CD5493">
      <w:pPr>
        <w:pStyle w:val="3"/>
        <w:spacing w:after="0" w:line="480" w:lineRule="auto"/>
        <w:rPr>
          <w:bCs/>
          <w:sz w:val="24"/>
          <w:szCs w:val="24"/>
          <w:lang w:val="en-GB"/>
        </w:rPr>
      </w:pPr>
      <w:bookmarkStart w:id="42" w:name="_Toc197353525"/>
      <w:bookmarkStart w:id="43" w:name="_Toc198672424"/>
      <w:r>
        <w:rPr>
          <w:sz w:val="24"/>
          <w:szCs w:val="24"/>
          <w:lang w:val="en-GB"/>
        </w:rPr>
        <w:t>3.9.2 Research Gaps</w:t>
      </w:r>
      <w:bookmarkEnd w:id="42"/>
      <w:bookmarkEnd w:id="43"/>
      <w:r>
        <w:rPr>
          <w:sz w:val="24"/>
          <w:szCs w:val="24"/>
          <w:lang w:val="en-GB"/>
        </w:rPr>
        <w:t xml:space="preserve"> </w:t>
      </w:r>
    </w:p>
    <w:p w14:paraId="6206A494" w14:textId="77777777" w:rsidR="00CD5493" w:rsidRDefault="00CD5493" w:rsidP="00CD5493">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There are several important research gaps that need to be filled. To begin with, there needs to be empirical studies examining the long-term cultural consequences of AI within Chinese tech companies. Most research has been conducted to examine the short-term effects, yet the long-term transformation that AI may have on knowledge-sharing cultures remains largely unexamined.</w:t>
      </w:r>
    </w:p>
    <w:p w14:paraId="33E4AB57" w14:textId="77777777" w:rsidR="00CD5493" w:rsidRDefault="00CD5493" w:rsidP="00CD5493">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Second, there is not much industry-specific data on how AI impacts knowledge retention and innovation. The relationship between knowledge retention, which is critical to organisational continuity, and innovation, which drives growth, needs more detailed research to ascertain how AI can best support both.</w:t>
      </w:r>
    </w:p>
    <w:p w14:paraId="668DFFD2" w14:textId="77777777" w:rsidR="00CD5493" w:rsidRDefault="00CD5493" w:rsidP="00CD5493">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Finally, there is a clear gap in ethical governance research, particularly stakeholder conflicts. How different stakeholders—employees, management, and policymakers—address ethical concerns in AI adoption is an area that has not been sufficiently researched.</w:t>
      </w:r>
    </w:p>
    <w:p w14:paraId="709C059C" w14:textId="77777777" w:rsidR="00CD5493" w:rsidRDefault="00CD5493" w:rsidP="00CD5493">
      <w:pPr>
        <w:pStyle w:val="3"/>
        <w:spacing w:after="0" w:line="480" w:lineRule="auto"/>
        <w:rPr>
          <w:bCs/>
          <w:sz w:val="24"/>
          <w:szCs w:val="24"/>
          <w:lang w:val="en-GB"/>
        </w:rPr>
      </w:pPr>
      <w:bookmarkStart w:id="44" w:name="_Toc198672425"/>
      <w:bookmarkStart w:id="45" w:name="_Toc197353526"/>
      <w:r>
        <w:rPr>
          <w:sz w:val="24"/>
          <w:szCs w:val="24"/>
          <w:lang w:val="en-GB"/>
        </w:rPr>
        <w:t>3.9.3 Future Research Directions</w:t>
      </w:r>
      <w:bookmarkEnd w:id="44"/>
      <w:bookmarkEnd w:id="45"/>
      <w:r>
        <w:rPr>
          <w:sz w:val="24"/>
          <w:szCs w:val="24"/>
          <w:lang w:val="en-GB"/>
        </w:rPr>
        <w:t xml:space="preserve"> </w:t>
      </w:r>
    </w:p>
    <w:p w14:paraId="2C902836" w14:textId="77777777" w:rsidR="00CD5493" w:rsidRDefault="00CD5493" w:rsidP="00CD5493">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Future research must answer a couple of key areas to build on current knowledge. Longitudinal studies spanning years, tracking the effect of AI, would yield useful information on the long-term effect of AI technologies on knowledge-sharing cultures. Comparative studies across different sub-sectors of the tech sector (e.g., hardware companies vs. software companies) would give a nuanced picture of how sector-specific problems and practices affect AI integration.</w:t>
      </w:r>
    </w:p>
    <w:p w14:paraId="316360E2" w14:textId="77777777" w:rsidR="00CD5493" w:rsidRDefault="00CD5493" w:rsidP="00CD5493">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Another promising area of research is continued research into AI explainability and its impact on employee trust. With AI becoming ever more complex, understanding how transparency and explainability impact user trust will be essential to the success and uptake of AI.</w:t>
      </w:r>
    </w:p>
    <w:p w14:paraId="4C887998" w14:textId="77777777" w:rsidR="00CD5493" w:rsidRDefault="00CD5493" w:rsidP="00CD5493">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Lastly, future studies might also explore the co-evolution of AI technologies and organisational learning cultures. With China’s accelerated digitalisation, it is likely that knowledge regarding the co-evolution of AI and organisational learning cultures would shed light on the broader impact of AI on knowledge management in China’s technology sector.</w:t>
      </w:r>
    </w:p>
    <w:p w14:paraId="0D4F33F5" w14:textId="77777777" w:rsidR="00E65111" w:rsidRPr="00CD5493" w:rsidRDefault="00E65111">
      <w:pPr>
        <w:rPr>
          <w:rFonts w:hint="eastAsia"/>
          <w:lang w:val="en-GB"/>
        </w:rPr>
      </w:pPr>
    </w:p>
    <w:sectPr w:rsidR="00E65111" w:rsidRPr="00CD549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E8B35D" w14:textId="77777777" w:rsidR="00F61167" w:rsidRDefault="00F61167" w:rsidP="00CD5493">
      <w:pPr>
        <w:spacing w:after="0" w:line="240" w:lineRule="auto"/>
        <w:rPr>
          <w:rFonts w:hint="eastAsia"/>
        </w:rPr>
      </w:pPr>
      <w:r>
        <w:separator/>
      </w:r>
    </w:p>
  </w:endnote>
  <w:endnote w:type="continuationSeparator" w:id="0">
    <w:p w14:paraId="79807397" w14:textId="77777777" w:rsidR="00F61167" w:rsidRDefault="00F61167" w:rsidP="00CD5493">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default"/>
    <w:sig w:usb0="E4002EFF" w:usb1="C000E47F" w:usb2="00000009" w:usb3="00000000" w:csb0="2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BF9032" w14:textId="77777777" w:rsidR="00F61167" w:rsidRDefault="00F61167" w:rsidP="00CD5493">
      <w:pPr>
        <w:spacing w:after="0" w:line="240" w:lineRule="auto"/>
        <w:rPr>
          <w:rFonts w:hint="eastAsia"/>
        </w:rPr>
      </w:pPr>
      <w:r>
        <w:separator/>
      </w:r>
    </w:p>
  </w:footnote>
  <w:footnote w:type="continuationSeparator" w:id="0">
    <w:p w14:paraId="5E6C66B0" w14:textId="77777777" w:rsidR="00F61167" w:rsidRDefault="00F61167" w:rsidP="00CD5493">
      <w:pPr>
        <w:spacing w:after="0" w:line="240" w:lineRule="auto"/>
        <w:rPr>
          <w:rFonts w:hint="eastAsia"/>
        </w:rPr>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B45"/>
    <w:rsid w:val="00745662"/>
    <w:rsid w:val="00884B45"/>
    <w:rsid w:val="009F4610"/>
    <w:rsid w:val="00CD5493"/>
    <w:rsid w:val="00E65111"/>
    <w:rsid w:val="00F611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AD9E9A"/>
  <w15:chartTrackingRefBased/>
  <w15:docId w15:val="{1758CE55-272E-41D9-BC84-6C636DEB4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D5493"/>
    <w:pPr>
      <w:spacing w:line="259" w:lineRule="auto"/>
    </w:pPr>
    <w:rPr>
      <w:kern w:val="0"/>
      <w:szCs w:val="22"/>
      <w:lang w:eastAsia="en-US"/>
      <w14:ligatures w14:val="none"/>
    </w:rPr>
  </w:style>
  <w:style w:type="paragraph" w:styleId="1">
    <w:name w:val="heading 1"/>
    <w:basedOn w:val="a"/>
    <w:next w:val="a"/>
    <w:link w:val="10"/>
    <w:uiPriority w:val="9"/>
    <w:qFormat/>
    <w:rsid w:val="00884B45"/>
    <w:pPr>
      <w:keepNext/>
      <w:keepLines/>
      <w:widowControl w:val="0"/>
      <w:spacing w:before="480" w:after="80" w:line="278" w:lineRule="auto"/>
      <w:outlineLvl w:val="0"/>
    </w:pPr>
    <w:rPr>
      <w:rFonts w:asciiTheme="majorHAnsi" w:eastAsiaTheme="majorEastAsia" w:hAnsiTheme="majorHAnsi" w:cstheme="majorBidi"/>
      <w:color w:val="0F4761" w:themeColor="accent1" w:themeShade="BF"/>
      <w:kern w:val="2"/>
      <w:sz w:val="48"/>
      <w:szCs w:val="48"/>
      <w:lang w:eastAsia="zh-CN"/>
      <w14:ligatures w14:val="standardContextual"/>
    </w:rPr>
  </w:style>
  <w:style w:type="paragraph" w:styleId="2">
    <w:name w:val="heading 2"/>
    <w:basedOn w:val="a"/>
    <w:next w:val="a"/>
    <w:link w:val="20"/>
    <w:uiPriority w:val="9"/>
    <w:unhideWhenUsed/>
    <w:qFormat/>
    <w:rsid w:val="00884B45"/>
    <w:pPr>
      <w:keepNext/>
      <w:keepLines/>
      <w:widowControl w:val="0"/>
      <w:spacing w:before="160" w:after="80" w:line="278" w:lineRule="auto"/>
      <w:outlineLvl w:val="1"/>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3">
    <w:name w:val="heading 3"/>
    <w:basedOn w:val="a"/>
    <w:next w:val="a"/>
    <w:link w:val="30"/>
    <w:uiPriority w:val="9"/>
    <w:unhideWhenUsed/>
    <w:qFormat/>
    <w:rsid w:val="00884B45"/>
    <w:pPr>
      <w:keepNext/>
      <w:keepLines/>
      <w:widowControl w:val="0"/>
      <w:spacing w:before="160" w:after="80" w:line="278" w:lineRule="auto"/>
      <w:outlineLvl w:val="2"/>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4">
    <w:name w:val="heading 4"/>
    <w:basedOn w:val="a"/>
    <w:next w:val="a"/>
    <w:link w:val="40"/>
    <w:uiPriority w:val="9"/>
    <w:unhideWhenUsed/>
    <w:qFormat/>
    <w:rsid w:val="00884B45"/>
    <w:pPr>
      <w:keepNext/>
      <w:keepLines/>
      <w:widowControl w:val="0"/>
      <w:spacing w:before="80" w:after="40" w:line="278" w:lineRule="auto"/>
      <w:outlineLvl w:val="3"/>
    </w:pPr>
    <w:rPr>
      <w:rFonts w:cstheme="majorBidi"/>
      <w:color w:val="0F4761" w:themeColor="accent1" w:themeShade="BF"/>
      <w:kern w:val="2"/>
      <w:sz w:val="28"/>
      <w:szCs w:val="28"/>
      <w:lang w:eastAsia="zh-CN"/>
      <w14:ligatures w14:val="standardContextual"/>
    </w:rPr>
  </w:style>
  <w:style w:type="paragraph" w:styleId="5">
    <w:name w:val="heading 5"/>
    <w:basedOn w:val="a"/>
    <w:next w:val="a"/>
    <w:link w:val="50"/>
    <w:uiPriority w:val="9"/>
    <w:semiHidden/>
    <w:unhideWhenUsed/>
    <w:qFormat/>
    <w:rsid w:val="00884B45"/>
    <w:pPr>
      <w:keepNext/>
      <w:keepLines/>
      <w:widowControl w:val="0"/>
      <w:spacing w:before="80" w:after="40" w:line="278" w:lineRule="auto"/>
      <w:outlineLvl w:val="4"/>
    </w:pPr>
    <w:rPr>
      <w:rFonts w:cstheme="majorBidi"/>
      <w:color w:val="0F4761" w:themeColor="accent1" w:themeShade="BF"/>
      <w:kern w:val="2"/>
      <w:sz w:val="24"/>
      <w:szCs w:val="24"/>
      <w:lang w:eastAsia="zh-CN"/>
      <w14:ligatures w14:val="standardContextual"/>
    </w:rPr>
  </w:style>
  <w:style w:type="paragraph" w:styleId="6">
    <w:name w:val="heading 6"/>
    <w:basedOn w:val="a"/>
    <w:next w:val="a"/>
    <w:link w:val="60"/>
    <w:uiPriority w:val="9"/>
    <w:semiHidden/>
    <w:unhideWhenUsed/>
    <w:qFormat/>
    <w:rsid w:val="00884B45"/>
    <w:pPr>
      <w:keepNext/>
      <w:keepLines/>
      <w:widowControl w:val="0"/>
      <w:spacing w:before="40" w:after="0" w:line="278" w:lineRule="auto"/>
      <w:outlineLvl w:val="5"/>
    </w:pPr>
    <w:rPr>
      <w:rFonts w:cstheme="majorBidi"/>
      <w:b/>
      <w:bCs/>
      <w:color w:val="0F4761" w:themeColor="accent1" w:themeShade="BF"/>
      <w:kern w:val="2"/>
      <w:szCs w:val="24"/>
      <w:lang w:eastAsia="zh-CN"/>
      <w14:ligatures w14:val="standardContextual"/>
    </w:rPr>
  </w:style>
  <w:style w:type="paragraph" w:styleId="7">
    <w:name w:val="heading 7"/>
    <w:basedOn w:val="a"/>
    <w:next w:val="a"/>
    <w:link w:val="70"/>
    <w:uiPriority w:val="9"/>
    <w:semiHidden/>
    <w:unhideWhenUsed/>
    <w:qFormat/>
    <w:rsid w:val="00884B45"/>
    <w:pPr>
      <w:keepNext/>
      <w:keepLines/>
      <w:widowControl w:val="0"/>
      <w:spacing w:before="40" w:after="0" w:line="278" w:lineRule="auto"/>
      <w:outlineLvl w:val="6"/>
    </w:pPr>
    <w:rPr>
      <w:rFonts w:cstheme="majorBidi"/>
      <w:b/>
      <w:bCs/>
      <w:color w:val="595959" w:themeColor="text1" w:themeTint="A6"/>
      <w:kern w:val="2"/>
      <w:szCs w:val="24"/>
      <w:lang w:eastAsia="zh-CN"/>
      <w14:ligatures w14:val="standardContextual"/>
    </w:rPr>
  </w:style>
  <w:style w:type="paragraph" w:styleId="8">
    <w:name w:val="heading 8"/>
    <w:basedOn w:val="a"/>
    <w:next w:val="a"/>
    <w:link w:val="80"/>
    <w:uiPriority w:val="9"/>
    <w:semiHidden/>
    <w:unhideWhenUsed/>
    <w:qFormat/>
    <w:rsid w:val="00884B45"/>
    <w:pPr>
      <w:keepNext/>
      <w:keepLines/>
      <w:widowControl w:val="0"/>
      <w:spacing w:after="0" w:line="278" w:lineRule="auto"/>
      <w:outlineLvl w:val="7"/>
    </w:pPr>
    <w:rPr>
      <w:rFonts w:cstheme="majorBidi"/>
      <w:color w:val="595959" w:themeColor="text1" w:themeTint="A6"/>
      <w:kern w:val="2"/>
      <w:szCs w:val="24"/>
      <w:lang w:eastAsia="zh-CN"/>
      <w14:ligatures w14:val="standardContextual"/>
    </w:rPr>
  </w:style>
  <w:style w:type="paragraph" w:styleId="9">
    <w:name w:val="heading 9"/>
    <w:basedOn w:val="a"/>
    <w:next w:val="a"/>
    <w:link w:val="90"/>
    <w:uiPriority w:val="9"/>
    <w:semiHidden/>
    <w:unhideWhenUsed/>
    <w:qFormat/>
    <w:rsid w:val="00884B45"/>
    <w:pPr>
      <w:keepNext/>
      <w:keepLines/>
      <w:widowControl w:val="0"/>
      <w:spacing w:after="0" w:line="278" w:lineRule="auto"/>
      <w:outlineLvl w:val="8"/>
    </w:pPr>
    <w:rPr>
      <w:rFonts w:eastAsiaTheme="majorEastAsia" w:cstheme="majorBidi"/>
      <w:color w:val="595959" w:themeColor="text1" w:themeTint="A6"/>
      <w:kern w:val="2"/>
      <w:szCs w:val="24"/>
      <w:lang w:eastAsia="zh-CN"/>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84B45"/>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qFormat/>
    <w:rsid w:val="00884B45"/>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rsid w:val="00884B45"/>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rsid w:val="00884B45"/>
    <w:rPr>
      <w:rFonts w:cstheme="majorBidi"/>
      <w:color w:val="0F4761" w:themeColor="accent1" w:themeShade="BF"/>
      <w:sz w:val="28"/>
      <w:szCs w:val="28"/>
    </w:rPr>
  </w:style>
  <w:style w:type="character" w:customStyle="1" w:styleId="50">
    <w:name w:val="标题 5 字符"/>
    <w:basedOn w:val="a0"/>
    <w:link w:val="5"/>
    <w:uiPriority w:val="9"/>
    <w:semiHidden/>
    <w:rsid w:val="00884B45"/>
    <w:rPr>
      <w:rFonts w:cstheme="majorBidi"/>
      <w:color w:val="0F4761" w:themeColor="accent1" w:themeShade="BF"/>
      <w:sz w:val="24"/>
    </w:rPr>
  </w:style>
  <w:style w:type="character" w:customStyle="1" w:styleId="60">
    <w:name w:val="标题 6 字符"/>
    <w:basedOn w:val="a0"/>
    <w:link w:val="6"/>
    <w:uiPriority w:val="9"/>
    <w:semiHidden/>
    <w:rsid w:val="00884B45"/>
    <w:rPr>
      <w:rFonts w:cstheme="majorBidi"/>
      <w:b/>
      <w:bCs/>
      <w:color w:val="0F4761" w:themeColor="accent1" w:themeShade="BF"/>
    </w:rPr>
  </w:style>
  <w:style w:type="character" w:customStyle="1" w:styleId="70">
    <w:name w:val="标题 7 字符"/>
    <w:basedOn w:val="a0"/>
    <w:link w:val="7"/>
    <w:uiPriority w:val="9"/>
    <w:semiHidden/>
    <w:rsid w:val="00884B45"/>
    <w:rPr>
      <w:rFonts w:cstheme="majorBidi"/>
      <w:b/>
      <w:bCs/>
      <w:color w:val="595959" w:themeColor="text1" w:themeTint="A6"/>
    </w:rPr>
  </w:style>
  <w:style w:type="character" w:customStyle="1" w:styleId="80">
    <w:name w:val="标题 8 字符"/>
    <w:basedOn w:val="a0"/>
    <w:link w:val="8"/>
    <w:uiPriority w:val="9"/>
    <w:semiHidden/>
    <w:rsid w:val="00884B45"/>
    <w:rPr>
      <w:rFonts w:cstheme="majorBidi"/>
      <w:color w:val="595959" w:themeColor="text1" w:themeTint="A6"/>
    </w:rPr>
  </w:style>
  <w:style w:type="character" w:customStyle="1" w:styleId="90">
    <w:name w:val="标题 9 字符"/>
    <w:basedOn w:val="a0"/>
    <w:link w:val="9"/>
    <w:uiPriority w:val="9"/>
    <w:semiHidden/>
    <w:rsid w:val="00884B45"/>
    <w:rPr>
      <w:rFonts w:eastAsiaTheme="majorEastAsia" w:cstheme="majorBidi"/>
      <w:color w:val="595959" w:themeColor="text1" w:themeTint="A6"/>
    </w:rPr>
  </w:style>
  <w:style w:type="paragraph" w:styleId="a3">
    <w:name w:val="Title"/>
    <w:basedOn w:val="a"/>
    <w:next w:val="a"/>
    <w:link w:val="a4"/>
    <w:uiPriority w:val="10"/>
    <w:qFormat/>
    <w:rsid w:val="00884B45"/>
    <w:pPr>
      <w:widowControl w:val="0"/>
      <w:spacing w:after="80" w:line="240" w:lineRule="auto"/>
      <w:contextualSpacing/>
      <w:jc w:val="center"/>
    </w:pPr>
    <w:rPr>
      <w:rFonts w:asciiTheme="majorHAnsi" w:eastAsiaTheme="majorEastAsia" w:hAnsiTheme="majorHAnsi" w:cstheme="majorBidi"/>
      <w:spacing w:val="-10"/>
      <w:kern w:val="28"/>
      <w:sz w:val="56"/>
      <w:szCs w:val="56"/>
      <w:lang w:eastAsia="zh-CN"/>
      <w14:ligatures w14:val="standardContextual"/>
    </w:rPr>
  </w:style>
  <w:style w:type="character" w:customStyle="1" w:styleId="a4">
    <w:name w:val="标题 字符"/>
    <w:basedOn w:val="a0"/>
    <w:link w:val="a3"/>
    <w:uiPriority w:val="10"/>
    <w:rsid w:val="00884B45"/>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84B45"/>
    <w:pPr>
      <w:widowControl w:val="0"/>
      <w:numPr>
        <w:ilvl w:val="1"/>
      </w:numPr>
      <w:spacing w:line="278" w:lineRule="auto"/>
      <w:jc w:val="center"/>
    </w:pPr>
    <w:rPr>
      <w:rFonts w:asciiTheme="majorHAnsi" w:eastAsiaTheme="majorEastAsia" w:hAnsiTheme="majorHAnsi" w:cstheme="majorBidi"/>
      <w:color w:val="595959" w:themeColor="text1" w:themeTint="A6"/>
      <w:spacing w:val="15"/>
      <w:kern w:val="2"/>
      <w:sz w:val="28"/>
      <w:szCs w:val="28"/>
      <w:lang w:eastAsia="zh-CN"/>
      <w14:ligatures w14:val="standardContextual"/>
    </w:rPr>
  </w:style>
  <w:style w:type="character" w:customStyle="1" w:styleId="a6">
    <w:name w:val="副标题 字符"/>
    <w:basedOn w:val="a0"/>
    <w:link w:val="a5"/>
    <w:uiPriority w:val="11"/>
    <w:rsid w:val="00884B45"/>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884B45"/>
    <w:pPr>
      <w:widowControl w:val="0"/>
      <w:spacing w:before="160" w:line="278" w:lineRule="auto"/>
      <w:jc w:val="center"/>
    </w:pPr>
    <w:rPr>
      <w:i/>
      <w:iCs/>
      <w:color w:val="404040" w:themeColor="text1" w:themeTint="BF"/>
      <w:kern w:val="2"/>
      <w:szCs w:val="24"/>
      <w:lang w:eastAsia="zh-CN"/>
      <w14:ligatures w14:val="standardContextual"/>
    </w:rPr>
  </w:style>
  <w:style w:type="character" w:customStyle="1" w:styleId="a8">
    <w:name w:val="引用 字符"/>
    <w:basedOn w:val="a0"/>
    <w:link w:val="a7"/>
    <w:uiPriority w:val="29"/>
    <w:rsid w:val="00884B45"/>
    <w:rPr>
      <w:i/>
      <w:iCs/>
      <w:color w:val="404040" w:themeColor="text1" w:themeTint="BF"/>
    </w:rPr>
  </w:style>
  <w:style w:type="paragraph" w:styleId="a9">
    <w:name w:val="List Paragraph"/>
    <w:basedOn w:val="a"/>
    <w:uiPriority w:val="34"/>
    <w:qFormat/>
    <w:rsid w:val="00884B45"/>
    <w:pPr>
      <w:widowControl w:val="0"/>
      <w:spacing w:line="278" w:lineRule="auto"/>
      <w:ind w:left="720"/>
      <w:contextualSpacing/>
    </w:pPr>
    <w:rPr>
      <w:kern w:val="2"/>
      <w:szCs w:val="24"/>
      <w:lang w:eastAsia="zh-CN"/>
      <w14:ligatures w14:val="standardContextual"/>
    </w:rPr>
  </w:style>
  <w:style w:type="character" w:styleId="aa">
    <w:name w:val="Intense Emphasis"/>
    <w:basedOn w:val="a0"/>
    <w:uiPriority w:val="21"/>
    <w:qFormat/>
    <w:rsid w:val="00884B45"/>
    <w:rPr>
      <w:i/>
      <w:iCs/>
      <w:color w:val="0F4761" w:themeColor="accent1" w:themeShade="BF"/>
    </w:rPr>
  </w:style>
  <w:style w:type="paragraph" w:styleId="ab">
    <w:name w:val="Intense Quote"/>
    <w:basedOn w:val="a"/>
    <w:next w:val="a"/>
    <w:link w:val="ac"/>
    <w:uiPriority w:val="30"/>
    <w:qFormat/>
    <w:rsid w:val="00884B45"/>
    <w:pPr>
      <w:widowControl w:val="0"/>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Cs w:val="24"/>
      <w:lang w:eastAsia="zh-CN"/>
      <w14:ligatures w14:val="standardContextual"/>
    </w:rPr>
  </w:style>
  <w:style w:type="character" w:customStyle="1" w:styleId="ac">
    <w:name w:val="明显引用 字符"/>
    <w:basedOn w:val="a0"/>
    <w:link w:val="ab"/>
    <w:uiPriority w:val="30"/>
    <w:rsid w:val="00884B45"/>
    <w:rPr>
      <w:i/>
      <w:iCs/>
      <w:color w:val="0F4761" w:themeColor="accent1" w:themeShade="BF"/>
    </w:rPr>
  </w:style>
  <w:style w:type="character" w:styleId="ad">
    <w:name w:val="Intense Reference"/>
    <w:basedOn w:val="a0"/>
    <w:uiPriority w:val="32"/>
    <w:qFormat/>
    <w:rsid w:val="00884B45"/>
    <w:rPr>
      <w:b/>
      <w:bCs/>
      <w:smallCaps/>
      <w:color w:val="0F4761" w:themeColor="accent1" w:themeShade="BF"/>
      <w:spacing w:val="5"/>
    </w:rPr>
  </w:style>
  <w:style w:type="paragraph" w:styleId="ae">
    <w:name w:val="header"/>
    <w:basedOn w:val="a"/>
    <w:link w:val="af"/>
    <w:uiPriority w:val="99"/>
    <w:unhideWhenUsed/>
    <w:rsid w:val="00CD5493"/>
    <w:pPr>
      <w:widowControl w:val="0"/>
      <w:tabs>
        <w:tab w:val="center" w:pos="4153"/>
        <w:tab w:val="right" w:pos="8306"/>
      </w:tabs>
      <w:snapToGrid w:val="0"/>
      <w:spacing w:line="240" w:lineRule="auto"/>
      <w:jc w:val="center"/>
    </w:pPr>
    <w:rPr>
      <w:kern w:val="2"/>
      <w:sz w:val="18"/>
      <w:szCs w:val="18"/>
      <w:lang w:eastAsia="zh-CN"/>
      <w14:ligatures w14:val="standardContextual"/>
    </w:rPr>
  </w:style>
  <w:style w:type="character" w:customStyle="1" w:styleId="af">
    <w:name w:val="页眉 字符"/>
    <w:basedOn w:val="a0"/>
    <w:link w:val="ae"/>
    <w:uiPriority w:val="99"/>
    <w:rsid w:val="00CD5493"/>
    <w:rPr>
      <w:sz w:val="18"/>
      <w:szCs w:val="18"/>
    </w:rPr>
  </w:style>
  <w:style w:type="paragraph" w:styleId="af0">
    <w:name w:val="footer"/>
    <w:basedOn w:val="a"/>
    <w:link w:val="af1"/>
    <w:uiPriority w:val="99"/>
    <w:unhideWhenUsed/>
    <w:rsid w:val="00CD5493"/>
    <w:pPr>
      <w:widowControl w:val="0"/>
      <w:tabs>
        <w:tab w:val="center" w:pos="4153"/>
        <w:tab w:val="right" w:pos="8306"/>
      </w:tabs>
      <w:snapToGrid w:val="0"/>
      <w:spacing w:line="240" w:lineRule="auto"/>
    </w:pPr>
    <w:rPr>
      <w:kern w:val="2"/>
      <w:sz w:val="18"/>
      <w:szCs w:val="18"/>
      <w:lang w:eastAsia="zh-CN"/>
      <w14:ligatures w14:val="standardContextual"/>
    </w:rPr>
  </w:style>
  <w:style w:type="character" w:customStyle="1" w:styleId="af1">
    <w:name w:val="页脚 字符"/>
    <w:basedOn w:val="a0"/>
    <w:link w:val="af0"/>
    <w:uiPriority w:val="99"/>
    <w:qFormat/>
    <w:rsid w:val="00CD5493"/>
    <w:rPr>
      <w:sz w:val="18"/>
      <w:szCs w:val="18"/>
    </w:rPr>
  </w:style>
  <w:style w:type="paragraph" w:styleId="af2">
    <w:name w:val="Normal (Web)"/>
    <w:basedOn w:val="a"/>
    <w:uiPriority w:val="99"/>
    <w:semiHidden/>
    <w:unhideWhenUsed/>
    <w:rsid w:val="00CD5493"/>
    <w:pPr>
      <w:spacing w:before="100" w:beforeAutospacing="1" w:after="100" w:afterAutospacing="1" w:line="240" w:lineRule="auto"/>
    </w:pPr>
    <w:rPr>
      <w:rFonts w:ascii="Times New Roman" w:eastAsia="Times New Roman" w:hAnsi="Times New Roman" w:cs="Times New Roman"/>
      <w:sz w:val="24"/>
      <w:szCs w:val="24"/>
    </w:rPr>
  </w:style>
  <w:style w:type="character" w:styleId="af3">
    <w:name w:val="Strong"/>
    <w:basedOn w:val="a0"/>
    <w:uiPriority w:val="22"/>
    <w:qFormat/>
    <w:rsid w:val="00CD5493"/>
    <w:rPr>
      <w:b/>
      <w:bCs/>
    </w:rPr>
  </w:style>
  <w:style w:type="paragraph" w:styleId="af4">
    <w:name w:val="annotation text"/>
    <w:basedOn w:val="a"/>
    <w:link w:val="af5"/>
    <w:uiPriority w:val="99"/>
    <w:unhideWhenUsed/>
    <w:rsid w:val="00CD5493"/>
    <w:pPr>
      <w:spacing w:line="240" w:lineRule="auto"/>
    </w:pPr>
    <w:rPr>
      <w:sz w:val="20"/>
      <w:szCs w:val="20"/>
    </w:rPr>
  </w:style>
  <w:style w:type="character" w:customStyle="1" w:styleId="af5">
    <w:name w:val="批注文字 字符"/>
    <w:basedOn w:val="a0"/>
    <w:link w:val="af4"/>
    <w:uiPriority w:val="99"/>
    <w:qFormat/>
    <w:rsid w:val="00CD5493"/>
    <w:rPr>
      <w:kern w:val="0"/>
      <w:sz w:val="20"/>
      <w:szCs w:val="20"/>
      <w:lang w:eastAsia="en-US"/>
      <w14:ligatures w14:val="none"/>
    </w:rPr>
  </w:style>
  <w:style w:type="paragraph" w:styleId="TOC3">
    <w:name w:val="toc 3"/>
    <w:basedOn w:val="a"/>
    <w:next w:val="a"/>
    <w:autoRedefine/>
    <w:uiPriority w:val="39"/>
    <w:unhideWhenUsed/>
    <w:rsid w:val="00CD5493"/>
    <w:pPr>
      <w:spacing w:after="100"/>
      <w:ind w:left="440"/>
    </w:pPr>
  </w:style>
  <w:style w:type="paragraph" w:styleId="af6">
    <w:name w:val="Balloon Text"/>
    <w:basedOn w:val="a"/>
    <w:link w:val="af7"/>
    <w:uiPriority w:val="99"/>
    <w:semiHidden/>
    <w:unhideWhenUsed/>
    <w:rsid w:val="00CD5493"/>
    <w:pPr>
      <w:spacing w:after="0" w:line="240" w:lineRule="auto"/>
    </w:pPr>
    <w:rPr>
      <w:rFonts w:ascii="Segoe UI" w:hAnsi="Segoe UI" w:cs="Segoe UI"/>
      <w:sz w:val="18"/>
      <w:szCs w:val="18"/>
    </w:rPr>
  </w:style>
  <w:style w:type="character" w:customStyle="1" w:styleId="af7">
    <w:name w:val="批注框文本 字符"/>
    <w:basedOn w:val="a0"/>
    <w:link w:val="af6"/>
    <w:uiPriority w:val="99"/>
    <w:semiHidden/>
    <w:qFormat/>
    <w:rsid w:val="00CD5493"/>
    <w:rPr>
      <w:rFonts w:ascii="Segoe UI" w:hAnsi="Segoe UI" w:cs="Segoe UI"/>
      <w:kern w:val="0"/>
      <w:sz w:val="18"/>
      <w:szCs w:val="18"/>
      <w:lang w:eastAsia="en-US"/>
      <w14:ligatures w14:val="none"/>
    </w:rPr>
  </w:style>
  <w:style w:type="paragraph" w:styleId="TOC1">
    <w:name w:val="toc 1"/>
    <w:basedOn w:val="a"/>
    <w:next w:val="a"/>
    <w:autoRedefine/>
    <w:uiPriority w:val="39"/>
    <w:unhideWhenUsed/>
    <w:rsid w:val="00CD5493"/>
    <w:pPr>
      <w:spacing w:after="100"/>
    </w:pPr>
  </w:style>
  <w:style w:type="paragraph" w:styleId="TOC2">
    <w:name w:val="toc 2"/>
    <w:basedOn w:val="a"/>
    <w:next w:val="a"/>
    <w:link w:val="TOC20"/>
    <w:autoRedefine/>
    <w:uiPriority w:val="39"/>
    <w:unhideWhenUsed/>
    <w:rsid w:val="00CD5493"/>
    <w:pPr>
      <w:tabs>
        <w:tab w:val="right" w:leader="dot" w:pos="9350"/>
      </w:tabs>
      <w:spacing w:after="100" w:line="240" w:lineRule="auto"/>
      <w:ind w:left="220"/>
    </w:pPr>
  </w:style>
  <w:style w:type="paragraph" w:styleId="af8">
    <w:name w:val="annotation subject"/>
    <w:basedOn w:val="af4"/>
    <w:next w:val="af4"/>
    <w:link w:val="af9"/>
    <w:uiPriority w:val="99"/>
    <w:semiHidden/>
    <w:unhideWhenUsed/>
    <w:rsid w:val="00CD5493"/>
    <w:rPr>
      <w:b/>
      <w:bCs/>
    </w:rPr>
  </w:style>
  <w:style w:type="character" w:customStyle="1" w:styleId="af9">
    <w:name w:val="批注主题 字符"/>
    <w:basedOn w:val="af5"/>
    <w:link w:val="af8"/>
    <w:uiPriority w:val="99"/>
    <w:semiHidden/>
    <w:qFormat/>
    <w:rsid w:val="00CD5493"/>
    <w:rPr>
      <w:b/>
      <w:bCs/>
      <w:kern w:val="0"/>
      <w:sz w:val="20"/>
      <w:szCs w:val="20"/>
      <w:lang w:eastAsia="en-US"/>
      <w14:ligatures w14:val="none"/>
    </w:rPr>
  </w:style>
  <w:style w:type="table" w:styleId="afa">
    <w:name w:val="Table Grid"/>
    <w:basedOn w:val="a1"/>
    <w:uiPriority w:val="39"/>
    <w:rsid w:val="00CD5493"/>
    <w:pPr>
      <w:spacing w:after="0" w:line="240" w:lineRule="auto"/>
    </w:pPr>
    <w:rPr>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b">
    <w:name w:val="Emphasis"/>
    <w:basedOn w:val="a0"/>
    <w:uiPriority w:val="20"/>
    <w:qFormat/>
    <w:rsid w:val="00CD5493"/>
    <w:rPr>
      <w:i/>
      <w:iCs/>
    </w:rPr>
  </w:style>
  <w:style w:type="character" w:styleId="afc">
    <w:name w:val="line number"/>
    <w:basedOn w:val="a0"/>
    <w:uiPriority w:val="99"/>
    <w:semiHidden/>
    <w:unhideWhenUsed/>
    <w:rsid w:val="00CD5493"/>
  </w:style>
  <w:style w:type="character" w:styleId="afd">
    <w:name w:val="Hyperlink"/>
    <w:basedOn w:val="a0"/>
    <w:uiPriority w:val="99"/>
    <w:unhideWhenUsed/>
    <w:qFormat/>
    <w:rsid w:val="00CD5493"/>
    <w:rPr>
      <w:color w:val="467886" w:themeColor="hyperlink"/>
      <w:u w:val="single"/>
    </w:rPr>
  </w:style>
  <w:style w:type="character" w:styleId="afe">
    <w:name w:val="annotation reference"/>
    <w:basedOn w:val="a0"/>
    <w:uiPriority w:val="99"/>
    <w:semiHidden/>
    <w:unhideWhenUsed/>
    <w:rsid w:val="00CD5493"/>
    <w:rPr>
      <w:sz w:val="16"/>
      <w:szCs w:val="16"/>
    </w:rPr>
  </w:style>
  <w:style w:type="table" w:customStyle="1" w:styleId="11">
    <w:name w:val="无格式表格 11"/>
    <w:basedOn w:val="a1"/>
    <w:uiPriority w:val="41"/>
    <w:rsid w:val="00CD5493"/>
    <w:pPr>
      <w:spacing w:after="0" w:line="240" w:lineRule="auto"/>
    </w:pPr>
    <w:rPr>
      <w:kern w:val="0"/>
      <w:sz w:val="20"/>
      <w:szCs w:val="20"/>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TOC10">
    <w:name w:val="TOC 标题1"/>
    <w:basedOn w:val="1"/>
    <w:next w:val="a"/>
    <w:uiPriority w:val="39"/>
    <w:unhideWhenUsed/>
    <w:qFormat/>
    <w:rsid w:val="00CD5493"/>
    <w:pPr>
      <w:widowControl/>
      <w:spacing w:before="240" w:after="0" w:line="259" w:lineRule="auto"/>
      <w:outlineLvl w:val="9"/>
    </w:pPr>
    <w:rPr>
      <w:kern w:val="0"/>
      <w:sz w:val="32"/>
      <w:szCs w:val="32"/>
      <w:lang w:eastAsia="en-US"/>
      <w14:ligatures w14:val="none"/>
    </w:rPr>
  </w:style>
  <w:style w:type="paragraph" w:customStyle="1" w:styleId="12">
    <w:name w:val="样式1"/>
    <w:basedOn w:val="TOC2"/>
    <w:link w:val="13"/>
    <w:qFormat/>
    <w:rsid w:val="00CD5493"/>
    <w:rPr>
      <w:bCs/>
      <w:lang w:val="en-GB"/>
    </w:rPr>
  </w:style>
  <w:style w:type="character" w:customStyle="1" w:styleId="TOC20">
    <w:name w:val="TOC 2 字符"/>
    <w:basedOn w:val="a0"/>
    <w:link w:val="TOC2"/>
    <w:uiPriority w:val="39"/>
    <w:qFormat/>
    <w:rsid w:val="00CD5493"/>
    <w:rPr>
      <w:kern w:val="0"/>
      <w:szCs w:val="22"/>
      <w:lang w:eastAsia="en-US"/>
      <w14:ligatures w14:val="none"/>
    </w:rPr>
  </w:style>
  <w:style w:type="character" w:customStyle="1" w:styleId="13">
    <w:name w:val="样式1 字符"/>
    <w:basedOn w:val="TOC20"/>
    <w:link w:val="12"/>
    <w:qFormat/>
    <w:rsid w:val="00CD5493"/>
    <w:rPr>
      <w:bCs/>
      <w:kern w:val="0"/>
      <w:szCs w:val="22"/>
      <w:lang w:val="en-GB" w:eastAsia="en-US"/>
      <w14:ligatures w14:val="none"/>
    </w:rPr>
  </w:style>
  <w:style w:type="paragraph" w:customStyle="1" w:styleId="14">
    <w:name w:val="修订1"/>
    <w:hidden/>
    <w:uiPriority w:val="99"/>
    <w:semiHidden/>
    <w:qFormat/>
    <w:rsid w:val="00CD5493"/>
    <w:pPr>
      <w:spacing w:after="0" w:line="240" w:lineRule="auto"/>
    </w:pPr>
    <w:rPr>
      <w:kern w:val="0"/>
      <w:szCs w:val="22"/>
      <w:lang w:eastAsia="en-US"/>
      <w14:ligatures w14:val="none"/>
    </w:rPr>
  </w:style>
  <w:style w:type="paragraph" w:styleId="aff">
    <w:name w:val="Revision"/>
    <w:hidden/>
    <w:uiPriority w:val="99"/>
    <w:unhideWhenUsed/>
    <w:rsid w:val="00CD5493"/>
    <w:pPr>
      <w:spacing w:after="0" w:line="240" w:lineRule="auto"/>
    </w:pPr>
    <w:rPr>
      <w:kern w:val="0"/>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3" Type="http://schemas.openxmlformats.org/officeDocument/2006/relationships/webSettings" Target="webSettings.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endnotes" Target="endnotes.xml"/><Relationship Id="rId15" Type="http://schemas.microsoft.com/office/2007/relationships/diagramDrawing" Target="diagrams/drawing2.xml"/><Relationship Id="rId10" Type="http://schemas.microsoft.com/office/2007/relationships/diagramDrawing" Target="diagrams/drawing1.xml"/><Relationship Id="rId4" Type="http://schemas.openxmlformats.org/officeDocument/2006/relationships/footnotes" Target="footnotes.xml"/><Relationship Id="rId9" Type="http://schemas.openxmlformats.org/officeDocument/2006/relationships/diagramColors" Target="diagrams/colors1.xml"/><Relationship Id="rId14"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accent0_3#1">
  <dgm:title val=""/>
  <dgm:desc val=""/>
  <dgm:catLst>
    <dgm:cat type="mainScheme" pri="10300"/>
  </dgm:catLst>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alignNode1">
    <dgm:fillClrLst meth="repeat">
      <a:schemeClr val="dk2"/>
    </dgm:fillClrLst>
    <dgm:linClrLst meth="repeat">
      <a:schemeClr val="dk2"/>
    </dgm:linClrLst>
    <dgm:effectClrLst/>
    <dgm:txLinClrLst/>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node0">
    <dgm:fillClrLst meth="repeat">
      <a:schemeClr val="dk2"/>
    </dgm:fillClrLst>
    <dgm:linClrLst meth="repeat">
      <a:schemeClr val="lt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2">
  <dgm:title val=""/>
  <dgm:desc val=""/>
  <dgm:catLst>
    <dgm:cat type="mainScheme" pri="10300"/>
  </dgm:catLst>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alignNode1">
    <dgm:fillClrLst meth="repeat">
      <a:schemeClr val="dk2"/>
    </dgm:fillClrLst>
    <dgm:linClrLst meth="repeat">
      <a:schemeClr val="dk2"/>
    </dgm:linClrLst>
    <dgm:effectClrLst/>
    <dgm:txLinClrLst/>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node0">
    <dgm:fillClrLst meth="repeat">
      <a:schemeClr val="dk2"/>
    </dgm:fillClrLst>
    <dgm:linClrLst meth="repeat">
      <a:schemeClr val="lt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B2D08397-D305-43A1-AE84-C1C69AD26B2C}" type="doc">
      <dgm:prSet loTypeId="urn:microsoft.com/office/officeart/2005/8/layout/vList5" loCatId="list" qsTypeId="urn:microsoft.com/office/officeart/2005/8/quickstyle/simple3#1" qsCatId="simple" csTypeId="urn:microsoft.com/office/officeart/2005/8/colors/accent0_3#1" csCatId="mainScheme" phldr="1"/>
      <dgm:spPr/>
      <dgm:t>
        <a:bodyPr/>
        <a:lstStyle/>
        <a:p>
          <a:endParaRPr lang="en-US"/>
        </a:p>
      </dgm:t>
    </dgm:pt>
    <dgm:pt modelId="{82566352-4765-4A34-B645-A21BD626EEB2}">
      <dgm:prSet phldrT="[Text]"/>
      <dgm:spPr/>
      <dgm:t>
        <a:bodyPr/>
        <a:lstStyle/>
        <a:p>
          <a:r>
            <a:rPr lang="en-US"/>
            <a:t>1</a:t>
          </a:r>
        </a:p>
      </dgm:t>
    </dgm:pt>
    <dgm:pt modelId="{9B4225D2-BE04-49CC-96C7-E2AA105840F5}" type="parTrans" cxnId="{1362C014-ED51-4AEE-AB77-544A43D630C9}">
      <dgm:prSet/>
      <dgm:spPr/>
      <dgm:t>
        <a:bodyPr/>
        <a:lstStyle/>
        <a:p>
          <a:endParaRPr lang="en-US"/>
        </a:p>
      </dgm:t>
    </dgm:pt>
    <dgm:pt modelId="{265A7835-DD96-4F1D-9E27-17A03A1C4E1D}" type="sibTrans" cxnId="{1362C014-ED51-4AEE-AB77-544A43D630C9}">
      <dgm:prSet/>
      <dgm:spPr/>
      <dgm:t>
        <a:bodyPr/>
        <a:lstStyle/>
        <a:p>
          <a:endParaRPr lang="en-US"/>
        </a:p>
      </dgm:t>
    </dgm:pt>
    <dgm:pt modelId="{CBA81BE1-888C-43BB-B571-D87F5F4C6E33}">
      <dgm:prSet phldrT="[Text]"/>
      <dgm:spPr/>
      <dgm:t>
        <a:bodyPr/>
        <a:lstStyle/>
        <a:p>
          <a:r>
            <a:rPr lang="en-US"/>
            <a:t>A literature review goes beyond summarizing past studies; it critically evaluates their quality, relevance, and identifies knowledge gaps, helping justify the need for new research.</a:t>
          </a:r>
        </a:p>
      </dgm:t>
    </dgm:pt>
    <dgm:pt modelId="{7369C601-B33F-443C-A5FE-8003B4EBEE4A}" type="parTrans" cxnId="{A5D1F041-7704-4906-8ED9-D18BEFD80E55}">
      <dgm:prSet/>
      <dgm:spPr/>
      <dgm:t>
        <a:bodyPr/>
        <a:lstStyle/>
        <a:p>
          <a:endParaRPr lang="en-US"/>
        </a:p>
      </dgm:t>
    </dgm:pt>
    <dgm:pt modelId="{674C0096-819E-4DA7-A045-B90A3039C796}" type="sibTrans" cxnId="{A5D1F041-7704-4906-8ED9-D18BEFD80E55}">
      <dgm:prSet/>
      <dgm:spPr/>
      <dgm:t>
        <a:bodyPr/>
        <a:lstStyle/>
        <a:p>
          <a:endParaRPr lang="en-US"/>
        </a:p>
      </dgm:t>
    </dgm:pt>
    <dgm:pt modelId="{6DE6BE20-77C3-43F7-9C1C-D9CDEEDE5C57}">
      <dgm:prSet phldrT="[Text]"/>
      <dgm:spPr/>
      <dgm:t>
        <a:bodyPr/>
        <a:lstStyle/>
        <a:p>
          <a:r>
            <a:rPr lang="en-US"/>
            <a:t>2</a:t>
          </a:r>
        </a:p>
      </dgm:t>
    </dgm:pt>
    <dgm:pt modelId="{1B0D5298-9C55-4466-B93B-CCEB82A2BA63}" type="parTrans" cxnId="{0C4B1C4A-4675-4AB9-B62A-7CB6EA114E24}">
      <dgm:prSet/>
      <dgm:spPr/>
      <dgm:t>
        <a:bodyPr/>
        <a:lstStyle/>
        <a:p>
          <a:endParaRPr lang="en-US"/>
        </a:p>
      </dgm:t>
    </dgm:pt>
    <dgm:pt modelId="{9F15531F-28BF-4E32-9FAC-63BB41C70722}" type="sibTrans" cxnId="{0C4B1C4A-4675-4AB9-B62A-7CB6EA114E24}">
      <dgm:prSet/>
      <dgm:spPr/>
      <dgm:t>
        <a:bodyPr/>
        <a:lstStyle/>
        <a:p>
          <a:endParaRPr lang="en-US"/>
        </a:p>
      </dgm:t>
    </dgm:pt>
    <dgm:pt modelId="{C01C74AF-F4BB-4B9A-BCC6-6DE6C581A737}">
      <dgm:prSet phldrT="[Text]"/>
      <dgm:spPr/>
      <dgm:t>
        <a:bodyPr/>
        <a:lstStyle/>
        <a:p>
          <a:r>
            <a:rPr lang="en-US"/>
            <a:t>It helps researchers learn from previous work, refine their research focus, and develop meaningful research questions.</a:t>
          </a:r>
        </a:p>
      </dgm:t>
    </dgm:pt>
    <dgm:pt modelId="{7EC101B0-CD13-4F8D-BCE2-D2DA936D5B93}" type="parTrans" cxnId="{9EBA6BF7-3A8D-4B18-B156-0A46214A91DC}">
      <dgm:prSet/>
      <dgm:spPr/>
      <dgm:t>
        <a:bodyPr/>
        <a:lstStyle/>
        <a:p>
          <a:endParaRPr lang="en-US"/>
        </a:p>
      </dgm:t>
    </dgm:pt>
    <dgm:pt modelId="{21C42F82-8CAA-45E1-8C2E-D81B4793942D}" type="sibTrans" cxnId="{9EBA6BF7-3A8D-4B18-B156-0A46214A91DC}">
      <dgm:prSet/>
      <dgm:spPr/>
      <dgm:t>
        <a:bodyPr/>
        <a:lstStyle/>
        <a:p>
          <a:endParaRPr lang="en-US"/>
        </a:p>
      </dgm:t>
    </dgm:pt>
    <dgm:pt modelId="{B6EC883F-C7D6-42B5-8539-4E9DDB0375B5}">
      <dgm:prSet phldrT="[Text]"/>
      <dgm:spPr/>
      <dgm:t>
        <a:bodyPr/>
        <a:lstStyle/>
        <a:p>
          <a:r>
            <a:rPr lang="en-US"/>
            <a:t>3</a:t>
          </a:r>
        </a:p>
      </dgm:t>
    </dgm:pt>
    <dgm:pt modelId="{7CB76620-1653-4FFB-9885-96F7EDAD4C54}" type="parTrans" cxnId="{E011B2E8-BB69-4E98-B054-CC4A88CACB36}">
      <dgm:prSet/>
      <dgm:spPr/>
      <dgm:t>
        <a:bodyPr/>
        <a:lstStyle/>
        <a:p>
          <a:endParaRPr lang="en-US"/>
        </a:p>
      </dgm:t>
    </dgm:pt>
    <dgm:pt modelId="{0163F590-82E3-4BAA-937A-AA9035686D40}" type="sibTrans" cxnId="{E011B2E8-BB69-4E98-B054-CC4A88CACB36}">
      <dgm:prSet/>
      <dgm:spPr/>
      <dgm:t>
        <a:bodyPr/>
        <a:lstStyle/>
        <a:p>
          <a:endParaRPr lang="en-US"/>
        </a:p>
      </dgm:t>
    </dgm:pt>
    <dgm:pt modelId="{50D265AA-CF46-405B-9CC9-4A0EEE0B1B60}">
      <dgm:prSet phldrT="[Text]"/>
      <dgm:spPr/>
      <dgm:t>
        <a:bodyPr/>
        <a:lstStyle/>
        <a:p>
          <a:r>
            <a:rPr lang="en-US"/>
            <a:t>It sets the broader research context by mapping existing studies, selecting appropriate variables, and informing theoretical frameworks.</a:t>
          </a:r>
        </a:p>
      </dgm:t>
    </dgm:pt>
    <dgm:pt modelId="{3606325D-F22D-4EC2-8FCE-98F80A758068}" type="parTrans" cxnId="{E73B191A-89C4-4C1D-B397-C03200EA45AA}">
      <dgm:prSet/>
      <dgm:spPr/>
      <dgm:t>
        <a:bodyPr/>
        <a:lstStyle/>
        <a:p>
          <a:endParaRPr lang="en-US"/>
        </a:p>
      </dgm:t>
    </dgm:pt>
    <dgm:pt modelId="{683D34E9-521A-4C25-9D6C-EF2567FA37B6}" type="sibTrans" cxnId="{E73B191A-89C4-4C1D-B397-C03200EA45AA}">
      <dgm:prSet/>
      <dgm:spPr/>
      <dgm:t>
        <a:bodyPr/>
        <a:lstStyle/>
        <a:p>
          <a:endParaRPr lang="en-US"/>
        </a:p>
      </dgm:t>
    </dgm:pt>
    <dgm:pt modelId="{9516BD58-56EC-42C8-856A-6F5A6E291867}">
      <dgm:prSet/>
      <dgm:spPr/>
      <dgm:t>
        <a:bodyPr/>
        <a:lstStyle/>
        <a:p>
          <a:r>
            <a:rPr lang="en-US"/>
            <a:t>4</a:t>
          </a:r>
        </a:p>
      </dgm:t>
    </dgm:pt>
    <dgm:pt modelId="{7D6BE733-5B9C-4A61-816E-89C319FCACDB}" type="parTrans" cxnId="{5B1A3A2A-4528-4153-BC6A-1AD8FA77B615}">
      <dgm:prSet/>
      <dgm:spPr/>
      <dgm:t>
        <a:bodyPr/>
        <a:lstStyle/>
        <a:p>
          <a:endParaRPr lang="en-US"/>
        </a:p>
      </dgm:t>
    </dgm:pt>
    <dgm:pt modelId="{7C89E41B-F52F-477B-929E-7808B4B351FD}" type="sibTrans" cxnId="{5B1A3A2A-4528-4153-BC6A-1AD8FA77B615}">
      <dgm:prSet/>
      <dgm:spPr/>
      <dgm:t>
        <a:bodyPr/>
        <a:lstStyle/>
        <a:p>
          <a:endParaRPr lang="en-US"/>
        </a:p>
      </dgm:t>
    </dgm:pt>
    <dgm:pt modelId="{991D62EB-F78E-4383-A0E3-9EA8CCD9A048}">
      <dgm:prSet/>
      <dgm:spPr/>
      <dgm:t>
        <a:bodyPr/>
        <a:lstStyle/>
        <a:p>
          <a:r>
            <a:rPr lang="en-US"/>
            <a:t>It identifies inconsistencies, outdated ideas, and unexplored areas, especially important in fast-moving fields like AI, where older research can quickly become outdated.</a:t>
          </a:r>
        </a:p>
      </dgm:t>
    </dgm:pt>
    <dgm:pt modelId="{94B403BA-AE69-42D2-964D-474A70D95FF7}" type="parTrans" cxnId="{7F880DE3-367A-4C52-9C9C-598DBD8E1661}">
      <dgm:prSet/>
      <dgm:spPr/>
      <dgm:t>
        <a:bodyPr/>
        <a:lstStyle/>
        <a:p>
          <a:endParaRPr lang="en-US"/>
        </a:p>
      </dgm:t>
    </dgm:pt>
    <dgm:pt modelId="{05700508-D5A0-46D2-95F0-11BF47F1B583}" type="sibTrans" cxnId="{7F880DE3-367A-4C52-9C9C-598DBD8E1661}">
      <dgm:prSet/>
      <dgm:spPr/>
      <dgm:t>
        <a:bodyPr/>
        <a:lstStyle/>
        <a:p>
          <a:endParaRPr lang="en-US"/>
        </a:p>
      </dgm:t>
    </dgm:pt>
    <dgm:pt modelId="{E17FEC29-5668-4EBA-8363-1A04B55B9130}" type="pres">
      <dgm:prSet presAssocID="{B2D08397-D305-43A1-AE84-C1C69AD26B2C}" presName="Name0" presStyleCnt="0">
        <dgm:presLayoutVars>
          <dgm:dir/>
          <dgm:animLvl val="lvl"/>
          <dgm:resizeHandles val="exact"/>
        </dgm:presLayoutVars>
      </dgm:prSet>
      <dgm:spPr/>
    </dgm:pt>
    <dgm:pt modelId="{E0229F8F-60C3-49A4-A10A-B6B3EF9B2F66}" type="pres">
      <dgm:prSet presAssocID="{82566352-4765-4A34-B645-A21BD626EEB2}" presName="linNode" presStyleCnt="0"/>
      <dgm:spPr/>
    </dgm:pt>
    <dgm:pt modelId="{0F1FCDCC-605E-4EA6-A114-EFB48798A359}" type="pres">
      <dgm:prSet presAssocID="{82566352-4765-4A34-B645-A21BD626EEB2}" presName="parentText" presStyleLbl="node1" presStyleIdx="0" presStyleCnt="4">
        <dgm:presLayoutVars>
          <dgm:chMax val="1"/>
          <dgm:bulletEnabled val="1"/>
        </dgm:presLayoutVars>
      </dgm:prSet>
      <dgm:spPr/>
    </dgm:pt>
    <dgm:pt modelId="{EDFB1B18-69B1-4866-AB62-ECE9D2D18BE7}" type="pres">
      <dgm:prSet presAssocID="{82566352-4765-4A34-B645-A21BD626EEB2}" presName="descendantText" presStyleLbl="alignAccFollowNode1" presStyleIdx="0" presStyleCnt="4">
        <dgm:presLayoutVars>
          <dgm:bulletEnabled val="1"/>
        </dgm:presLayoutVars>
      </dgm:prSet>
      <dgm:spPr/>
    </dgm:pt>
    <dgm:pt modelId="{E135E086-C7E4-4D37-AEEF-D92BF996F8BB}" type="pres">
      <dgm:prSet presAssocID="{265A7835-DD96-4F1D-9E27-17A03A1C4E1D}" presName="sp" presStyleCnt="0"/>
      <dgm:spPr/>
    </dgm:pt>
    <dgm:pt modelId="{350418EC-CDF7-4EB1-8D5C-05815A3351C3}" type="pres">
      <dgm:prSet presAssocID="{6DE6BE20-77C3-43F7-9C1C-D9CDEEDE5C57}" presName="linNode" presStyleCnt="0"/>
      <dgm:spPr/>
    </dgm:pt>
    <dgm:pt modelId="{1C41BE0E-BDDA-4B90-8A17-38B2F653AA08}" type="pres">
      <dgm:prSet presAssocID="{6DE6BE20-77C3-43F7-9C1C-D9CDEEDE5C57}" presName="parentText" presStyleLbl="node1" presStyleIdx="1" presStyleCnt="4">
        <dgm:presLayoutVars>
          <dgm:chMax val="1"/>
          <dgm:bulletEnabled val="1"/>
        </dgm:presLayoutVars>
      </dgm:prSet>
      <dgm:spPr/>
    </dgm:pt>
    <dgm:pt modelId="{DBC5752B-5F2D-4DAE-A7E4-2F936724A223}" type="pres">
      <dgm:prSet presAssocID="{6DE6BE20-77C3-43F7-9C1C-D9CDEEDE5C57}" presName="descendantText" presStyleLbl="alignAccFollowNode1" presStyleIdx="1" presStyleCnt="4">
        <dgm:presLayoutVars>
          <dgm:bulletEnabled val="1"/>
        </dgm:presLayoutVars>
      </dgm:prSet>
      <dgm:spPr/>
    </dgm:pt>
    <dgm:pt modelId="{ED11C6A9-58B6-4D4C-AD16-7219945B4CF4}" type="pres">
      <dgm:prSet presAssocID="{9F15531F-28BF-4E32-9FAC-63BB41C70722}" presName="sp" presStyleCnt="0"/>
      <dgm:spPr/>
    </dgm:pt>
    <dgm:pt modelId="{A1CACE01-B181-40A1-ACEE-20BFF257DA10}" type="pres">
      <dgm:prSet presAssocID="{B6EC883F-C7D6-42B5-8539-4E9DDB0375B5}" presName="linNode" presStyleCnt="0"/>
      <dgm:spPr/>
    </dgm:pt>
    <dgm:pt modelId="{F69B366E-803F-49F2-82A9-EA8B87467F0C}" type="pres">
      <dgm:prSet presAssocID="{B6EC883F-C7D6-42B5-8539-4E9DDB0375B5}" presName="parentText" presStyleLbl="node1" presStyleIdx="2" presStyleCnt="4">
        <dgm:presLayoutVars>
          <dgm:chMax val="1"/>
          <dgm:bulletEnabled val="1"/>
        </dgm:presLayoutVars>
      </dgm:prSet>
      <dgm:spPr/>
    </dgm:pt>
    <dgm:pt modelId="{CE9CD337-DED0-46C5-AA4B-7704AC08C9BC}" type="pres">
      <dgm:prSet presAssocID="{B6EC883F-C7D6-42B5-8539-4E9DDB0375B5}" presName="descendantText" presStyleLbl="alignAccFollowNode1" presStyleIdx="2" presStyleCnt="4">
        <dgm:presLayoutVars>
          <dgm:bulletEnabled val="1"/>
        </dgm:presLayoutVars>
      </dgm:prSet>
      <dgm:spPr/>
    </dgm:pt>
    <dgm:pt modelId="{D5F65508-657C-4559-B515-F70FF69E2A6B}" type="pres">
      <dgm:prSet presAssocID="{0163F590-82E3-4BAA-937A-AA9035686D40}" presName="sp" presStyleCnt="0"/>
      <dgm:spPr/>
    </dgm:pt>
    <dgm:pt modelId="{945A4090-B12D-415A-935C-85D3320C0353}" type="pres">
      <dgm:prSet presAssocID="{9516BD58-56EC-42C8-856A-6F5A6E291867}" presName="linNode" presStyleCnt="0"/>
      <dgm:spPr/>
    </dgm:pt>
    <dgm:pt modelId="{022C89C7-2C1B-42E0-8A5B-DA98ED369591}" type="pres">
      <dgm:prSet presAssocID="{9516BD58-56EC-42C8-856A-6F5A6E291867}" presName="parentText" presStyleLbl="node1" presStyleIdx="3" presStyleCnt="4">
        <dgm:presLayoutVars>
          <dgm:chMax val="1"/>
          <dgm:bulletEnabled val="1"/>
        </dgm:presLayoutVars>
      </dgm:prSet>
      <dgm:spPr/>
    </dgm:pt>
    <dgm:pt modelId="{FB365345-5B34-45D7-9CCD-4ED2C07095B5}" type="pres">
      <dgm:prSet presAssocID="{9516BD58-56EC-42C8-856A-6F5A6E291867}" presName="descendantText" presStyleLbl="alignAccFollowNode1" presStyleIdx="3" presStyleCnt="4">
        <dgm:presLayoutVars>
          <dgm:bulletEnabled val="1"/>
        </dgm:presLayoutVars>
      </dgm:prSet>
      <dgm:spPr/>
    </dgm:pt>
  </dgm:ptLst>
  <dgm:cxnLst>
    <dgm:cxn modelId="{1362C014-ED51-4AEE-AB77-544A43D630C9}" srcId="{B2D08397-D305-43A1-AE84-C1C69AD26B2C}" destId="{82566352-4765-4A34-B645-A21BD626EEB2}" srcOrd="0" destOrd="0" parTransId="{9B4225D2-BE04-49CC-96C7-E2AA105840F5}" sibTransId="{265A7835-DD96-4F1D-9E27-17A03A1C4E1D}"/>
    <dgm:cxn modelId="{E73B191A-89C4-4C1D-B397-C03200EA45AA}" srcId="{B6EC883F-C7D6-42B5-8539-4E9DDB0375B5}" destId="{50D265AA-CF46-405B-9CC9-4A0EEE0B1B60}" srcOrd="0" destOrd="0" parTransId="{3606325D-F22D-4EC2-8FCE-98F80A758068}" sibTransId="{683D34E9-521A-4C25-9D6C-EF2567FA37B6}"/>
    <dgm:cxn modelId="{5B1A3A2A-4528-4153-BC6A-1AD8FA77B615}" srcId="{B2D08397-D305-43A1-AE84-C1C69AD26B2C}" destId="{9516BD58-56EC-42C8-856A-6F5A6E291867}" srcOrd="3" destOrd="0" parTransId="{7D6BE733-5B9C-4A61-816E-89C319FCACDB}" sibTransId="{7C89E41B-F52F-477B-929E-7808B4B351FD}"/>
    <dgm:cxn modelId="{8895092F-E70D-4FF3-812B-029648EE710A}" type="presOf" srcId="{50D265AA-CF46-405B-9CC9-4A0EEE0B1B60}" destId="{CE9CD337-DED0-46C5-AA4B-7704AC08C9BC}" srcOrd="0" destOrd="0" presId="urn:microsoft.com/office/officeart/2005/8/layout/vList5"/>
    <dgm:cxn modelId="{C6B99D34-8134-4AE4-A9B5-B1339C207722}" type="presOf" srcId="{C01C74AF-F4BB-4B9A-BCC6-6DE6C581A737}" destId="{DBC5752B-5F2D-4DAE-A7E4-2F936724A223}" srcOrd="0" destOrd="0" presId="urn:microsoft.com/office/officeart/2005/8/layout/vList5"/>
    <dgm:cxn modelId="{04253B40-071F-495B-846A-EC1CCC3EAE8D}" type="presOf" srcId="{B6EC883F-C7D6-42B5-8539-4E9DDB0375B5}" destId="{F69B366E-803F-49F2-82A9-EA8B87467F0C}" srcOrd="0" destOrd="0" presId="urn:microsoft.com/office/officeart/2005/8/layout/vList5"/>
    <dgm:cxn modelId="{A5D1F041-7704-4906-8ED9-D18BEFD80E55}" srcId="{82566352-4765-4A34-B645-A21BD626EEB2}" destId="{CBA81BE1-888C-43BB-B571-D87F5F4C6E33}" srcOrd="0" destOrd="0" parTransId="{7369C601-B33F-443C-A5FE-8003B4EBEE4A}" sibTransId="{674C0096-819E-4DA7-A045-B90A3039C796}"/>
    <dgm:cxn modelId="{0C4B1C4A-4675-4AB9-B62A-7CB6EA114E24}" srcId="{B2D08397-D305-43A1-AE84-C1C69AD26B2C}" destId="{6DE6BE20-77C3-43F7-9C1C-D9CDEEDE5C57}" srcOrd="1" destOrd="0" parTransId="{1B0D5298-9C55-4466-B93B-CCEB82A2BA63}" sibTransId="{9F15531F-28BF-4E32-9FAC-63BB41C70722}"/>
    <dgm:cxn modelId="{42DF7051-1050-4A1D-8B1E-504B2D01AD63}" type="presOf" srcId="{991D62EB-F78E-4383-A0E3-9EA8CCD9A048}" destId="{FB365345-5B34-45D7-9CCD-4ED2C07095B5}" srcOrd="0" destOrd="0" presId="urn:microsoft.com/office/officeart/2005/8/layout/vList5"/>
    <dgm:cxn modelId="{44D2C382-61C8-440E-9EDB-07EEAC29500C}" type="presOf" srcId="{82566352-4765-4A34-B645-A21BD626EEB2}" destId="{0F1FCDCC-605E-4EA6-A114-EFB48798A359}" srcOrd="0" destOrd="0" presId="urn:microsoft.com/office/officeart/2005/8/layout/vList5"/>
    <dgm:cxn modelId="{77DA2984-FE7C-48BB-93DE-9325A3ED00A7}" type="presOf" srcId="{9516BD58-56EC-42C8-856A-6F5A6E291867}" destId="{022C89C7-2C1B-42E0-8A5B-DA98ED369591}" srcOrd="0" destOrd="0" presId="urn:microsoft.com/office/officeart/2005/8/layout/vList5"/>
    <dgm:cxn modelId="{0EA66B98-971E-427E-8DDC-D1BD42EB0242}" type="presOf" srcId="{CBA81BE1-888C-43BB-B571-D87F5F4C6E33}" destId="{EDFB1B18-69B1-4866-AB62-ECE9D2D18BE7}" srcOrd="0" destOrd="0" presId="urn:microsoft.com/office/officeart/2005/8/layout/vList5"/>
    <dgm:cxn modelId="{0D6EEFCB-E4FA-4C40-9499-79C96A08CF9A}" type="presOf" srcId="{B2D08397-D305-43A1-AE84-C1C69AD26B2C}" destId="{E17FEC29-5668-4EBA-8363-1A04B55B9130}" srcOrd="0" destOrd="0" presId="urn:microsoft.com/office/officeart/2005/8/layout/vList5"/>
    <dgm:cxn modelId="{7F880DE3-367A-4C52-9C9C-598DBD8E1661}" srcId="{9516BD58-56EC-42C8-856A-6F5A6E291867}" destId="{991D62EB-F78E-4383-A0E3-9EA8CCD9A048}" srcOrd="0" destOrd="0" parTransId="{94B403BA-AE69-42D2-964D-474A70D95FF7}" sibTransId="{05700508-D5A0-46D2-95F0-11BF47F1B583}"/>
    <dgm:cxn modelId="{E011B2E8-BB69-4E98-B054-CC4A88CACB36}" srcId="{B2D08397-D305-43A1-AE84-C1C69AD26B2C}" destId="{B6EC883F-C7D6-42B5-8539-4E9DDB0375B5}" srcOrd="2" destOrd="0" parTransId="{7CB76620-1653-4FFB-9885-96F7EDAD4C54}" sibTransId="{0163F590-82E3-4BAA-937A-AA9035686D40}"/>
    <dgm:cxn modelId="{2C418EF6-4E78-4B21-A269-7617871A8964}" type="presOf" srcId="{6DE6BE20-77C3-43F7-9C1C-D9CDEEDE5C57}" destId="{1C41BE0E-BDDA-4B90-8A17-38B2F653AA08}" srcOrd="0" destOrd="0" presId="urn:microsoft.com/office/officeart/2005/8/layout/vList5"/>
    <dgm:cxn modelId="{9EBA6BF7-3A8D-4B18-B156-0A46214A91DC}" srcId="{6DE6BE20-77C3-43F7-9C1C-D9CDEEDE5C57}" destId="{C01C74AF-F4BB-4B9A-BCC6-6DE6C581A737}" srcOrd="0" destOrd="0" parTransId="{7EC101B0-CD13-4F8D-BCE2-D2DA936D5B93}" sibTransId="{21C42F82-8CAA-45E1-8C2E-D81B4793942D}"/>
    <dgm:cxn modelId="{F0883028-1CBB-4BF1-815F-F39D1DF7AFF1}" type="presParOf" srcId="{E17FEC29-5668-4EBA-8363-1A04B55B9130}" destId="{E0229F8F-60C3-49A4-A10A-B6B3EF9B2F66}" srcOrd="0" destOrd="0" presId="urn:microsoft.com/office/officeart/2005/8/layout/vList5"/>
    <dgm:cxn modelId="{662228CD-3A55-4A19-88F7-F78AF4977D3F}" type="presParOf" srcId="{E0229F8F-60C3-49A4-A10A-B6B3EF9B2F66}" destId="{0F1FCDCC-605E-4EA6-A114-EFB48798A359}" srcOrd="0" destOrd="0" presId="urn:microsoft.com/office/officeart/2005/8/layout/vList5"/>
    <dgm:cxn modelId="{306E074B-8691-4756-8A4E-E63AB9B56A9E}" type="presParOf" srcId="{E0229F8F-60C3-49A4-A10A-B6B3EF9B2F66}" destId="{EDFB1B18-69B1-4866-AB62-ECE9D2D18BE7}" srcOrd="1" destOrd="0" presId="urn:microsoft.com/office/officeart/2005/8/layout/vList5"/>
    <dgm:cxn modelId="{58A4165F-3B26-4684-8889-4060D2B948EB}" type="presParOf" srcId="{E17FEC29-5668-4EBA-8363-1A04B55B9130}" destId="{E135E086-C7E4-4D37-AEEF-D92BF996F8BB}" srcOrd="1" destOrd="0" presId="urn:microsoft.com/office/officeart/2005/8/layout/vList5"/>
    <dgm:cxn modelId="{3C042484-877C-4623-9100-244E842D0E1B}" type="presParOf" srcId="{E17FEC29-5668-4EBA-8363-1A04B55B9130}" destId="{350418EC-CDF7-4EB1-8D5C-05815A3351C3}" srcOrd="2" destOrd="0" presId="urn:microsoft.com/office/officeart/2005/8/layout/vList5"/>
    <dgm:cxn modelId="{418C59B7-A0E2-424B-BEC2-82A7BD089E0E}" type="presParOf" srcId="{350418EC-CDF7-4EB1-8D5C-05815A3351C3}" destId="{1C41BE0E-BDDA-4B90-8A17-38B2F653AA08}" srcOrd="0" destOrd="0" presId="urn:microsoft.com/office/officeart/2005/8/layout/vList5"/>
    <dgm:cxn modelId="{16CB62CD-BCDB-486C-91BC-7218853B4838}" type="presParOf" srcId="{350418EC-CDF7-4EB1-8D5C-05815A3351C3}" destId="{DBC5752B-5F2D-4DAE-A7E4-2F936724A223}" srcOrd="1" destOrd="0" presId="urn:microsoft.com/office/officeart/2005/8/layout/vList5"/>
    <dgm:cxn modelId="{5D46A473-D4FA-4489-922C-E7D7369B0745}" type="presParOf" srcId="{E17FEC29-5668-4EBA-8363-1A04B55B9130}" destId="{ED11C6A9-58B6-4D4C-AD16-7219945B4CF4}" srcOrd="3" destOrd="0" presId="urn:microsoft.com/office/officeart/2005/8/layout/vList5"/>
    <dgm:cxn modelId="{A419368F-CC86-41CE-B5EB-6CDCDE6B9721}" type="presParOf" srcId="{E17FEC29-5668-4EBA-8363-1A04B55B9130}" destId="{A1CACE01-B181-40A1-ACEE-20BFF257DA10}" srcOrd="4" destOrd="0" presId="urn:microsoft.com/office/officeart/2005/8/layout/vList5"/>
    <dgm:cxn modelId="{09E1751B-DB4C-48FB-940F-007CA9DAD428}" type="presParOf" srcId="{A1CACE01-B181-40A1-ACEE-20BFF257DA10}" destId="{F69B366E-803F-49F2-82A9-EA8B87467F0C}" srcOrd="0" destOrd="0" presId="urn:microsoft.com/office/officeart/2005/8/layout/vList5"/>
    <dgm:cxn modelId="{8233D79E-EDA4-46EA-A5C4-29709B19E1ED}" type="presParOf" srcId="{A1CACE01-B181-40A1-ACEE-20BFF257DA10}" destId="{CE9CD337-DED0-46C5-AA4B-7704AC08C9BC}" srcOrd="1" destOrd="0" presId="urn:microsoft.com/office/officeart/2005/8/layout/vList5"/>
    <dgm:cxn modelId="{2E5F6457-7147-4963-A8D0-184D63539CD4}" type="presParOf" srcId="{E17FEC29-5668-4EBA-8363-1A04B55B9130}" destId="{D5F65508-657C-4559-B515-F70FF69E2A6B}" srcOrd="5" destOrd="0" presId="urn:microsoft.com/office/officeart/2005/8/layout/vList5"/>
    <dgm:cxn modelId="{F4CEC686-8674-4BC3-B4F9-F2C56DDFAE35}" type="presParOf" srcId="{E17FEC29-5668-4EBA-8363-1A04B55B9130}" destId="{945A4090-B12D-415A-935C-85D3320C0353}" srcOrd="6" destOrd="0" presId="urn:microsoft.com/office/officeart/2005/8/layout/vList5"/>
    <dgm:cxn modelId="{3E7DA8FA-513F-48B1-8D32-3717A93D2D30}" type="presParOf" srcId="{945A4090-B12D-415A-935C-85D3320C0353}" destId="{022C89C7-2C1B-42E0-8A5B-DA98ED369591}" srcOrd="0" destOrd="0" presId="urn:microsoft.com/office/officeart/2005/8/layout/vList5"/>
    <dgm:cxn modelId="{B2D8136B-A29E-4D0B-A2F6-0CEE189F0251}" type="presParOf" srcId="{945A4090-B12D-415A-935C-85D3320C0353}" destId="{FB365345-5B34-45D7-9CCD-4ED2C07095B5}" srcOrd="1" destOrd="0" presId="urn:microsoft.com/office/officeart/2005/8/layout/vList5"/>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264F7A7-3406-4926-86D0-CEAEDAF6A599}" type="doc">
      <dgm:prSet loTypeId="urn:microsoft.com/office/officeart/2005/8/layout/funnel1" loCatId="process" qsTypeId="urn:microsoft.com/office/officeart/2005/8/quickstyle/simple3#2" qsCatId="simple" csTypeId="urn:microsoft.com/office/officeart/2005/8/colors/accent0_3#2" csCatId="mainScheme" phldr="1"/>
      <dgm:spPr/>
      <dgm:t>
        <a:bodyPr/>
        <a:lstStyle/>
        <a:p>
          <a:endParaRPr lang="en-US"/>
        </a:p>
      </dgm:t>
    </dgm:pt>
    <dgm:pt modelId="{2C0C6977-611D-4BB9-9BD0-E47363B183FE}">
      <dgm:prSet phldrT="[Text]"/>
      <dgm:spPr/>
      <dgm:t>
        <a:bodyPr/>
        <a:lstStyle/>
        <a:p>
          <a:r>
            <a:rPr lang="en-US"/>
            <a:t>Initial Broad Search</a:t>
          </a:r>
        </a:p>
      </dgm:t>
    </dgm:pt>
    <dgm:pt modelId="{C361EFBE-2F6A-495D-8A63-2BE9C6E4A31E}" type="parTrans" cxnId="{0C9BE595-19BF-479A-B92A-15ED97426D79}">
      <dgm:prSet/>
      <dgm:spPr/>
      <dgm:t>
        <a:bodyPr/>
        <a:lstStyle/>
        <a:p>
          <a:endParaRPr lang="en-US"/>
        </a:p>
      </dgm:t>
    </dgm:pt>
    <dgm:pt modelId="{7F5AFA35-96AD-4964-87E0-79B145762A90}" type="sibTrans" cxnId="{0C9BE595-19BF-479A-B92A-15ED97426D79}">
      <dgm:prSet/>
      <dgm:spPr/>
      <dgm:t>
        <a:bodyPr/>
        <a:lstStyle/>
        <a:p>
          <a:endParaRPr lang="en-US"/>
        </a:p>
      </dgm:t>
    </dgm:pt>
    <dgm:pt modelId="{B98278CA-933C-47FB-B63B-57DB84F3DC92}">
      <dgm:prSet phldrT="[Text]"/>
      <dgm:spPr/>
      <dgm:t>
        <a:bodyPr/>
        <a:lstStyle/>
        <a:p>
          <a:r>
            <a:rPr lang="en-US"/>
            <a:t>Second Filtration – Abstract Screening </a:t>
          </a:r>
        </a:p>
      </dgm:t>
    </dgm:pt>
    <dgm:pt modelId="{1924575A-36E7-4BB0-A0C7-BB046EE1B37A}" type="parTrans" cxnId="{88446048-5536-4A3F-A46E-6E82B6BB4C79}">
      <dgm:prSet/>
      <dgm:spPr/>
      <dgm:t>
        <a:bodyPr/>
        <a:lstStyle/>
        <a:p>
          <a:endParaRPr lang="en-US"/>
        </a:p>
      </dgm:t>
    </dgm:pt>
    <dgm:pt modelId="{FD942BAA-E96C-4794-8D19-6D866FDC7CF5}" type="sibTrans" cxnId="{88446048-5536-4A3F-A46E-6E82B6BB4C79}">
      <dgm:prSet/>
      <dgm:spPr/>
      <dgm:t>
        <a:bodyPr/>
        <a:lstStyle/>
        <a:p>
          <a:endParaRPr lang="en-US"/>
        </a:p>
      </dgm:t>
    </dgm:pt>
    <dgm:pt modelId="{6C522753-A112-4FAC-81D5-C4DCC0FB92B8}">
      <dgm:prSet phldrT="[Text]"/>
      <dgm:spPr/>
      <dgm:t>
        <a:bodyPr/>
        <a:lstStyle/>
        <a:p>
          <a:endParaRPr lang="en-US"/>
        </a:p>
      </dgm:t>
    </dgm:pt>
    <dgm:pt modelId="{B3E9FA10-3725-4E55-BB1E-97CE76C7C084}" type="parTrans" cxnId="{D9984FC1-4F46-44AF-8295-D62AD8C154BE}">
      <dgm:prSet/>
      <dgm:spPr/>
      <dgm:t>
        <a:bodyPr/>
        <a:lstStyle/>
        <a:p>
          <a:endParaRPr lang="en-US"/>
        </a:p>
      </dgm:t>
    </dgm:pt>
    <dgm:pt modelId="{5CBD8FA3-8A58-4D14-87EE-5DF268B1C5FB}" type="sibTrans" cxnId="{D9984FC1-4F46-44AF-8295-D62AD8C154BE}">
      <dgm:prSet/>
      <dgm:spPr/>
      <dgm:t>
        <a:bodyPr/>
        <a:lstStyle/>
        <a:p>
          <a:endParaRPr lang="en-US"/>
        </a:p>
      </dgm:t>
    </dgm:pt>
    <dgm:pt modelId="{24DFC3A2-4E33-45F0-B525-34A42FC47DAF}">
      <dgm:prSet phldrT="[Text]"/>
      <dgm:spPr/>
      <dgm:t>
        <a:bodyPr/>
        <a:lstStyle/>
        <a:p>
          <a:r>
            <a:rPr lang="en-US"/>
            <a:t>First Filtration - Title Screening</a:t>
          </a:r>
        </a:p>
      </dgm:t>
    </dgm:pt>
    <dgm:pt modelId="{ACCD6D2E-6FEB-41B3-9A8C-74847833D4C1}" type="sibTrans" cxnId="{7AEACF7D-6E3D-4A01-A700-020817790D0B}">
      <dgm:prSet/>
      <dgm:spPr/>
      <dgm:t>
        <a:bodyPr/>
        <a:lstStyle/>
        <a:p>
          <a:endParaRPr lang="en-US"/>
        </a:p>
      </dgm:t>
    </dgm:pt>
    <dgm:pt modelId="{0B1D2F9D-DE36-4E73-93E7-21D50FE61C9A}" type="parTrans" cxnId="{7AEACF7D-6E3D-4A01-A700-020817790D0B}">
      <dgm:prSet/>
      <dgm:spPr/>
      <dgm:t>
        <a:bodyPr/>
        <a:lstStyle/>
        <a:p>
          <a:endParaRPr lang="en-US"/>
        </a:p>
      </dgm:t>
    </dgm:pt>
    <dgm:pt modelId="{F113597A-1D7E-497D-A2CB-DF97B54057C8}">
      <dgm:prSet phldrT="[Text]"/>
      <dgm:spPr/>
      <dgm:t>
        <a:bodyPr/>
        <a:lstStyle/>
        <a:p>
          <a:r>
            <a:rPr lang="en-US"/>
            <a:t>Final Filtration – Full-Text Review</a:t>
          </a:r>
        </a:p>
      </dgm:t>
    </dgm:pt>
    <dgm:pt modelId="{E06333A9-4B57-4E6B-958D-847B3550F22A}" type="parTrans" cxnId="{BF9AFAC4-F6A1-4902-A2B9-01B33E2B280B}">
      <dgm:prSet/>
      <dgm:spPr/>
      <dgm:t>
        <a:bodyPr/>
        <a:lstStyle/>
        <a:p>
          <a:endParaRPr lang="en-US"/>
        </a:p>
      </dgm:t>
    </dgm:pt>
    <dgm:pt modelId="{E549EBB3-12D1-4368-8686-EAEF16098DA5}" type="sibTrans" cxnId="{BF9AFAC4-F6A1-4902-A2B9-01B33E2B280B}">
      <dgm:prSet/>
      <dgm:spPr/>
      <dgm:t>
        <a:bodyPr/>
        <a:lstStyle/>
        <a:p>
          <a:endParaRPr lang="en-US"/>
        </a:p>
      </dgm:t>
    </dgm:pt>
    <dgm:pt modelId="{D58A2ED3-82E4-4827-B9B1-59F5E4551259}" type="pres">
      <dgm:prSet presAssocID="{8264F7A7-3406-4926-86D0-CEAEDAF6A599}" presName="Name0" presStyleCnt="0">
        <dgm:presLayoutVars>
          <dgm:chMax val="4"/>
          <dgm:resizeHandles val="exact"/>
        </dgm:presLayoutVars>
      </dgm:prSet>
      <dgm:spPr/>
    </dgm:pt>
    <dgm:pt modelId="{E08845AC-E5B6-4E99-AB28-8AEB0DB73130}" type="pres">
      <dgm:prSet presAssocID="{8264F7A7-3406-4926-86D0-CEAEDAF6A599}" presName="ellipse" presStyleLbl="trBgShp" presStyleIdx="0" presStyleCnt="1"/>
      <dgm:spPr/>
    </dgm:pt>
    <dgm:pt modelId="{890D6864-5CBA-4D31-86DE-DFC42417FE95}" type="pres">
      <dgm:prSet presAssocID="{8264F7A7-3406-4926-86D0-CEAEDAF6A599}" presName="arrow1" presStyleLbl="fgShp" presStyleIdx="0" presStyleCnt="1"/>
      <dgm:spPr/>
    </dgm:pt>
    <dgm:pt modelId="{C87404BC-A431-4E45-958D-5F6E11440295}" type="pres">
      <dgm:prSet presAssocID="{8264F7A7-3406-4926-86D0-CEAEDAF6A599}" presName="rectangle" presStyleLbl="revTx" presStyleIdx="0" presStyleCnt="1">
        <dgm:presLayoutVars>
          <dgm:bulletEnabled val="1"/>
        </dgm:presLayoutVars>
      </dgm:prSet>
      <dgm:spPr/>
    </dgm:pt>
    <dgm:pt modelId="{D11BC21B-1C77-408A-93A4-26958E4C6096}" type="pres">
      <dgm:prSet presAssocID="{24DFC3A2-4E33-45F0-B525-34A42FC47DAF}" presName="item1" presStyleLbl="node1" presStyleIdx="0" presStyleCnt="3">
        <dgm:presLayoutVars>
          <dgm:bulletEnabled val="1"/>
        </dgm:presLayoutVars>
      </dgm:prSet>
      <dgm:spPr/>
    </dgm:pt>
    <dgm:pt modelId="{7C220019-C151-405B-BF0F-FEAE050A6FDD}" type="pres">
      <dgm:prSet presAssocID="{B98278CA-933C-47FB-B63B-57DB84F3DC92}" presName="item2" presStyleLbl="node1" presStyleIdx="1" presStyleCnt="3">
        <dgm:presLayoutVars>
          <dgm:bulletEnabled val="1"/>
        </dgm:presLayoutVars>
      </dgm:prSet>
      <dgm:spPr/>
    </dgm:pt>
    <dgm:pt modelId="{47DE49F0-E05C-4AB5-8030-D222B47B5ABE}" type="pres">
      <dgm:prSet presAssocID="{F113597A-1D7E-497D-A2CB-DF97B54057C8}" presName="item3" presStyleLbl="node1" presStyleIdx="2" presStyleCnt="3">
        <dgm:presLayoutVars>
          <dgm:bulletEnabled val="1"/>
        </dgm:presLayoutVars>
      </dgm:prSet>
      <dgm:spPr/>
    </dgm:pt>
    <dgm:pt modelId="{DF62D6ED-74BF-446A-86A2-2B4CA16A0E62}" type="pres">
      <dgm:prSet presAssocID="{8264F7A7-3406-4926-86D0-CEAEDAF6A599}" presName="funnel" presStyleLbl="trAlignAcc1" presStyleIdx="0" presStyleCnt="1"/>
      <dgm:spPr/>
    </dgm:pt>
  </dgm:ptLst>
  <dgm:cxnLst>
    <dgm:cxn modelId="{6BE26518-1FF5-4254-B56B-32AC8E7E119E}" type="presOf" srcId="{F113597A-1D7E-497D-A2CB-DF97B54057C8}" destId="{C87404BC-A431-4E45-958D-5F6E11440295}" srcOrd="0" destOrd="0" presId="urn:microsoft.com/office/officeart/2005/8/layout/funnel1"/>
    <dgm:cxn modelId="{88446048-5536-4A3F-A46E-6E82B6BB4C79}" srcId="{8264F7A7-3406-4926-86D0-CEAEDAF6A599}" destId="{B98278CA-933C-47FB-B63B-57DB84F3DC92}" srcOrd="2" destOrd="0" parTransId="{1924575A-36E7-4BB0-A0C7-BB046EE1B37A}" sibTransId="{FD942BAA-E96C-4794-8D19-6D866FDC7CF5}"/>
    <dgm:cxn modelId="{DE856E5A-C0E2-4B2C-A3A1-63E896B0535B}" type="presOf" srcId="{24DFC3A2-4E33-45F0-B525-34A42FC47DAF}" destId="{7C220019-C151-405B-BF0F-FEAE050A6FDD}" srcOrd="0" destOrd="0" presId="urn:microsoft.com/office/officeart/2005/8/layout/funnel1"/>
    <dgm:cxn modelId="{42E8C47B-EA06-4749-B085-E4F584798768}" type="presOf" srcId="{2C0C6977-611D-4BB9-9BD0-E47363B183FE}" destId="{47DE49F0-E05C-4AB5-8030-D222B47B5ABE}" srcOrd="0" destOrd="0" presId="urn:microsoft.com/office/officeart/2005/8/layout/funnel1"/>
    <dgm:cxn modelId="{7AEACF7D-6E3D-4A01-A700-020817790D0B}" srcId="{8264F7A7-3406-4926-86D0-CEAEDAF6A599}" destId="{24DFC3A2-4E33-45F0-B525-34A42FC47DAF}" srcOrd="1" destOrd="0" parTransId="{0B1D2F9D-DE36-4E73-93E7-21D50FE61C9A}" sibTransId="{ACCD6D2E-6FEB-41B3-9A8C-74847833D4C1}"/>
    <dgm:cxn modelId="{ECCAED8B-70DF-446D-B503-942E35E0EFA6}" type="presOf" srcId="{8264F7A7-3406-4926-86D0-CEAEDAF6A599}" destId="{D58A2ED3-82E4-4827-B9B1-59F5E4551259}" srcOrd="0" destOrd="0" presId="urn:microsoft.com/office/officeart/2005/8/layout/funnel1"/>
    <dgm:cxn modelId="{0C9BE595-19BF-479A-B92A-15ED97426D79}" srcId="{8264F7A7-3406-4926-86D0-CEAEDAF6A599}" destId="{2C0C6977-611D-4BB9-9BD0-E47363B183FE}" srcOrd="0" destOrd="0" parTransId="{C361EFBE-2F6A-495D-8A63-2BE9C6E4A31E}" sibTransId="{7F5AFA35-96AD-4964-87E0-79B145762A90}"/>
    <dgm:cxn modelId="{D9984FC1-4F46-44AF-8295-D62AD8C154BE}" srcId="{8264F7A7-3406-4926-86D0-CEAEDAF6A599}" destId="{6C522753-A112-4FAC-81D5-C4DCC0FB92B8}" srcOrd="4" destOrd="0" parTransId="{B3E9FA10-3725-4E55-BB1E-97CE76C7C084}" sibTransId="{5CBD8FA3-8A58-4D14-87EE-5DF268B1C5FB}"/>
    <dgm:cxn modelId="{BF9AFAC4-F6A1-4902-A2B9-01B33E2B280B}" srcId="{8264F7A7-3406-4926-86D0-CEAEDAF6A599}" destId="{F113597A-1D7E-497D-A2CB-DF97B54057C8}" srcOrd="3" destOrd="0" parTransId="{E06333A9-4B57-4E6B-958D-847B3550F22A}" sibTransId="{E549EBB3-12D1-4368-8686-EAEF16098DA5}"/>
    <dgm:cxn modelId="{14AFCADA-72AE-48C9-9037-46F5BA8C6693}" type="presOf" srcId="{B98278CA-933C-47FB-B63B-57DB84F3DC92}" destId="{D11BC21B-1C77-408A-93A4-26958E4C6096}" srcOrd="0" destOrd="0" presId="urn:microsoft.com/office/officeart/2005/8/layout/funnel1"/>
    <dgm:cxn modelId="{45C8EE4E-31F5-4B2E-943C-E2DD0BDFB94F}" type="presParOf" srcId="{D58A2ED3-82E4-4827-B9B1-59F5E4551259}" destId="{E08845AC-E5B6-4E99-AB28-8AEB0DB73130}" srcOrd="0" destOrd="0" presId="urn:microsoft.com/office/officeart/2005/8/layout/funnel1"/>
    <dgm:cxn modelId="{F66B90F7-789A-4E75-AEF4-456F3CE2F4EE}" type="presParOf" srcId="{D58A2ED3-82E4-4827-B9B1-59F5E4551259}" destId="{890D6864-5CBA-4D31-86DE-DFC42417FE95}" srcOrd="1" destOrd="0" presId="urn:microsoft.com/office/officeart/2005/8/layout/funnel1"/>
    <dgm:cxn modelId="{7EB2C372-9444-4FB0-85C9-76F46AE15817}" type="presParOf" srcId="{D58A2ED3-82E4-4827-B9B1-59F5E4551259}" destId="{C87404BC-A431-4E45-958D-5F6E11440295}" srcOrd="2" destOrd="0" presId="urn:microsoft.com/office/officeart/2005/8/layout/funnel1"/>
    <dgm:cxn modelId="{36037342-6AD5-4D66-86A2-A0D3C18EACB6}" type="presParOf" srcId="{D58A2ED3-82E4-4827-B9B1-59F5E4551259}" destId="{D11BC21B-1C77-408A-93A4-26958E4C6096}" srcOrd="3" destOrd="0" presId="urn:microsoft.com/office/officeart/2005/8/layout/funnel1"/>
    <dgm:cxn modelId="{06D62D49-13DC-479E-A613-77893EF75F29}" type="presParOf" srcId="{D58A2ED3-82E4-4827-B9B1-59F5E4551259}" destId="{7C220019-C151-405B-BF0F-FEAE050A6FDD}" srcOrd="4" destOrd="0" presId="urn:microsoft.com/office/officeart/2005/8/layout/funnel1"/>
    <dgm:cxn modelId="{824B326D-5C0B-4753-95AA-7F76D48647E4}" type="presParOf" srcId="{D58A2ED3-82E4-4827-B9B1-59F5E4551259}" destId="{47DE49F0-E05C-4AB5-8030-D222B47B5ABE}" srcOrd="5" destOrd="0" presId="urn:microsoft.com/office/officeart/2005/8/layout/funnel1"/>
    <dgm:cxn modelId="{0C9A8B33-9620-42B4-9AAD-5E25BB342DAE}" type="presParOf" srcId="{D58A2ED3-82E4-4827-B9B1-59F5E4551259}" destId="{DF62D6ED-74BF-446A-86A2-2B4CA16A0E62}" srcOrd="6" destOrd="0" presId="urn:microsoft.com/office/officeart/2005/8/layout/funnel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FB1B18-69B1-4866-AB62-ECE9D2D18BE7}">
      <dsp:nvSpPr>
        <dsp:cNvPr id="0" name=""/>
        <dsp:cNvSpPr/>
      </dsp:nvSpPr>
      <dsp:spPr>
        <a:xfrm rot="5400000">
          <a:off x="3422588" y="-1368841"/>
          <a:ext cx="616327" cy="3511296"/>
        </a:xfrm>
        <a:prstGeom prst="round2Same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US" sz="1000" kern="1200"/>
            <a:t>A literature review goes beyond summarizing past studies; it critically evaluates their quality, relevance, and identifies knowledge gaps, helping justify the need for new research.</a:t>
          </a:r>
        </a:p>
      </dsp:txBody>
      <dsp:txXfrm rot="-5400000">
        <a:off x="1975104" y="108730"/>
        <a:ext cx="3481209" cy="556153"/>
      </dsp:txXfrm>
    </dsp:sp>
    <dsp:sp modelId="{0F1FCDCC-605E-4EA6-A114-EFB48798A359}">
      <dsp:nvSpPr>
        <dsp:cNvPr id="0" name=""/>
        <dsp:cNvSpPr/>
      </dsp:nvSpPr>
      <dsp:spPr>
        <a:xfrm>
          <a:off x="0" y="1601"/>
          <a:ext cx="1975104" cy="770408"/>
        </a:xfrm>
        <a:prstGeom prst="round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3350" tIns="66675" rIns="133350" bIns="66675" numCol="1" spcCol="1270" anchor="ctr" anchorCtr="0">
          <a:noAutofit/>
        </a:bodyPr>
        <a:lstStyle/>
        <a:p>
          <a:pPr marL="0" lvl="0" indent="0" algn="ctr" defTabSz="1555750">
            <a:lnSpc>
              <a:spcPct val="90000"/>
            </a:lnSpc>
            <a:spcBef>
              <a:spcPct val="0"/>
            </a:spcBef>
            <a:spcAft>
              <a:spcPct val="35000"/>
            </a:spcAft>
            <a:buNone/>
          </a:pPr>
          <a:r>
            <a:rPr lang="en-US" sz="3500" kern="1200"/>
            <a:t>1</a:t>
          </a:r>
        </a:p>
      </dsp:txBody>
      <dsp:txXfrm>
        <a:off x="37608" y="39209"/>
        <a:ext cx="1899888" cy="695192"/>
      </dsp:txXfrm>
    </dsp:sp>
    <dsp:sp modelId="{DBC5752B-5F2D-4DAE-A7E4-2F936724A223}">
      <dsp:nvSpPr>
        <dsp:cNvPr id="0" name=""/>
        <dsp:cNvSpPr/>
      </dsp:nvSpPr>
      <dsp:spPr>
        <a:xfrm rot="5400000">
          <a:off x="3422588" y="-559912"/>
          <a:ext cx="616327" cy="3511296"/>
        </a:xfrm>
        <a:prstGeom prst="round2Same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US" sz="1000" kern="1200"/>
            <a:t>It helps researchers learn from previous work, refine their research focus, and develop meaningful research questions.</a:t>
          </a:r>
        </a:p>
      </dsp:txBody>
      <dsp:txXfrm rot="-5400000">
        <a:off x="1975104" y="917659"/>
        <a:ext cx="3481209" cy="556153"/>
      </dsp:txXfrm>
    </dsp:sp>
    <dsp:sp modelId="{1C41BE0E-BDDA-4B90-8A17-38B2F653AA08}">
      <dsp:nvSpPr>
        <dsp:cNvPr id="0" name=""/>
        <dsp:cNvSpPr/>
      </dsp:nvSpPr>
      <dsp:spPr>
        <a:xfrm>
          <a:off x="0" y="810530"/>
          <a:ext cx="1975104" cy="770408"/>
        </a:xfrm>
        <a:prstGeom prst="round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3350" tIns="66675" rIns="133350" bIns="66675" numCol="1" spcCol="1270" anchor="ctr" anchorCtr="0">
          <a:noAutofit/>
        </a:bodyPr>
        <a:lstStyle/>
        <a:p>
          <a:pPr marL="0" lvl="0" indent="0" algn="ctr" defTabSz="1555750">
            <a:lnSpc>
              <a:spcPct val="90000"/>
            </a:lnSpc>
            <a:spcBef>
              <a:spcPct val="0"/>
            </a:spcBef>
            <a:spcAft>
              <a:spcPct val="35000"/>
            </a:spcAft>
            <a:buNone/>
          </a:pPr>
          <a:r>
            <a:rPr lang="en-US" sz="3500" kern="1200"/>
            <a:t>2</a:t>
          </a:r>
        </a:p>
      </dsp:txBody>
      <dsp:txXfrm>
        <a:off x="37608" y="848138"/>
        <a:ext cx="1899888" cy="695192"/>
      </dsp:txXfrm>
    </dsp:sp>
    <dsp:sp modelId="{CE9CD337-DED0-46C5-AA4B-7704AC08C9BC}">
      <dsp:nvSpPr>
        <dsp:cNvPr id="0" name=""/>
        <dsp:cNvSpPr/>
      </dsp:nvSpPr>
      <dsp:spPr>
        <a:xfrm rot="5400000">
          <a:off x="3422588" y="249016"/>
          <a:ext cx="616327" cy="3511296"/>
        </a:xfrm>
        <a:prstGeom prst="round2Same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US" sz="1000" kern="1200"/>
            <a:t>It sets the broader research context by mapping existing studies, selecting appropriate variables, and informing theoretical frameworks.</a:t>
          </a:r>
        </a:p>
      </dsp:txBody>
      <dsp:txXfrm rot="-5400000">
        <a:off x="1975104" y="1726588"/>
        <a:ext cx="3481209" cy="556153"/>
      </dsp:txXfrm>
    </dsp:sp>
    <dsp:sp modelId="{F69B366E-803F-49F2-82A9-EA8B87467F0C}">
      <dsp:nvSpPr>
        <dsp:cNvPr id="0" name=""/>
        <dsp:cNvSpPr/>
      </dsp:nvSpPr>
      <dsp:spPr>
        <a:xfrm>
          <a:off x="0" y="1619460"/>
          <a:ext cx="1975104" cy="770408"/>
        </a:xfrm>
        <a:prstGeom prst="round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3350" tIns="66675" rIns="133350" bIns="66675" numCol="1" spcCol="1270" anchor="ctr" anchorCtr="0">
          <a:noAutofit/>
        </a:bodyPr>
        <a:lstStyle/>
        <a:p>
          <a:pPr marL="0" lvl="0" indent="0" algn="ctr" defTabSz="1555750">
            <a:lnSpc>
              <a:spcPct val="90000"/>
            </a:lnSpc>
            <a:spcBef>
              <a:spcPct val="0"/>
            </a:spcBef>
            <a:spcAft>
              <a:spcPct val="35000"/>
            </a:spcAft>
            <a:buNone/>
          </a:pPr>
          <a:r>
            <a:rPr lang="en-US" sz="3500" kern="1200"/>
            <a:t>3</a:t>
          </a:r>
        </a:p>
      </dsp:txBody>
      <dsp:txXfrm>
        <a:off x="37608" y="1657068"/>
        <a:ext cx="1899888" cy="695192"/>
      </dsp:txXfrm>
    </dsp:sp>
    <dsp:sp modelId="{FB365345-5B34-45D7-9CCD-4ED2C07095B5}">
      <dsp:nvSpPr>
        <dsp:cNvPr id="0" name=""/>
        <dsp:cNvSpPr/>
      </dsp:nvSpPr>
      <dsp:spPr>
        <a:xfrm rot="5400000">
          <a:off x="3422588" y="1057945"/>
          <a:ext cx="616327" cy="3511296"/>
        </a:xfrm>
        <a:prstGeom prst="round2Same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US" sz="1000" kern="1200"/>
            <a:t>It identifies inconsistencies, outdated ideas, and unexplored areas, especially important in fast-moving fields like AI, where older research can quickly become outdated.</a:t>
          </a:r>
        </a:p>
      </dsp:txBody>
      <dsp:txXfrm rot="-5400000">
        <a:off x="1975104" y="2535517"/>
        <a:ext cx="3481209" cy="556153"/>
      </dsp:txXfrm>
    </dsp:sp>
    <dsp:sp modelId="{022C89C7-2C1B-42E0-8A5B-DA98ED369591}">
      <dsp:nvSpPr>
        <dsp:cNvPr id="0" name=""/>
        <dsp:cNvSpPr/>
      </dsp:nvSpPr>
      <dsp:spPr>
        <a:xfrm>
          <a:off x="0" y="2428389"/>
          <a:ext cx="1975104" cy="770408"/>
        </a:xfrm>
        <a:prstGeom prst="round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3350" tIns="66675" rIns="133350" bIns="66675" numCol="1" spcCol="1270" anchor="ctr" anchorCtr="0">
          <a:noAutofit/>
        </a:bodyPr>
        <a:lstStyle/>
        <a:p>
          <a:pPr marL="0" lvl="0" indent="0" algn="ctr" defTabSz="1555750">
            <a:lnSpc>
              <a:spcPct val="90000"/>
            </a:lnSpc>
            <a:spcBef>
              <a:spcPct val="0"/>
            </a:spcBef>
            <a:spcAft>
              <a:spcPct val="35000"/>
            </a:spcAft>
            <a:buNone/>
          </a:pPr>
          <a:r>
            <a:rPr lang="en-US" sz="3500" kern="1200"/>
            <a:t>4</a:t>
          </a:r>
        </a:p>
      </dsp:txBody>
      <dsp:txXfrm>
        <a:off x="37608" y="2465997"/>
        <a:ext cx="1899888" cy="69519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8845AC-E5B6-4E99-AB28-8AEB0DB73130}">
      <dsp:nvSpPr>
        <dsp:cNvPr id="0" name=""/>
        <dsp:cNvSpPr/>
      </dsp:nvSpPr>
      <dsp:spPr>
        <a:xfrm>
          <a:off x="1449038" y="130016"/>
          <a:ext cx="2580322" cy="896112"/>
        </a:xfrm>
        <a:prstGeom prst="ellipse">
          <a:avLst/>
        </a:prstGeom>
        <a:solidFill>
          <a:schemeClr val="dk2">
            <a:tint val="50000"/>
            <a:alpha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90D6864-5CBA-4D31-86DE-DFC42417FE95}">
      <dsp:nvSpPr>
        <dsp:cNvPr id="0" name=""/>
        <dsp:cNvSpPr/>
      </dsp:nvSpPr>
      <dsp:spPr>
        <a:xfrm>
          <a:off x="2493168" y="2324290"/>
          <a:ext cx="500062" cy="320040"/>
        </a:xfrm>
        <a:prstGeom prst="downArrow">
          <a:avLst/>
        </a:prstGeom>
        <a:gradFill rotWithShape="0">
          <a:gsLst>
            <a:gs pos="0">
              <a:schemeClr val="dk2">
                <a:tint val="60000"/>
                <a:hueOff val="0"/>
                <a:satOff val="0"/>
                <a:lumOff val="0"/>
                <a:alphaOff val="0"/>
                <a:lumMod val="110000"/>
                <a:satMod val="105000"/>
                <a:tint val="67000"/>
              </a:schemeClr>
            </a:gs>
            <a:gs pos="50000">
              <a:schemeClr val="dk2">
                <a:tint val="60000"/>
                <a:hueOff val="0"/>
                <a:satOff val="0"/>
                <a:lumOff val="0"/>
                <a:alphaOff val="0"/>
                <a:lumMod val="105000"/>
                <a:satMod val="103000"/>
                <a:tint val="73000"/>
              </a:schemeClr>
            </a:gs>
            <a:gs pos="100000">
              <a:schemeClr val="dk2">
                <a:tint val="60000"/>
                <a:hueOff val="0"/>
                <a:satOff val="0"/>
                <a:lumOff val="0"/>
                <a:alphaOff val="0"/>
                <a:lumMod val="105000"/>
                <a:satMod val="109000"/>
                <a:tint val="81000"/>
              </a:schemeClr>
            </a:gs>
          </a:gsLst>
          <a:lin ang="5400000" scaled="0"/>
        </a:gradFill>
        <a:ln w="6350" cap="flat" cmpd="sng" algn="ctr">
          <a:solidFill>
            <a:schemeClr val="lt2">
              <a:hueOff val="0"/>
              <a:satOff val="0"/>
              <a:lumOff val="0"/>
              <a:alphaOff val="0"/>
            </a:schemeClr>
          </a:solidFill>
          <a:prstDash val="solid"/>
          <a:miter lim="800000"/>
        </a:ln>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 modelId="{C87404BC-A431-4E45-958D-5F6E11440295}">
      <dsp:nvSpPr>
        <dsp:cNvPr id="0" name=""/>
        <dsp:cNvSpPr/>
      </dsp:nvSpPr>
      <dsp:spPr>
        <a:xfrm>
          <a:off x="1543049" y="2580322"/>
          <a:ext cx="2400300" cy="6000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US" sz="1300" kern="1200"/>
            <a:t>Final Filtration – Full-Text Review</a:t>
          </a:r>
        </a:p>
      </dsp:txBody>
      <dsp:txXfrm>
        <a:off x="1543049" y="2580322"/>
        <a:ext cx="2400300" cy="600075"/>
      </dsp:txXfrm>
    </dsp:sp>
    <dsp:sp modelId="{D11BC21B-1C77-408A-93A4-26958E4C6096}">
      <dsp:nvSpPr>
        <dsp:cNvPr id="0" name=""/>
        <dsp:cNvSpPr/>
      </dsp:nvSpPr>
      <dsp:spPr>
        <a:xfrm>
          <a:off x="2387155" y="1095336"/>
          <a:ext cx="900112" cy="900112"/>
        </a:xfrm>
        <a:prstGeom prst="ellipse">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Second Filtration – Abstract Screening </a:t>
          </a:r>
        </a:p>
      </dsp:txBody>
      <dsp:txXfrm>
        <a:off x="2518973" y="1227154"/>
        <a:ext cx="636476" cy="636476"/>
      </dsp:txXfrm>
    </dsp:sp>
    <dsp:sp modelId="{7C220019-C151-405B-BF0F-FEAE050A6FDD}">
      <dsp:nvSpPr>
        <dsp:cNvPr id="0" name=""/>
        <dsp:cNvSpPr/>
      </dsp:nvSpPr>
      <dsp:spPr>
        <a:xfrm>
          <a:off x="1743075" y="420052"/>
          <a:ext cx="900112" cy="900112"/>
        </a:xfrm>
        <a:prstGeom prst="ellipse">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First Filtration - Title Screening</a:t>
          </a:r>
        </a:p>
      </dsp:txBody>
      <dsp:txXfrm>
        <a:off x="1874893" y="551870"/>
        <a:ext cx="636476" cy="636476"/>
      </dsp:txXfrm>
    </dsp:sp>
    <dsp:sp modelId="{47DE49F0-E05C-4AB5-8030-D222B47B5ABE}">
      <dsp:nvSpPr>
        <dsp:cNvPr id="0" name=""/>
        <dsp:cNvSpPr/>
      </dsp:nvSpPr>
      <dsp:spPr>
        <a:xfrm>
          <a:off x="2663190" y="202425"/>
          <a:ext cx="900112" cy="900112"/>
        </a:xfrm>
        <a:prstGeom prst="ellipse">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Initial Broad Search</a:t>
          </a:r>
        </a:p>
      </dsp:txBody>
      <dsp:txXfrm>
        <a:off x="2795008" y="334243"/>
        <a:ext cx="636476" cy="636476"/>
      </dsp:txXfrm>
    </dsp:sp>
    <dsp:sp modelId="{DF62D6ED-74BF-446A-86A2-2B4CA16A0E62}">
      <dsp:nvSpPr>
        <dsp:cNvPr id="0" name=""/>
        <dsp:cNvSpPr/>
      </dsp:nvSpPr>
      <dsp:spPr>
        <a:xfrm>
          <a:off x="1343025" y="20002"/>
          <a:ext cx="2800350" cy="2240280"/>
        </a:xfrm>
        <a:prstGeom prst="funnel">
          <a:avLst/>
        </a:prstGeom>
        <a:solidFill>
          <a:schemeClr val="lt2">
            <a:alpha val="40000"/>
            <a:hueOff val="0"/>
            <a:satOff val="0"/>
            <a:lumOff val="0"/>
            <a:alphaOff val="0"/>
          </a:schemeClr>
        </a:solidFill>
        <a:ln w="6350" cap="flat" cmpd="sng" algn="ctr">
          <a:solidFill>
            <a:schemeClr val="dk2">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funnel1">
  <dgm:title val=""/>
  <dgm:desc val=""/>
  <dgm:catLst>
    <dgm:cat type="relationship" pri="2000"/>
    <dgm:cat type="process" pri="27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4"/>
      <dgm:resizeHandles val="exact"/>
    </dgm:varLst>
    <dgm:alg type="composite">
      <dgm:param type="ar" val="1.25"/>
    </dgm:alg>
    <dgm:shape xmlns:r="http://schemas.openxmlformats.org/officeDocument/2006/relationships" r:blip="">
      <dgm:adjLst/>
    </dgm:shape>
    <dgm:presOf/>
    <dgm:choose name="Name1">
      <dgm:if name="Name2" axis="ch" ptType="node" func="cnt" op="equ" val="2">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w" for="ch" forName="item1" refType="w" fact="0.35"/>
          <dgm:constr type="h" for="ch" forName="item1" refType="w" fact="0.35"/>
          <dgm:constr type="t" for="ch" forName="item1" refType="h" fact="0.05"/>
          <dgm:constr type="l" for="ch" forName="item1" refType="w" fact="0.125"/>
          <dgm:constr type="primFontSz" for="ch" forName="item1" op="equ" val="65"/>
          <dgm:constr type="w" for="ch" forName="funnel" refType="w" fact="0.7"/>
          <dgm:constr type="h" for="ch" forName="funnel" refType="h" fact="0.7"/>
          <dgm:constr type="t" for="ch" forName="funnel"/>
          <dgm:constr type="l" for="ch" forName="funnel"/>
        </dgm:constrLst>
      </dgm:if>
      <dgm:else name="Name3">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primFontSz" for="ch" forName="rectangle" val="65"/>
          <dgm:constr type="w" for="ch" forName="item1" refType="w" fact="0.225"/>
          <dgm:constr type="h" for="ch" forName="item1" refType="w" fact="0.225"/>
          <dgm:constr type="t" for="ch" forName="item1" refType="h" fact="0.336"/>
          <dgm:constr type="l" for="ch" forName="item1" refType="w" fact="0.261"/>
          <dgm:constr type="primFontSz" for="ch" forName="item1" val="65"/>
          <dgm:constr type="w" for="ch" forName="item2" refType="w" fact="0.225"/>
          <dgm:constr type="h" for="ch" forName="item2" refType="w" fact="0.225"/>
          <dgm:constr type="t" for="ch" forName="item2" refType="h" fact="0.125"/>
          <dgm:constr type="l" for="ch" forName="item2" refType="w" fact="0.1"/>
          <dgm:constr type="primFontSz" for="ch" forName="item2" refType="primFontSz" refFor="ch" refForName="item1" op="equ"/>
          <dgm:constr type="w" for="ch" forName="item3" refType="w" fact="0.225"/>
          <dgm:constr type="h" for="ch" forName="item3" refType="w" fact="0.225"/>
          <dgm:constr type="t" for="ch" forName="item3" refType="h" fact="0.057"/>
          <dgm:constr type="l" for="ch" forName="item3" refType="w" fact="0.33"/>
          <dgm:constr type="primFontSz" for="ch" forName="item3" refType="primFontSz" refFor="ch" refForName="item1" op="equ"/>
          <dgm:constr type="w" for="ch" forName="funnel" refType="w" fact="0.7"/>
          <dgm:constr type="h" for="ch" forName="funnel" refType="h" fact="0.7"/>
          <dgm:constr type="t" for="ch" forName="funnel"/>
          <dgm:constr type="l" for="ch" forName="funnel"/>
        </dgm:constrLst>
      </dgm:else>
    </dgm:choose>
    <dgm:ruleLst/>
    <dgm:choose name="Name4">
      <dgm:if name="Name5" axis="ch" ptType="node" func="cnt" op="gte" val="1">
        <dgm:layoutNode name="ellipse" styleLbl="trBgShp">
          <dgm:alg type="sp"/>
          <dgm:shape xmlns:r="http://schemas.openxmlformats.org/officeDocument/2006/relationships" type="ellipse" r:blip="">
            <dgm:adjLst/>
          </dgm:shape>
          <dgm:presOf/>
          <dgm:constrLst/>
          <dgm:ruleLst/>
        </dgm:layoutNode>
        <dgm:layoutNode name="arrow1" styleLbl="fgShp">
          <dgm:alg type="sp"/>
          <dgm:shape xmlns:r="http://schemas.openxmlformats.org/officeDocument/2006/relationships" type="downArrow" r:blip="">
            <dgm:adjLst/>
          </dgm:shape>
          <dgm:presOf/>
          <dgm:constrLst/>
          <dgm:ruleLst/>
        </dgm:layoutNode>
        <dgm:layoutNode name="rectangle" styleLbl="revTx">
          <dgm:varLst>
            <dgm:bulletEnabled val="1"/>
          </dgm:varLst>
          <dgm:alg type="tx">
            <dgm:param type="txAnchorHorzCh" val="ctr"/>
          </dgm:alg>
          <dgm:shape xmlns:r="http://schemas.openxmlformats.org/officeDocument/2006/relationships" type="rect" r:blip="">
            <dgm:adjLst/>
          </dgm:shape>
          <dgm:choose name="Name6">
            <dgm:if name="Name7" axis="ch" ptType="node" func="cnt" op="equ" val="1">
              <dgm:presOf axis="ch desOrSelf" ptType="node node" st="1 1" cnt="1 0"/>
            </dgm:if>
            <dgm:if name="Name8" axis="ch" ptType="node" func="cnt" op="equ" val="2">
              <dgm:presOf axis="ch desOrSelf" ptType="node node" st="2 1" cnt="1 0"/>
            </dgm:if>
            <dgm:if name="Name9" axis="ch" ptType="node" func="cnt" op="equ" val="3">
              <dgm:presOf axis="ch desOrSelf" ptType="node node" st="3 1" cnt="1 0"/>
            </dgm:if>
            <dgm:else name="Name10">
              <dgm:presOf axis="ch desOrSelf" ptType="node node" st="4 1" cnt="1 0"/>
            </dgm:else>
          </dgm:choose>
          <dgm:constrLst/>
          <dgm:ruleLst>
            <dgm:rule type="primFontSz" val="5" fact="NaN" max="NaN"/>
          </dgm:ruleLst>
        </dgm:layoutNode>
        <dgm:forEach name="Name11" axis="ch" ptType="node" st="2" cnt="1">
          <dgm:layoutNode name="item1" styleLbl="node1">
            <dgm:varLst>
              <dgm:bulletEnabled val="1"/>
            </dgm:varLst>
            <dgm:alg type="tx">
              <dgm:param type="txAnchorVertCh" val="mid"/>
            </dgm:alg>
            <dgm:shape xmlns:r="http://schemas.openxmlformats.org/officeDocument/2006/relationships" type="ellipse" r:blip="">
              <dgm:adjLst/>
            </dgm:shape>
            <dgm:choose name="Name12">
              <dgm:if name="Name13" axis="root ch" ptType="all node" func="cnt" op="equ" val="1">
                <dgm:presOf/>
              </dgm:if>
              <dgm:if name="Name14" axis="root ch" ptType="all node" func="cnt" op="equ" val="2">
                <dgm:presOf axis="root ch desOrSelf" ptType="all node node" st="1 1 1" cnt="0 1 0"/>
              </dgm:if>
              <dgm:if name="Name15" axis="root ch" ptType="all node" func="cnt" op="equ" val="3">
                <dgm:presOf axis="root ch desOrSelf" ptType="all node node" st="1 2 1" cnt="0 1 0"/>
              </dgm:if>
              <dgm:else name="Name16">
                <dgm:presOf axis="root ch desOrSelf" ptType="all node node" st="1 3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17" axis="ch" ptType="node" st="3" cnt="1">
          <dgm:layoutNode name="item2" styleLbl="node1">
            <dgm:varLst>
              <dgm:bulletEnabled val="1"/>
            </dgm:varLst>
            <dgm:alg type="tx">
              <dgm:param type="txAnchorVertCh" val="mid"/>
            </dgm:alg>
            <dgm:shape xmlns:r="http://schemas.openxmlformats.org/officeDocument/2006/relationships" type="ellipse" r:blip="">
              <dgm:adjLst/>
            </dgm:shape>
            <dgm:choose name="Name18">
              <dgm:if name="Name19" axis="root ch" ptType="all node" func="cnt" op="equ" val="1">
                <dgm:presOf/>
              </dgm:if>
              <dgm:if name="Name20" axis="root ch" ptType="all node" func="cnt" op="equ" val="2">
                <dgm:presOf/>
              </dgm:if>
              <dgm:if name="Name21" axis="root ch" ptType="all node" func="cnt" op="equ" val="3">
                <dgm:presOf axis="root ch desOrSelf" ptType="all node node" st="1 1 1" cnt="0 1 0"/>
              </dgm:if>
              <dgm:else name="Name22">
                <dgm:presOf axis="root ch desOrSelf" ptType="all node node" st="1 2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23" axis="ch" ptType="node" st="4" cnt="1">
          <dgm:layoutNode name="item3" styleLbl="node1">
            <dgm:varLst>
              <dgm:bulletEnabled val="1"/>
            </dgm:varLst>
            <dgm:alg type="tx">
              <dgm:param type="txAnchorVertCh" val="mid"/>
            </dgm:alg>
            <dgm:shape xmlns:r="http://schemas.openxmlformats.org/officeDocument/2006/relationships" type="ellipse" r:blip="">
              <dgm:adjLst/>
            </dgm:shape>
            <dgm:choose name="Name24">
              <dgm:if name="Name25" axis="root ch" ptType="all node" func="cnt" op="equ" val="1">
                <dgm:presOf/>
              </dgm:if>
              <dgm:if name="Name26" axis="root ch" ptType="all node" func="cnt" op="equ" val="2">
                <dgm:presOf/>
              </dgm:if>
              <dgm:if name="Name27" axis="root ch" ptType="all node" func="cnt" op="equ" val="3">
                <dgm:presOf/>
              </dgm:if>
              <dgm:else name="Name28">
                <dgm:presOf axis="root ch desOrSelf" ptType="all node node" st="1 1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layoutNode name="funnel" styleLbl="trAlignAcc1">
          <dgm:alg type="sp"/>
          <dgm:shape xmlns:r="http://schemas.openxmlformats.org/officeDocument/2006/relationships" type="funnel" r:blip="">
            <dgm:adjLst/>
          </dgm:shape>
          <dgm:presOf/>
          <dgm:constrLst/>
          <dgm:ruleLst/>
        </dgm:layoutNode>
      </dgm:if>
      <dgm:else name="Name29"/>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1">
  <dgm:title val=""/>
  <dgm:desc val=""/>
  <dgm:catLst>
    <dgm:cat type="simple" pri="10300"/>
  </dgm:catLst>
  <dgm:scene3d>
    <a:camera prst="orthographicFront"/>
    <a:lightRig rig="threePt" dir="t"/>
  </dgm:scene3d>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2">
  <dgm:title val=""/>
  <dgm:desc val=""/>
  <dgm:catLst>
    <dgm:cat type="simple" pri="10300"/>
  </dgm:catLst>
  <dgm:scene3d>
    <a:camera prst="orthographicFront"/>
    <a:lightRig rig="threePt" dir="t"/>
  </dgm:scene3d>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38</Pages>
  <Words>8644</Words>
  <Characters>49276</Characters>
  <Application>Microsoft Office Word</Application>
  <DocSecurity>0</DocSecurity>
  <Lines>410</Lines>
  <Paragraphs>115</Paragraphs>
  <ScaleCrop>false</ScaleCrop>
  <Company/>
  <LinksUpToDate>false</LinksUpToDate>
  <CharactersWithSpaces>57805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qian tao</dc:creator>
  <cp:keywords/>
  <dc:description/>
  <cp:lastModifiedBy>qian tao</cp:lastModifiedBy>
  <cp:revision>2</cp:revision>
  <dcterms:created xsi:type="dcterms:W3CDTF">2025-05-28T13:27:00Z</dcterms:created>
  <dcterms:modified xsi:type="dcterms:W3CDTF">2025-05-28T13:30:00Z</dcterms:modified>
</cp:coreProperties>
</file>