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C18CA" w14:textId="3776D38F" w:rsidR="004E1AED" w:rsidRPr="004D06E8" w:rsidRDefault="001E630A" w:rsidP="004D06E8">
      <w:pPr>
        <w:pStyle w:val="Title"/>
        <w:shd w:val="clear" w:color="auto" w:fill="002060"/>
        <w:jc w:val="center"/>
        <w:rPr>
          <w:rFonts w:ascii="Calibri" w:hAnsi="Calibri" w:cs="Calibri"/>
          <w:b/>
          <w:bCs/>
          <w:color w:val="FFFFFF" w:themeColor="background1"/>
          <w:sz w:val="44"/>
          <w:szCs w:val="44"/>
        </w:rPr>
      </w:pPr>
      <w:r w:rsidRPr="004D06E8">
        <w:rPr>
          <w:rFonts w:ascii="Calibri" w:hAnsi="Calibri" w:cs="Calibri"/>
          <w:b/>
          <w:bCs/>
          <w:color w:val="FFFFFF" w:themeColor="background1"/>
          <w:sz w:val="44"/>
          <w:szCs w:val="44"/>
        </w:rPr>
        <w:t>suspect interview:</w:t>
      </w:r>
      <w:r w:rsidR="004D06E8" w:rsidRPr="004D06E8">
        <w:rPr>
          <w:rFonts w:ascii="Calibri" w:hAnsi="Calibri" w:cs="Calibri"/>
          <w:b/>
          <w:bCs/>
          <w:color w:val="FFFFFF" w:themeColor="background1"/>
          <w:sz w:val="44"/>
          <w:szCs w:val="44"/>
        </w:rPr>
        <w:t xml:space="preserve"> </w:t>
      </w:r>
      <w:r w:rsidRPr="004D06E8">
        <w:rPr>
          <w:rFonts w:ascii="Calibri" w:hAnsi="Calibri" w:cs="Calibri"/>
          <w:b/>
          <w:bCs/>
          <w:color w:val="FFFFFF" w:themeColor="background1"/>
          <w:sz w:val="44"/>
          <w:szCs w:val="44"/>
        </w:rPr>
        <w:t>account</w:t>
      </w:r>
    </w:p>
    <w:p w14:paraId="5262E1CB" w14:textId="6B94411F" w:rsidR="001E630A" w:rsidRPr="004D06E8" w:rsidRDefault="001E630A" w:rsidP="001E630A">
      <w:pPr>
        <w:jc w:val="center"/>
        <w:rPr>
          <w:rFonts w:ascii="Calibri" w:hAnsi="Calibri" w:cs="Calibri"/>
          <w:b/>
          <w:u w:val="single"/>
        </w:rPr>
      </w:pPr>
      <w:r w:rsidRPr="004D06E8">
        <w:rPr>
          <w:rFonts w:ascii="Calibri" w:hAnsi="Calibri" w:cs="Calibri"/>
          <w:b/>
          <w:u w:val="single"/>
        </w:rPr>
        <w:t>Aide Memoir</w:t>
      </w:r>
      <w:r w:rsidR="003518F5" w:rsidRPr="004D06E8">
        <w:rPr>
          <w:rFonts w:ascii="Calibri" w:hAnsi="Calibri" w:cs="Calibri"/>
          <w:b/>
          <w:u w:val="single"/>
        </w:rPr>
        <w:t>e</w:t>
      </w:r>
      <w:r w:rsidRPr="004D06E8">
        <w:rPr>
          <w:rFonts w:ascii="Calibri" w:hAnsi="Calibri" w:cs="Calibri"/>
          <w:b/>
          <w:u w:val="single"/>
        </w:rPr>
        <w:t xml:space="preserve"> for Prepared Statements</w:t>
      </w:r>
    </w:p>
    <w:p w14:paraId="367D050F" w14:textId="77777777" w:rsidR="001E630A" w:rsidRPr="004D06E8" w:rsidRDefault="001E630A" w:rsidP="001E630A">
      <w:pPr>
        <w:rPr>
          <w:rFonts w:ascii="Calibri" w:hAnsi="Calibri" w:cs="Calibri"/>
        </w:rPr>
      </w:pPr>
      <w:r w:rsidRPr="004D06E8">
        <w:rPr>
          <w:rFonts w:ascii="Calibri" w:hAnsi="Calibri" w:cs="Calibri"/>
        </w:rPr>
        <w:t>It is common for prepared statements to be tendered at the commencement of the interview and on tape, although they can be produced at the end of the interview process or even immediately before charge.  Whatever the case, they should be dealt with in an interview and on tape.</w:t>
      </w:r>
    </w:p>
    <w:p w14:paraId="7537E1E5" w14:textId="77777777" w:rsidR="001E630A" w:rsidRPr="004D06E8" w:rsidRDefault="001E630A" w:rsidP="001E630A">
      <w:pPr>
        <w:rPr>
          <w:rFonts w:ascii="Calibri" w:hAnsi="Calibri" w:cs="Calibri"/>
        </w:rPr>
      </w:pPr>
      <w:r w:rsidRPr="004D06E8">
        <w:rPr>
          <w:rFonts w:ascii="Calibri" w:hAnsi="Calibri" w:cs="Calibri"/>
        </w:rPr>
        <w:t>This statement may be read by the suspect or legal advisor on their behalf with their consent.  At this point the prepared statement is no longer subject of legal privilege.</w:t>
      </w:r>
    </w:p>
    <w:p w14:paraId="7BE1F909" w14:textId="77777777" w:rsidR="001E630A" w:rsidRPr="004D06E8" w:rsidRDefault="001E630A" w:rsidP="001E630A">
      <w:pPr>
        <w:pStyle w:val="ListParagraph"/>
        <w:numPr>
          <w:ilvl w:val="0"/>
          <w:numId w:val="22"/>
        </w:numPr>
        <w:spacing w:before="0" w:after="0" w:line="240" w:lineRule="auto"/>
        <w:rPr>
          <w:rFonts w:ascii="Calibri" w:hAnsi="Calibri" w:cs="Calibri"/>
        </w:rPr>
      </w:pPr>
      <w:r w:rsidRPr="004D06E8">
        <w:rPr>
          <w:rFonts w:ascii="Calibri" w:hAnsi="Calibri" w:cs="Calibri"/>
        </w:rPr>
        <w:t xml:space="preserve">On receipt of the prepared statement (either read out or handed to), the interviewing officer should </w:t>
      </w:r>
      <w:r w:rsidRPr="004D06E8">
        <w:rPr>
          <w:rFonts w:ascii="Calibri" w:hAnsi="Calibri" w:cs="Calibri"/>
          <w:b/>
        </w:rPr>
        <w:t>accept the statement and obtain a copy or preferably the original</w:t>
      </w:r>
      <w:r w:rsidRPr="004D06E8">
        <w:rPr>
          <w:rFonts w:ascii="Calibri" w:hAnsi="Calibri" w:cs="Calibri"/>
        </w:rPr>
        <w:t xml:space="preserve"> from the legal advisor wherever possible.</w:t>
      </w:r>
    </w:p>
    <w:p w14:paraId="271BCF5F" w14:textId="77777777" w:rsidR="001E630A" w:rsidRPr="004D06E8" w:rsidRDefault="001E630A" w:rsidP="001E630A">
      <w:pPr>
        <w:pStyle w:val="ListParagraph"/>
        <w:numPr>
          <w:ilvl w:val="0"/>
          <w:numId w:val="22"/>
        </w:numPr>
        <w:spacing w:before="0" w:after="0" w:line="240" w:lineRule="auto"/>
        <w:rPr>
          <w:rFonts w:ascii="Calibri" w:hAnsi="Calibri" w:cs="Calibri"/>
        </w:rPr>
      </w:pPr>
      <w:r w:rsidRPr="004D06E8">
        <w:rPr>
          <w:rFonts w:ascii="Calibri" w:hAnsi="Calibri" w:cs="Calibri"/>
        </w:rPr>
        <w:t xml:space="preserve">Ask the suspect to confirm that the statement is made by them.  Remember the legal advisor cannot answer on behalf of the suspect, </w:t>
      </w:r>
      <w:r w:rsidRPr="004D06E8">
        <w:rPr>
          <w:rFonts w:ascii="Calibri" w:hAnsi="Calibri" w:cs="Calibri"/>
          <w:b/>
        </w:rPr>
        <w:t>the suspect must take clear ownership of the statement.</w:t>
      </w:r>
    </w:p>
    <w:p w14:paraId="70EF4826" w14:textId="77777777" w:rsidR="001E630A" w:rsidRPr="004D06E8" w:rsidRDefault="001E630A" w:rsidP="001E630A">
      <w:pPr>
        <w:pStyle w:val="ListParagraph"/>
        <w:numPr>
          <w:ilvl w:val="0"/>
          <w:numId w:val="22"/>
        </w:numPr>
        <w:spacing w:before="0" w:after="0" w:line="240" w:lineRule="auto"/>
        <w:rPr>
          <w:rFonts w:ascii="Calibri" w:hAnsi="Calibri" w:cs="Calibri"/>
        </w:rPr>
      </w:pPr>
      <w:r w:rsidRPr="004D06E8">
        <w:rPr>
          <w:rFonts w:ascii="Calibri" w:hAnsi="Calibri" w:cs="Calibri"/>
        </w:rPr>
        <w:t xml:space="preserve">It should be signed by the accused.  If not ask them to </w:t>
      </w:r>
      <w:r w:rsidRPr="004D06E8">
        <w:rPr>
          <w:rFonts w:ascii="Calibri" w:hAnsi="Calibri" w:cs="Calibri"/>
          <w:b/>
        </w:rPr>
        <w:t>sign and date it.</w:t>
      </w:r>
      <w:r w:rsidRPr="004D06E8">
        <w:rPr>
          <w:rFonts w:ascii="Calibri" w:hAnsi="Calibri" w:cs="Calibri"/>
        </w:rPr>
        <w:t xml:space="preserve">  If they refuse this cannot be enforced.</w:t>
      </w:r>
    </w:p>
    <w:p w14:paraId="26AFD570" w14:textId="77777777" w:rsidR="001E630A" w:rsidRPr="004D06E8" w:rsidRDefault="001E630A" w:rsidP="001E630A">
      <w:pPr>
        <w:pStyle w:val="ListParagraph"/>
        <w:numPr>
          <w:ilvl w:val="0"/>
          <w:numId w:val="22"/>
        </w:numPr>
        <w:spacing w:before="0" w:after="0" w:line="240" w:lineRule="auto"/>
        <w:rPr>
          <w:rFonts w:ascii="Calibri" w:hAnsi="Calibri" w:cs="Calibri"/>
        </w:rPr>
      </w:pPr>
      <w:r w:rsidRPr="004D06E8">
        <w:rPr>
          <w:rFonts w:ascii="Calibri" w:hAnsi="Calibri" w:cs="Calibri"/>
        </w:rPr>
        <w:t xml:space="preserve">The </w:t>
      </w:r>
      <w:r w:rsidRPr="004D06E8">
        <w:rPr>
          <w:rFonts w:ascii="Calibri" w:hAnsi="Calibri" w:cs="Calibri"/>
          <w:b/>
        </w:rPr>
        <w:t>interview should then be concluded,</w:t>
      </w:r>
      <w:r w:rsidRPr="004D06E8">
        <w:rPr>
          <w:rFonts w:ascii="Calibri" w:hAnsi="Calibri" w:cs="Calibri"/>
        </w:rPr>
        <w:t xml:space="preserve"> informing the legal advisor that the interviewing officer will now consider the statement tendered and the need for further interviews.</w:t>
      </w:r>
    </w:p>
    <w:p w14:paraId="429BF870" w14:textId="77777777" w:rsidR="001E630A" w:rsidRPr="004D06E8" w:rsidRDefault="001E630A" w:rsidP="001E630A">
      <w:pPr>
        <w:pStyle w:val="ListParagraph"/>
        <w:numPr>
          <w:ilvl w:val="0"/>
          <w:numId w:val="22"/>
        </w:numPr>
        <w:spacing w:before="0" w:after="0" w:line="240" w:lineRule="auto"/>
        <w:rPr>
          <w:rFonts w:ascii="Calibri" w:hAnsi="Calibri" w:cs="Calibri"/>
        </w:rPr>
      </w:pPr>
      <w:r w:rsidRPr="004D06E8">
        <w:rPr>
          <w:rFonts w:ascii="Calibri" w:hAnsi="Calibri" w:cs="Calibri"/>
        </w:rPr>
        <w:t xml:space="preserve">The prepared statement should then be analysed, in essence it is a </w:t>
      </w:r>
      <w:r w:rsidRPr="004D06E8">
        <w:rPr>
          <w:rFonts w:ascii="Calibri" w:hAnsi="Calibri" w:cs="Calibri"/>
          <w:b/>
        </w:rPr>
        <w:t>‘First Account’</w:t>
      </w:r>
      <w:r w:rsidRPr="004D06E8">
        <w:rPr>
          <w:rFonts w:ascii="Calibri" w:hAnsi="Calibri" w:cs="Calibri"/>
        </w:rPr>
        <w:t xml:space="preserve"> and should be treated as such.  Look for </w:t>
      </w:r>
      <w:r w:rsidRPr="004D06E8">
        <w:rPr>
          <w:rFonts w:ascii="Calibri" w:hAnsi="Calibri" w:cs="Calibri"/>
          <w:b/>
        </w:rPr>
        <w:t>‘Missing information’</w:t>
      </w:r>
      <w:r w:rsidRPr="004D06E8">
        <w:rPr>
          <w:rFonts w:ascii="Calibri" w:hAnsi="Calibri" w:cs="Calibri"/>
        </w:rPr>
        <w:t xml:space="preserve"> and / or </w:t>
      </w:r>
      <w:r w:rsidRPr="004D06E8">
        <w:rPr>
          <w:rFonts w:ascii="Calibri" w:hAnsi="Calibri" w:cs="Calibri"/>
          <w:b/>
        </w:rPr>
        <w:t>‘Jumps’, ‘Gaps’</w:t>
      </w:r>
      <w:r w:rsidRPr="004D06E8">
        <w:rPr>
          <w:rFonts w:ascii="Calibri" w:hAnsi="Calibri" w:cs="Calibri"/>
        </w:rPr>
        <w:t xml:space="preserve"> and any </w:t>
      </w:r>
      <w:r w:rsidRPr="004D06E8">
        <w:rPr>
          <w:rFonts w:ascii="Calibri" w:hAnsi="Calibri" w:cs="Calibri"/>
          <w:b/>
        </w:rPr>
        <w:t>‘Anomalies’</w:t>
      </w:r>
      <w:r w:rsidRPr="004D06E8">
        <w:rPr>
          <w:rFonts w:ascii="Calibri" w:hAnsi="Calibri" w:cs="Calibri"/>
        </w:rPr>
        <w:t xml:space="preserve"> within the prepared statement.  They should also identify any technical jargon or vague language used and explore what is precisely meant by that language:</w:t>
      </w:r>
    </w:p>
    <w:p w14:paraId="7496B6DA" w14:textId="77777777" w:rsidR="001E630A" w:rsidRPr="004D06E8" w:rsidRDefault="001E630A" w:rsidP="001E630A">
      <w:pPr>
        <w:rPr>
          <w:rFonts w:ascii="Calibri" w:hAnsi="Calibri" w:cs="Calibri"/>
        </w:rPr>
      </w:pPr>
      <w:r w:rsidRPr="004D06E8">
        <w:rPr>
          <w:rFonts w:ascii="Calibri" w:hAnsi="Calibri" w:cs="Calibri"/>
        </w:rPr>
        <w:t>e.g.</w:t>
      </w:r>
      <w:r w:rsidRPr="004D06E8">
        <w:rPr>
          <w:rFonts w:ascii="Calibri" w:hAnsi="Calibri" w:cs="Calibri"/>
        </w:rPr>
        <w:tab/>
      </w:r>
      <w:r w:rsidRPr="004D06E8">
        <w:rPr>
          <w:rFonts w:ascii="Calibri" w:hAnsi="Calibri" w:cs="Calibri"/>
          <w:b/>
        </w:rPr>
        <w:t>‘I was with my sister’.</w:t>
      </w:r>
      <w:r w:rsidRPr="004D06E8">
        <w:rPr>
          <w:rFonts w:ascii="Calibri" w:hAnsi="Calibri" w:cs="Calibri"/>
        </w:rPr>
        <w:t xml:space="preserve">  Who is your sister? Where were they? Over what period were they with her? Etc.</w:t>
      </w:r>
    </w:p>
    <w:p w14:paraId="54F1C50D" w14:textId="77777777" w:rsidR="001E630A" w:rsidRPr="004D06E8" w:rsidRDefault="001E630A" w:rsidP="001E630A">
      <w:pPr>
        <w:ind w:firstLine="540"/>
        <w:rPr>
          <w:rFonts w:ascii="Calibri" w:hAnsi="Calibri" w:cs="Calibri"/>
        </w:rPr>
      </w:pPr>
      <w:r w:rsidRPr="004D06E8">
        <w:rPr>
          <w:rFonts w:ascii="Calibri" w:hAnsi="Calibri" w:cs="Calibri"/>
        </w:rPr>
        <w:tab/>
      </w:r>
      <w:r w:rsidRPr="004D06E8">
        <w:rPr>
          <w:rFonts w:ascii="Calibri" w:hAnsi="Calibri" w:cs="Calibri"/>
          <w:b/>
        </w:rPr>
        <w:t xml:space="preserve">‘I then hit him’.  </w:t>
      </w:r>
      <w:r w:rsidRPr="004D06E8">
        <w:rPr>
          <w:rFonts w:ascii="Calibri" w:hAnsi="Calibri" w:cs="Calibri"/>
        </w:rPr>
        <w:t>How did you hit him? Where did you hit him? How hard did you hit him? How many times did you hit him? Etc.</w:t>
      </w:r>
    </w:p>
    <w:p w14:paraId="5A21674D" w14:textId="77777777" w:rsidR="001E630A" w:rsidRPr="004D06E8" w:rsidRDefault="001E630A" w:rsidP="001E630A">
      <w:pPr>
        <w:rPr>
          <w:rFonts w:ascii="Calibri" w:hAnsi="Calibri" w:cs="Calibri"/>
        </w:rPr>
      </w:pPr>
      <w:r w:rsidRPr="004D06E8">
        <w:rPr>
          <w:rFonts w:ascii="Calibri" w:hAnsi="Calibri" w:cs="Calibri"/>
          <w:b/>
        </w:rPr>
        <w:tab/>
        <w:t>‘I then went home’.</w:t>
      </w:r>
      <w:r w:rsidRPr="004D06E8">
        <w:rPr>
          <w:rFonts w:ascii="Calibri" w:hAnsi="Calibri" w:cs="Calibri"/>
        </w:rPr>
        <w:t xml:space="preserve">  How did you get home? Which route did you take? What address do you mean by home? How long did it take you to get home? Etc.</w:t>
      </w:r>
    </w:p>
    <w:p w14:paraId="4E84DE2C" w14:textId="77777777" w:rsidR="001E630A" w:rsidRPr="004D06E8" w:rsidRDefault="001E630A" w:rsidP="001E630A">
      <w:pPr>
        <w:rPr>
          <w:rFonts w:ascii="Calibri" w:hAnsi="Calibri" w:cs="Calibri"/>
        </w:rPr>
      </w:pPr>
      <w:r w:rsidRPr="004D06E8">
        <w:rPr>
          <w:rFonts w:ascii="Calibri" w:hAnsi="Calibri" w:cs="Calibri"/>
        </w:rPr>
        <w:t xml:space="preserve">Any further interviews after a prepared statement should then be based on this </w:t>
      </w:r>
      <w:r w:rsidRPr="004D06E8">
        <w:rPr>
          <w:rFonts w:ascii="Calibri" w:hAnsi="Calibri" w:cs="Calibri"/>
          <w:b/>
        </w:rPr>
        <w:t>missing information</w:t>
      </w:r>
      <w:r w:rsidRPr="004D06E8">
        <w:rPr>
          <w:rFonts w:ascii="Calibri" w:hAnsi="Calibri" w:cs="Calibri"/>
        </w:rPr>
        <w:t xml:space="preserve"> and </w:t>
      </w:r>
      <w:r w:rsidRPr="004D06E8">
        <w:rPr>
          <w:rFonts w:ascii="Calibri" w:hAnsi="Calibri" w:cs="Calibri"/>
          <w:b/>
        </w:rPr>
        <w:t>not on the information contained in their prepared statement.</w:t>
      </w:r>
    </w:p>
    <w:p w14:paraId="5A4C18B9" w14:textId="77777777" w:rsidR="001E630A" w:rsidRPr="004D06E8" w:rsidRDefault="001E630A" w:rsidP="001E630A">
      <w:pPr>
        <w:rPr>
          <w:rFonts w:ascii="Calibri" w:hAnsi="Calibri" w:cs="Calibri"/>
        </w:rPr>
      </w:pPr>
      <w:r w:rsidRPr="004D06E8">
        <w:rPr>
          <w:rFonts w:ascii="Calibri" w:hAnsi="Calibri" w:cs="Calibri"/>
        </w:rPr>
        <w:t xml:space="preserve">The solicitor may try and prevent any further interviews taking place after the delivery of the prepared statement, quoting the case </w:t>
      </w:r>
      <w:r w:rsidRPr="004D06E8">
        <w:rPr>
          <w:rFonts w:ascii="Calibri" w:hAnsi="Calibri" w:cs="Calibri"/>
          <w:b/>
        </w:rPr>
        <w:t>R v KNIGHT (2003).</w:t>
      </w:r>
      <w:r w:rsidRPr="004D06E8">
        <w:rPr>
          <w:rFonts w:ascii="Calibri" w:hAnsi="Calibri" w:cs="Calibri"/>
        </w:rPr>
        <w:t xml:space="preserve">  If so this is a misinterpretation of that case and we should explain we have a responsibility to thoroughly investigate the matter which includes obtaining the missing detail.</w:t>
      </w:r>
    </w:p>
    <w:p w14:paraId="345D49C6" w14:textId="77777777" w:rsidR="001E630A" w:rsidRPr="004D06E8" w:rsidRDefault="001E630A" w:rsidP="001E630A">
      <w:pPr>
        <w:rPr>
          <w:rFonts w:ascii="Calibri" w:hAnsi="Calibri" w:cs="Calibri"/>
          <w:b/>
        </w:rPr>
      </w:pPr>
      <w:r w:rsidRPr="004D06E8">
        <w:rPr>
          <w:rFonts w:ascii="Calibri" w:hAnsi="Calibri" w:cs="Calibri"/>
        </w:rPr>
        <w:t xml:space="preserve">Remember that it is the judge that ultimately decide on the facts that the accused has relied upon at court, which he could have reasonably expected to mention during the interview, not the solicitor during the interview itself.  </w:t>
      </w:r>
      <w:r w:rsidRPr="004D06E8">
        <w:rPr>
          <w:rFonts w:ascii="Calibri" w:hAnsi="Calibri" w:cs="Calibri"/>
          <w:b/>
        </w:rPr>
        <w:t>Section 34 Criminal Justice and Public Order Act 1994 (Adverse inferences).</w:t>
      </w:r>
    </w:p>
    <w:p w14:paraId="70A30100" w14:textId="77777777" w:rsidR="001E630A" w:rsidRPr="001E630A" w:rsidRDefault="001E630A" w:rsidP="001E630A"/>
    <w:sectPr w:rsidR="001E630A" w:rsidRPr="001E630A" w:rsidSect="004E1AE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F8A3E" w14:textId="77777777" w:rsidR="001E630A" w:rsidRDefault="001E630A">
      <w:pPr>
        <w:spacing w:after="0" w:line="240" w:lineRule="auto"/>
      </w:pPr>
      <w:r>
        <w:separator/>
      </w:r>
    </w:p>
  </w:endnote>
  <w:endnote w:type="continuationSeparator" w:id="0">
    <w:p w14:paraId="5C8002F8" w14:textId="77777777" w:rsidR="001E630A" w:rsidRDefault="001E6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593A5" w14:textId="77777777" w:rsidR="00EC73CC" w:rsidRDefault="00EC73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527538"/>
      <w:docPartObj>
        <w:docPartGallery w:val="Page Numbers (Bottom of Page)"/>
        <w:docPartUnique/>
      </w:docPartObj>
    </w:sdtPr>
    <w:sdtEndPr>
      <w:rPr>
        <w:noProof/>
      </w:rPr>
    </w:sdtEndPr>
    <w:sdtContent>
      <w:p w14:paraId="08FD092C" w14:textId="77777777" w:rsidR="004E1AED" w:rsidRDefault="004E1AED">
        <w:pPr>
          <w:pStyle w:val="Footer"/>
        </w:pPr>
        <w:r>
          <w:fldChar w:fldCharType="begin"/>
        </w:r>
        <w:r>
          <w:instrText xml:space="preserve"> PAGE   \* MERGEFORMAT </w:instrText>
        </w:r>
        <w:r>
          <w:fldChar w:fldCharType="separate"/>
        </w:r>
        <w:r w:rsidR="001E630A">
          <w:rPr>
            <w:noProof/>
          </w:rPr>
          <w:t>3</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CED2B" w14:textId="0C287240" w:rsidR="004D06E8" w:rsidRDefault="004D06E8">
    <w:pPr>
      <w:pStyle w:val="Footer"/>
      <w:rPr>
        <w:rFonts w:ascii="Calibri" w:hAnsi="Calibri" w:cs="Calibri"/>
        <w:sz w:val="18"/>
        <w:szCs w:val="18"/>
      </w:rPr>
    </w:pPr>
    <w:r>
      <w:rPr>
        <w:rFonts w:ascii="Calibri" w:hAnsi="Calibri" w:cs="Calibri"/>
        <w:sz w:val="18"/>
        <w:szCs w:val="18"/>
      </w:rPr>
      <w:t>SN3514                                                                                         Version 1.0</w:t>
    </w:r>
  </w:p>
  <w:p w14:paraId="06B3AF43" w14:textId="47B097AD" w:rsidR="004D06E8" w:rsidRPr="004D06E8" w:rsidRDefault="004D06E8">
    <w:pPr>
      <w:pStyle w:val="Footer"/>
      <w:rPr>
        <w:rFonts w:ascii="Calibri" w:hAnsi="Calibri" w:cs="Calibri"/>
        <w:sz w:val="18"/>
        <w:szCs w:val="18"/>
      </w:rPr>
    </w:pPr>
    <w:r>
      <w:rPr>
        <w:rFonts w:ascii="Calibri" w:hAnsi="Calibri" w:cs="Calibri"/>
        <w:sz w:val="18"/>
        <w:szCs w:val="18"/>
      </w:rPr>
      <w:t>March 2022</w:t>
    </w:r>
  </w:p>
  <w:p w14:paraId="1D6E67EC" w14:textId="77777777" w:rsidR="00EC73CC" w:rsidRDefault="00EC7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A4DFE" w14:textId="77777777" w:rsidR="001E630A" w:rsidRDefault="001E630A">
      <w:pPr>
        <w:spacing w:after="0" w:line="240" w:lineRule="auto"/>
      </w:pPr>
      <w:r>
        <w:separator/>
      </w:r>
    </w:p>
  </w:footnote>
  <w:footnote w:type="continuationSeparator" w:id="0">
    <w:p w14:paraId="441D26E6" w14:textId="77777777" w:rsidR="001E630A" w:rsidRDefault="001E63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E0F58" w14:textId="77777777" w:rsidR="00EC73CC" w:rsidRDefault="00EC73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A6B9B" w14:textId="77777777" w:rsidR="00EC73CC" w:rsidRDefault="00EC73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568AB" w14:textId="1B70C356" w:rsidR="004D06E8" w:rsidRPr="004D06E8" w:rsidRDefault="004D06E8" w:rsidP="004D06E8">
    <w:pPr>
      <w:pStyle w:val="Header"/>
      <w:jc w:val="center"/>
      <w:rPr>
        <w:rFonts w:ascii="Calibri" w:hAnsi="Calibri" w:cs="Calibri"/>
        <w:color w:val="FF0000"/>
      </w:rPr>
    </w:pPr>
    <w:r w:rsidRPr="004D06E8">
      <w:rPr>
        <w:rFonts w:ascii="Calibri" w:hAnsi="Calibri" w:cs="Calibri"/>
        <w:color w:val="FF0000"/>
      </w:rPr>
      <w:t>OFFICIAL SWYDDOGOL</w:t>
    </w:r>
  </w:p>
  <w:p w14:paraId="0A0A410F" w14:textId="77777777" w:rsidR="00EC73CC" w:rsidRDefault="00EC73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D91332F"/>
    <w:multiLevelType w:val="hybridMultilevel"/>
    <w:tmpl w:val="BB94A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274821"/>
    <w:multiLevelType w:val="hybridMultilevel"/>
    <w:tmpl w:val="85766912"/>
    <w:lvl w:ilvl="0" w:tplc="CDEED1CE">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D4E522D"/>
    <w:multiLevelType w:val="hybridMultilevel"/>
    <w:tmpl w:val="8F0058C6"/>
    <w:lvl w:ilvl="0" w:tplc="0809000D">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CDF56CE"/>
    <w:multiLevelType w:val="hybridMultilevel"/>
    <w:tmpl w:val="91C82F5A"/>
    <w:lvl w:ilvl="0" w:tplc="CDEED1CE">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6"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B044425"/>
    <w:multiLevelType w:val="hybridMultilevel"/>
    <w:tmpl w:val="995A9B5A"/>
    <w:lvl w:ilvl="0" w:tplc="CDEED1CE">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7"/>
  </w:num>
  <w:num w:numId="2">
    <w:abstractNumId w:val="12"/>
  </w:num>
  <w:num w:numId="3">
    <w:abstractNumId w:val="16"/>
  </w:num>
  <w:num w:numId="4">
    <w:abstractNumId w:val="13"/>
  </w:num>
  <w:num w:numId="5">
    <w:abstractNumId w:val="20"/>
  </w:num>
  <w:num w:numId="6">
    <w:abstractNumId w:val="21"/>
  </w:num>
  <w:num w:numId="7">
    <w:abstractNumId w:val="19"/>
  </w:num>
  <w:num w:numId="8">
    <w:abstractNumId w:val="22"/>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1"/>
  </w:num>
  <w:num w:numId="20">
    <w:abstractNumId w:val="18"/>
  </w:num>
  <w:num w:numId="21">
    <w:abstractNumId w:val="15"/>
  </w:num>
  <w:num w:numId="22">
    <w:abstractNumId w:val="10"/>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30A"/>
    <w:rsid w:val="00194DF6"/>
    <w:rsid w:val="001E630A"/>
    <w:rsid w:val="003518F5"/>
    <w:rsid w:val="004D06E8"/>
    <w:rsid w:val="004E1AED"/>
    <w:rsid w:val="005C12A5"/>
    <w:rsid w:val="00A1310C"/>
    <w:rsid w:val="00D47A97"/>
    <w:rsid w:val="00EC73C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55C353"/>
  <w15:docId w15:val="{4E288811-0E1E-472E-9280-FFF4BC2CC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 w:type="paragraph" w:styleId="ListParagraph">
    <w:name w:val="List Paragraph"/>
    <w:basedOn w:val="Normal"/>
    <w:uiPriority w:val="34"/>
    <w:unhideWhenUsed/>
    <w:qFormat/>
    <w:rsid w:val="001E63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305910\AppData\Roaming\Microsoft\Templates\Banded%20design%20(blank).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SelectedStyle="\APA.XSL" StyleName="APA">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Props1.xml><?xml version="1.0" encoding="utf-8"?>
<ds:datastoreItem xmlns:ds="http://schemas.openxmlformats.org/officeDocument/2006/customXml" ds:itemID="{0BE0DD3C-43DA-45CA-A390-4989A6F5CEC4}">
  <ds:schemaRefs>
    <ds:schemaRef ds:uri="http://schemas.openxmlformats.org/officeDocument/2006/bibliography"/>
  </ds:schemaRefs>
</ds:datastoreItem>
</file>

<file path=customXml/itemProps2.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3.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AE4ADC-D632-40A7-A0C1-0481BB069C4F}">
  <ds:schemaRefs>
    <ds:schemaRef ds:uri="http://schemas.microsoft.com/office/2006/documentManagement/types"/>
    <ds:schemaRef ds:uri="http://schemas.microsoft.com/office/2006/metadata/properties"/>
    <ds:schemaRef ds:uri="http://purl.org/dc/elements/1.1/"/>
    <ds:schemaRef ds:uri="4873beb7-5857-4685-be1f-d57550cc96cc"/>
    <ds:schemaRef ds:uri="http://schemas.openxmlformats.org/package/2006/metadata/core-properties"/>
    <ds:schemaRef ds:uri="http://purl.org/dc/terms/"/>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Banded design (blank)</Template>
  <TotalTime>93</TotalTime>
  <Pages>1</Pages>
  <Words>408</Words>
  <Characters>2326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Stockwin Damion</dc:creator>
  <cp:lastModifiedBy>Neil,Sharon swp3514</cp:lastModifiedBy>
  <cp:revision>3</cp:revision>
  <dcterms:created xsi:type="dcterms:W3CDTF">2022-03-25T07:54:00Z</dcterms:created>
  <dcterms:modified xsi:type="dcterms:W3CDTF">2022-03-25T09:26:00Z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Protective Marking Classification">
    <vt:lpwstr>OFFICIAL - NO MARKING</vt:lpwstr>
  </property>
  <property fmtid="{D5CDD505-2E9C-101B-9397-08002B2CF9AE}" pid="9" name="Additional Descriptor">
    <vt:lpwstr/>
  </property>
  <property fmtid="{D5CDD505-2E9C-101B-9397-08002B2CF9AE}" pid="10" name="Impact Level">
    <vt:i4>0</vt:i4>
  </property>
  <property fmtid="{D5CDD505-2E9C-101B-9397-08002B2CF9AE}" pid="11" name="MSIP_Label_66cf8fe5-b7b7-4df7-b38d-1c61ac2f6639_Enabled">
    <vt:lpwstr>true</vt:lpwstr>
  </property>
  <property fmtid="{D5CDD505-2E9C-101B-9397-08002B2CF9AE}" pid="12" name="MSIP_Label_66cf8fe5-b7b7-4df7-b38d-1c61ac2f6639_SetDate">
    <vt:lpwstr>2022-03-25T07:53:59Z</vt:lpwstr>
  </property>
  <property fmtid="{D5CDD505-2E9C-101B-9397-08002B2CF9AE}" pid="13" name="MSIP_Label_66cf8fe5-b7b7-4df7-b38d-1c61ac2f6639_Method">
    <vt:lpwstr>Standard</vt:lpwstr>
  </property>
  <property fmtid="{D5CDD505-2E9C-101B-9397-08002B2CF9AE}" pid="14" name="MSIP_Label_66cf8fe5-b7b7-4df7-b38d-1c61ac2f6639_Name">
    <vt:lpwstr>66cf8fe5-b7b7-4df7-b38d-1c61ac2f6639</vt:lpwstr>
  </property>
  <property fmtid="{D5CDD505-2E9C-101B-9397-08002B2CF9AE}" pid="15" name="MSIP_Label_66cf8fe5-b7b7-4df7-b38d-1c61ac2f6639_SiteId">
    <vt:lpwstr>270c2f4d-fd0c-4f08-92a9-e5bdd8a87e09</vt:lpwstr>
  </property>
  <property fmtid="{D5CDD505-2E9C-101B-9397-08002B2CF9AE}" pid="16" name="MSIP_Label_66cf8fe5-b7b7-4df7-b38d-1c61ac2f6639_ActionId">
    <vt:lpwstr>0afb7182-ef99-48a4-80fa-a11f942fa074</vt:lpwstr>
  </property>
  <property fmtid="{D5CDD505-2E9C-101B-9397-08002B2CF9AE}" pid="17" name="MSIP_Label_66cf8fe5-b7b7-4df7-b38d-1c61ac2f6639_ContentBits">
    <vt:lpwstr>0</vt:lpwstr>
  </property>
</Properties>
</file>