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99015" w14:textId="5007F2D4" w:rsidR="00C05554" w:rsidRDefault="00C05554" w:rsidP="0076408F">
      <w:pPr>
        <w:jc w:val="right"/>
        <w:rPr>
          <w:b/>
          <w:bCs/>
        </w:rPr>
      </w:pPr>
      <w:r>
        <w:rPr>
          <w:noProof/>
        </w:rPr>
        <w:drawing>
          <wp:inline distT="0" distB="0" distL="0" distR="0" wp14:anchorId="42C15EAE" wp14:editId="47DEF91F">
            <wp:extent cx="2857500" cy="2857500"/>
            <wp:effectExtent l="0" t="0" r="0" b="0"/>
            <wp:docPr id="424025263" name="Picture 1" descr="University of Wales Trinity Saint David: Ranking, Courses, Fe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University of Wales Trinity Saint David: Ranking, Courses, Fee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0E38B603" w14:textId="77777777" w:rsidR="00C05554" w:rsidRDefault="00C05554" w:rsidP="004B5444">
      <w:pPr>
        <w:rPr>
          <w:b/>
          <w:bCs/>
        </w:rPr>
      </w:pPr>
    </w:p>
    <w:p w14:paraId="36A5D283" w14:textId="77777777" w:rsidR="00C05554" w:rsidRDefault="00C05554" w:rsidP="004B5444">
      <w:pPr>
        <w:rPr>
          <w:b/>
          <w:bCs/>
        </w:rPr>
      </w:pPr>
    </w:p>
    <w:p w14:paraId="477F6021" w14:textId="77777777" w:rsidR="00C05554" w:rsidRDefault="00C05554" w:rsidP="004B5444">
      <w:pPr>
        <w:rPr>
          <w:b/>
          <w:bCs/>
        </w:rPr>
      </w:pPr>
    </w:p>
    <w:p w14:paraId="6090E23B" w14:textId="77777777" w:rsidR="00C05554" w:rsidRDefault="00C05554" w:rsidP="004B5444">
      <w:pPr>
        <w:rPr>
          <w:b/>
          <w:bCs/>
        </w:rPr>
      </w:pPr>
    </w:p>
    <w:p w14:paraId="1335B2F2" w14:textId="77777777" w:rsidR="00C05554" w:rsidRDefault="00C05554" w:rsidP="004B5444">
      <w:pPr>
        <w:rPr>
          <w:b/>
          <w:bCs/>
        </w:rPr>
      </w:pPr>
    </w:p>
    <w:p w14:paraId="4A9AAE8C" w14:textId="77777777" w:rsidR="00C05554" w:rsidRDefault="00C05554" w:rsidP="004B5444">
      <w:pPr>
        <w:rPr>
          <w:b/>
          <w:bCs/>
        </w:rPr>
      </w:pPr>
    </w:p>
    <w:p w14:paraId="743945E6" w14:textId="0E1EB1E1" w:rsidR="004B5444" w:rsidRPr="004B5444" w:rsidRDefault="004B5444" w:rsidP="004B5444">
      <w:pPr>
        <w:rPr>
          <w:b/>
          <w:bCs/>
        </w:rPr>
      </w:pPr>
      <w:r w:rsidRPr="004B5444">
        <w:rPr>
          <w:b/>
          <w:bCs/>
        </w:rPr>
        <w:t>Case Study Report: Type 2 Diabetes</w:t>
      </w:r>
    </w:p>
    <w:p w14:paraId="61A9217B" w14:textId="2E8C3749" w:rsidR="00454851" w:rsidRDefault="004B5444" w:rsidP="004B5444">
      <w:r w:rsidRPr="004B5444">
        <w:rPr>
          <w:b/>
          <w:bCs/>
        </w:rPr>
        <w:t>Module:</w:t>
      </w:r>
      <w:r w:rsidRPr="004B5444">
        <w:t xml:space="preserve"> </w:t>
      </w:r>
      <w:r w:rsidR="00EE2CBE">
        <w:t xml:space="preserve">                      </w:t>
      </w:r>
      <w:r w:rsidR="005A2BB0">
        <w:t xml:space="preserve">         </w:t>
      </w:r>
      <w:r w:rsidR="00EE2CBE">
        <w:t xml:space="preserve">   </w:t>
      </w:r>
      <w:r w:rsidRPr="004B5444">
        <w:t>BMHP5023 Introduction to Physiology</w:t>
      </w:r>
      <w:r w:rsidRPr="004B5444">
        <w:br/>
      </w:r>
      <w:r w:rsidRPr="004B5444">
        <w:rPr>
          <w:b/>
          <w:bCs/>
        </w:rPr>
        <w:t>Assignment Title:</w:t>
      </w:r>
      <w:r w:rsidR="00EE2CBE">
        <w:rPr>
          <w:b/>
          <w:bCs/>
        </w:rPr>
        <w:t xml:space="preserve">     </w:t>
      </w:r>
      <w:r w:rsidRPr="004B5444">
        <w:t xml:space="preserve"> </w:t>
      </w:r>
      <w:r w:rsidR="005A2BB0">
        <w:t xml:space="preserve">        </w:t>
      </w:r>
      <w:r w:rsidRPr="004B5444">
        <w:t>Case Study Report: Type 2 Diabetes</w:t>
      </w:r>
      <w:r w:rsidRPr="004B5444">
        <w:br/>
      </w:r>
      <w:r w:rsidRPr="004B5444">
        <w:rPr>
          <w:b/>
          <w:bCs/>
        </w:rPr>
        <w:t>Student Name:</w:t>
      </w:r>
      <w:r w:rsidR="00EE2CBE">
        <w:rPr>
          <w:b/>
          <w:bCs/>
        </w:rPr>
        <w:t xml:space="preserve">          </w:t>
      </w:r>
      <w:r w:rsidR="005A2BB0">
        <w:rPr>
          <w:b/>
          <w:bCs/>
        </w:rPr>
        <w:t xml:space="preserve">        </w:t>
      </w:r>
      <w:r w:rsidR="00EE2CBE">
        <w:rPr>
          <w:b/>
          <w:bCs/>
        </w:rPr>
        <w:t xml:space="preserve"> </w:t>
      </w:r>
      <w:r w:rsidR="00747559">
        <w:t>Jawaheer Atta</w:t>
      </w:r>
      <w:r w:rsidRPr="004B5444">
        <w:br/>
      </w:r>
      <w:r w:rsidRPr="004B5444">
        <w:rPr>
          <w:b/>
          <w:bCs/>
        </w:rPr>
        <w:t>Student Number</w:t>
      </w:r>
      <w:r w:rsidRPr="0029146A">
        <w:t>:</w:t>
      </w:r>
      <w:r w:rsidR="00747559" w:rsidRPr="0029146A">
        <w:t xml:space="preserve">     </w:t>
      </w:r>
      <w:r w:rsidR="005A2BB0">
        <w:t xml:space="preserve">       </w:t>
      </w:r>
      <w:r w:rsidR="00747559" w:rsidRPr="0029146A">
        <w:t xml:space="preserve">  </w:t>
      </w:r>
      <w:r w:rsidR="00C05554">
        <w:t>2236701</w:t>
      </w:r>
    </w:p>
    <w:p w14:paraId="14590D01" w14:textId="588BBB45" w:rsidR="00361390" w:rsidRDefault="00361390" w:rsidP="004B5444"/>
    <w:p w14:paraId="363A51E0" w14:textId="77777777" w:rsidR="00C05554" w:rsidRDefault="00C05554" w:rsidP="004B5444"/>
    <w:p w14:paraId="6D67FECD" w14:textId="77777777" w:rsidR="00C05554" w:rsidRDefault="00C05554" w:rsidP="004B5444"/>
    <w:p w14:paraId="22073854" w14:textId="77777777" w:rsidR="00C05554" w:rsidRDefault="00C05554" w:rsidP="004B5444"/>
    <w:p w14:paraId="090775C4" w14:textId="77777777" w:rsidR="00C05554" w:rsidRDefault="00C05554" w:rsidP="004B5444"/>
    <w:p w14:paraId="1D6B13F6" w14:textId="77777777" w:rsidR="00C05554" w:rsidRDefault="00C05554" w:rsidP="004B5444"/>
    <w:p w14:paraId="2B53E362" w14:textId="77777777" w:rsidR="00C05554" w:rsidRDefault="00C05554" w:rsidP="004B5444"/>
    <w:p w14:paraId="58481EFC" w14:textId="77777777" w:rsidR="00C05554" w:rsidRDefault="00C05554" w:rsidP="004B5444"/>
    <w:p w14:paraId="714A365B" w14:textId="77777777" w:rsidR="00C05554" w:rsidRDefault="00C05554" w:rsidP="004B5444"/>
    <w:p w14:paraId="252F0BDF" w14:textId="77777777" w:rsidR="0060205A" w:rsidRPr="0060205A" w:rsidRDefault="0060205A" w:rsidP="0060205A">
      <w:pPr>
        <w:rPr>
          <w:b/>
          <w:bCs/>
        </w:rPr>
      </w:pPr>
      <w:r w:rsidRPr="0060205A">
        <w:rPr>
          <w:b/>
          <w:bCs/>
        </w:rPr>
        <w:t>Contents Page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521"/>
        <w:gridCol w:w="599"/>
      </w:tblGrid>
      <w:tr w:rsidR="0060205A" w:rsidRPr="0060205A" w14:paraId="58DFCF85" w14:textId="77777777" w:rsidTr="00E030B3">
        <w:trPr>
          <w:tblHeader/>
          <w:tblCellSpacing w:w="15" w:type="dxa"/>
        </w:trPr>
        <w:tc>
          <w:tcPr>
            <w:tcW w:w="6476" w:type="dxa"/>
            <w:vAlign w:val="center"/>
            <w:hideMark/>
          </w:tcPr>
          <w:p w14:paraId="18E740C8" w14:textId="77777777" w:rsidR="0060205A" w:rsidRPr="0060205A" w:rsidRDefault="0060205A" w:rsidP="0060205A">
            <w:pPr>
              <w:rPr>
                <w:b/>
                <w:bCs/>
              </w:rPr>
            </w:pPr>
            <w:r w:rsidRPr="0060205A">
              <w:rPr>
                <w:b/>
                <w:bCs/>
              </w:rPr>
              <w:t>Section</w:t>
            </w:r>
          </w:p>
        </w:tc>
        <w:tc>
          <w:tcPr>
            <w:tcW w:w="50" w:type="dxa"/>
            <w:vAlign w:val="center"/>
            <w:hideMark/>
          </w:tcPr>
          <w:p w14:paraId="7AACF92B" w14:textId="77777777" w:rsidR="0060205A" w:rsidRPr="0060205A" w:rsidRDefault="0060205A" w:rsidP="0060205A">
            <w:pPr>
              <w:rPr>
                <w:b/>
                <w:bCs/>
              </w:rPr>
            </w:pPr>
            <w:r w:rsidRPr="0060205A">
              <w:rPr>
                <w:b/>
                <w:bCs/>
              </w:rPr>
              <w:t>Page</w:t>
            </w:r>
          </w:p>
        </w:tc>
      </w:tr>
      <w:tr w:rsidR="0060205A" w:rsidRPr="0060205A" w14:paraId="211526AA" w14:textId="77777777" w:rsidTr="00E030B3">
        <w:trPr>
          <w:tblCellSpacing w:w="15" w:type="dxa"/>
        </w:trPr>
        <w:tc>
          <w:tcPr>
            <w:tcW w:w="6476" w:type="dxa"/>
            <w:vAlign w:val="center"/>
            <w:hideMark/>
          </w:tcPr>
          <w:p w14:paraId="1D29068C" w14:textId="5F4A5F5B" w:rsidR="00221AB1" w:rsidRPr="0060205A" w:rsidRDefault="0060205A" w:rsidP="0060205A">
            <w:r w:rsidRPr="0060205A">
              <w:t>Title Page</w:t>
            </w:r>
            <w:r w:rsidR="00006B69">
              <w:t xml:space="preserve"> </w:t>
            </w:r>
          </w:p>
        </w:tc>
        <w:tc>
          <w:tcPr>
            <w:tcW w:w="50" w:type="dxa"/>
            <w:vAlign w:val="center"/>
            <w:hideMark/>
          </w:tcPr>
          <w:p w14:paraId="49ECEB8C" w14:textId="377E7FBD" w:rsidR="0060205A" w:rsidRPr="0060205A" w:rsidRDefault="0060205A" w:rsidP="0060205A">
            <w:r w:rsidRPr="0060205A">
              <w:t>1</w:t>
            </w:r>
            <w:r w:rsidR="00E030B3">
              <w:t xml:space="preserve">               </w:t>
            </w:r>
          </w:p>
        </w:tc>
      </w:tr>
      <w:tr w:rsidR="0060205A" w:rsidRPr="0060205A" w14:paraId="4EA592D0" w14:textId="77777777" w:rsidTr="00E030B3">
        <w:trPr>
          <w:tblCellSpacing w:w="15" w:type="dxa"/>
        </w:trPr>
        <w:tc>
          <w:tcPr>
            <w:tcW w:w="6476" w:type="dxa"/>
            <w:vAlign w:val="center"/>
            <w:hideMark/>
          </w:tcPr>
          <w:p w14:paraId="43790234" w14:textId="3C82DD6B" w:rsidR="0060205A" w:rsidRPr="0060205A" w:rsidRDefault="0060205A" w:rsidP="0060205A">
            <w:r w:rsidRPr="0060205A">
              <w:t>Contents Page</w:t>
            </w:r>
            <w:r w:rsidR="00E030B3">
              <w:t xml:space="preserve"> </w:t>
            </w:r>
          </w:p>
        </w:tc>
        <w:tc>
          <w:tcPr>
            <w:tcW w:w="50" w:type="dxa"/>
            <w:vAlign w:val="center"/>
            <w:hideMark/>
          </w:tcPr>
          <w:p w14:paraId="14565272" w14:textId="77777777" w:rsidR="0060205A" w:rsidRPr="0060205A" w:rsidRDefault="0060205A" w:rsidP="0060205A">
            <w:r w:rsidRPr="0060205A">
              <w:t>2</w:t>
            </w:r>
          </w:p>
        </w:tc>
      </w:tr>
      <w:tr w:rsidR="0060205A" w:rsidRPr="0060205A" w14:paraId="78CAE9D9" w14:textId="77777777" w:rsidTr="00E030B3">
        <w:trPr>
          <w:tblCellSpacing w:w="15" w:type="dxa"/>
        </w:trPr>
        <w:tc>
          <w:tcPr>
            <w:tcW w:w="6476" w:type="dxa"/>
            <w:vAlign w:val="center"/>
            <w:hideMark/>
          </w:tcPr>
          <w:p w14:paraId="40FE26A1" w14:textId="77777777" w:rsidR="0060205A" w:rsidRPr="0060205A" w:rsidRDefault="0060205A" w:rsidP="0060205A">
            <w:r w:rsidRPr="0060205A">
              <w:t>Introduction</w:t>
            </w:r>
          </w:p>
        </w:tc>
        <w:tc>
          <w:tcPr>
            <w:tcW w:w="50" w:type="dxa"/>
            <w:vAlign w:val="center"/>
            <w:hideMark/>
          </w:tcPr>
          <w:p w14:paraId="711CCBFF" w14:textId="77777777" w:rsidR="0060205A" w:rsidRPr="0060205A" w:rsidRDefault="0060205A" w:rsidP="0060205A">
            <w:r w:rsidRPr="0060205A">
              <w:t>3</w:t>
            </w:r>
          </w:p>
        </w:tc>
      </w:tr>
      <w:tr w:rsidR="0060205A" w:rsidRPr="0060205A" w14:paraId="55002A1E" w14:textId="77777777" w:rsidTr="00E030B3">
        <w:trPr>
          <w:tblCellSpacing w:w="15" w:type="dxa"/>
        </w:trPr>
        <w:tc>
          <w:tcPr>
            <w:tcW w:w="6476" w:type="dxa"/>
            <w:vAlign w:val="center"/>
            <w:hideMark/>
          </w:tcPr>
          <w:p w14:paraId="1B7A1F8C" w14:textId="77777777" w:rsidR="0060205A" w:rsidRPr="0060205A" w:rsidRDefault="0060205A" w:rsidP="0060205A">
            <w:r w:rsidRPr="0060205A">
              <w:t>Section 1: Anatomy and Physiology of Type 2 Diabetes</w:t>
            </w:r>
          </w:p>
        </w:tc>
        <w:tc>
          <w:tcPr>
            <w:tcW w:w="50" w:type="dxa"/>
            <w:vAlign w:val="center"/>
            <w:hideMark/>
          </w:tcPr>
          <w:p w14:paraId="3718FF1F" w14:textId="77777777" w:rsidR="0060205A" w:rsidRPr="0060205A" w:rsidRDefault="0060205A" w:rsidP="0060205A">
            <w:r w:rsidRPr="0060205A">
              <w:t>4</w:t>
            </w:r>
          </w:p>
        </w:tc>
      </w:tr>
      <w:tr w:rsidR="0060205A" w:rsidRPr="0060205A" w14:paraId="4E25BBCE" w14:textId="77777777" w:rsidTr="00E030B3">
        <w:trPr>
          <w:tblCellSpacing w:w="15" w:type="dxa"/>
        </w:trPr>
        <w:tc>
          <w:tcPr>
            <w:tcW w:w="6476" w:type="dxa"/>
            <w:vAlign w:val="center"/>
            <w:hideMark/>
          </w:tcPr>
          <w:p w14:paraId="025CA349" w14:textId="77777777" w:rsidR="0060205A" w:rsidRPr="0060205A" w:rsidRDefault="0060205A" w:rsidP="0060205A">
            <w:r w:rsidRPr="0060205A">
              <w:t>1.1 Regulation of Blood Glucose Levels</w:t>
            </w:r>
          </w:p>
        </w:tc>
        <w:tc>
          <w:tcPr>
            <w:tcW w:w="50" w:type="dxa"/>
            <w:vAlign w:val="center"/>
            <w:hideMark/>
          </w:tcPr>
          <w:p w14:paraId="36F0C797" w14:textId="77777777" w:rsidR="0060205A" w:rsidRPr="0060205A" w:rsidRDefault="0060205A" w:rsidP="0060205A">
            <w:r w:rsidRPr="0060205A">
              <w:t>4</w:t>
            </w:r>
          </w:p>
        </w:tc>
      </w:tr>
      <w:tr w:rsidR="0060205A" w:rsidRPr="0060205A" w14:paraId="342AC9BF" w14:textId="77777777" w:rsidTr="00E030B3">
        <w:trPr>
          <w:tblCellSpacing w:w="15" w:type="dxa"/>
        </w:trPr>
        <w:tc>
          <w:tcPr>
            <w:tcW w:w="6476" w:type="dxa"/>
            <w:vAlign w:val="center"/>
            <w:hideMark/>
          </w:tcPr>
          <w:p w14:paraId="18A2B76A" w14:textId="77777777" w:rsidR="0060205A" w:rsidRPr="0060205A" w:rsidRDefault="0060205A" w:rsidP="0060205A">
            <w:r w:rsidRPr="0060205A">
              <w:t>1.2 Cellular Metabolism: The Role of Glucose and Oxygen</w:t>
            </w:r>
          </w:p>
        </w:tc>
        <w:tc>
          <w:tcPr>
            <w:tcW w:w="50" w:type="dxa"/>
            <w:vAlign w:val="center"/>
            <w:hideMark/>
          </w:tcPr>
          <w:p w14:paraId="35630E5D" w14:textId="77777777" w:rsidR="0060205A" w:rsidRPr="0060205A" w:rsidRDefault="0060205A" w:rsidP="0060205A">
            <w:r w:rsidRPr="0060205A">
              <w:t>5</w:t>
            </w:r>
          </w:p>
        </w:tc>
      </w:tr>
      <w:tr w:rsidR="0060205A" w:rsidRPr="0060205A" w14:paraId="678D1E84" w14:textId="77777777" w:rsidTr="00E030B3">
        <w:trPr>
          <w:tblCellSpacing w:w="15" w:type="dxa"/>
        </w:trPr>
        <w:tc>
          <w:tcPr>
            <w:tcW w:w="6476" w:type="dxa"/>
            <w:vAlign w:val="center"/>
            <w:hideMark/>
          </w:tcPr>
          <w:p w14:paraId="688A748F" w14:textId="77777777" w:rsidR="0060205A" w:rsidRPr="0060205A" w:rsidRDefault="0060205A" w:rsidP="0060205A">
            <w:r w:rsidRPr="0060205A">
              <w:t>Section 2: Pathophysiology and Impact of Type 2 Diabetes</w:t>
            </w:r>
          </w:p>
        </w:tc>
        <w:tc>
          <w:tcPr>
            <w:tcW w:w="50" w:type="dxa"/>
            <w:vAlign w:val="center"/>
            <w:hideMark/>
          </w:tcPr>
          <w:p w14:paraId="22A6796D" w14:textId="77777777" w:rsidR="0060205A" w:rsidRPr="0060205A" w:rsidRDefault="0060205A" w:rsidP="0060205A">
            <w:r w:rsidRPr="0060205A">
              <w:t>6</w:t>
            </w:r>
          </w:p>
        </w:tc>
      </w:tr>
      <w:tr w:rsidR="0060205A" w:rsidRPr="0060205A" w14:paraId="6429B1C4" w14:textId="77777777" w:rsidTr="00E030B3">
        <w:trPr>
          <w:tblCellSpacing w:w="15" w:type="dxa"/>
        </w:trPr>
        <w:tc>
          <w:tcPr>
            <w:tcW w:w="6476" w:type="dxa"/>
            <w:vAlign w:val="center"/>
            <w:hideMark/>
          </w:tcPr>
          <w:p w14:paraId="2BD89894" w14:textId="77777777" w:rsidR="0060205A" w:rsidRPr="0060205A" w:rsidRDefault="0060205A" w:rsidP="0060205A">
            <w:r w:rsidRPr="0060205A">
              <w:t>Section 3: Monitoring and Recording Blood Sugar Levels</w:t>
            </w:r>
          </w:p>
        </w:tc>
        <w:tc>
          <w:tcPr>
            <w:tcW w:w="50" w:type="dxa"/>
            <w:vAlign w:val="center"/>
            <w:hideMark/>
          </w:tcPr>
          <w:p w14:paraId="2F622B73" w14:textId="77777777" w:rsidR="0060205A" w:rsidRPr="0060205A" w:rsidRDefault="0060205A" w:rsidP="0060205A">
            <w:r w:rsidRPr="0060205A">
              <w:t>8</w:t>
            </w:r>
          </w:p>
        </w:tc>
      </w:tr>
      <w:tr w:rsidR="0060205A" w:rsidRPr="0060205A" w14:paraId="28FF4AFC" w14:textId="77777777" w:rsidTr="00E030B3">
        <w:trPr>
          <w:tblCellSpacing w:w="15" w:type="dxa"/>
        </w:trPr>
        <w:tc>
          <w:tcPr>
            <w:tcW w:w="6476" w:type="dxa"/>
            <w:vAlign w:val="center"/>
            <w:hideMark/>
          </w:tcPr>
          <w:p w14:paraId="2E95A7FC" w14:textId="77777777" w:rsidR="0060205A" w:rsidRPr="0060205A" w:rsidRDefault="0060205A" w:rsidP="0060205A">
            <w:r w:rsidRPr="0060205A">
              <w:t>Section 4: Evidence-Based Lifestyle Recommendations</w:t>
            </w:r>
          </w:p>
        </w:tc>
        <w:tc>
          <w:tcPr>
            <w:tcW w:w="50" w:type="dxa"/>
            <w:vAlign w:val="center"/>
            <w:hideMark/>
          </w:tcPr>
          <w:p w14:paraId="3E5A4B15" w14:textId="77777777" w:rsidR="0060205A" w:rsidRPr="0060205A" w:rsidRDefault="0060205A" w:rsidP="0060205A">
            <w:r w:rsidRPr="0060205A">
              <w:t>9</w:t>
            </w:r>
          </w:p>
        </w:tc>
      </w:tr>
      <w:tr w:rsidR="0060205A" w:rsidRPr="0060205A" w14:paraId="4FA785CE" w14:textId="77777777" w:rsidTr="00E030B3">
        <w:trPr>
          <w:tblCellSpacing w:w="15" w:type="dxa"/>
        </w:trPr>
        <w:tc>
          <w:tcPr>
            <w:tcW w:w="6476" w:type="dxa"/>
            <w:vAlign w:val="center"/>
            <w:hideMark/>
          </w:tcPr>
          <w:p w14:paraId="64EC5DAB" w14:textId="77777777" w:rsidR="0060205A" w:rsidRPr="0060205A" w:rsidRDefault="0060205A" w:rsidP="0060205A">
            <w:r w:rsidRPr="0060205A">
              <w:t>4.1 Dietary Improvements</w:t>
            </w:r>
          </w:p>
        </w:tc>
        <w:tc>
          <w:tcPr>
            <w:tcW w:w="50" w:type="dxa"/>
            <w:vAlign w:val="center"/>
            <w:hideMark/>
          </w:tcPr>
          <w:p w14:paraId="5AD244D5" w14:textId="77777777" w:rsidR="0060205A" w:rsidRPr="0060205A" w:rsidRDefault="0060205A" w:rsidP="0060205A">
            <w:r w:rsidRPr="0060205A">
              <w:t>9</w:t>
            </w:r>
          </w:p>
        </w:tc>
      </w:tr>
      <w:tr w:rsidR="0060205A" w:rsidRPr="0060205A" w14:paraId="6E62FBC2" w14:textId="77777777" w:rsidTr="00E030B3">
        <w:trPr>
          <w:tblCellSpacing w:w="15" w:type="dxa"/>
        </w:trPr>
        <w:tc>
          <w:tcPr>
            <w:tcW w:w="6476" w:type="dxa"/>
            <w:vAlign w:val="center"/>
            <w:hideMark/>
          </w:tcPr>
          <w:p w14:paraId="68C51549" w14:textId="77777777" w:rsidR="0060205A" w:rsidRPr="0060205A" w:rsidRDefault="0060205A" w:rsidP="0060205A">
            <w:r w:rsidRPr="0060205A">
              <w:t>4.2 Increasing Physical Activity</w:t>
            </w:r>
          </w:p>
        </w:tc>
        <w:tc>
          <w:tcPr>
            <w:tcW w:w="50" w:type="dxa"/>
            <w:vAlign w:val="center"/>
            <w:hideMark/>
          </w:tcPr>
          <w:p w14:paraId="6BCE8F79" w14:textId="77777777" w:rsidR="0060205A" w:rsidRPr="0060205A" w:rsidRDefault="0060205A" w:rsidP="0060205A">
            <w:r w:rsidRPr="0060205A">
              <w:t>10</w:t>
            </w:r>
          </w:p>
        </w:tc>
      </w:tr>
      <w:tr w:rsidR="0060205A" w:rsidRPr="0060205A" w14:paraId="65645888" w14:textId="77777777" w:rsidTr="00E030B3">
        <w:trPr>
          <w:tblCellSpacing w:w="15" w:type="dxa"/>
        </w:trPr>
        <w:tc>
          <w:tcPr>
            <w:tcW w:w="6476" w:type="dxa"/>
            <w:vAlign w:val="center"/>
            <w:hideMark/>
          </w:tcPr>
          <w:p w14:paraId="66612368" w14:textId="77777777" w:rsidR="0060205A" w:rsidRPr="0060205A" w:rsidRDefault="0060205A" w:rsidP="0060205A">
            <w:r w:rsidRPr="0060205A">
              <w:t>4.3 Smoking Cessation</w:t>
            </w:r>
          </w:p>
        </w:tc>
        <w:tc>
          <w:tcPr>
            <w:tcW w:w="50" w:type="dxa"/>
            <w:vAlign w:val="center"/>
            <w:hideMark/>
          </w:tcPr>
          <w:p w14:paraId="37983635" w14:textId="77777777" w:rsidR="0060205A" w:rsidRPr="0060205A" w:rsidRDefault="0060205A" w:rsidP="0060205A">
            <w:r w:rsidRPr="0060205A">
              <w:t>10</w:t>
            </w:r>
          </w:p>
        </w:tc>
      </w:tr>
      <w:tr w:rsidR="0060205A" w:rsidRPr="0060205A" w14:paraId="2924CC42" w14:textId="77777777" w:rsidTr="00E030B3">
        <w:trPr>
          <w:tblCellSpacing w:w="15" w:type="dxa"/>
        </w:trPr>
        <w:tc>
          <w:tcPr>
            <w:tcW w:w="6476" w:type="dxa"/>
            <w:vAlign w:val="center"/>
            <w:hideMark/>
          </w:tcPr>
          <w:p w14:paraId="55A54BF8" w14:textId="77777777" w:rsidR="0060205A" w:rsidRPr="0060205A" w:rsidRDefault="0060205A" w:rsidP="0060205A">
            <w:r w:rsidRPr="0060205A">
              <w:t>Conclusion</w:t>
            </w:r>
          </w:p>
        </w:tc>
        <w:tc>
          <w:tcPr>
            <w:tcW w:w="50" w:type="dxa"/>
            <w:vAlign w:val="center"/>
            <w:hideMark/>
          </w:tcPr>
          <w:p w14:paraId="41605EE2" w14:textId="77777777" w:rsidR="0060205A" w:rsidRPr="0060205A" w:rsidRDefault="0060205A" w:rsidP="0060205A">
            <w:r w:rsidRPr="0060205A">
              <w:t>11</w:t>
            </w:r>
          </w:p>
        </w:tc>
      </w:tr>
      <w:tr w:rsidR="0060205A" w:rsidRPr="0060205A" w14:paraId="2092E975" w14:textId="77777777" w:rsidTr="00E030B3">
        <w:trPr>
          <w:tblCellSpacing w:w="15" w:type="dxa"/>
        </w:trPr>
        <w:tc>
          <w:tcPr>
            <w:tcW w:w="6476" w:type="dxa"/>
            <w:vAlign w:val="center"/>
            <w:hideMark/>
          </w:tcPr>
          <w:p w14:paraId="03BCD6BF" w14:textId="77777777" w:rsidR="0060205A" w:rsidRPr="0060205A" w:rsidRDefault="0060205A" w:rsidP="0060205A">
            <w:r w:rsidRPr="0060205A">
              <w:t>Reference List</w:t>
            </w:r>
          </w:p>
        </w:tc>
        <w:tc>
          <w:tcPr>
            <w:tcW w:w="50" w:type="dxa"/>
            <w:vAlign w:val="center"/>
            <w:hideMark/>
          </w:tcPr>
          <w:p w14:paraId="7E871DE6" w14:textId="77777777" w:rsidR="0060205A" w:rsidRPr="0060205A" w:rsidRDefault="0060205A" w:rsidP="0060205A">
            <w:r w:rsidRPr="0060205A">
              <w:t>12</w:t>
            </w:r>
          </w:p>
        </w:tc>
      </w:tr>
    </w:tbl>
    <w:p w14:paraId="3F12EC5E" w14:textId="4FCAA740" w:rsidR="0060205A" w:rsidRPr="0060205A" w:rsidRDefault="0060205A" w:rsidP="0060205A"/>
    <w:p w14:paraId="37DAEEA0" w14:textId="02A6B06B" w:rsidR="0060205A" w:rsidRPr="0060205A" w:rsidRDefault="0060205A" w:rsidP="0060205A"/>
    <w:p w14:paraId="7E8D8E3E" w14:textId="5661D7F5" w:rsidR="0060205A" w:rsidRPr="0060205A" w:rsidRDefault="0060205A" w:rsidP="0060205A">
      <w:r w:rsidRPr="0060205A">
        <w:br/>
      </w:r>
    </w:p>
    <w:p w14:paraId="6C9606E7" w14:textId="77777777" w:rsidR="0060205A" w:rsidRPr="0060205A" w:rsidRDefault="0060205A" w:rsidP="0060205A">
      <w:pPr>
        <w:rPr>
          <w:vanish/>
        </w:rPr>
      </w:pPr>
      <w:r w:rsidRPr="0060205A">
        <w:rPr>
          <w:vanish/>
        </w:rPr>
        <w:t>Top of Form</w:t>
      </w:r>
    </w:p>
    <w:p w14:paraId="5293CDC5" w14:textId="77777777" w:rsidR="0060205A" w:rsidRPr="0060205A" w:rsidRDefault="0060205A" w:rsidP="0060205A"/>
    <w:p w14:paraId="0B49D02B" w14:textId="77777777" w:rsidR="0060205A" w:rsidRPr="0060205A" w:rsidRDefault="0060205A" w:rsidP="0060205A">
      <w:pPr>
        <w:rPr>
          <w:vanish/>
        </w:rPr>
      </w:pPr>
      <w:r w:rsidRPr="0060205A">
        <w:rPr>
          <w:vanish/>
        </w:rPr>
        <w:t>Bottom of Form</w:t>
      </w:r>
    </w:p>
    <w:p w14:paraId="6FBF3195" w14:textId="77777777" w:rsidR="00C05554" w:rsidRDefault="00C05554" w:rsidP="004B5444"/>
    <w:p w14:paraId="28586F90" w14:textId="77777777" w:rsidR="00C05554" w:rsidRDefault="00C05554" w:rsidP="004B5444"/>
    <w:p w14:paraId="575F93F9" w14:textId="77777777" w:rsidR="00C05554" w:rsidRDefault="00C05554" w:rsidP="004B5444"/>
    <w:p w14:paraId="47DF2299" w14:textId="77777777" w:rsidR="00C05554" w:rsidRDefault="00C05554" w:rsidP="004B5444"/>
    <w:p w14:paraId="06C09CAF" w14:textId="77777777" w:rsidR="00CF2DAA" w:rsidRDefault="00CF2DAA" w:rsidP="004B5444"/>
    <w:p w14:paraId="241D9584" w14:textId="77777777" w:rsidR="00CF2DAA" w:rsidRPr="004B5444" w:rsidRDefault="00CF2DAA" w:rsidP="004B5444"/>
    <w:p w14:paraId="10ACBCAE" w14:textId="77777777" w:rsidR="004B5444" w:rsidRPr="00C62F56" w:rsidRDefault="004B5444" w:rsidP="00671CA9">
      <w:pPr>
        <w:spacing w:line="360" w:lineRule="auto"/>
        <w:jc w:val="both"/>
        <w:rPr>
          <w:rFonts w:ascii="Arial" w:hAnsi="Arial" w:cs="Arial"/>
          <w:b/>
          <w:bCs/>
        </w:rPr>
      </w:pPr>
      <w:r w:rsidRPr="00C62F56">
        <w:rPr>
          <w:rFonts w:ascii="Arial" w:hAnsi="Arial" w:cs="Arial"/>
          <w:b/>
          <w:bCs/>
        </w:rPr>
        <w:t>Introduction</w:t>
      </w:r>
    </w:p>
    <w:p w14:paraId="4DCF1B87"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Diabetes mellitus is a chronic metabolic condition characterised by elevated blood glucose levels caused by problems with insulin production, insulin action, or both. Type 2 diabetes is the most common form of diabetes and occurs when the body becomes less responsive to insulin, known as insulin resistance, alongside a gradual decline in the ability of the pancreas to produce sufficient insulin (NICE, 2022). Insulin is an essential hormone produced by the pancreas that allows glucose from food to enter body cells where it can be used as an energy source.</w:t>
      </w:r>
    </w:p>
    <w:p w14:paraId="1D5FEC5A"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The development of Type 2 diabetes is influenced by several risk factors. These include increasing age, family history, obesity, physical inactivity, poor diet, smoking, and certain ethnic backgrounds (Diabetes UK, 2024). Lifestyle factors such as consuming excessive amounts of processed foods and having low levels of physical activity can increase the risk of insulin resistance by contributing to weight gain and reduced glucose regulation.</w:t>
      </w:r>
    </w:p>
    <w:p w14:paraId="03FAF82A"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This report aims to explain the physiological processes involved in Type 2 diabetes and how blood glucose is normally controlled within the body. It will examine how glucose and oxygen are used during cellular metabolism to produce energy and explore how monitoring blood sugar levels helps individuals manage their condition safely. Furthermore, the report will discuss evidence-based lifestyle interventions, including improvements in diet, exercise and smoking cessation, which can support better glucose control and reduce the risk of diabetes-related complications.</w:t>
      </w:r>
    </w:p>
    <w:p w14:paraId="67969DAA" w14:textId="77777777" w:rsidR="004354B7" w:rsidRPr="00267FC3" w:rsidRDefault="004354B7" w:rsidP="00267FC3">
      <w:pPr>
        <w:spacing w:line="360" w:lineRule="auto"/>
        <w:jc w:val="both"/>
        <w:rPr>
          <w:rFonts w:ascii="Arial" w:hAnsi="Arial" w:cs="Arial"/>
          <w:sz w:val="22"/>
          <w:szCs w:val="22"/>
        </w:rPr>
      </w:pPr>
    </w:p>
    <w:p w14:paraId="549753B7" w14:textId="77777777" w:rsidR="004354B7" w:rsidRPr="00267FC3" w:rsidRDefault="004354B7" w:rsidP="00267FC3">
      <w:pPr>
        <w:spacing w:line="360" w:lineRule="auto"/>
        <w:jc w:val="both"/>
        <w:rPr>
          <w:rFonts w:ascii="Arial" w:hAnsi="Arial" w:cs="Arial"/>
          <w:sz w:val="22"/>
          <w:szCs w:val="22"/>
        </w:rPr>
      </w:pPr>
    </w:p>
    <w:p w14:paraId="05B9977F" w14:textId="77777777" w:rsidR="004354B7" w:rsidRPr="00267FC3" w:rsidRDefault="004354B7" w:rsidP="00267FC3">
      <w:pPr>
        <w:spacing w:line="360" w:lineRule="auto"/>
        <w:jc w:val="both"/>
        <w:rPr>
          <w:rFonts w:ascii="Arial" w:hAnsi="Arial" w:cs="Arial"/>
          <w:sz w:val="22"/>
          <w:szCs w:val="22"/>
        </w:rPr>
      </w:pPr>
    </w:p>
    <w:p w14:paraId="57329B9F" w14:textId="77777777" w:rsidR="004354B7" w:rsidRPr="00267FC3" w:rsidRDefault="004354B7" w:rsidP="00267FC3">
      <w:pPr>
        <w:spacing w:line="360" w:lineRule="auto"/>
        <w:jc w:val="both"/>
        <w:rPr>
          <w:rFonts w:ascii="Arial" w:hAnsi="Arial" w:cs="Arial"/>
          <w:sz w:val="22"/>
          <w:szCs w:val="22"/>
        </w:rPr>
      </w:pPr>
    </w:p>
    <w:p w14:paraId="61B6ECF6" w14:textId="77777777" w:rsidR="004354B7" w:rsidRPr="00267FC3" w:rsidRDefault="004354B7" w:rsidP="00267FC3">
      <w:pPr>
        <w:spacing w:line="360" w:lineRule="auto"/>
        <w:jc w:val="both"/>
        <w:rPr>
          <w:rFonts w:ascii="Arial" w:hAnsi="Arial" w:cs="Arial"/>
          <w:sz w:val="22"/>
          <w:szCs w:val="22"/>
        </w:rPr>
      </w:pPr>
    </w:p>
    <w:p w14:paraId="36DBC1E9" w14:textId="77777777" w:rsidR="004354B7" w:rsidRPr="00267FC3" w:rsidRDefault="004354B7" w:rsidP="00267FC3">
      <w:pPr>
        <w:spacing w:line="360" w:lineRule="auto"/>
        <w:jc w:val="both"/>
        <w:rPr>
          <w:rFonts w:ascii="Arial" w:hAnsi="Arial" w:cs="Arial"/>
          <w:sz w:val="22"/>
          <w:szCs w:val="22"/>
        </w:rPr>
      </w:pPr>
    </w:p>
    <w:p w14:paraId="5DBC5035" w14:textId="77777777" w:rsidR="004354B7" w:rsidRPr="008E7DFB" w:rsidRDefault="004354B7" w:rsidP="00267FC3">
      <w:pPr>
        <w:spacing w:line="360" w:lineRule="auto"/>
        <w:jc w:val="both"/>
        <w:rPr>
          <w:rFonts w:ascii="Arial" w:hAnsi="Arial" w:cs="Arial"/>
          <w:b/>
          <w:bCs/>
          <w:sz w:val="22"/>
          <w:szCs w:val="22"/>
        </w:rPr>
      </w:pPr>
    </w:p>
    <w:p w14:paraId="17D0459D" w14:textId="77777777" w:rsidR="008E7DFB" w:rsidRDefault="008E7DFB" w:rsidP="00267FC3">
      <w:pPr>
        <w:spacing w:line="360" w:lineRule="auto"/>
        <w:jc w:val="both"/>
        <w:rPr>
          <w:rFonts w:ascii="Arial" w:hAnsi="Arial" w:cs="Arial"/>
          <w:b/>
          <w:bCs/>
          <w:sz w:val="22"/>
          <w:szCs w:val="22"/>
        </w:rPr>
      </w:pPr>
    </w:p>
    <w:p w14:paraId="494587C9" w14:textId="77777777" w:rsidR="008E7DFB" w:rsidRDefault="008E7DFB" w:rsidP="00267FC3">
      <w:pPr>
        <w:spacing w:line="360" w:lineRule="auto"/>
        <w:jc w:val="both"/>
        <w:rPr>
          <w:rFonts w:ascii="Arial" w:hAnsi="Arial" w:cs="Arial"/>
          <w:b/>
          <w:bCs/>
          <w:sz w:val="22"/>
          <w:szCs w:val="22"/>
        </w:rPr>
      </w:pPr>
    </w:p>
    <w:p w14:paraId="330AA5EE" w14:textId="2C0B5195" w:rsidR="004B5444" w:rsidRPr="008E7DFB" w:rsidRDefault="004B5444" w:rsidP="00267FC3">
      <w:pPr>
        <w:spacing w:line="360" w:lineRule="auto"/>
        <w:jc w:val="both"/>
        <w:rPr>
          <w:rFonts w:ascii="Arial" w:hAnsi="Arial" w:cs="Arial"/>
          <w:b/>
          <w:bCs/>
          <w:sz w:val="22"/>
          <w:szCs w:val="22"/>
        </w:rPr>
      </w:pPr>
      <w:r w:rsidRPr="008E7DFB">
        <w:rPr>
          <w:rFonts w:ascii="Arial" w:hAnsi="Arial" w:cs="Arial"/>
          <w:b/>
          <w:bCs/>
          <w:sz w:val="22"/>
          <w:szCs w:val="22"/>
        </w:rPr>
        <w:lastRenderedPageBreak/>
        <w:t>Section 1: Anatomy and Physiology</w:t>
      </w:r>
    </w:p>
    <w:p w14:paraId="24BD1187" w14:textId="77777777" w:rsidR="00697E0F" w:rsidRPr="00267FC3" w:rsidRDefault="00697E0F" w:rsidP="00267FC3">
      <w:pPr>
        <w:spacing w:line="360" w:lineRule="auto"/>
        <w:jc w:val="both"/>
        <w:rPr>
          <w:rFonts w:ascii="Arial" w:hAnsi="Arial" w:cs="Arial"/>
          <w:sz w:val="22"/>
          <w:szCs w:val="22"/>
        </w:rPr>
      </w:pPr>
      <w:r w:rsidRPr="00267FC3">
        <w:rPr>
          <w:rFonts w:ascii="Arial" w:hAnsi="Arial" w:cs="Arial"/>
          <w:sz w:val="22"/>
          <w:szCs w:val="22"/>
        </w:rPr>
        <w:t>Maintaining blood glucose within normal limits is vital because glucose is the body’s primary source of energy for cellular activities. The regulation of blood glucose is mainly controlled by the pancreas, specifically by beta cells found in the islets of Langerhans. These cells monitor blood glucose concentrations and secrete insulin when glucose levels rise, particularly after food intake (</w:t>
      </w:r>
      <w:proofErr w:type="spellStart"/>
      <w:r w:rsidRPr="00267FC3">
        <w:rPr>
          <w:rFonts w:ascii="Arial" w:hAnsi="Arial" w:cs="Arial"/>
          <w:sz w:val="22"/>
          <w:szCs w:val="22"/>
        </w:rPr>
        <w:t>Marieb</w:t>
      </w:r>
      <w:proofErr w:type="spellEnd"/>
      <w:r w:rsidRPr="00267FC3">
        <w:rPr>
          <w:rFonts w:ascii="Arial" w:hAnsi="Arial" w:cs="Arial"/>
          <w:sz w:val="22"/>
          <w:szCs w:val="22"/>
        </w:rPr>
        <w:t xml:space="preserve"> and Hoehn, 2022).</w:t>
      </w:r>
    </w:p>
    <w:p w14:paraId="04563573" w14:textId="77777777" w:rsidR="00697E0F" w:rsidRPr="00267FC3" w:rsidRDefault="00697E0F" w:rsidP="00267FC3">
      <w:pPr>
        <w:spacing w:line="360" w:lineRule="auto"/>
        <w:jc w:val="both"/>
        <w:rPr>
          <w:rFonts w:ascii="Arial" w:hAnsi="Arial" w:cs="Arial"/>
          <w:sz w:val="22"/>
          <w:szCs w:val="22"/>
        </w:rPr>
      </w:pPr>
    </w:p>
    <w:p w14:paraId="7A4D223D" w14:textId="77777777" w:rsidR="00697E0F" w:rsidRPr="00267FC3" w:rsidRDefault="00697E0F" w:rsidP="00267FC3">
      <w:pPr>
        <w:spacing w:line="360" w:lineRule="auto"/>
        <w:jc w:val="both"/>
        <w:rPr>
          <w:rFonts w:ascii="Arial" w:hAnsi="Arial" w:cs="Arial"/>
          <w:sz w:val="22"/>
          <w:szCs w:val="22"/>
        </w:rPr>
      </w:pPr>
      <w:r w:rsidRPr="00267FC3">
        <w:rPr>
          <w:rFonts w:ascii="Arial" w:hAnsi="Arial" w:cs="Arial"/>
          <w:sz w:val="22"/>
          <w:szCs w:val="22"/>
        </w:rPr>
        <w:t>Following a meal, carbohydrates are digested and converted into glucose, which is then absorbed into the bloodstream. The increase in blood glucose triggers the release of insulin from the pancreas. Insulin enables glucose to move from the bloodstream into body cells, especially those in the liver and skeletal muscles. Within these cells, glucose may be used immediately to produce energy or stored as glycogen for future energy requirements (Hall, 2021).</w:t>
      </w:r>
    </w:p>
    <w:p w14:paraId="7C277777" w14:textId="77777777" w:rsidR="00697E0F" w:rsidRPr="00267FC3" w:rsidRDefault="00697E0F" w:rsidP="00267FC3">
      <w:pPr>
        <w:spacing w:line="360" w:lineRule="auto"/>
        <w:jc w:val="both"/>
        <w:rPr>
          <w:rFonts w:ascii="Arial" w:hAnsi="Arial" w:cs="Arial"/>
          <w:sz w:val="22"/>
          <w:szCs w:val="22"/>
        </w:rPr>
      </w:pPr>
    </w:p>
    <w:p w14:paraId="111F136F" w14:textId="77777777" w:rsidR="00697E0F" w:rsidRPr="00267FC3" w:rsidRDefault="00697E0F" w:rsidP="00267FC3">
      <w:pPr>
        <w:spacing w:line="360" w:lineRule="auto"/>
        <w:jc w:val="both"/>
        <w:rPr>
          <w:rFonts w:ascii="Arial" w:hAnsi="Arial" w:cs="Arial"/>
          <w:sz w:val="22"/>
          <w:szCs w:val="22"/>
        </w:rPr>
      </w:pPr>
      <w:r w:rsidRPr="00267FC3">
        <w:rPr>
          <w:rFonts w:ascii="Arial" w:hAnsi="Arial" w:cs="Arial"/>
          <w:sz w:val="22"/>
          <w:szCs w:val="22"/>
        </w:rPr>
        <w:t>When blood glucose levels decrease, for example during physical activity or between meals, the pancreas secretes glucagon. This hormone acts on the liver, stimulating the breakdown of stored glycogen into glucose, which is subsequently released into the bloodstream. The coordinated actions of insulin and glucagon are essential for maintaining blood glucose homeostasis and ensuring a constant supply of energy to body tissues (Tortora and Derrickson, 2021).</w:t>
      </w:r>
    </w:p>
    <w:p w14:paraId="70393EE5" w14:textId="77777777" w:rsidR="00697E0F" w:rsidRPr="00267FC3" w:rsidRDefault="00697E0F" w:rsidP="00267FC3">
      <w:pPr>
        <w:spacing w:line="360" w:lineRule="auto"/>
        <w:jc w:val="both"/>
        <w:rPr>
          <w:rFonts w:ascii="Arial" w:hAnsi="Arial" w:cs="Arial"/>
          <w:sz w:val="22"/>
          <w:szCs w:val="22"/>
        </w:rPr>
      </w:pPr>
    </w:p>
    <w:p w14:paraId="5F2ED286" w14:textId="77777777" w:rsidR="00697E0F" w:rsidRPr="00267FC3" w:rsidRDefault="00697E0F" w:rsidP="00267FC3">
      <w:pPr>
        <w:spacing w:line="360" w:lineRule="auto"/>
        <w:jc w:val="both"/>
        <w:rPr>
          <w:rFonts w:ascii="Arial" w:hAnsi="Arial" w:cs="Arial"/>
          <w:sz w:val="22"/>
          <w:szCs w:val="22"/>
        </w:rPr>
      </w:pPr>
      <w:r w:rsidRPr="00267FC3">
        <w:rPr>
          <w:rFonts w:ascii="Arial" w:hAnsi="Arial" w:cs="Arial"/>
          <w:sz w:val="22"/>
          <w:szCs w:val="22"/>
        </w:rPr>
        <w:t>In individuals with Type 2 diabetes mellitus, this regulatory mechanism is disrupted due to insulin resistance. Although the pancreas may continue to produce insulin, body cells respond less effectively to its action, resulting in reduced glucose uptake. Consequently, glucose accumulates in the bloodstream. As the condition progresses, pancreatic function may decline, reducing insulin production and contributing to chronically elevated blood glucose levels (NHS, 2024).</w:t>
      </w:r>
    </w:p>
    <w:p w14:paraId="283334B7" w14:textId="0111F8C7" w:rsidR="004B5444" w:rsidRPr="00267FC3" w:rsidRDefault="004B5444" w:rsidP="00267FC3">
      <w:pPr>
        <w:spacing w:line="360" w:lineRule="auto"/>
        <w:jc w:val="both"/>
        <w:rPr>
          <w:rFonts w:ascii="Arial" w:hAnsi="Arial" w:cs="Arial"/>
          <w:sz w:val="22"/>
          <w:szCs w:val="22"/>
        </w:rPr>
      </w:pPr>
    </w:p>
    <w:p w14:paraId="693FA515" w14:textId="77777777" w:rsidR="0007183B" w:rsidRPr="00267FC3" w:rsidRDefault="0007183B" w:rsidP="00267FC3">
      <w:pPr>
        <w:spacing w:line="360" w:lineRule="auto"/>
        <w:jc w:val="both"/>
        <w:rPr>
          <w:rFonts w:ascii="Arial" w:hAnsi="Arial" w:cs="Arial"/>
          <w:sz w:val="22"/>
          <w:szCs w:val="22"/>
        </w:rPr>
      </w:pPr>
    </w:p>
    <w:p w14:paraId="7C39B22C" w14:textId="77777777" w:rsidR="00221AB1" w:rsidRPr="00267FC3" w:rsidRDefault="00221AB1" w:rsidP="00267FC3">
      <w:pPr>
        <w:spacing w:line="360" w:lineRule="auto"/>
        <w:jc w:val="both"/>
        <w:rPr>
          <w:rFonts w:ascii="Arial" w:hAnsi="Arial" w:cs="Arial"/>
          <w:b/>
          <w:bCs/>
          <w:sz w:val="22"/>
          <w:szCs w:val="22"/>
        </w:rPr>
      </w:pPr>
    </w:p>
    <w:p w14:paraId="491181D7" w14:textId="77777777" w:rsidR="00221AB1" w:rsidRPr="00267FC3" w:rsidRDefault="00221AB1" w:rsidP="00267FC3">
      <w:pPr>
        <w:spacing w:line="360" w:lineRule="auto"/>
        <w:jc w:val="both"/>
        <w:rPr>
          <w:rFonts w:ascii="Arial" w:hAnsi="Arial" w:cs="Arial"/>
          <w:b/>
          <w:bCs/>
          <w:sz w:val="22"/>
          <w:szCs w:val="22"/>
        </w:rPr>
      </w:pPr>
    </w:p>
    <w:p w14:paraId="35482921" w14:textId="77777777" w:rsidR="00221AB1" w:rsidRPr="00267FC3" w:rsidRDefault="00221AB1" w:rsidP="00267FC3">
      <w:pPr>
        <w:spacing w:line="360" w:lineRule="auto"/>
        <w:jc w:val="both"/>
        <w:rPr>
          <w:rFonts w:ascii="Arial" w:hAnsi="Arial" w:cs="Arial"/>
          <w:b/>
          <w:bCs/>
          <w:sz w:val="22"/>
          <w:szCs w:val="22"/>
        </w:rPr>
      </w:pPr>
    </w:p>
    <w:p w14:paraId="1821923B" w14:textId="3FAEF05E" w:rsidR="004B5444" w:rsidRPr="00267FC3" w:rsidRDefault="004B5444" w:rsidP="00267FC3">
      <w:pPr>
        <w:spacing w:line="360" w:lineRule="auto"/>
        <w:jc w:val="both"/>
        <w:rPr>
          <w:rFonts w:ascii="Arial" w:hAnsi="Arial" w:cs="Arial"/>
          <w:b/>
          <w:bCs/>
          <w:sz w:val="22"/>
          <w:szCs w:val="22"/>
        </w:rPr>
      </w:pPr>
      <w:r w:rsidRPr="00267FC3">
        <w:rPr>
          <w:rFonts w:ascii="Arial" w:hAnsi="Arial" w:cs="Arial"/>
          <w:b/>
          <w:bCs/>
          <w:sz w:val="22"/>
          <w:szCs w:val="22"/>
        </w:rPr>
        <w:lastRenderedPageBreak/>
        <w:t>Cellular Metabolism: The Role of Glucose and Oxygen</w:t>
      </w:r>
    </w:p>
    <w:p w14:paraId="5AF38DDD"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Cells require energy to perform essential functions such as movement, growth, repair and maintaining normal body processes. This energy is produced through cellular respiration, a process where glucose is broken down using oxygen to produce adenosine triphosphate (ATP), which is the main energy source for cells.</w:t>
      </w:r>
    </w:p>
    <w:p w14:paraId="4C964C79"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The overall process can be summarised as:</w:t>
      </w:r>
    </w:p>
    <w:p w14:paraId="3D009B18"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b/>
          <w:bCs/>
          <w:sz w:val="22"/>
          <w:szCs w:val="22"/>
        </w:rPr>
        <w:t>Glucose + Oxygen → Carbon dioxide + Water + ATP (energy)</w:t>
      </w:r>
    </w:p>
    <w:p w14:paraId="5B4AB917"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During aerobic respiration, glucose enters cells and is broken down within the mitochondria, which are known as the energy-producing structures of the cell. Oxygen is required because it allows glucose to be completely broken down, producing a larger amount of ATP compared with anaerobic respiration, which occurs without oxygen (Reece </w:t>
      </w:r>
      <w:r w:rsidRPr="00267FC3">
        <w:rPr>
          <w:rFonts w:ascii="Arial" w:hAnsi="Arial" w:cs="Arial"/>
          <w:i/>
          <w:iCs/>
          <w:sz w:val="22"/>
          <w:szCs w:val="22"/>
        </w:rPr>
        <w:t>et al</w:t>
      </w:r>
      <w:r w:rsidRPr="00267FC3">
        <w:rPr>
          <w:rFonts w:ascii="Arial" w:hAnsi="Arial" w:cs="Arial"/>
          <w:sz w:val="22"/>
          <w:szCs w:val="22"/>
        </w:rPr>
        <w:t>., 2021).</w:t>
      </w:r>
    </w:p>
    <w:p w14:paraId="5CAB8B3C"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In individuals with Type 2 diabetes, glucose may not enter cells efficiently because insulin resistance reduces the effectiveness of insulin signalling. As a result, glucose remains in the bloodstream, causing hyperglycaemia, while cells may have reduced access to their preferred energy source. Persistent high blood glucose can damage blood vessels and increase the risk of complications affecting organs such as the heart, kidneys, eyes and nervous system (American Diabetes Association, 2023).</w:t>
      </w:r>
    </w:p>
    <w:p w14:paraId="175C5778" w14:textId="10E2F8F8" w:rsidR="00E4249D"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Understanding how glucose is regulated and converted into energy is important for patients because it explains why controlling blood sugar levels through medication, diet, exercise and lifestyle changes is essential for maintaining health and preventing complications.</w:t>
      </w:r>
    </w:p>
    <w:p w14:paraId="1E6652FD" w14:textId="77777777" w:rsidR="00E4249D" w:rsidRPr="00267FC3" w:rsidRDefault="00E4249D" w:rsidP="00267FC3">
      <w:pPr>
        <w:spacing w:line="360" w:lineRule="auto"/>
        <w:jc w:val="both"/>
        <w:rPr>
          <w:rFonts w:ascii="Arial" w:hAnsi="Arial" w:cs="Arial"/>
          <w:sz w:val="22"/>
          <w:szCs w:val="22"/>
        </w:rPr>
      </w:pPr>
    </w:p>
    <w:p w14:paraId="05F34530" w14:textId="6ECBE03C" w:rsidR="004B5444" w:rsidRPr="00267FC3" w:rsidRDefault="004B5444" w:rsidP="00267FC3">
      <w:pPr>
        <w:spacing w:line="360" w:lineRule="auto"/>
        <w:jc w:val="both"/>
        <w:rPr>
          <w:rFonts w:ascii="Arial" w:hAnsi="Arial" w:cs="Arial"/>
          <w:b/>
          <w:bCs/>
          <w:sz w:val="22"/>
          <w:szCs w:val="22"/>
        </w:rPr>
      </w:pPr>
      <w:r w:rsidRPr="00267FC3">
        <w:rPr>
          <w:rFonts w:ascii="Arial" w:hAnsi="Arial" w:cs="Arial"/>
          <w:b/>
          <w:bCs/>
          <w:sz w:val="22"/>
          <w:szCs w:val="22"/>
        </w:rPr>
        <w:t>Section 2: Pathophysiology and Impact of Type 2 Diabetes</w:t>
      </w:r>
    </w:p>
    <w:p w14:paraId="60B1E9FF" w14:textId="2CD65565"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Type 2 diabetes develops when the normal mechanisms responsible for controlling blood glucose become impaired.</w:t>
      </w:r>
      <w:r w:rsidR="0047152F" w:rsidRPr="00267FC3">
        <w:rPr>
          <w:rFonts w:ascii="Arial" w:hAnsi="Arial" w:cs="Arial"/>
          <w:sz w:val="22"/>
          <w:szCs w:val="22"/>
        </w:rPr>
        <w:t xml:space="preserve"> </w:t>
      </w:r>
      <w:r w:rsidRPr="00267FC3">
        <w:rPr>
          <w:rFonts w:ascii="Arial" w:hAnsi="Arial" w:cs="Arial"/>
          <w:sz w:val="22"/>
          <w:szCs w:val="22"/>
        </w:rPr>
        <w:t>The</w:t>
      </w:r>
      <w:r w:rsidR="0047152F" w:rsidRPr="00267FC3">
        <w:rPr>
          <w:rFonts w:ascii="Arial" w:hAnsi="Arial" w:cs="Arial"/>
          <w:sz w:val="22"/>
          <w:szCs w:val="22"/>
        </w:rPr>
        <w:t xml:space="preserve"> </w:t>
      </w:r>
      <w:r w:rsidRPr="00267FC3">
        <w:rPr>
          <w:rFonts w:ascii="Arial" w:hAnsi="Arial" w:cs="Arial"/>
          <w:sz w:val="22"/>
          <w:szCs w:val="22"/>
        </w:rPr>
        <w:t xml:space="preserve">main physiological problem is </w:t>
      </w:r>
      <w:r w:rsidRPr="00267FC3">
        <w:rPr>
          <w:rFonts w:ascii="Arial" w:hAnsi="Arial" w:cs="Arial"/>
          <w:b/>
          <w:bCs/>
          <w:sz w:val="22"/>
          <w:szCs w:val="22"/>
        </w:rPr>
        <w:t>insulin resistance</w:t>
      </w:r>
      <w:r w:rsidRPr="00267FC3">
        <w:rPr>
          <w:rFonts w:ascii="Arial" w:hAnsi="Arial" w:cs="Arial"/>
          <w:sz w:val="22"/>
          <w:szCs w:val="22"/>
        </w:rPr>
        <w:t>, where body cells become less responsive to insulin. As a result, glucose is unable to enter cells effectively and remains in the bloodstream, causing increased blood glucose levels (hyperglycaemia). Initially, the pancreas attempts to compensate by producing more insulin; however, over time, the beta cells become unable to maintain this increased demand, resulting in reduced insulin production and further difficulty controlling blood glucose levels (NICE, 2022).</w:t>
      </w:r>
    </w:p>
    <w:p w14:paraId="246AD83F"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Long-term hyperglycaemia can have harmful effects on the body because high levels of glucose can damage blood vessels and nerves. This increases the risk of complications such as cardiovascular disease, kidney disease, nerve damage (neuropathy), and eye problems </w:t>
      </w:r>
      <w:r w:rsidRPr="00267FC3">
        <w:rPr>
          <w:rFonts w:ascii="Arial" w:hAnsi="Arial" w:cs="Arial"/>
          <w:sz w:val="22"/>
          <w:szCs w:val="22"/>
        </w:rPr>
        <w:lastRenderedPageBreak/>
        <w:t>including diabetic retinopathy (Diabetes UK, 2024). Therefore, effective management of blood glucose levels is essential to reduce the risk of these complications and improve an individual’s quality of life.</w:t>
      </w:r>
    </w:p>
    <w:p w14:paraId="31F69EFC"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Lifestyle factors have an important influence on the development and management of Type 2 diabetes. A diet high in refined carbohydrates, sugary foods and saturated fats can contribute to weight gain and increased insulin resistance. In contrast, consuming a balanced diet containing vegetables, whole grains, fibre, and appropriate portions of carbohydrates can help improve blood glucose control by reducing rapid increases in blood sugar after meals (NICE, 2022).</w:t>
      </w:r>
    </w:p>
    <w:p w14:paraId="5D3E08EE" w14:textId="278276CF"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Physical activity is also important because exercise increases the uptake of glucose into muscle cells, even when insulin sensitivity is reduced. Regular exercise improves insulin sensitivity, supports weight management and can help individuals achieve better long-term blood glucose control (Colberg </w:t>
      </w:r>
      <w:r w:rsidRPr="00267FC3">
        <w:rPr>
          <w:rFonts w:ascii="Arial" w:hAnsi="Arial" w:cs="Arial"/>
          <w:i/>
          <w:iCs/>
          <w:sz w:val="22"/>
          <w:szCs w:val="22"/>
        </w:rPr>
        <w:t>et al</w:t>
      </w:r>
      <w:r w:rsidRPr="00267FC3">
        <w:rPr>
          <w:rFonts w:ascii="Arial" w:hAnsi="Arial" w:cs="Arial"/>
          <w:sz w:val="22"/>
          <w:szCs w:val="22"/>
        </w:rPr>
        <w:t>., 2016). The World Health Organi</w:t>
      </w:r>
      <w:r w:rsidR="00BF4D13" w:rsidRPr="00267FC3">
        <w:rPr>
          <w:rFonts w:ascii="Arial" w:hAnsi="Arial" w:cs="Arial"/>
          <w:sz w:val="22"/>
          <w:szCs w:val="22"/>
        </w:rPr>
        <w:t>s</w:t>
      </w:r>
      <w:r w:rsidRPr="00267FC3">
        <w:rPr>
          <w:rFonts w:ascii="Arial" w:hAnsi="Arial" w:cs="Arial"/>
          <w:sz w:val="22"/>
          <w:szCs w:val="22"/>
        </w:rPr>
        <w:t>ation recommends regular physical activity because it contributes to improved metabolic health and reduces the risk of chronic diseases (WHO, 2020).</w:t>
      </w:r>
    </w:p>
    <w:p w14:paraId="2FE97511"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Smoking is another lifestyle factor that can negatively affect individuals with diabetes. Smoking increases inflammation, damages blood vessels and increases the risk of cardiovascular complications. For people with Type 2 diabetes, who already have an increased risk of cardiovascular disease, stopping smoking can significantly improve overall health outcomes (NHS, 2024).</w:t>
      </w:r>
    </w:p>
    <w:p w14:paraId="2A3CE884"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Understanding these factors allows individuals to make informed decisions about their health. Through education and support from healthcare professionals, patients can develop effective self-management strategies that improve blood glucose regulation and reduce the likelihood of complications.</w:t>
      </w:r>
    </w:p>
    <w:p w14:paraId="7DB0D389" w14:textId="096404C3" w:rsidR="004B5444" w:rsidRPr="00267FC3" w:rsidRDefault="004B5444" w:rsidP="00267FC3">
      <w:pPr>
        <w:spacing w:line="360" w:lineRule="auto"/>
        <w:jc w:val="both"/>
        <w:rPr>
          <w:rFonts w:ascii="Arial" w:hAnsi="Arial" w:cs="Arial"/>
          <w:sz w:val="22"/>
          <w:szCs w:val="22"/>
        </w:rPr>
      </w:pPr>
    </w:p>
    <w:p w14:paraId="69123FB8" w14:textId="77777777" w:rsidR="00117F21" w:rsidRPr="00267FC3" w:rsidRDefault="00117F21" w:rsidP="00267FC3">
      <w:pPr>
        <w:spacing w:line="360" w:lineRule="auto"/>
        <w:jc w:val="both"/>
        <w:rPr>
          <w:rFonts w:ascii="Arial" w:hAnsi="Arial" w:cs="Arial"/>
          <w:sz w:val="22"/>
          <w:szCs w:val="22"/>
        </w:rPr>
      </w:pPr>
    </w:p>
    <w:p w14:paraId="771B600A" w14:textId="77777777" w:rsidR="00117F21" w:rsidRPr="00267FC3" w:rsidRDefault="00117F21" w:rsidP="00267FC3">
      <w:pPr>
        <w:spacing w:line="360" w:lineRule="auto"/>
        <w:jc w:val="both"/>
        <w:rPr>
          <w:rFonts w:ascii="Arial" w:hAnsi="Arial" w:cs="Arial"/>
          <w:sz w:val="22"/>
          <w:szCs w:val="22"/>
        </w:rPr>
      </w:pPr>
    </w:p>
    <w:p w14:paraId="6CC1137E" w14:textId="77777777" w:rsidR="00117F21" w:rsidRPr="00267FC3" w:rsidRDefault="00117F21" w:rsidP="00267FC3">
      <w:pPr>
        <w:spacing w:line="360" w:lineRule="auto"/>
        <w:jc w:val="both"/>
        <w:rPr>
          <w:rFonts w:ascii="Arial" w:hAnsi="Arial" w:cs="Arial"/>
          <w:sz w:val="22"/>
          <w:szCs w:val="22"/>
        </w:rPr>
      </w:pPr>
    </w:p>
    <w:p w14:paraId="35B56B14" w14:textId="77777777" w:rsidR="008344F1" w:rsidRDefault="008344F1" w:rsidP="00267FC3">
      <w:pPr>
        <w:spacing w:line="360" w:lineRule="auto"/>
        <w:jc w:val="both"/>
        <w:rPr>
          <w:rFonts w:ascii="Arial" w:hAnsi="Arial" w:cs="Arial"/>
          <w:b/>
          <w:bCs/>
          <w:sz w:val="22"/>
          <w:szCs w:val="22"/>
        </w:rPr>
      </w:pPr>
    </w:p>
    <w:p w14:paraId="3B19AE3D" w14:textId="77777777" w:rsidR="008344F1" w:rsidRDefault="008344F1" w:rsidP="00267FC3">
      <w:pPr>
        <w:spacing w:line="360" w:lineRule="auto"/>
        <w:jc w:val="both"/>
        <w:rPr>
          <w:rFonts w:ascii="Arial" w:hAnsi="Arial" w:cs="Arial"/>
          <w:b/>
          <w:bCs/>
          <w:sz w:val="22"/>
          <w:szCs w:val="22"/>
        </w:rPr>
      </w:pPr>
    </w:p>
    <w:p w14:paraId="6435777B" w14:textId="77777777" w:rsidR="008344F1" w:rsidRDefault="008344F1" w:rsidP="00267FC3">
      <w:pPr>
        <w:spacing w:line="360" w:lineRule="auto"/>
        <w:jc w:val="both"/>
        <w:rPr>
          <w:rFonts w:ascii="Arial" w:hAnsi="Arial" w:cs="Arial"/>
          <w:b/>
          <w:bCs/>
          <w:sz w:val="22"/>
          <w:szCs w:val="22"/>
        </w:rPr>
      </w:pPr>
    </w:p>
    <w:p w14:paraId="0CD7DCC4" w14:textId="77777777" w:rsidR="008344F1" w:rsidRDefault="008344F1" w:rsidP="00267FC3">
      <w:pPr>
        <w:spacing w:line="360" w:lineRule="auto"/>
        <w:jc w:val="both"/>
        <w:rPr>
          <w:rFonts w:ascii="Arial" w:hAnsi="Arial" w:cs="Arial"/>
          <w:b/>
          <w:bCs/>
          <w:sz w:val="22"/>
          <w:szCs w:val="22"/>
        </w:rPr>
      </w:pPr>
    </w:p>
    <w:p w14:paraId="03B028D5" w14:textId="72359667" w:rsidR="004B5444" w:rsidRPr="00267FC3" w:rsidRDefault="004B5444" w:rsidP="00267FC3">
      <w:pPr>
        <w:spacing w:line="360" w:lineRule="auto"/>
        <w:jc w:val="both"/>
        <w:rPr>
          <w:rFonts w:ascii="Arial" w:hAnsi="Arial" w:cs="Arial"/>
          <w:b/>
          <w:bCs/>
          <w:sz w:val="22"/>
          <w:szCs w:val="22"/>
        </w:rPr>
      </w:pPr>
      <w:r w:rsidRPr="00267FC3">
        <w:rPr>
          <w:rFonts w:ascii="Arial" w:hAnsi="Arial" w:cs="Arial"/>
          <w:b/>
          <w:bCs/>
          <w:sz w:val="22"/>
          <w:szCs w:val="22"/>
        </w:rPr>
        <w:lastRenderedPageBreak/>
        <w:t>Section 3: Monitoring and Recording Blood Sugar Levels</w:t>
      </w:r>
    </w:p>
    <w:p w14:paraId="181B22D0"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Regular monitoring and recording of blood glucose levels is an important aspect of managing Type 2 diabetes because it provides individuals and healthcare professionals with information about how effectively the condition is being controlled. Tracking blood glucose levels over time allows patterns to be identified, such as increases after certain meals, changes caused by physical activity, or periods when medication may need adjustment (American Diabetes Association, 2023).</w:t>
      </w:r>
    </w:p>
    <w:p w14:paraId="64133836" w14:textId="180FBCE3"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Recording blood glucose results can help individuals understand how lifestyle choices influence their condition. For example, a person may notice that their blood glucose levels improve after increasing physical activity or changing their diet. This knowledge supports patient empowerment by helping individuals make informed decisions and become more actively involved in managing their health</w:t>
      </w:r>
      <w:r w:rsidR="00CF22D9" w:rsidRPr="00267FC3">
        <w:rPr>
          <w:rFonts w:ascii="Arial" w:hAnsi="Arial" w:cs="Arial"/>
          <w:sz w:val="22"/>
          <w:szCs w:val="22"/>
        </w:rPr>
        <w:t xml:space="preserve"> (Powers </w:t>
      </w:r>
      <w:r w:rsidR="00CF22D9" w:rsidRPr="00267FC3">
        <w:rPr>
          <w:rFonts w:ascii="Arial" w:hAnsi="Arial" w:cs="Arial"/>
          <w:i/>
          <w:iCs/>
          <w:sz w:val="22"/>
          <w:szCs w:val="22"/>
        </w:rPr>
        <w:t>et al</w:t>
      </w:r>
      <w:r w:rsidR="00CF22D9" w:rsidRPr="00267FC3">
        <w:rPr>
          <w:rFonts w:ascii="Arial" w:hAnsi="Arial" w:cs="Arial"/>
          <w:sz w:val="22"/>
          <w:szCs w:val="22"/>
        </w:rPr>
        <w:t>., 2020).</w:t>
      </w:r>
    </w:p>
    <w:p w14:paraId="506067BA"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Blood glucose monitoring also helps healthcare professionals assess whether treatment plans are effective. During routine diabetes reviews, healthcare workers can use recorded information alongside measurements such as HbA1c levels, which provide an indication of average blood glucose levels over approximately two to three months. This information can support decisions about medication, dietary advice and lifestyle recommendations (NICE, 2022).</w:t>
      </w:r>
    </w:p>
    <w:p w14:paraId="1D782AEE"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For patients with Type 2 diabetes, monitoring does not only involve recording numbers but understanding what those results mean. Diabetes education programmes can improve confidence and self-management skills by helping individuals understand the relationship between food intake, exercise, medication and blood glucose levels (Powers </w:t>
      </w:r>
      <w:r w:rsidRPr="00267FC3">
        <w:rPr>
          <w:rFonts w:ascii="Arial" w:hAnsi="Arial" w:cs="Arial"/>
          <w:i/>
          <w:iCs/>
          <w:sz w:val="22"/>
          <w:szCs w:val="22"/>
        </w:rPr>
        <w:t>et al</w:t>
      </w:r>
      <w:r w:rsidRPr="00267FC3">
        <w:rPr>
          <w:rFonts w:ascii="Arial" w:hAnsi="Arial" w:cs="Arial"/>
          <w:sz w:val="22"/>
          <w:szCs w:val="22"/>
        </w:rPr>
        <w:t>., 2020).</w:t>
      </w:r>
    </w:p>
    <w:p w14:paraId="2613B691"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Effective monitoring can also reduce the risk of complications by identifying poor glucose control early. When individuals understand their results and work collaboratively with healthcare professionals, they are more likely to maintain safe blood glucose levels and achieve better long-term health outcomes.</w:t>
      </w:r>
    </w:p>
    <w:p w14:paraId="5D4FA4CD" w14:textId="4615B7E4" w:rsidR="004B5444" w:rsidRPr="00267FC3" w:rsidRDefault="004B5444" w:rsidP="00267FC3">
      <w:pPr>
        <w:spacing w:line="360" w:lineRule="auto"/>
        <w:jc w:val="both"/>
        <w:rPr>
          <w:rFonts w:ascii="Arial" w:hAnsi="Arial" w:cs="Arial"/>
          <w:sz w:val="22"/>
          <w:szCs w:val="22"/>
        </w:rPr>
      </w:pPr>
    </w:p>
    <w:p w14:paraId="444678DF" w14:textId="77777777" w:rsidR="00117F21" w:rsidRPr="00267FC3" w:rsidRDefault="00117F21" w:rsidP="00267FC3">
      <w:pPr>
        <w:spacing w:line="360" w:lineRule="auto"/>
        <w:jc w:val="both"/>
        <w:rPr>
          <w:rFonts w:ascii="Arial" w:hAnsi="Arial" w:cs="Arial"/>
          <w:sz w:val="22"/>
          <w:szCs w:val="22"/>
        </w:rPr>
      </w:pPr>
    </w:p>
    <w:p w14:paraId="53723B4A" w14:textId="77777777" w:rsidR="004B5444" w:rsidRPr="00267FC3" w:rsidRDefault="004B5444" w:rsidP="00267FC3">
      <w:pPr>
        <w:spacing w:line="360" w:lineRule="auto"/>
        <w:jc w:val="both"/>
        <w:rPr>
          <w:rFonts w:ascii="Arial" w:hAnsi="Arial" w:cs="Arial"/>
          <w:b/>
          <w:bCs/>
          <w:sz w:val="22"/>
          <w:szCs w:val="22"/>
        </w:rPr>
      </w:pPr>
      <w:r w:rsidRPr="00267FC3">
        <w:rPr>
          <w:rFonts w:ascii="Arial" w:hAnsi="Arial" w:cs="Arial"/>
          <w:b/>
          <w:bCs/>
          <w:sz w:val="22"/>
          <w:szCs w:val="22"/>
        </w:rPr>
        <w:t>Section 4: Evidence-Based Lifestyle Recommendations</w:t>
      </w:r>
    </w:p>
    <w:p w14:paraId="60597885"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Lifestyle changes are an essential part of Type 2 diabetes management because they can improve insulin sensitivity, support healthier blood glucose levels and reduce the risk of complications. Healthcare professionals should provide personalised advice that considers the individual’s needs, preferences and circumstances.</w:t>
      </w:r>
    </w:p>
    <w:p w14:paraId="2DB4B733" w14:textId="77777777" w:rsidR="003916E4" w:rsidRPr="00267FC3" w:rsidRDefault="003916E4" w:rsidP="00267FC3">
      <w:pPr>
        <w:spacing w:line="360" w:lineRule="auto"/>
        <w:jc w:val="both"/>
        <w:rPr>
          <w:rFonts w:ascii="Arial" w:hAnsi="Arial" w:cs="Arial"/>
          <w:b/>
          <w:bCs/>
          <w:sz w:val="22"/>
          <w:szCs w:val="22"/>
        </w:rPr>
      </w:pPr>
    </w:p>
    <w:p w14:paraId="423F8CBD" w14:textId="77777777" w:rsidR="008344F1" w:rsidRDefault="008344F1" w:rsidP="00267FC3">
      <w:pPr>
        <w:spacing w:line="360" w:lineRule="auto"/>
        <w:jc w:val="both"/>
        <w:rPr>
          <w:rFonts w:ascii="Arial" w:hAnsi="Arial" w:cs="Arial"/>
          <w:b/>
          <w:bCs/>
          <w:sz w:val="22"/>
          <w:szCs w:val="22"/>
        </w:rPr>
      </w:pPr>
    </w:p>
    <w:p w14:paraId="79E910A2" w14:textId="77777777" w:rsidR="008344F1" w:rsidRDefault="008344F1" w:rsidP="00267FC3">
      <w:pPr>
        <w:spacing w:line="360" w:lineRule="auto"/>
        <w:jc w:val="both"/>
        <w:rPr>
          <w:rFonts w:ascii="Arial" w:hAnsi="Arial" w:cs="Arial"/>
          <w:b/>
          <w:bCs/>
          <w:sz w:val="22"/>
          <w:szCs w:val="22"/>
        </w:rPr>
      </w:pPr>
    </w:p>
    <w:p w14:paraId="63718312" w14:textId="1B071624" w:rsidR="004B5444" w:rsidRPr="00267FC3" w:rsidRDefault="004B5444" w:rsidP="00267FC3">
      <w:pPr>
        <w:spacing w:line="360" w:lineRule="auto"/>
        <w:jc w:val="both"/>
        <w:rPr>
          <w:rFonts w:ascii="Arial" w:hAnsi="Arial" w:cs="Arial"/>
          <w:b/>
          <w:bCs/>
          <w:sz w:val="22"/>
          <w:szCs w:val="22"/>
        </w:rPr>
      </w:pPr>
      <w:r w:rsidRPr="00267FC3">
        <w:rPr>
          <w:rFonts w:ascii="Arial" w:hAnsi="Arial" w:cs="Arial"/>
          <w:b/>
          <w:bCs/>
          <w:sz w:val="22"/>
          <w:szCs w:val="22"/>
        </w:rPr>
        <w:t>Dietary Improvements</w:t>
      </w:r>
    </w:p>
    <w:p w14:paraId="14BE33F1" w14:textId="6C09CB87" w:rsidR="004B5444" w:rsidRPr="00267FC3" w:rsidRDefault="0048599E" w:rsidP="00267FC3">
      <w:pPr>
        <w:spacing w:line="360" w:lineRule="auto"/>
        <w:jc w:val="both"/>
        <w:rPr>
          <w:rFonts w:ascii="Arial" w:hAnsi="Arial" w:cs="Arial"/>
          <w:sz w:val="22"/>
          <w:szCs w:val="22"/>
        </w:rPr>
      </w:pPr>
      <w:r w:rsidRPr="00267FC3">
        <w:rPr>
          <w:rFonts w:ascii="Arial" w:hAnsi="Arial" w:cs="Arial"/>
          <w:sz w:val="22"/>
          <w:szCs w:val="22"/>
        </w:rPr>
        <w:t>A healthy and balanced diet plays an important role in helping people with Type 2 diabetes manage their condition effectively. Eating a variety of nutritious foods, such as vegetables, fruits, whole grains,</w:t>
      </w:r>
      <w:r w:rsidR="0045664F" w:rsidRPr="00267FC3">
        <w:rPr>
          <w:rFonts w:ascii="Arial" w:hAnsi="Arial" w:cs="Arial"/>
          <w:sz w:val="22"/>
          <w:szCs w:val="22"/>
        </w:rPr>
        <w:t xml:space="preserve"> </w:t>
      </w:r>
      <w:r w:rsidR="00D13A64" w:rsidRPr="00267FC3">
        <w:rPr>
          <w:rFonts w:ascii="Arial" w:hAnsi="Arial" w:cs="Arial"/>
          <w:sz w:val="22"/>
          <w:szCs w:val="22"/>
        </w:rPr>
        <w:t>high-fibre rich foods,</w:t>
      </w:r>
      <w:r w:rsidRPr="00267FC3">
        <w:rPr>
          <w:rFonts w:ascii="Arial" w:hAnsi="Arial" w:cs="Arial"/>
          <w:sz w:val="22"/>
          <w:szCs w:val="22"/>
        </w:rPr>
        <w:t xml:space="preserve"> lean </w:t>
      </w:r>
      <w:r w:rsidR="005E2A62" w:rsidRPr="00267FC3">
        <w:rPr>
          <w:rFonts w:ascii="Arial" w:hAnsi="Arial" w:cs="Arial"/>
          <w:sz w:val="22"/>
          <w:szCs w:val="22"/>
        </w:rPr>
        <w:t>protein meat</w:t>
      </w:r>
      <w:r w:rsidRPr="00267FC3">
        <w:rPr>
          <w:rFonts w:ascii="Arial" w:hAnsi="Arial" w:cs="Arial"/>
          <w:sz w:val="22"/>
          <w:szCs w:val="22"/>
        </w:rPr>
        <w:t xml:space="preserve"> and healthy fats, can help maintain more stable blood glucose levels and reduce the risk of complications. Increasing fibre intake is particularly beneficial because it slows down the digestion and absorption of glucose, helping to prevent sudden rises in blood sugar after meals (NICE, 2022). However, regularly consuming foods and drinks that are high in added sugars, including products containing high-fructose corn syrup (HFCS), can contribute to increased calorie intake, weight gain and reduced insulin sensitivity. High levels of fructose may also increase fat production in the liver, which can make it more difficult for the body to regulate blood glucose effectively (Stanhope, 2016). Therefore, reducing sugary drinks and processed foods, while choosing healthier high-fibre carbohydrate sources such as whole grains, vegetables and legumes, can support individuals in achieving better long-term diabetes management (NICE, 2022).</w:t>
      </w:r>
    </w:p>
    <w:p w14:paraId="5FDB5554"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Reducing the intake of foods high in added sugars, refined carbohydrates and saturated fats can support weight management and improve cardiovascular health. The Mediterranean-style diet, which includes vegetables, whole grains, fish, nuts and olive oil, has been associated with improved glucose control and reduced cardiovascular risk in individuals with Type 2 diabetes (American Diabetes Association, 2023).</w:t>
      </w:r>
    </w:p>
    <w:p w14:paraId="1DE494DC" w14:textId="77777777" w:rsidR="00C62F56" w:rsidRPr="00267FC3" w:rsidRDefault="00C62F56" w:rsidP="00267FC3">
      <w:pPr>
        <w:spacing w:line="360" w:lineRule="auto"/>
        <w:jc w:val="both"/>
        <w:rPr>
          <w:rFonts w:ascii="Arial" w:hAnsi="Arial" w:cs="Arial"/>
          <w:b/>
          <w:bCs/>
          <w:sz w:val="22"/>
          <w:szCs w:val="22"/>
        </w:rPr>
      </w:pPr>
    </w:p>
    <w:p w14:paraId="67E86CB1" w14:textId="77777777" w:rsidR="00C62F56" w:rsidRPr="00267FC3" w:rsidRDefault="00C62F56" w:rsidP="00267FC3">
      <w:pPr>
        <w:spacing w:line="360" w:lineRule="auto"/>
        <w:jc w:val="both"/>
        <w:rPr>
          <w:rFonts w:ascii="Arial" w:hAnsi="Arial" w:cs="Arial"/>
          <w:b/>
          <w:bCs/>
          <w:sz w:val="22"/>
          <w:szCs w:val="22"/>
        </w:rPr>
      </w:pPr>
    </w:p>
    <w:p w14:paraId="7C655ADE" w14:textId="652F6FFF" w:rsidR="004B5444" w:rsidRPr="00267FC3" w:rsidRDefault="004B5444" w:rsidP="00267FC3">
      <w:pPr>
        <w:spacing w:line="360" w:lineRule="auto"/>
        <w:jc w:val="both"/>
        <w:rPr>
          <w:rFonts w:ascii="Arial" w:hAnsi="Arial" w:cs="Arial"/>
          <w:b/>
          <w:bCs/>
          <w:sz w:val="22"/>
          <w:szCs w:val="22"/>
        </w:rPr>
      </w:pPr>
      <w:r w:rsidRPr="00267FC3">
        <w:rPr>
          <w:rFonts w:ascii="Arial" w:hAnsi="Arial" w:cs="Arial"/>
          <w:b/>
          <w:bCs/>
          <w:sz w:val="22"/>
          <w:szCs w:val="22"/>
        </w:rPr>
        <w:t>Increasing Physical Activity</w:t>
      </w:r>
    </w:p>
    <w:p w14:paraId="575BF14E"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Regular physical activity is recommended because it improves how effectively the body uses insulin. Exercise allows muscles to absorb more glucose from the bloodstream, reducing blood glucose levels. Activities such as walking, cycling, swimming and resistance exercises can improve overall fitness and metabolic health (Colberg </w:t>
      </w:r>
      <w:r w:rsidRPr="00267FC3">
        <w:rPr>
          <w:rFonts w:ascii="Arial" w:hAnsi="Arial" w:cs="Arial"/>
          <w:i/>
          <w:iCs/>
          <w:sz w:val="22"/>
          <w:szCs w:val="22"/>
        </w:rPr>
        <w:t>et al</w:t>
      </w:r>
      <w:r w:rsidRPr="00267FC3">
        <w:rPr>
          <w:rFonts w:ascii="Arial" w:hAnsi="Arial" w:cs="Arial"/>
          <w:sz w:val="22"/>
          <w:szCs w:val="22"/>
        </w:rPr>
        <w:t>., 2016).</w:t>
      </w:r>
    </w:p>
    <w:p w14:paraId="7D452482"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Healthcare professionals should encourage realistic and achievable goals, as small increases in activity can provide health benefits. Supporting individuals to gradually increase activity levels can improve confidence and long-term adherence.</w:t>
      </w:r>
    </w:p>
    <w:p w14:paraId="609693FF" w14:textId="77777777" w:rsidR="004B5444" w:rsidRPr="00267FC3" w:rsidRDefault="004B5444" w:rsidP="00267FC3">
      <w:pPr>
        <w:spacing w:line="360" w:lineRule="auto"/>
        <w:jc w:val="both"/>
        <w:rPr>
          <w:rFonts w:ascii="Arial" w:hAnsi="Arial" w:cs="Arial"/>
          <w:b/>
          <w:bCs/>
          <w:sz w:val="22"/>
          <w:szCs w:val="22"/>
        </w:rPr>
      </w:pPr>
      <w:r w:rsidRPr="00267FC3">
        <w:rPr>
          <w:rFonts w:ascii="Arial" w:hAnsi="Arial" w:cs="Arial"/>
          <w:b/>
          <w:bCs/>
          <w:sz w:val="22"/>
          <w:szCs w:val="22"/>
        </w:rPr>
        <w:lastRenderedPageBreak/>
        <w:t>Smoking Cessation</w:t>
      </w:r>
    </w:p>
    <w:p w14:paraId="0BB898BF"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Stopping smoking is an important recommendation for people with Type 2 diabetes because smoking increases the risk of cardiovascular complications. Healthcare professionals can provide advice, support and referral to smoking cessation services to help individuals quit successfully (NHS, 2024).</w:t>
      </w:r>
    </w:p>
    <w:p w14:paraId="43C89B92" w14:textId="0E138F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Overall, lifestyle changes should be approached through a person-centred approach, where patients are supported rather than judged. Providing education, encouragement and regular follow-up </w:t>
      </w:r>
      <w:r w:rsidR="0048599E" w:rsidRPr="00267FC3">
        <w:rPr>
          <w:rFonts w:ascii="Arial" w:hAnsi="Arial" w:cs="Arial"/>
          <w:sz w:val="22"/>
          <w:szCs w:val="22"/>
        </w:rPr>
        <w:t>enable</w:t>
      </w:r>
      <w:r w:rsidRPr="00267FC3">
        <w:rPr>
          <w:rFonts w:ascii="Arial" w:hAnsi="Arial" w:cs="Arial"/>
          <w:sz w:val="22"/>
          <w:szCs w:val="22"/>
        </w:rPr>
        <w:t xml:space="preserve"> individuals to develop sustainable behaviours that improve diabetes control and quality of life.</w:t>
      </w:r>
    </w:p>
    <w:p w14:paraId="0205151F" w14:textId="7ADD8D99" w:rsidR="004B5444" w:rsidRPr="00267FC3" w:rsidRDefault="004B5444" w:rsidP="00267FC3">
      <w:pPr>
        <w:spacing w:line="360" w:lineRule="auto"/>
        <w:jc w:val="both"/>
        <w:rPr>
          <w:rFonts w:ascii="Arial" w:hAnsi="Arial" w:cs="Arial"/>
          <w:sz w:val="22"/>
          <w:szCs w:val="22"/>
        </w:rPr>
      </w:pPr>
    </w:p>
    <w:p w14:paraId="65A697C5" w14:textId="77777777" w:rsidR="00B85BD9" w:rsidRPr="00267FC3" w:rsidRDefault="00B85BD9" w:rsidP="00267FC3">
      <w:pPr>
        <w:spacing w:line="360" w:lineRule="auto"/>
        <w:jc w:val="both"/>
        <w:rPr>
          <w:rFonts w:ascii="Arial" w:hAnsi="Arial" w:cs="Arial"/>
          <w:b/>
          <w:bCs/>
          <w:sz w:val="22"/>
          <w:szCs w:val="22"/>
        </w:rPr>
      </w:pPr>
    </w:p>
    <w:p w14:paraId="3C1B9FD9" w14:textId="77777777" w:rsidR="00B85BD9" w:rsidRPr="00267FC3" w:rsidRDefault="00B85BD9" w:rsidP="00267FC3">
      <w:pPr>
        <w:spacing w:line="360" w:lineRule="auto"/>
        <w:jc w:val="both"/>
        <w:rPr>
          <w:rFonts w:ascii="Arial" w:hAnsi="Arial" w:cs="Arial"/>
          <w:b/>
          <w:bCs/>
          <w:sz w:val="22"/>
          <w:szCs w:val="22"/>
        </w:rPr>
      </w:pPr>
    </w:p>
    <w:p w14:paraId="5AE98F86" w14:textId="77777777" w:rsidR="003916E4" w:rsidRPr="00267FC3" w:rsidRDefault="003916E4" w:rsidP="00267FC3">
      <w:pPr>
        <w:spacing w:line="360" w:lineRule="auto"/>
        <w:jc w:val="both"/>
        <w:rPr>
          <w:rFonts w:ascii="Arial" w:hAnsi="Arial" w:cs="Arial"/>
          <w:b/>
          <w:bCs/>
          <w:sz w:val="22"/>
          <w:szCs w:val="22"/>
        </w:rPr>
      </w:pPr>
    </w:p>
    <w:p w14:paraId="5C67C594" w14:textId="77777777" w:rsidR="003916E4" w:rsidRPr="00267FC3" w:rsidRDefault="003916E4" w:rsidP="00267FC3">
      <w:pPr>
        <w:spacing w:line="360" w:lineRule="auto"/>
        <w:jc w:val="both"/>
        <w:rPr>
          <w:rFonts w:ascii="Arial" w:hAnsi="Arial" w:cs="Arial"/>
          <w:b/>
          <w:bCs/>
          <w:sz w:val="22"/>
          <w:szCs w:val="22"/>
        </w:rPr>
      </w:pPr>
    </w:p>
    <w:p w14:paraId="4F274B56" w14:textId="77777777" w:rsidR="00C62F56" w:rsidRPr="00267FC3" w:rsidRDefault="00C62F56" w:rsidP="00267FC3">
      <w:pPr>
        <w:spacing w:line="360" w:lineRule="auto"/>
        <w:jc w:val="both"/>
        <w:rPr>
          <w:rFonts w:ascii="Arial" w:hAnsi="Arial" w:cs="Arial"/>
          <w:b/>
          <w:bCs/>
          <w:sz w:val="22"/>
          <w:szCs w:val="22"/>
        </w:rPr>
      </w:pPr>
    </w:p>
    <w:p w14:paraId="65DB1ED4" w14:textId="77777777" w:rsidR="00C62F56" w:rsidRPr="00267FC3" w:rsidRDefault="00C62F56" w:rsidP="00267FC3">
      <w:pPr>
        <w:spacing w:line="360" w:lineRule="auto"/>
        <w:jc w:val="both"/>
        <w:rPr>
          <w:rFonts w:ascii="Arial" w:hAnsi="Arial" w:cs="Arial"/>
          <w:b/>
          <w:bCs/>
          <w:sz w:val="22"/>
          <w:szCs w:val="22"/>
        </w:rPr>
      </w:pPr>
    </w:p>
    <w:p w14:paraId="3E06E931" w14:textId="77777777" w:rsidR="00C62F56" w:rsidRPr="00267FC3" w:rsidRDefault="00C62F56" w:rsidP="00267FC3">
      <w:pPr>
        <w:spacing w:line="360" w:lineRule="auto"/>
        <w:jc w:val="both"/>
        <w:rPr>
          <w:rFonts w:ascii="Arial" w:hAnsi="Arial" w:cs="Arial"/>
          <w:b/>
          <w:bCs/>
          <w:sz w:val="22"/>
          <w:szCs w:val="22"/>
        </w:rPr>
      </w:pPr>
    </w:p>
    <w:p w14:paraId="13BD7411" w14:textId="77777777" w:rsidR="00C62F56" w:rsidRPr="00267FC3" w:rsidRDefault="00C62F56" w:rsidP="00267FC3">
      <w:pPr>
        <w:spacing w:line="360" w:lineRule="auto"/>
        <w:jc w:val="both"/>
        <w:rPr>
          <w:rFonts w:ascii="Arial" w:hAnsi="Arial" w:cs="Arial"/>
          <w:b/>
          <w:bCs/>
          <w:sz w:val="22"/>
          <w:szCs w:val="22"/>
        </w:rPr>
      </w:pPr>
    </w:p>
    <w:p w14:paraId="1D28D272" w14:textId="77777777" w:rsidR="00C62F56" w:rsidRPr="00267FC3" w:rsidRDefault="00C62F56" w:rsidP="00267FC3">
      <w:pPr>
        <w:spacing w:line="360" w:lineRule="auto"/>
        <w:jc w:val="both"/>
        <w:rPr>
          <w:rFonts w:ascii="Arial" w:hAnsi="Arial" w:cs="Arial"/>
          <w:b/>
          <w:bCs/>
          <w:sz w:val="22"/>
          <w:szCs w:val="22"/>
        </w:rPr>
      </w:pPr>
    </w:p>
    <w:p w14:paraId="058E81B7" w14:textId="77777777" w:rsidR="00C05016" w:rsidRDefault="00C05016" w:rsidP="00267FC3">
      <w:pPr>
        <w:spacing w:line="360" w:lineRule="auto"/>
        <w:jc w:val="both"/>
        <w:rPr>
          <w:rFonts w:ascii="Arial" w:hAnsi="Arial" w:cs="Arial"/>
          <w:b/>
          <w:bCs/>
          <w:sz w:val="22"/>
          <w:szCs w:val="22"/>
        </w:rPr>
      </w:pPr>
    </w:p>
    <w:p w14:paraId="3DFADAA0" w14:textId="77777777" w:rsidR="00C05016" w:rsidRDefault="00C05016" w:rsidP="00267FC3">
      <w:pPr>
        <w:spacing w:line="360" w:lineRule="auto"/>
        <w:jc w:val="both"/>
        <w:rPr>
          <w:rFonts w:ascii="Arial" w:hAnsi="Arial" w:cs="Arial"/>
          <w:b/>
          <w:bCs/>
          <w:sz w:val="22"/>
          <w:szCs w:val="22"/>
        </w:rPr>
      </w:pPr>
    </w:p>
    <w:p w14:paraId="71642B0E" w14:textId="77777777" w:rsidR="00C05016" w:rsidRDefault="00C05016" w:rsidP="00267FC3">
      <w:pPr>
        <w:spacing w:line="360" w:lineRule="auto"/>
        <w:jc w:val="both"/>
        <w:rPr>
          <w:rFonts w:ascii="Arial" w:hAnsi="Arial" w:cs="Arial"/>
          <w:b/>
          <w:bCs/>
          <w:sz w:val="22"/>
          <w:szCs w:val="22"/>
        </w:rPr>
      </w:pPr>
    </w:p>
    <w:p w14:paraId="3CDA0A33" w14:textId="77777777" w:rsidR="00C05016" w:rsidRDefault="00C05016" w:rsidP="00267FC3">
      <w:pPr>
        <w:spacing w:line="360" w:lineRule="auto"/>
        <w:jc w:val="both"/>
        <w:rPr>
          <w:rFonts w:ascii="Arial" w:hAnsi="Arial" w:cs="Arial"/>
          <w:b/>
          <w:bCs/>
          <w:sz w:val="22"/>
          <w:szCs w:val="22"/>
        </w:rPr>
      </w:pPr>
    </w:p>
    <w:p w14:paraId="3383DFEF" w14:textId="77777777" w:rsidR="00C05016" w:rsidRDefault="00C05016" w:rsidP="00267FC3">
      <w:pPr>
        <w:spacing w:line="360" w:lineRule="auto"/>
        <w:jc w:val="both"/>
        <w:rPr>
          <w:rFonts w:ascii="Arial" w:hAnsi="Arial" w:cs="Arial"/>
          <w:b/>
          <w:bCs/>
          <w:sz w:val="22"/>
          <w:szCs w:val="22"/>
        </w:rPr>
      </w:pPr>
    </w:p>
    <w:p w14:paraId="60FE69CE" w14:textId="77777777" w:rsidR="00C05016" w:rsidRDefault="00C05016" w:rsidP="00267FC3">
      <w:pPr>
        <w:spacing w:line="360" w:lineRule="auto"/>
        <w:jc w:val="both"/>
        <w:rPr>
          <w:rFonts w:ascii="Arial" w:hAnsi="Arial" w:cs="Arial"/>
          <w:b/>
          <w:bCs/>
          <w:sz w:val="22"/>
          <w:szCs w:val="22"/>
        </w:rPr>
      </w:pPr>
    </w:p>
    <w:p w14:paraId="49CEE552" w14:textId="77777777" w:rsidR="00C05016" w:rsidRDefault="00C05016" w:rsidP="00267FC3">
      <w:pPr>
        <w:spacing w:line="360" w:lineRule="auto"/>
        <w:jc w:val="both"/>
        <w:rPr>
          <w:rFonts w:ascii="Arial" w:hAnsi="Arial" w:cs="Arial"/>
          <w:b/>
          <w:bCs/>
          <w:sz w:val="22"/>
          <w:szCs w:val="22"/>
        </w:rPr>
      </w:pPr>
    </w:p>
    <w:p w14:paraId="3CEA0B6D" w14:textId="77777777" w:rsidR="00C05016" w:rsidRDefault="00C05016" w:rsidP="00267FC3">
      <w:pPr>
        <w:spacing w:line="360" w:lineRule="auto"/>
        <w:jc w:val="both"/>
        <w:rPr>
          <w:rFonts w:ascii="Arial" w:hAnsi="Arial" w:cs="Arial"/>
          <w:b/>
          <w:bCs/>
          <w:sz w:val="22"/>
          <w:szCs w:val="22"/>
        </w:rPr>
      </w:pPr>
    </w:p>
    <w:p w14:paraId="1CFDAB94" w14:textId="77777777" w:rsidR="00C05016" w:rsidRDefault="00C05016" w:rsidP="00267FC3">
      <w:pPr>
        <w:spacing w:line="360" w:lineRule="auto"/>
        <w:jc w:val="both"/>
        <w:rPr>
          <w:rFonts w:ascii="Arial" w:hAnsi="Arial" w:cs="Arial"/>
          <w:b/>
          <w:bCs/>
          <w:sz w:val="22"/>
          <w:szCs w:val="22"/>
        </w:rPr>
      </w:pPr>
    </w:p>
    <w:p w14:paraId="43A91B29" w14:textId="77777777" w:rsidR="00C05016" w:rsidRDefault="00C05016" w:rsidP="00267FC3">
      <w:pPr>
        <w:spacing w:line="360" w:lineRule="auto"/>
        <w:jc w:val="both"/>
        <w:rPr>
          <w:rFonts w:ascii="Arial" w:hAnsi="Arial" w:cs="Arial"/>
          <w:b/>
          <w:bCs/>
          <w:sz w:val="22"/>
          <w:szCs w:val="22"/>
        </w:rPr>
      </w:pPr>
    </w:p>
    <w:p w14:paraId="61362E6E" w14:textId="77777777" w:rsidR="00C05016" w:rsidRDefault="00C05016" w:rsidP="00267FC3">
      <w:pPr>
        <w:spacing w:line="360" w:lineRule="auto"/>
        <w:jc w:val="both"/>
        <w:rPr>
          <w:rFonts w:ascii="Arial" w:hAnsi="Arial" w:cs="Arial"/>
          <w:b/>
          <w:bCs/>
          <w:sz w:val="22"/>
          <w:szCs w:val="22"/>
        </w:rPr>
      </w:pPr>
    </w:p>
    <w:p w14:paraId="7A1BCDA7" w14:textId="77777777" w:rsidR="00C05016" w:rsidRDefault="00C05016" w:rsidP="00267FC3">
      <w:pPr>
        <w:spacing w:line="360" w:lineRule="auto"/>
        <w:jc w:val="both"/>
        <w:rPr>
          <w:rFonts w:ascii="Arial" w:hAnsi="Arial" w:cs="Arial"/>
          <w:b/>
          <w:bCs/>
          <w:sz w:val="22"/>
          <w:szCs w:val="22"/>
        </w:rPr>
      </w:pPr>
    </w:p>
    <w:p w14:paraId="73A27BB1" w14:textId="77777777" w:rsidR="00C05016" w:rsidRDefault="00C05016" w:rsidP="00267FC3">
      <w:pPr>
        <w:spacing w:line="360" w:lineRule="auto"/>
        <w:jc w:val="both"/>
        <w:rPr>
          <w:rFonts w:ascii="Arial" w:hAnsi="Arial" w:cs="Arial"/>
          <w:b/>
          <w:bCs/>
          <w:sz w:val="22"/>
          <w:szCs w:val="22"/>
        </w:rPr>
      </w:pPr>
    </w:p>
    <w:p w14:paraId="1807FB04" w14:textId="17AD6FB0" w:rsidR="004B5444" w:rsidRPr="00267FC3" w:rsidRDefault="004B5444" w:rsidP="00267FC3">
      <w:pPr>
        <w:spacing w:line="360" w:lineRule="auto"/>
        <w:jc w:val="both"/>
        <w:rPr>
          <w:rFonts w:ascii="Arial" w:hAnsi="Arial" w:cs="Arial"/>
          <w:b/>
          <w:bCs/>
          <w:sz w:val="22"/>
          <w:szCs w:val="22"/>
        </w:rPr>
      </w:pPr>
      <w:r w:rsidRPr="00267FC3">
        <w:rPr>
          <w:rFonts w:ascii="Arial" w:hAnsi="Arial" w:cs="Arial"/>
          <w:b/>
          <w:bCs/>
          <w:sz w:val="22"/>
          <w:szCs w:val="22"/>
        </w:rPr>
        <w:t>Conclusion</w:t>
      </w:r>
    </w:p>
    <w:p w14:paraId="05357724"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Type 2 diabetes is a long-term condition caused by impaired blood glucose regulation, mainly due to insulin resistance and reduced insulin effectiveness. Understanding the physiological processes involved, including insulin regulation and cellular respiration, helps individuals understand why maintaining safe blood glucose levels is essential.</w:t>
      </w:r>
    </w:p>
    <w:p w14:paraId="6F284A69"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Monitoring and recording blood glucose levels allows individuals to recognise patterns, understand how lifestyle factors affect their condition and work effectively with healthcare professionals to adjust care plans. Lifestyle modifications, including improving diet, increasing physical activity and stopping smoking, can improve insulin sensitivity, reduce complications and support better overall health.</w:t>
      </w:r>
    </w:p>
    <w:p w14:paraId="77BB9008"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The role of healthcare professionals, particularly practice nurses, is essential in providing education, encouragement and person-centred support. By helping patients understand their condition and develop effective self-management skills, healthcare professionals can improve patient confidence and enable individuals with Type 2 diabetes to maintain their health and wellbeing.</w:t>
      </w:r>
    </w:p>
    <w:p w14:paraId="719186B4" w14:textId="1C56EA77" w:rsidR="004B5444" w:rsidRPr="00267FC3" w:rsidRDefault="004B5444" w:rsidP="00267FC3">
      <w:pPr>
        <w:spacing w:line="360" w:lineRule="auto"/>
        <w:jc w:val="both"/>
        <w:rPr>
          <w:rFonts w:ascii="Arial" w:hAnsi="Arial" w:cs="Arial"/>
          <w:sz w:val="22"/>
          <w:szCs w:val="22"/>
        </w:rPr>
      </w:pPr>
    </w:p>
    <w:p w14:paraId="7F6C080B" w14:textId="77777777" w:rsidR="009F643F" w:rsidRPr="00267FC3" w:rsidRDefault="009F643F" w:rsidP="00267FC3">
      <w:pPr>
        <w:spacing w:line="360" w:lineRule="auto"/>
        <w:jc w:val="both"/>
        <w:rPr>
          <w:rFonts w:ascii="Arial" w:hAnsi="Arial" w:cs="Arial"/>
          <w:sz w:val="22"/>
          <w:szCs w:val="22"/>
        </w:rPr>
      </w:pPr>
    </w:p>
    <w:p w14:paraId="5F18EB0D" w14:textId="77777777" w:rsidR="009F643F" w:rsidRPr="00267FC3" w:rsidRDefault="009F643F" w:rsidP="00267FC3">
      <w:pPr>
        <w:spacing w:line="360" w:lineRule="auto"/>
        <w:jc w:val="both"/>
        <w:rPr>
          <w:rFonts w:ascii="Arial" w:hAnsi="Arial" w:cs="Arial"/>
          <w:sz w:val="22"/>
          <w:szCs w:val="22"/>
        </w:rPr>
      </w:pPr>
    </w:p>
    <w:p w14:paraId="0B18941A" w14:textId="77777777" w:rsidR="009F643F" w:rsidRPr="00267FC3" w:rsidRDefault="009F643F" w:rsidP="00267FC3">
      <w:pPr>
        <w:spacing w:line="360" w:lineRule="auto"/>
        <w:jc w:val="both"/>
        <w:rPr>
          <w:rFonts w:ascii="Arial" w:hAnsi="Arial" w:cs="Arial"/>
          <w:sz w:val="22"/>
          <w:szCs w:val="22"/>
        </w:rPr>
      </w:pPr>
    </w:p>
    <w:p w14:paraId="308B020F" w14:textId="6886D3F3" w:rsidR="009F643F" w:rsidRPr="00267FC3" w:rsidRDefault="009F643F" w:rsidP="00267FC3">
      <w:pPr>
        <w:spacing w:line="360" w:lineRule="auto"/>
        <w:jc w:val="both"/>
        <w:rPr>
          <w:rFonts w:ascii="Arial" w:hAnsi="Arial" w:cs="Arial"/>
          <w:sz w:val="22"/>
          <w:szCs w:val="22"/>
        </w:rPr>
      </w:pPr>
    </w:p>
    <w:p w14:paraId="6C0AA7C7" w14:textId="77777777" w:rsidR="00B85BD9" w:rsidRPr="00267FC3" w:rsidRDefault="00B85BD9" w:rsidP="00267FC3">
      <w:pPr>
        <w:spacing w:line="360" w:lineRule="auto"/>
        <w:jc w:val="both"/>
        <w:rPr>
          <w:rFonts w:ascii="Arial" w:hAnsi="Arial" w:cs="Arial"/>
          <w:b/>
          <w:bCs/>
          <w:sz w:val="22"/>
          <w:szCs w:val="22"/>
        </w:rPr>
      </w:pPr>
    </w:p>
    <w:p w14:paraId="1C6326D7" w14:textId="77777777" w:rsidR="00B85BD9" w:rsidRPr="00267FC3" w:rsidRDefault="00B85BD9" w:rsidP="00267FC3">
      <w:pPr>
        <w:spacing w:line="360" w:lineRule="auto"/>
        <w:jc w:val="both"/>
        <w:rPr>
          <w:rFonts w:ascii="Arial" w:hAnsi="Arial" w:cs="Arial"/>
          <w:b/>
          <w:bCs/>
          <w:sz w:val="22"/>
          <w:szCs w:val="22"/>
        </w:rPr>
      </w:pPr>
    </w:p>
    <w:p w14:paraId="7C711878" w14:textId="77777777" w:rsidR="00B85BD9" w:rsidRPr="00267FC3" w:rsidRDefault="00B85BD9" w:rsidP="00267FC3">
      <w:pPr>
        <w:spacing w:line="360" w:lineRule="auto"/>
        <w:jc w:val="both"/>
        <w:rPr>
          <w:rFonts w:ascii="Arial" w:hAnsi="Arial" w:cs="Arial"/>
          <w:b/>
          <w:bCs/>
          <w:sz w:val="22"/>
          <w:szCs w:val="22"/>
        </w:rPr>
      </w:pPr>
    </w:p>
    <w:p w14:paraId="2A82E73D" w14:textId="77777777" w:rsidR="00B85BD9" w:rsidRPr="00267FC3" w:rsidRDefault="00B85BD9" w:rsidP="00267FC3">
      <w:pPr>
        <w:spacing w:line="360" w:lineRule="auto"/>
        <w:jc w:val="both"/>
        <w:rPr>
          <w:rFonts w:ascii="Arial" w:hAnsi="Arial" w:cs="Arial"/>
          <w:b/>
          <w:bCs/>
          <w:sz w:val="22"/>
          <w:szCs w:val="22"/>
        </w:rPr>
      </w:pPr>
    </w:p>
    <w:p w14:paraId="0F3F4E28" w14:textId="77777777" w:rsidR="00B85BD9" w:rsidRPr="00267FC3" w:rsidRDefault="00B85BD9" w:rsidP="00267FC3">
      <w:pPr>
        <w:spacing w:line="360" w:lineRule="auto"/>
        <w:jc w:val="both"/>
        <w:rPr>
          <w:rFonts w:ascii="Arial" w:hAnsi="Arial" w:cs="Arial"/>
          <w:b/>
          <w:bCs/>
          <w:sz w:val="22"/>
          <w:szCs w:val="22"/>
        </w:rPr>
      </w:pPr>
    </w:p>
    <w:p w14:paraId="1EFB417D" w14:textId="77777777" w:rsidR="00B85BD9" w:rsidRPr="00267FC3" w:rsidRDefault="00B85BD9" w:rsidP="00267FC3">
      <w:pPr>
        <w:spacing w:line="360" w:lineRule="auto"/>
        <w:jc w:val="both"/>
        <w:rPr>
          <w:rFonts w:ascii="Arial" w:hAnsi="Arial" w:cs="Arial"/>
          <w:b/>
          <w:bCs/>
          <w:sz w:val="22"/>
          <w:szCs w:val="22"/>
        </w:rPr>
      </w:pPr>
    </w:p>
    <w:p w14:paraId="70A6DB57" w14:textId="77777777" w:rsidR="00B85BD9" w:rsidRPr="00267FC3" w:rsidRDefault="00B85BD9" w:rsidP="00267FC3">
      <w:pPr>
        <w:spacing w:line="360" w:lineRule="auto"/>
        <w:jc w:val="both"/>
        <w:rPr>
          <w:rFonts w:ascii="Arial" w:hAnsi="Arial" w:cs="Arial"/>
          <w:b/>
          <w:bCs/>
          <w:sz w:val="22"/>
          <w:szCs w:val="22"/>
        </w:rPr>
      </w:pPr>
    </w:p>
    <w:p w14:paraId="7C041C17" w14:textId="77777777" w:rsidR="00C62F56" w:rsidRPr="00267FC3" w:rsidRDefault="00C62F56" w:rsidP="00267FC3">
      <w:pPr>
        <w:spacing w:line="360" w:lineRule="auto"/>
        <w:jc w:val="both"/>
        <w:rPr>
          <w:rFonts w:ascii="Arial" w:hAnsi="Arial" w:cs="Arial"/>
          <w:b/>
          <w:bCs/>
          <w:sz w:val="22"/>
          <w:szCs w:val="22"/>
        </w:rPr>
      </w:pPr>
    </w:p>
    <w:p w14:paraId="2D52413F" w14:textId="77777777" w:rsidR="00C62F56" w:rsidRPr="00267FC3" w:rsidRDefault="00C62F56" w:rsidP="00267FC3">
      <w:pPr>
        <w:spacing w:line="360" w:lineRule="auto"/>
        <w:jc w:val="both"/>
        <w:rPr>
          <w:rFonts w:ascii="Arial" w:hAnsi="Arial" w:cs="Arial"/>
          <w:b/>
          <w:bCs/>
          <w:sz w:val="22"/>
          <w:szCs w:val="22"/>
        </w:rPr>
      </w:pPr>
    </w:p>
    <w:p w14:paraId="0D76D746" w14:textId="77777777" w:rsidR="00C62F56" w:rsidRPr="00267FC3" w:rsidRDefault="00C62F56" w:rsidP="00267FC3">
      <w:pPr>
        <w:spacing w:line="360" w:lineRule="auto"/>
        <w:jc w:val="both"/>
        <w:rPr>
          <w:rFonts w:ascii="Arial" w:hAnsi="Arial" w:cs="Arial"/>
          <w:b/>
          <w:bCs/>
          <w:sz w:val="22"/>
          <w:szCs w:val="22"/>
        </w:rPr>
      </w:pPr>
    </w:p>
    <w:p w14:paraId="1E4C97DB" w14:textId="77777777" w:rsidR="00C62F56" w:rsidRPr="00267FC3" w:rsidRDefault="00C62F56" w:rsidP="00267FC3">
      <w:pPr>
        <w:spacing w:line="360" w:lineRule="auto"/>
        <w:jc w:val="both"/>
        <w:rPr>
          <w:rFonts w:ascii="Arial" w:hAnsi="Arial" w:cs="Arial"/>
          <w:b/>
          <w:bCs/>
          <w:sz w:val="22"/>
          <w:szCs w:val="22"/>
        </w:rPr>
      </w:pPr>
    </w:p>
    <w:p w14:paraId="3FA774C1" w14:textId="77777777" w:rsidR="00C62F56" w:rsidRPr="00267FC3" w:rsidRDefault="00C62F56" w:rsidP="00267FC3">
      <w:pPr>
        <w:spacing w:line="360" w:lineRule="auto"/>
        <w:jc w:val="both"/>
        <w:rPr>
          <w:rFonts w:ascii="Arial" w:hAnsi="Arial" w:cs="Arial"/>
          <w:b/>
          <w:bCs/>
          <w:sz w:val="22"/>
          <w:szCs w:val="22"/>
        </w:rPr>
      </w:pPr>
    </w:p>
    <w:p w14:paraId="539D489B" w14:textId="77777777" w:rsidR="00C62F56" w:rsidRPr="00267FC3" w:rsidRDefault="00C62F56" w:rsidP="00267FC3">
      <w:pPr>
        <w:spacing w:line="360" w:lineRule="auto"/>
        <w:jc w:val="both"/>
        <w:rPr>
          <w:rFonts w:ascii="Arial" w:hAnsi="Arial" w:cs="Arial"/>
          <w:b/>
          <w:bCs/>
          <w:sz w:val="22"/>
          <w:szCs w:val="22"/>
        </w:rPr>
      </w:pPr>
    </w:p>
    <w:p w14:paraId="76E994B5" w14:textId="1636E935" w:rsidR="004B5444" w:rsidRPr="00267FC3" w:rsidRDefault="004B5444" w:rsidP="00267FC3">
      <w:pPr>
        <w:spacing w:line="360" w:lineRule="auto"/>
        <w:jc w:val="both"/>
        <w:rPr>
          <w:rFonts w:ascii="Arial" w:hAnsi="Arial" w:cs="Arial"/>
          <w:b/>
          <w:bCs/>
          <w:sz w:val="22"/>
          <w:szCs w:val="22"/>
        </w:rPr>
      </w:pPr>
      <w:r w:rsidRPr="00267FC3">
        <w:rPr>
          <w:rFonts w:ascii="Arial" w:hAnsi="Arial" w:cs="Arial"/>
          <w:b/>
          <w:bCs/>
          <w:sz w:val="22"/>
          <w:szCs w:val="22"/>
        </w:rPr>
        <w:t>Reference List (UWTSD Harvard Style)</w:t>
      </w:r>
    </w:p>
    <w:p w14:paraId="79FAE48D"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American Diabetes Association (2023) </w:t>
      </w:r>
      <w:r w:rsidRPr="00267FC3">
        <w:rPr>
          <w:rFonts w:ascii="Arial" w:hAnsi="Arial" w:cs="Arial"/>
          <w:i/>
          <w:iCs/>
          <w:sz w:val="22"/>
          <w:szCs w:val="22"/>
        </w:rPr>
        <w:t>Standards of Care in Diabetes—2023</w:t>
      </w:r>
      <w:r w:rsidRPr="00267FC3">
        <w:rPr>
          <w:rFonts w:ascii="Arial" w:hAnsi="Arial" w:cs="Arial"/>
          <w:sz w:val="22"/>
          <w:szCs w:val="22"/>
        </w:rPr>
        <w:t>. Arlington: American Diabetes Association.</w:t>
      </w:r>
    </w:p>
    <w:p w14:paraId="291EFEB8"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Colberg, S.R.</w:t>
      </w:r>
      <w:r w:rsidRPr="00267FC3">
        <w:rPr>
          <w:rFonts w:ascii="Arial" w:hAnsi="Arial" w:cs="Arial"/>
          <w:i/>
          <w:iCs/>
          <w:sz w:val="22"/>
          <w:szCs w:val="22"/>
        </w:rPr>
        <w:t xml:space="preserve"> et al</w:t>
      </w:r>
      <w:r w:rsidRPr="00267FC3">
        <w:rPr>
          <w:rFonts w:ascii="Arial" w:hAnsi="Arial" w:cs="Arial"/>
          <w:sz w:val="22"/>
          <w:szCs w:val="22"/>
        </w:rPr>
        <w:t xml:space="preserve">. (2016) ‘Physical activity/exercise and diabetes: a position statement of the American Diabetes Association’, </w:t>
      </w:r>
      <w:r w:rsidRPr="00267FC3">
        <w:rPr>
          <w:rFonts w:ascii="Arial" w:hAnsi="Arial" w:cs="Arial"/>
          <w:i/>
          <w:iCs/>
          <w:sz w:val="22"/>
          <w:szCs w:val="22"/>
        </w:rPr>
        <w:t>Diabetes Care</w:t>
      </w:r>
      <w:r w:rsidRPr="00267FC3">
        <w:rPr>
          <w:rFonts w:ascii="Arial" w:hAnsi="Arial" w:cs="Arial"/>
          <w:sz w:val="22"/>
          <w:szCs w:val="22"/>
        </w:rPr>
        <w:t>, 39(11), pp.2065–2079.</w:t>
      </w:r>
    </w:p>
    <w:p w14:paraId="251E984F"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Diabetes UK (2024) </w:t>
      </w:r>
      <w:r w:rsidRPr="00267FC3">
        <w:rPr>
          <w:rFonts w:ascii="Arial" w:hAnsi="Arial" w:cs="Arial"/>
          <w:i/>
          <w:iCs/>
          <w:sz w:val="22"/>
          <w:szCs w:val="22"/>
        </w:rPr>
        <w:t>Type 2 diabetes: causes, symptoms and management</w:t>
      </w:r>
      <w:r w:rsidRPr="00267FC3">
        <w:rPr>
          <w:rFonts w:ascii="Arial" w:hAnsi="Arial" w:cs="Arial"/>
          <w:sz w:val="22"/>
          <w:szCs w:val="22"/>
        </w:rPr>
        <w:t xml:space="preserve">. Available at: </w:t>
      </w:r>
      <w:hyperlink r:id="rId9" w:tgtFrame="_new" w:history="1">
        <w:r w:rsidRPr="00267FC3">
          <w:rPr>
            <w:rStyle w:val="Hyperlink"/>
            <w:rFonts w:ascii="Arial" w:hAnsi="Arial" w:cs="Arial"/>
            <w:sz w:val="22"/>
            <w:szCs w:val="22"/>
          </w:rPr>
          <w:t>https://www.diabetes.org.uk</w:t>
        </w:r>
      </w:hyperlink>
      <w:r w:rsidRPr="00267FC3">
        <w:rPr>
          <w:rFonts w:ascii="Arial" w:hAnsi="Arial" w:cs="Arial"/>
          <w:sz w:val="22"/>
          <w:szCs w:val="22"/>
        </w:rPr>
        <w:t xml:space="preserve"> (Accessed: 18 June 2026).</w:t>
      </w:r>
    </w:p>
    <w:p w14:paraId="21C5E2C5"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Hall, J.E. (2021) </w:t>
      </w:r>
      <w:r w:rsidRPr="00267FC3">
        <w:rPr>
          <w:rFonts w:ascii="Arial" w:hAnsi="Arial" w:cs="Arial"/>
          <w:i/>
          <w:iCs/>
          <w:sz w:val="22"/>
          <w:szCs w:val="22"/>
        </w:rPr>
        <w:t>Guyton and Hall Textbook of Medical Physiology</w:t>
      </w:r>
      <w:r w:rsidRPr="00267FC3">
        <w:rPr>
          <w:rFonts w:ascii="Arial" w:hAnsi="Arial" w:cs="Arial"/>
          <w:sz w:val="22"/>
          <w:szCs w:val="22"/>
        </w:rPr>
        <w:t xml:space="preserve">. 14th </w:t>
      </w:r>
      <w:proofErr w:type="spellStart"/>
      <w:r w:rsidRPr="00267FC3">
        <w:rPr>
          <w:rFonts w:ascii="Arial" w:hAnsi="Arial" w:cs="Arial"/>
          <w:sz w:val="22"/>
          <w:szCs w:val="22"/>
        </w:rPr>
        <w:t>edn</w:t>
      </w:r>
      <w:proofErr w:type="spellEnd"/>
      <w:r w:rsidRPr="00267FC3">
        <w:rPr>
          <w:rFonts w:ascii="Arial" w:hAnsi="Arial" w:cs="Arial"/>
          <w:sz w:val="22"/>
          <w:szCs w:val="22"/>
        </w:rPr>
        <w:t>. Philadelphia: Elsevier.</w:t>
      </w:r>
    </w:p>
    <w:p w14:paraId="3F9971C3"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Marieb, E.N. and Hoehn, K. (2022) </w:t>
      </w:r>
      <w:r w:rsidRPr="00267FC3">
        <w:rPr>
          <w:rFonts w:ascii="Arial" w:hAnsi="Arial" w:cs="Arial"/>
          <w:i/>
          <w:iCs/>
          <w:sz w:val="22"/>
          <w:szCs w:val="22"/>
        </w:rPr>
        <w:t>Human Anatomy &amp; Physiology</w:t>
      </w:r>
      <w:r w:rsidRPr="00267FC3">
        <w:rPr>
          <w:rFonts w:ascii="Arial" w:hAnsi="Arial" w:cs="Arial"/>
          <w:sz w:val="22"/>
          <w:szCs w:val="22"/>
        </w:rPr>
        <w:t xml:space="preserve">. 12th </w:t>
      </w:r>
      <w:proofErr w:type="spellStart"/>
      <w:r w:rsidRPr="00267FC3">
        <w:rPr>
          <w:rFonts w:ascii="Arial" w:hAnsi="Arial" w:cs="Arial"/>
          <w:sz w:val="22"/>
          <w:szCs w:val="22"/>
        </w:rPr>
        <w:t>edn</w:t>
      </w:r>
      <w:proofErr w:type="spellEnd"/>
      <w:r w:rsidRPr="00267FC3">
        <w:rPr>
          <w:rFonts w:ascii="Arial" w:hAnsi="Arial" w:cs="Arial"/>
          <w:sz w:val="22"/>
          <w:szCs w:val="22"/>
        </w:rPr>
        <w:t>. Harlow: Pearson.</w:t>
      </w:r>
    </w:p>
    <w:p w14:paraId="7CAE29A4" w14:textId="252BFAE5"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NHS (2024) </w:t>
      </w:r>
      <w:r w:rsidRPr="00267FC3">
        <w:rPr>
          <w:rFonts w:ascii="Arial" w:hAnsi="Arial" w:cs="Arial"/>
          <w:i/>
          <w:iCs/>
          <w:sz w:val="22"/>
          <w:szCs w:val="22"/>
        </w:rPr>
        <w:t>Type 2 diabetes</w:t>
      </w:r>
      <w:r w:rsidRPr="00267FC3">
        <w:rPr>
          <w:rFonts w:ascii="Arial" w:hAnsi="Arial" w:cs="Arial"/>
          <w:sz w:val="22"/>
          <w:szCs w:val="22"/>
        </w:rPr>
        <w:t xml:space="preserve">. Available at: </w:t>
      </w:r>
      <w:hyperlink r:id="rId10" w:tgtFrame="_new" w:history="1">
        <w:r w:rsidRPr="00267FC3">
          <w:rPr>
            <w:rStyle w:val="Hyperlink"/>
            <w:rFonts w:ascii="Arial" w:hAnsi="Arial" w:cs="Arial"/>
            <w:sz w:val="22"/>
            <w:szCs w:val="22"/>
          </w:rPr>
          <w:t>https://www.nhs.uk</w:t>
        </w:r>
      </w:hyperlink>
      <w:r w:rsidRPr="00267FC3">
        <w:rPr>
          <w:rFonts w:ascii="Arial" w:hAnsi="Arial" w:cs="Arial"/>
          <w:sz w:val="22"/>
          <w:szCs w:val="22"/>
        </w:rPr>
        <w:t xml:space="preserve"> (Accessed: 1</w:t>
      </w:r>
      <w:r w:rsidR="00607D34" w:rsidRPr="00267FC3">
        <w:rPr>
          <w:rFonts w:ascii="Arial" w:hAnsi="Arial" w:cs="Arial"/>
          <w:sz w:val="22"/>
          <w:szCs w:val="22"/>
        </w:rPr>
        <w:t>1</w:t>
      </w:r>
      <w:r w:rsidRPr="00267FC3">
        <w:rPr>
          <w:rFonts w:ascii="Arial" w:hAnsi="Arial" w:cs="Arial"/>
          <w:sz w:val="22"/>
          <w:szCs w:val="22"/>
        </w:rPr>
        <w:t xml:space="preserve"> June 2026).</w:t>
      </w:r>
    </w:p>
    <w:p w14:paraId="408076AF"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NICE (2022) </w:t>
      </w:r>
      <w:r w:rsidRPr="00267FC3">
        <w:rPr>
          <w:rFonts w:ascii="Arial" w:hAnsi="Arial" w:cs="Arial"/>
          <w:i/>
          <w:iCs/>
          <w:sz w:val="22"/>
          <w:szCs w:val="22"/>
        </w:rPr>
        <w:t>Type 2 diabetes in adults: management (NG28)</w:t>
      </w:r>
      <w:r w:rsidRPr="00267FC3">
        <w:rPr>
          <w:rFonts w:ascii="Arial" w:hAnsi="Arial" w:cs="Arial"/>
          <w:sz w:val="22"/>
          <w:szCs w:val="22"/>
        </w:rPr>
        <w:t>. London: National Institute for Health and Care Excellence.</w:t>
      </w:r>
    </w:p>
    <w:p w14:paraId="1B55E607"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Powers, M.A. </w:t>
      </w:r>
      <w:r w:rsidRPr="00267FC3">
        <w:rPr>
          <w:rFonts w:ascii="Arial" w:hAnsi="Arial" w:cs="Arial"/>
          <w:i/>
          <w:iCs/>
          <w:sz w:val="22"/>
          <w:szCs w:val="22"/>
        </w:rPr>
        <w:t>et al</w:t>
      </w:r>
      <w:r w:rsidRPr="00267FC3">
        <w:rPr>
          <w:rFonts w:ascii="Arial" w:hAnsi="Arial" w:cs="Arial"/>
          <w:sz w:val="22"/>
          <w:szCs w:val="22"/>
        </w:rPr>
        <w:t xml:space="preserve">. (2020) ‘Diabetes self-management education and support in adults with type 2 diabetes’, </w:t>
      </w:r>
      <w:r w:rsidRPr="00267FC3">
        <w:rPr>
          <w:rFonts w:ascii="Arial" w:hAnsi="Arial" w:cs="Arial"/>
          <w:i/>
          <w:iCs/>
          <w:sz w:val="22"/>
          <w:szCs w:val="22"/>
        </w:rPr>
        <w:t>Diabetes Care</w:t>
      </w:r>
      <w:r w:rsidRPr="00267FC3">
        <w:rPr>
          <w:rFonts w:ascii="Arial" w:hAnsi="Arial" w:cs="Arial"/>
          <w:sz w:val="22"/>
          <w:szCs w:val="22"/>
        </w:rPr>
        <w:t>, 43(7), pp.1636–1649.</w:t>
      </w:r>
    </w:p>
    <w:p w14:paraId="496654D6"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Reece, J.B. et al. (2021) </w:t>
      </w:r>
      <w:r w:rsidRPr="00267FC3">
        <w:rPr>
          <w:rFonts w:ascii="Arial" w:hAnsi="Arial" w:cs="Arial"/>
          <w:i/>
          <w:iCs/>
          <w:sz w:val="22"/>
          <w:szCs w:val="22"/>
        </w:rPr>
        <w:t>Campbell Biology</w:t>
      </w:r>
      <w:r w:rsidRPr="00267FC3">
        <w:rPr>
          <w:rFonts w:ascii="Arial" w:hAnsi="Arial" w:cs="Arial"/>
          <w:sz w:val="22"/>
          <w:szCs w:val="22"/>
        </w:rPr>
        <w:t xml:space="preserve">. 12th </w:t>
      </w:r>
      <w:proofErr w:type="spellStart"/>
      <w:r w:rsidRPr="00267FC3">
        <w:rPr>
          <w:rFonts w:ascii="Arial" w:hAnsi="Arial" w:cs="Arial"/>
          <w:sz w:val="22"/>
          <w:szCs w:val="22"/>
        </w:rPr>
        <w:t>edn</w:t>
      </w:r>
      <w:proofErr w:type="spellEnd"/>
      <w:r w:rsidRPr="00267FC3">
        <w:rPr>
          <w:rFonts w:ascii="Arial" w:hAnsi="Arial" w:cs="Arial"/>
          <w:sz w:val="22"/>
          <w:szCs w:val="22"/>
        </w:rPr>
        <w:t>. New York: Pearson.</w:t>
      </w:r>
    </w:p>
    <w:p w14:paraId="75D17BB7"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Tortora, G.J. and Derrickson, B. (2021) </w:t>
      </w:r>
      <w:r w:rsidRPr="00267FC3">
        <w:rPr>
          <w:rFonts w:ascii="Arial" w:hAnsi="Arial" w:cs="Arial"/>
          <w:i/>
          <w:iCs/>
          <w:sz w:val="22"/>
          <w:szCs w:val="22"/>
        </w:rPr>
        <w:t>Principles of Anatomy and Physiology</w:t>
      </w:r>
      <w:r w:rsidRPr="00267FC3">
        <w:rPr>
          <w:rFonts w:ascii="Arial" w:hAnsi="Arial" w:cs="Arial"/>
          <w:sz w:val="22"/>
          <w:szCs w:val="22"/>
        </w:rPr>
        <w:t xml:space="preserve">. 16th </w:t>
      </w:r>
      <w:proofErr w:type="spellStart"/>
      <w:r w:rsidRPr="00267FC3">
        <w:rPr>
          <w:rFonts w:ascii="Arial" w:hAnsi="Arial" w:cs="Arial"/>
          <w:sz w:val="22"/>
          <w:szCs w:val="22"/>
        </w:rPr>
        <w:t>edn</w:t>
      </w:r>
      <w:proofErr w:type="spellEnd"/>
      <w:r w:rsidRPr="00267FC3">
        <w:rPr>
          <w:rFonts w:ascii="Arial" w:hAnsi="Arial" w:cs="Arial"/>
          <w:sz w:val="22"/>
          <w:szCs w:val="22"/>
        </w:rPr>
        <w:t>. Hoboken: Wiley.</w:t>
      </w:r>
    </w:p>
    <w:p w14:paraId="008423DB" w14:textId="77777777" w:rsidR="004B5444" w:rsidRPr="00267FC3" w:rsidRDefault="004B5444" w:rsidP="00267FC3">
      <w:pPr>
        <w:spacing w:line="360" w:lineRule="auto"/>
        <w:jc w:val="both"/>
        <w:rPr>
          <w:rFonts w:ascii="Arial" w:hAnsi="Arial" w:cs="Arial"/>
          <w:sz w:val="22"/>
          <w:szCs w:val="22"/>
        </w:rPr>
      </w:pPr>
      <w:r w:rsidRPr="00267FC3">
        <w:rPr>
          <w:rFonts w:ascii="Arial" w:hAnsi="Arial" w:cs="Arial"/>
          <w:sz w:val="22"/>
          <w:szCs w:val="22"/>
        </w:rPr>
        <w:t xml:space="preserve">World Health Organization (2020) </w:t>
      </w:r>
      <w:r w:rsidRPr="00267FC3">
        <w:rPr>
          <w:rFonts w:ascii="Arial" w:hAnsi="Arial" w:cs="Arial"/>
          <w:i/>
          <w:iCs/>
          <w:sz w:val="22"/>
          <w:szCs w:val="22"/>
        </w:rPr>
        <w:t>WHO guidelines on physical activity and sedentary behaviour</w:t>
      </w:r>
      <w:r w:rsidRPr="00267FC3">
        <w:rPr>
          <w:rFonts w:ascii="Arial" w:hAnsi="Arial" w:cs="Arial"/>
          <w:sz w:val="22"/>
          <w:szCs w:val="22"/>
        </w:rPr>
        <w:t>. Geneva: WHO.</w:t>
      </w:r>
    </w:p>
    <w:p w14:paraId="68602C26" w14:textId="177E03B2" w:rsidR="004B5444" w:rsidRPr="00267FC3" w:rsidRDefault="004B5444" w:rsidP="00267FC3">
      <w:pPr>
        <w:spacing w:line="360" w:lineRule="auto"/>
        <w:jc w:val="both"/>
        <w:rPr>
          <w:rFonts w:ascii="Arial" w:hAnsi="Arial" w:cs="Arial"/>
          <w:sz w:val="22"/>
          <w:szCs w:val="22"/>
        </w:rPr>
      </w:pPr>
    </w:p>
    <w:p w14:paraId="7B1DAF95" w14:textId="77777777" w:rsidR="004B5444" w:rsidRPr="00267FC3" w:rsidRDefault="004B5444" w:rsidP="00267FC3">
      <w:pPr>
        <w:spacing w:line="360" w:lineRule="auto"/>
        <w:jc w:val="both"/>
        <w:rPr>
          <w:rFonts w:ascii="Arial" w:hAnsi="Arial" w:cs="Arial"/>
          <w:vanish/>
          <w:sz w:val="22"/>
          <w:szCs w:val="22"/>
        </w:rPr>
      </w:pPr>
      <w:r w:rsidRPr="00267FC3">
        <w:rPr>
          <w:rFonts w:ascii="Arial" w:hAnsi="Arial" w:cs="Arial"/>
          <w:vanish/>
          <w:sz w:val="22"/>
          <w:szCs w:val="22"/>
        </w:rPr>
        <w:t>Top of Form</w:t>
      </w:r>
    </w:p>
    <w:p w14:paraId="3CE5D101" w14:textId="77777777" w:rsidR="004B5444" w:rsidRPr="00267FC3" w:rsidRDefault="004B5444" w:rsidP="00267FC3">
      <w:pPr>
        <w:spacing w:line="360" w:lineRule="auto"/>
        <w:jc w:val="both"/>
        <w:rPr>
          <w:rFonts w:ascii="Arial" w:hAnsi="Arial" w:cs="Arial"/>
          <w:sz w:val="22"/>
          <w:szCs w:val="22"/>
        </w:rPr>
      </w:pPr>
    </w:p>
    <w:p w14:paraId="578FE02A" w14:textId="77777777" w:rsidR="004B5444" w:rsidRPr="00267FC3" w:rsidRDefault="004B5444" w:rsidP="00267FC3">
      <w:pPr>
        <w:spacing w:line="360" w:lineRule="auto"/>
        <w:jc w:val="both"/>
        <w:rPr>
          <w:rFonts w:ascii="Arial" w:hAnsi="Arial" w:cs="Arial"/>
          <w:vanish/>
          <w:sz w:val="22"/>
          <w:szCs w:val="22"/>
        </w:rPr>
      </w:pPr>
      <w:r w:rsidRPr="00267FC3">
        <w:rPr>
          <w:rFonts w:ascii="Arial" w:hAnsi="Arial" w:cs="Arial"/>
          <w:vanish/>
          <w:sz w:val="22"/>
          <w:szCs w:val="22"/>
        </w:rPr>
        <w:t>Bottom of Form</w:t>
      </w:r>
    </w:p>
    <w:p w14:paraId="716EF32B" w14:textId="77777777" w:rsidR="00BE727C" w:rsidRPr="00267FC3" w:rsidRDefault="00BE727C" w:rsidP="00267FC3">
      <w:pPr>
        <w:spacing w:line="360" w:lineRule="auto"/>
        <w:jc w:val="both"/>
        <w:rPr>
          <w:rFonts w:ascii="Arial" w:hAnsi="Arial" w:cs="Arial"/>
          <w:sz w:val="22"/>
          <w:szCs w:val="22"/>
        </w:rPr>
      </w:pPr>
    </w:p>
    <w:sectPr w:rsidR="00BE727C" w:rsidRPr="00267F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B61DB"/>
    <w:multiLevelType w:val="multilevel"/>
    <w:tmpl w:val="94D8A6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5962E2"/>
    <w:multiLevelType w:val="multilevel"/>
    <w:tmpl w:val="97505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0206143">
    <w:abstractNumId w:val="1"/>
  </w:num>
  <w:num w:numId="2" w16cid:durableId="230235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444"/>
    <w:rsid w:val="00006B69"/>
    <w:rsid w:val="00056EEE"/>
    <w:rsid w:val="0007183B"/>
    <w:rsid w:val="000B13EE"/>
    <w:rsid w:val="000F4403"/>
    <w:rsid w:val="001012B6"/>
    <w:rsid w:val="00117F21"/>
    <w:rsid w:val="001836E6"/>
    <w:rsid w:val="00197F0F"/>
    <w:rsid w:val="001A1603"/>
    <w:rsid w:val="001E6525"/>
    <w:rsid w:val="00221AB1"/>
    <w:rsid w:val="00267FC3"/>
    <w:rsid w:val="0029146A"/>
    <w:rsid w:val="00361390"/>
    <w:rsid w:val="00381447"/>
    <w:rsid w:val="003916E4"/>
    <w:rsid w:val="004354B7"/>
    <w:rsid w:val="00454851"/>
    <w:rsid w:val="0045664F"/>
    <w:rsid w:val="0047152F"/>
    <w:rsid w:val="0048599E"/>
    <w:rsid w:val="004B5444"/>
    <w:rsid w:val="00556CA9"/>
    <w:rsid w:val="0058197A"/>
    <w:rsid w:val="0058294C"/>
    <w:rsid w:val="005A2BB0"/>
    <w:rsid w:val="005E2A62"/>
    <w:rsid w:val="0060205A"/>
    <w:rsid w:val="00607D34"/>
    <w:rsid w:val="00623ECA"/>
    <w:rsid w:val="00642668"/>
    <w:rsid w:val="00671CA9"/>
    <w:rsid w:val="00697E0F"/>
    <w:rsid w:val="00711432"/>
    <w:rsid w:val="00747559"/>
    <w:rsid w:val="0076408F"/>
    <w:rsid w:val="008344F1"/>
    <w:rsid w:val="00835484"/>
    <w:rsid w:val="008A6B8B"/>
    <w:rsid w:val="008B39CE"/>
    <w:rsid w:val="008E7DFB"/>
    <w:rsid w:val="008F15DE"/>
    <w:rsid w:val="00940283"/>
    <w:rsid w:val="00964489"/>
    <w:rsid w:val="009D453F"/>
    <w:rsid w:val="009D764A"/>
    <w:rsid w:val="009F643F"/>
    <w:rsid w:val="00A119C4"/>
    <w:rsid w:val="00AF23E6"/>
    <w:rsid w:val="00B41A57"/>
    <w:rsid w:val="00B85BD9"/>
    <w:rsid w:val="00BA232E"/>
    <w:rsid w:val="00BE727C"/>
    <w:rsid w:val="00BF4D13"/>
    <w:rsid w:val="00C05016"/>
    <w:rsid w:val="00C05554"/>
    <w:rsid w:val="00C25A23"/>
    <w:rsid w:val="00C62F56"/>
    <w:rsid w:val="00CF22D9"/>
    <w:rsid w:val="00CF2DAA"/>
    <w:rsid w:val="00D13A64"/>
    <w:rsid w:val="00D175E8"/>
    <w:rsid w:val="00E030B3"/>
    <w:rsid w:val="00E4249D"/>
    <w:rsid w:val="00E53A10"/>
    <w:rsid w:val="00EE2CBE"/>
    <w:rsid w:val="00F00F6E"/>
    <w:rsid w:val="00FE6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9DF38"/>
  <w15:chartTrackingRefBased/>
  <w15:docId w15:val="{159BE9FA-E2EA-4D8A-8E91-3274F9420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54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54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54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54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54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54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54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54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54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4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54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54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54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54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54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54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54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5444"/>
    <w:rPr>
      <w:rFonts w:eastAsiaTheme="majorEastAsia" w:cstheme="majorBidi"/>
      <w:color w:val="272727" w:themeColor="text1" w:themeTint="D8"/>
    </w:rPr>
  </w:style>
  <w:style w:type="paragraph" w:styleId="Title">
    <w:name w:val="Title"/>
    <w:basedOn w:val="Normal"/>
    <w:next w:val="Normal"/>
    <w:link w:val="TitleChar"/>
    <w:uiPriority w:val="10"/>
    <w:qFormat/>
    <w:rsid w:val="004B54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54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54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54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5444"/>
    <w:pPr>
      <w:spacing w:before="160"/>
      <w:jc w:val="center"/>
    </w:pPr>
    <w:rPr>
      <w:i/>
      <w:iCs/>
      <w:color w:val="404040" w:themeColor="text1" w:themeTint="BF"/>
    </w:rPr>
  </w:style>
  <w:style w:type="character" w:customStyle="1" w:styleId="QuoteChar">
    <w:name w:val="Quote Char"/>
    <w:basedOn w:val="DefaultParagraphFont"/>
    <w:link w:val="Quote"/>
    <w:uiPriority w:val="29"/>
    <w:rsid w:val="004B5444"/>
    <w:rPr>
      <w:i/>
      <w:iCs/>
      <w:color w:val="404040" w:themeColor="text1" w:themeTint="BF"/>
    </w:rPr>
  </w:style>
  <w:style w:type="paragraph" w:styleId="ListParagraph">
    <w:name w:val="List Paragraph"/>
    <w:basedOn w:val="Normal"/>
    <w:uiPriority w:val="34"/>
    <w:qFormat/>
    <w:rsid w:val="004B5444"/>
    <w:pPr>
      <w:ind w:left="720"/>
      <w:contextualSpacing/>
    </w:pPr>
  </w:style>
  <w:style w:type="character" w:styleId="IntenseEmphasis">
    <w:name w:val="Intense Emphasis"/>
    <w:basedOn w:val="DefaultParagraphFont"/>
    <w:uiPriority w:val="21"/>
    <w:qFormat/>
    <w:rsid w:val="004B5444"/>
    <w:rPr>
      <w:i/>
      <w:iCs/>
      <w:color w:val="0F4761" w:themeColor="accent1" w:themeShade="BF"/>
    </w:rPr>
  </w:style>
  <w:style w:type="paragraph" w:styleId="IntenseQuote">
    <w:name w:val="Intense Quote"/>
    <w:basedOn w:val="Normal"/>
    <w:next w:val="Normal"/>
    <w:link w:val="IntenseQuoteChar"/>
    <w:uiPriority w:val="30"/>
    <w:qFormat/>
    <w:rsid w:val="004B54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5444"/>
    <w:rPr>
      <w:i/>
      <w:iCs/>
      <w:color w:val="0F4761" w:themeColor="accent1" w:themeShade="BF"/>
    </w:rPr>
  </w:style>
  <w:style w:type="character" w:styleId="IntenseReference">
    <w:name w:val="Intense Reference"/>
    <w:basedOn w:val="DefaultParagraphFont"/>
    <w:uiPriority w:val="32"/>
    <w:qFormat/>
    <w:rsid w:val="004B5444"/>
    <w:rPr>
      <w:b/>
      <w:bCs/>
      <w:smallCaps/>
      <w:color w:val="0F4761" w:themeColor="accent1" w:themeShade="BF"/>
      <w:spacing w:val="5"/>
    </w:rPr>
  </w:style>
  <w:style w:type="character" w:styleId="Hyperlink">
    <w:name w:val="Hyperlink"/>
    <w:basedOn w:val="DefaultParagraphFont"/>
    <w:uiPriority w:val="99"/>
    <w:unhideWhenUsed/>
    <w:rsid w:val="004B5444"/>
    <w:rPr>
      <w:color w:val="467886" w:themeColor="hyperlink"/>
      <w:u w:val="single"/>
    </w:rPr>
  </w:style>
  <w:style w:type="character" w:styleId="UnresolvedMention">
    <w:name w:val="Unresolved Mention"/>
    <w:basedOn w:val="DefaultParagraphFont"/>
    <w:uiPriority w:val="99"/>
    <w:semiHidden/>
    <w:unhideWhenUsed/>
    <w:rsid w:val="004B54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nhs.uk" TargetMode="External"/><Relationship Id="rId4" Type="http://schemas.openxmlformats.org/officeDocument/2006/relationships/numbering" Target="numbering.xml"/><Relationship Id="rId9" Type="http://schemas.openxmlformats.org/officeDocument/2006/relationships/hyperlink" Target="https://www.diabete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8" ma:contentTypeDescription="Create a new document." ma:contentTypeScope="" ma:versionID="44c810e51b0249a5b6dc11c5bc5070df">
  <xsd:schema xmlns:xsd="http://www.w3.org/2001/XMLSchema" xmlns:xs="http://www.w3.org/2001/XMLSchema" xmlns:p="http://schemas.microsoft.com/office/2006/metadata/properties" xmlns:ns3="1db24759-c936-4417-b43c-e7856b46dbfa" targetNamespace="http://schemas.microsoft.com/office/2006/metadata/properties" ma:root="true" ma:fieldsID="be0f50510c64eba6f8bacd6cc1f07de7"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457D3A2-6586-4467-A550-EABEF6396C1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7DA9896-34EA-4357-90FA-A21F0AC83E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19FBCD-199F-421B-BFCF-6EFA1B1E86C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2473</Words>
  <Characters>14099</Characters>
  <Application>Microsoft Office Word</Application>
  <DocSecurity>0</DocSecurity>
  <Lines>117</Lines>
  <Paragraphs>33</Paragraphs>
  <ScaleCrop>false</ScaleCrop>
  <Company/>
  <LinksUpToDate>false</LinksUpToDate>
  <CharactersWithSpaces>16539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Jawaheer Atta (2236701)</dc:creator>
  <cp:keywords/>
  <dc:description/>
  <cp:lastModifiedBy>Jawaheer Atta (2236701)</cp:lastModifiedBy>
  <cp:revision>2</cp:revision>
  <dcterms:created xsi:type="dcterms:W3CDTF">2026-06-21T23:02:00Z</dcterms:created>
  <dcterms:modified xsi:type="dcterms:W3CDTF">2026-06-21T23:02:00Z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