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26E91" w14:textId="338DEFE8" w:rsidR="00556194" w:rsidRPr="00556194" w:rsidRDefault="00556194">
      <w:pPr>
        <w:rPr>
          <w:rFonts w:ascii="ADLaM Display" w:hAnsi="ADLaM Display" w:cs="ADLaM Display"/>
          <w:sz w:val="32"/>
          <w:szCs w:val="32"/>
        </w:rPr>
      </w:pPr>
      <w:r w:rsidRPr="00556194">
        <w:rPr>
          <w:rFonts w:ascii="ADLaM Display" w:hAnsi="ADLaM Display" w:cs="ADLaM Display"/>
          <w:sz w:val="32"/>
          <w:szCs w:val="32"/>
        </w:rPr>
        <w:t>RAHEEMA ASHRAF</w:t>
      </w:r>
    </w:p>
    <w:p w14:paraId="217366E9" w14:textId="075E1E6A" w:rsidR="00556194" w:rsidRPr="00556194" w:rsidRDefault="00556194">
      <w:pPr>
        <w:rPr>
          <w:rFonts w:ascii="ADLaM Display" w:hAnsi="ADLaM Display" w:cs="ADLaM Display"/>
          <w:sz w:val="32"/>
          <w:szCs w:val="32"/>
        </w:rPr>
      </w:pPr>
      <w:r w:rsidRPr="00556194">
        <w:rPr>
          <w:rFonts w:ascii="ADLaM Display" w:hAnsi="ADLaM Display" w:cs="ADLaM Display"/>
          <w:sz w:val="32"/>
          <w:szCs w:val="32"/>
        </w:rPr>
        <w:t>BMHP 5019</w:t>
      </w:r>
    </w:p>
    <w:p w14:paraId="59AD04FE" w14:textId="598DFE22" w:rsidR="00556194" w:rsidRPr="00556194" w:rsidRDefault="00556194">
      <w:pPr>
        <w:rPr>
          <w:rFonts w:ascii="ADLaM Display" w:hAnsi="ADLaM Display" w:cs="ADLaM Display"/>
          <w:sz w:val="32"/>
          <w:szCs w:val="32"/>
        </w:rPr>
      </w:pPr>
      <w:r w:rsidRPr="00556194">
        <w:rPr>
          <w:rFonts w:ascii="ADLaM Display" w:hAnsi="ADLaM Display" w:cs="ADLaM Display"/>
          <w:sz w:val="32"/>
          <w:szCs w:val="32"/>
        </w:rPr>
        <w:t>INTRODUCTION TO INDEPENDENT RESEARCH SKILLS</w:t>
      </w:r>
    </w:p>
    <w:p w14:paraId="45EE4EC7" w14:textId="3C1E7E2B" w:rsidR="00556194" w:rsidRPr="00556194" w:rsidRDefault="00556194">
      <w:pPr>
        <w:rPr>
          <w:rFonts w:ascii="ADLaM Display" w:hAnsi="ADLaM Display" w:cs="ADLaM Display"/>
          <w:sz w:val="32"/>
          <w:szCs w:val="32"/>
        </w:rPr>
      </w:pPr>
      <w:r w:rsidRPr="00556194">
        <w:rPr>
          <w:rFonts w:ascii="ADLaM Display" w:hAnsi="ADLaM Display" w:cs="ADLaM Display"/>
          <w:sz w:val="32"/>
          <w:szCs w:val="32"/>
        </w:rPr>
        <w:t>CHLOE HARIES</w:t>
      </w:r>
    </w:p>
    <w:p w14:paraId="0420513D" w14:textId="66D936D9" w:rsidR="00556194" w:rsidRPr="00556194" w:rsidRDefault="00556194">
      <w:pPr>
        <w:rPr>
          <w:sz w:val="44"/>
          <w:szCs w:val="44"/>
        </w:rPr>
      </w:pPr>
      <w:r w:rsidRPr="00556194">
        <w:rPr>
          <w:sz w:val="44"/>
          <w:szCs w:val="44"/>
        </w:rPr>
        <w:br w:type="page"/>
      </w:r>
    </w:p>
    <w:p w14:paraId="72C7EF9D" w14:textId="522B2243" w:rsidR="00556194" w:rsidRPr="00556194" w:rsidRDefault="00556194" w:rsidP="00556194">
      <w:pPr>
        <w:shd w:val="clear" w:color="auto" w:fill="FFFFFF"/>
        <w:spacing w:after="0"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lastRenderedPageBreak/>
        <w:br/>
        <w:t>Scoping Review: Digital Mental Health Interventions in the UK</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1. Introduction</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Mental health disorders represent a significant and escalating public health concern within the United Kingdom, affecting individuals across all demographic groups and socio-economic backgrounds. Common conditions, including depression, anxiety, and stress-related disorders, contribute substantially to the global burden of disease and are associated with reduced quality of life, increased healthcare utilisation, and considerable economic costs. Holmes et al. (2020) highlight that mental health conditions have intensified in prevalence and complexity, particularly in the context of societal changes and public health crises.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Within the UK, the increasing demand for mental health services has placed significant strain on the National Health Service (NHS). This has resulted in extended waiting times, workforce pressures, and gaps in service provision, particularly in community and early intervention services. Traditional models of care, which rely heavily on face-to-face interactions, have struggled to keep pace with rising demand.</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 xml:space="preserve">In response to these challenges, digital health interventions have emerged as a promising and innovative approach to enhancing mental health service delivery. Digital health broadly refers to the use of information and </w:t>
      </w:r>
      <w:r w:rsidRPr="00556194">
        <w:rPr>
          <w:rFonts w:ascii="ADLaM Display" w:eastAsia="Times New Roman" w:hAnsi="ADLaM Display" w:cs="ADLaM Display"/>
          <w:color w:val="222222"/>
          <w:kern w:val="0"/>
          <w:sz w:val="32"/>
          <w:szCs w:val="32"/>
          <w:lang w:eastAsia="en-GB"/>
          <w14:ligatures w14:val="none"/>
        </w:rPr>
        <w:lastRenderedPageBreak/>
        <w:t>communication technologies to improve health outcomes, healthcare delivery, and system efficiency. Within mental health care, this includes interventions such as mobile applications, internet-based cognitive behavioural therapy (CBT), telepsychiatry, and online self-help platforms.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The integration of digital mental health interventions has accelerated significantly in recent years, particularly following the COVID-19 pandemic, which necessitated rapid adoption of remote healthcare delivery methods (</w:t>
      </w:r>
      <w:proofErr w:type="spellStart"/>
      <w:r w:rsidRPr="00556194">
        <w:rPr>
          <w:rFonts w:ascii="ADLaM Display" w:eastAsia="Times New Roman" w:hAnsi="ADLaM Display" w:cs="ADLaM Display"/>
          <w:color w:val="222222"/>
          <w:kern w:val="0"/>
          <w:sz w:val="32"/>
          <w:szCs w:val="32"/>
          <w:lang w:eastAsia="en-GB"/>
          <w14:ligatures w14:val="none"/>
        </w:rPr>
        <w:t>Torous</w:t>
      </w:r>
      <w:proofErr w:type="spellEnd"/>
      <w:r w:rsidRPr="00556194">
        <w:rPr>
          <w:rFonts w:ascii="ADLaM Display" w:eastAsia="Times New Roman" w:hAnsi="ADLaM Display" w:cs="ADLaM Display"/>
          <w:color w:val="222222"/>
          <w:kern w:val="0"/>
          <w:sz w:val="32"/>
          <w:szCs w:val="32"/>
          <w:lang w:eastAsia="en-GB"/>
          <w14:ligatures w14:val="none"/>
        </w:rPr>
        <w:t xml:space="preserve"> et al., 2020). These interventions offer potential advantages, including increased accessibility, reduced stigma associated with seeking help, and improved cost-effectiveness. However, questions remain regarding their clinical effectiveness, user engagement, and suitability across diverse populations.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The rationale for this scoping review lies in the need to synthesise existing research on digital mental health interventions within a UK-relevant context. Given the rapid expansion of digital technologies in healthcare, it is essential to critically evaluate their impact, identify key challenges, and explore their implications for future practice.</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Review Question</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What is the impact of digital mental health interventions on mental health outcomes within the UK or comparable healthcare contexts?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Objectives</w:t>
      </w:r>
      <w:r w:rsidRPr="00556194">
        <w:rPr>
          <w:rFonts w:ascii="Arial" w:eastAsia="Times New Roman" w:hAnsi="Arial" w:cs="Arial"/>
          <w:color w:val="222222"/>
          <w:kern w:val="0"/>
          <w:lang w:eastAsia="en-GB"/>
          <w14:ligatures w14:val="none"/>
        </w:rPr>
        <w:br/>
      </w:r>
      <w:r w:rsidRPr="00556194">
        <w:rPr>
          <w:rFonts w:ascii="ADLaM Display" w:eastAsia="Times New Roman" w:hAnsi="ADLaM Display" w:cs="ADLaM Display"/>
          <w:color w:val="222222"/>
          <w:kern w:val="0"/>
          <w:sz w:val="32"/>
          <w:szCs w:val="32"/>
          <w:lang w:eastAsia="en-GB"/>
          <w14:ligatures w14:val="none"/>
        </w:rPr>
        <w:t xml:space="preserve">• To examine the effectiveness of digital mental health </w:t>
      </w:r>
      <w:r w:rsidRPr="00556194">
        <w:rPr>
          <w:rFonts w:ascii="ADLaM Display" w:eastAsia="Times New Roman" w:hAnsi="ADLaM Display" w:cs="ADLaM Display"/>
          <w:color w:val="222222"/>
          <w:kern w:val="0"/>
          <w:sz w:val="32"/>
          <w:szCs w:val="32"/>
          <w:lang w:eastAsia="en-GB"/>
          <w14:ligatures w14:val="none"/>
        </w:rPr>
        <w:lastRenderedPageBreak/>
        <w:t>interventions</w:t>
      </w:r>
      <w:r w:rsidRPr="00556194">
        <w:rPr>
          <w:rFonts w:ascii="ADLaM Display" w:eastAsia="Times New Roman" w:hAnsi="ADLaM Display" w:cs="ADLaM Display"/>
          <w:color w:val="222222"/>
          <w:kern w:val="0"/>
          <w:sz w:val="32"/>
          <w:szCs w:val="32"/>
          <w:lang w:eastAsia="en-GB"/>
          <w14:ligatures w14:val="none"/>
        </w:rPr>
        <w:br/>
        <w:t>• To identify key benefits and limitations</w:t>
      </w:r>
      <w:r w:rsidRPr="00556194">
        <w:rPr>
          <w:rFonts w:ascii="Arial" w:eastAsia="Times New Roman" w:hAnsi="Arial" w:cs="Arial"/>
          <w:color w:val="222222"/>
          <w:kern w:val="0"/>
          <w:lang w:eastAsia="en-GB"/>
          <w14:ligatures w14:val="none"/>
        </w:rPr>
        <w:br/>
      </w:r>
      <w:r w:rsidRPr="00556194">
        <w:rPr>
          <w:rFonts w:ascii="ADLaM Display" w:eastAsia="Times New Roman" w:hAnsi="ADLaM Display" w:cs="ADLaM Display"/>
          <w:color w:val="222222"/>
          <w:kern w:val="0"/>
          <w:sz w:val="32"/>
          <w:szCs w:val="32"/>
          <w:lang w:eastAsia="en-GB"/>
          <w14:ligatures w14:val="none"/>
        </w:rPr>
        <w:t>• To explore challenges related to accessibility and engagement</w:t>
      </w:r>
      <w:r w:rsidRPr="00556194">
        <w:rPr>
          <w:rFonts w:ascii="ADLaM Display" w:eastAsia="Times New Roman" w:hAnsi="ADLaM Display" w:cs="ADLaM Display"/>
          <w:color w:val="222222"/>
          <w:kern w:val="0"/>
          <w:sz w:val="32"/>
          <w:szCs w:val="32"/>
          <w:lang w:eastAsia="en-GB"/>
          <w14:ligatures w14:val="none"/>
        </w:rPr>
        <w:br/>
        <w:t>• To evaluate implications for UK healthcare practice</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2. Background</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Mental health services in the UK are primarily delivered through the NHS, supported by a network of primary care providers, community mental health teams, and specialist services. Over the past decade, demand for these services has risen significantly. According to NHS England (2019), approximately one in four adults experience a mental health problem each year, placing considerable pressure on existing services.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 xml:space="preserve">This increased demand has exposed structural limitations within traditional service delivery models. Workforce shortages, limited funding, and long waiting times have hindered timely access to care. </w:t>
      </w:r>
      <w:proofErr w:type="gramStart"/>
      <w:r w:rsidRPr="00556194">
        <w:rPr>
          <w:rFonts w:ascii="ADLaM Display" w:eastAsia="Times New Roman" w:hAnsi="ADLaM Display" w:cs="ADLaM Display"/>
          <w:color w:val="222222"/>
          <w:kern w:val="0"/>
          <w:sz w:val="32"/>
          <w:szCs w:val="32"/>
          <w:lang w:eastAsia="en-GB"/>
          <w14:ligatures w14:val="none"/>
        </w:rPr>
        <w:t>In particular, early</w:t>
      </w:r>
      <w:proofErr w:type="gramEnd"/>
      <w:r w:rsidRPr="00556194">
        <w:rPr>
          <w:rFonts w:ascii="ADLaM Display" w:eastAsia="Times New Roman" w:hAnsi="ADLaM Display" w:cs="ADLaM Display"/>
          <w:color w:val="222222"/>
          <w:kern w:val="0"/>
          <w:sz w:val="32"/>
          <w:szCs w:val="32"/>
          <w:lang w:eastAsia="en-GB"/>
          <w14:ligatures w14:val="none"/>
        </w:rPr>
        <w:t xml:space="preserve"> intervention services and psychological therapies have struggled to meet demand, leading to unmet needs and worsening outcomes for many individuals.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Policy initiatives have sought to address these challenges. The NHS Long Term Plan emphasises the importance of expanding access to mental health services and integrating digital technologies into care pathways. Digital innovation is positioned as a key strategy for improving efficiency, reducing waiting times, and enhancing patient choice.</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lastRenderedPageBreak/>
        <w:br/>
        <w:t>One notable initiative is the Improving Access to Psychological Therapies (IAPT) programme, which has incorporated digital tools such as online CBT platforms and guided self-help programmes. These tools aim to increase service capacity and provide flexible treatment options for individuals who may not be able to access traditional face-to-face therapy.</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Despite these developments, the implementation of digital mental health interventions raises several critical issues. One of the most significant challenges is digital exclusion. While digital technologies have the potential to improve access, not all individuals have equal access to or proficiency with these tools. Older adults, individuals from lower socio-economic backgrounds, and those with limited digital literacy may face barriers to engagement (Watts, 2020). This creates a risk of exacerbating existing health inequalities.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Furthermore, the clinical effectiveness of digital interventions remains a subject of ongoing debate. Evidence suggests that internet-based CBT can be effective for mild to moderate mental health conditions; however, its suitability for individuals with more complex or severe conditions is less clear (Andersson et al., 2019). This raises questions about the extent to which digital interventions can replace or complement traditional care.</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Data security and confidentiality also represent important considerations. Digital</w:t>
      </w:r>
      <w:r w:rsidRPr="00556194">
        <w:rPr>
          <w:rFonts w:ascii="Arial" w:eastAsia="Times New Roman" w:hAnsi="Arial" w:cs="Arial"/>
          <w:color w:val="222222"/>
          <w:kern w:val="0"/>
          <w:lang w:eastAsia="en-GB"/>
          <w14:ligatures w14:val="none"/>
        </w:rPr>
        <w:t xml:space="preserve"> </w:t>
      </w:r>
      <w:r w:rsidRPr="00556194">
        <w:rPr>
          <w:rFonts w:ascii="ADLaM Display" w:eastAsia="Times New Roman" w:hAnsi="ADLaM Display" w:cs="ADLaM Display"/>
          <w:color w:val="222222"/>
          <w:kern w:val="0"/>
          <w:sz w:val="32"/>
          <w:szCs w:val="32"/>
          <w:lang w:eastAsia="en-GB"/>
          <w14:ligatures w14:val="none"/>
        </w:rPr>
        <w:t xml:space="preserve">mental health platforms involve the collection and storage of sensitive personal data, requiring strict adherence to regulations such as the UK General </w:t>
      </w:r>
      <w:r w:rsidRPr="00556194">
        <w:rPr>
          <w:rFonts w:ascii="ADLaM Display" w:eastAsia="Times New Roman" w:hAnsi="ADLaM Display" w:cs="ADLaM Display"/>
          <w:color w:val="222222"/>
          <w:kern w:val="0"/>
          <w:sz w:val="32"/>
          <w:szCs w:val="32"/>
          <w:lang w:eastAsia="en-GB"/>
          <w14:ligatures w14:val="none"/>
        </w:rPr>
        <w:lastRenderedPageBreak/>
        <w:t>Data Protection Regulation (GDPR). Concerns about privacy may influence user trust and willingness to engage with digital services.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In addition, user engagement presents a significant challenge. While digital interventions offer convenience and flexibility, many users fail to complete programmes or disengage prematurely. This limits their effectiveness and highlights the importance of designing user-centred interventions that promote sustained participation.</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Overall, while digital mental health interventions offer promising opportunities for improving healthcare delivery, their integration into UK services must be carefully managed to ensure effectiveness, equity, and safety.</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3. Methods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This study adopts a scoping review methodology to explore the extent, range, and nature of research on digital mental health interventions. Scoping reviews are particularly useful for mapping key concepts, identifying gaps in the literature, and providing an overview of emerging research areas (Arksey and O’Malley, 2005).</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Search Strategy</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 xml:space="preserve">A comprehensive search of electronic databases was conducted, including PubMed, EBSCOhost, and SAGE Journals. The search strategy utilised a combination of keywords and Boolean operators to ensure a broad yet </w:t>
      </w:r>
      <w:r w:rsidRPr="00556194">
        <w:rPr>
          <w:rFonts w:ascii="ADLaM Display" w:eastAsia="Times New Roman" w:hAnsi="ADLaM Display" w:cs="ADLaM Display"/>
          <w:color w:val="222222"/>
          <w:kern w:val="0"/>
          <w:sz w:val="32"/>
          <w:szCs w:val="32"/>
          <w:lang w:eastAsia="en-GB"/>
          <w14:ligatures w14:val="none"/>
        </w:rPr>
        <w:lastRenderedPageBreak/>
        <w:t>focused search. Key search terms included:</w:t>
      </w:r>
      <w:r w:rsidRPr="00556194">
        <w:rPr>
          <w:rFonts w:ascii="ADLaM Display" w:eastAsia="Times New Roman" w:hAnsi="ADLaM Display" w:cs="ADLaM Display"/>
          <w:color w:val="222222"/>
          <w:kern w:val="0"/>
          <w:sz w:val="32"/>
          <w:szCs w:val="32"/>
          <w:lang w:eastAsia="en-GB"/>
          <w14:ligatures w14:val="none"/>
        </w:rPr>
        <w:br/>
        <w:t>• “digital mental health” AND “UK”</w:t>
      </w:r>
      <w:r w:rsidRPr="00556194">
        <w:rPr>
          <w:rFonts w:ascii="ADLaM Display" w:eastAsia="Times New Roman" w:hAnsi="ADLaM Display" w:cs="ADLaM Display"/>
          <w:color w:val="222222"/>
          <w:kern w:val="0"/>
          <w:sz w:val="32"/>
          <w:szCs w:val="32"/>
          <w:lang w:eastAsia="en-GB"/>
          <w14:ligatures w14:val="none"/>
        </w:rPr>
        <w:br/>
        <w:t>• “online therapy” OR “telehealth” AND “mental health outcomes”</w:t>
      </w:r>
      <w:r w:rsidRPr="00556194">
        <w:rPr>
          <w:rFonts w:ascii="ADLaM Display" w:eastAsia="Times New Roman" w:hAnsi="ADLaM Display" w:cs="ADLaM Display"/>
          <w:color w:val="222222"/>
          <w:kern w:val="0"/>
          <w:sz w:val="32"/>
          <w:szCs w:val="32"/>
          <w:lang w:eastAsia="en-GB"/>
          <w14:ligatures w14:val="none"/>
        </w:rPr>
        <w:br/>
        <w:t>• “CBT apps” AND “effectiveness”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The search was limited to studies published between 2015 and 2023 to ensure relevance to current healthcare practice.</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Inclusion Criteria</w:t>
      </w:r>
      <w:r w:rsidRPr="00556194">
        <w:rPr>
          <w:rFonts w:ascii="ADLaM Display" w:eastAsia="Times New Roman" w:hAnsi="ADLaM Display" w:cs="ADLaM Display"/>
          <w:color w:val="222222"/>
          <w:kern w:val="0"/>
          <w:sz w:val="32"/>
          <w:szCs w:val="32"/>
          <w:lang w:eastAsia="en-GB"/>
          <w14:ligatures w14:val="none"/>
        </w:rPr>
        <w:br/>
        <w:t>• Peer-reviewed journal articles</w:t>
      </w:r>
      <w:r w:rsidRPr="00556194">
        <w:rPr>
          <w:rFonts w:ascii="ADLaM Display" w:eastAsia="Times New Roman" w:hAnsi="ADLaM Display" w:cs="ADLaM Display"/>
          <w:color w:val="222222"/>
          <w:kern w:val="0"/>
          <w:sz w:val="32"/>
          <w:szCs w:val="32"/>
          <w:lang w:eastAsia="en-GB"/>
          <w14:ligatures w14:val="none"/>
        </w:rPr>
        <w:br/>
        <w:t>• Studies focusing on digital mental health interventions</w:t>
      </w:r>
      <w:r w:rsidRPr="00556194">
        <w:rPr>
          <w:rFonts w:ascii="ADLaM Display" w:eastAsia="Times New Roman" w:hAnsi="ADLaM Display" w:cs="ADLaM Display"/>
          <w:color w:val="222222"/>
          <w:kern w:val="0"/>
          <w:sz w:val="32"/>
          <w:szCs w:val="32"/>
          <w:lang w:eastAsia="en-GB"/>
          <w14:ligatures w14:val="none"/>
        </w:rPr>
        <w:br/>
        <w:t>• Research relevant to the UK or comparable healthcare systems</w:t>
      </w:r>
      <w:r w:rsidRPr="00556194">
        <w:rPr>
          <w:rFonts w:ascii="ADLaM Display" w:eastAsia="Times New Roman" w:hAnsi="ADLaM Display" w:cs="ADLaM Display"/>
          <w:color w:val="222222"/>
          <w:kern w:val="0"/>
          <w:sz w:val="32"/>
          <w:szCs w:val="32"/>
          <w:lang w:eastAsia="en-GB"/>
          <w14:ligatures w14:val="none"/>
        </w:rPr>
        <w:br/>
        <w:t>• English language publications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Exclusion Criteria</w:t>
      </w:r>
      <w:r w:rsidRPr="00556194">
        <w:rPr>
          <w:rFonts w:ascii="ADLaM Display" w:eastAsia="Times New Roman" w:hAnsi="ADLaM Display" w:cs="ADLaM Display"/>
          <w:color w:val="222222"/>
          <w:kern w:val="0"/>
          <w:sz w:val="32"/>
          <w:szCs w:val="32"/>
          <w:lang w:eastAsia="en-GB"/>
          <w14:ligatures w14:val="none"/>
        </w:rPr>
        <w:br/>
        <w:t>• Policy documents and grey literature</w:t>
      </w:r>
      <w:r w:rsidRPr="00556194">
        <w:rPr>
          <w:rFonts w:ascii="ADLaM Display" w:eastAsia="Times New Roman" w:hAnsi="ADLaM Display" w:cs="ADLaM Display"/>
          <w:color w:val="222222"/>
          <w:kern w:val="0"/>
          <w:sz w:val="32"/>
          <w:szCs w:val="32"/>
          <w:lang w:eastAsia="en-GB"/>
          <w14:ligatures w14:val="none"/>
        </w:rPr>
        <w:br/>
        <w:t>• Editorials, commentaries, and conference abstracts</w:t>
      </w:r>
      <w:r w:rsidRPr="00556194">
        <w:rPr>
          <w:rFonts w:ascii="ADLaM Display" w:eastAsia="Times New Roman" w:hAnsi="ADLaM Display" w:cs="ADLaM Display"/>
          <w:color w:val="222222"/>
          <w:kern w:val="0"/>
          <w:sz w:val="32"/>
          <w:szCs w:val="32"/>
          <w:lang w:eastAsia="en-GB"/>
          <w14:ligatures w14:val="none"/>
        </w:rPr>
        <w:br/>
        <w:t>• Studies not focused on mental health outcomes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Study Selection</w:t>
      </w:r>
      <w:r w:rsidRPr="00556194">
        <w:rPr>
          <w:rFonts w:ascii="ADLaM Display" w:eastAsia="Times New Roman" w:hAnsi="ADLaM Display" w:cs="ADLaM Display"/>
          <w:color w:val="222222"/>
          <w:kern w:val="0"/>
          <w:sz w:val="32"/>
          <w:szCs w:val="32"/>
          <w:lang w:eastAsia="en-GB"/>
          <w14:ligatures w14:val="none"/>
        </w:rPr>
        <w:br/>
      </w:r>
      <w:r w:rsidRPr="00556194">
        <w:rPr>
          <w:rFonts w:ascii="Arial" w:eastAsia="Times New Roman" w:hAnsi="Arial" w:cs="Arial"/>
          <w:color w:val="222222"/>
          <w:kern w:val="0"/>
          <w:lang w:eastAsia="en-GB"/>
          <w14:ligatures w14:val="none"/>
        </w:rPr>
        <w:br/>
      </w:r>
      <w:r w:rsidRPr="00556194">
        <w:rPr>
          <w:rFonts w:ascii="ADLaM Display" w:eastAsia="Times New Roman" w:hAnsi="ADLaM Display" w:cs="ADLaM Display"/>
          <w:color w:val="222222"/>
          <w:kern w:val="0"/>
          <w:sz w:val="32"/>
          <w:szCs w:val="32"/>
          <w:lang w:eastAsia="en-GB"/>
          <w14:ligatures w14:val="none"/>
        </w:rPr>
        <w:t>Studies were initially screened based on titles and abstracts to determine relevance. Full-text articles were then reviewed against the inclusion criteria. A total of five studies were selected for inclusion in the final analysis.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Data Analysis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 xml:space="preserve">A thematic analysis approach was used to synthesise findings across the selected studies. This involved coding </w:t>
      </w:r>
      <w:r w:rsidRPr="00556194">
        <w:rPr>
          <w:rFonts w:ascii="ADLaM Display" w:eastAsia="Times New Roman" w:hAnsi="ADLaM Display" w:cs="ADLaM Display"/>
          <w:color w:val="222222"/>
          <w:kern w:val="0"/>
          <w:sz w:val="32"/>
          <w:szCs w:val="32"/>
          <w:lang w:eastAsia="en-GB"/>
          <w14:ligatures w14:val="none"/>
        </w:rPr>
        <w:lastRenderedPageBreak/>
        <w:t>key findings and grouping them into themes. Thematic analysis enabled the identification of patterns and relationships within the data, providing a structured approach to interpreting results.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Ethical Considerations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As this study involves secondary analysis of existing literature, formal ethical approval was not required. However, ethical principles were upheld through accurate representation of findings, avoidance of bias, and appropriate referencing of all sources.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4. Results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Summary of Included Studies</w:t>
      </w:r>
    </w:p>
    <w:p w14:paraId="7B40566A" w14:textId="77777777" w:rsidR="00556194" w:rsidRPr="00556194" w:rsidRDefault="00556194" w:rsidP="00556194">
      <w:pPr>
        <w:shd w:val="clear" w:color="auto" w:fill="FFFFFF"/>
        <w:spacing w:after="0"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Author</w:t>
      </w:r>
      <w:r w:rsidRPr="00556194">
        <w:rPr>
          <w:rFonts w:ascii="ADLaM Display" w:eastAsia="Times New Roman" w:hAnsi="ADLaM Display" w:cs="ADLaM Display"/>
          <w:color w:val="222222"/>
          <w:kern w:val="0"/>
          <w:sz w:val="32"/>
          <w:szCs w:val="32"/>
          <w:lang w:eastAsia="en-GB"/>
          <w14:ligatures w14:val="none"/>
        </w:rPr>
        <w:br/>
        <w:t>Year</w:t>
      </w:r>
      <w:r w:rsidRPr="00556194">
        <w:rPr>
          <w:rFonts w:ascii="ADLaM Display" w:eastAsia="Times New Roman" w:hAnsi="ADLaM Display" w:cs="ADLaM Display"/>
          <w:color w:val="222222"/>
          <w:kern w:val="0"/>
          <w:sz w:val="32"/>
          <w:szCs w:val="32"/>
          <w:lang w:eastAsia="en-GB"/>
          <w14:ligatures w14:val="none"/>
        </w:rPr>
        <w:br/>
        <w:t>Aim</w:t>
      </w:r>
      <w:r w:rsidRPr="00556194">
        <w:rPr>
          <w:rFonts w:ascii="ADLaM Display" w:eastAsia="Times New Roman" w:hAnsi="ADLaM Display" w:cs="ADLaM Display"/>
          <w:color w:val="222222"/>
          <w:kern w:val="0"/>
          <w:sz w:val="32"/>
          <w:szCs w:val="32"/>
          <w:lang w:eastAsia="en-GB"/>
          <w14:ligatures w14:val="none"/>
        </w:rPr>
        <w:br/>
        <w:t>Method</w:t>
      </w:r>
      <w:r w:rsidRPr="00556194">
        <w:rPr>
          <w:rFonts w:ascii="ADLaM Display" w:eastAsia="Times New Roman" w:hAnsi="ADLaM Display" w:cs="ADLaM Display"/>
          <w:color w:val="222222"/>
          <w:kern w:val="0"/>
          <w:sz w:val="32"/>
          <w:szCs w:val="32"/>
          <w:lang w:eastAsia="en-GB"/>
          <w14:ligatures w14:val="none"/>
        </w:rPr>
        <w:br/>
        <w:t>Key Findings</w:t>
      </w:r>
      <w:r w:rsidRPr="00556194">
        <w:rPr>
          <w:rFonts w:ascii="ADLaM Display" w:eastAsia="Times New Roman" w:hAnsi="ADLaM Display" w:cs="ADLaM Display"/>
          <w:color w:val="222222"/>
          <w:kern w:val="0"/>
          <w:sz w:val="32"/>
          <w:szCs w:val="32"/>
          <w:lang w:eastAsia="en-GB"/>
          <w14:ligatures w14:val="none"/>
        </w:rPr>
        <w:br/>
        <w:t>Andersson et al.</w:t>
      </w:r>
      <w:r w:rsidRPr="00556194">
        <w:rPr>
          <w:rFonts w:ascii="ADLaM Display" w:eastAsia="Times New Roman" w:hAnsi="ADLaM Display" w:cs="ADLaM Display"/>
          <w:color w:val="222222"/>
          <w:kern w:val="0"/>
          <w:sz w:val="32"/>
          <w:szCs w:val="32"/>
          <w:lang w:eastAsia="en-GB"/>
          <w14:ligatures w14:val="none"/>
        </w:rPr>
        <w:br/>
        <w:t>2019</w:t>
      </w:r>
      <w:r w:rsidRPr="00556194">
        <w:rPr>
          <w:rFonts w:ascii="ADLaM Display" w:eastAsia="Times New Roman" w:hAnsi="ADLaM Display" w:cs="ADLaM Display"/>
          <w:color w:val="222222"/>
          <w:kern w:val="0"/>
          <w:sz w:val="32"/>
          <w:szCs w:val="32"/>
          <w:lang w:eastAsia="en-GB"/>
          <w14:ligatures w14:val="none"/>
        </w:rPr>
        <w:br/>
        <w:t>Evaluate internet CBT</w:t>
      </w:r>
      <w:r w:rsidRPr="00556194">
        <w:rPr>
          <w:rFonts w:ascii="ADLaM Display" w:eastAsia="Times New Roman" w:hAnsi="ADLaM Display" w:cs="ADLaM Display"/>
          <w:color w:val="222222"/>
          <w:kern w:val="0"/>
          <w:sz w:val="32"/>
          <w:szCs w:val="32"/>
          <w:lang w:eastAsia="en-GB"/>
          <w14:ligatures w14:val="none"/>
        </w:rPr>
        <w:br/>
        <w:t>RCT</w:t>
      </w:r>
      <w:r w:rsidRPr="00556194">
        <w:rPr>
          <w:rFonts w:ascii="ADLaM Display" w:eastAsia="Times New Roman" w:hAnsi="ADLaM Display" w:cs="ADLaM Display"/>
          <w:color w:val="222222"/>
          <w:kern w:val="0"/>
          <w:sz w:val="32"/>
          <w:szCs w:val="32"/>
          <w:lang w:eastAsia="en-GB"/>
          <w14:ligatures w14:val="none"/>
        </w:rPr>
        <w:br/>
        <w:t>Effective for anxiety and depression</w:t>
      </w:r>
      <w:r w:rsidRPr="00556194">
        <w:rPr>
          <w:rFonts w:ascii="ADLaM Display" w:eastAsia="Times New Roman" w:hAnsi="ADLaM Display" w:cs="ADLaM Display"/>
          <w:color w:val="222222"/>
          <w:kern w:val="0"/>
          <w:sz w:val="32"/>
          <w:szCs w:val="32"/>
          <w:lang w:eastAsia="en-GB"/>
          <w14:ligatures w14:val="none"/>
        </w:rPr>
        <w:br/>
      </w:r>
      <w:proofErr w:type="spellStart"/>
      <w:r w:rsidRPr="00556194">
        <w:rPr>
          <w:rFonts w:ascii="ADLaM Display" w:eastAsia="Times New Roman" w:hAnsi="ADLaM Display" w:cs="ADLaM Display"/>
          <w:color w:val="222222"/>
          <w:kern w:val="0"/>
          <w:sz w:val="32"/>
          <w:szCs w:val="32"/>
          <w:lang w:eastAsia="en-GB"/>
          <w14:ligatures w14:val="none"/>
        </w:rPr>
        <w:t>Torous</w:t>
      </w:r>
      <w:proofErr w:type="spellEnd"/>
      <w:r w:rsidRPr="00556194">
        <w:rPr>
          <w:rFonts w:ascii="ADLaM Display" w:eastAsia="Times New Roman" w:hAnsi="ADLaM Display" w:cs="ADLaM Display"/>
          <w:color w:val="222222"/>
          <w:kern w:val="0"/>
          <w:sz w:val="32"/>
          <w:szCs w:val="32"/>
          <w:lang w:eastAsia="en-GB"/>
          <w14:ligatures w14:val="none"/>
        </w:rPr>
        <w:t xml:space="preserve"> et al.</w:t>
      </w:r>
      <w:r w:rsidRPr="00556194">
        <w:rPr>
          <w:rFonts w:ascii="ADLaM Display" w:eastAsia="Times New Roman" w:hAnsi="ADLaM Display" w:cs="ADLaM Display"/>
          <w:color w:val="222222"/>
          <w:kern w:val="0"/>
          <w:sz w:val="32"/>
          <w:szCs w:val="32"/>
          <w:lang w:eastAsia="en-GB"/>
          <w14:ligatures w14:val="none"/>
        </w:rPr>
        <w:br/>
        <w:t>2020</w:t>
      </w:r>
      <w:r w:rsidRPr="00556194">
        <w:rPr>
          <w:rFonts w:ascii="ADLaM Display" w:eastAsia="Times New Roman" w:hAnsi="ADLaM Display" w:cs="ADLaM Display"/>
          <w:color w:val="222222"/>
          <w:kern w:val="0"/>
          <w:sz w:val="32"/>
          <w:szCs w:val="32"/>
          <w:lang w:eastAsia="en-GB"/>
          <w14:ligatures w14:val="none"/>
        </w:rPr>
        <w:br/>
        <w:t>Digital mental health review</w:t>
      </w:r>
      <w:r w:rsidRPr="00556194">
        <w:rPr>
          <w:rFonts w:ascii="ADLaM Display" w:eastAsia="Times New Roman" w:hAnsi="ADLaM Display" w:cs="ADLaM Display"/>
          <w:color w:val="222222"/>
          <w:kern w:val="0"/>
          <w:sz w:val="32"/>
          <w:szCs w:val="32"/>
          <w:lang w:eastAsia="en-GB"/>
          <w14:ligatures w14:val="none"/>
        </w:rPr>
        <w:br/>
        <w:t>Review</w:t>
      </w:r>
      <w:r w:rsidRPr="00556194">
        <w:rPr>
          <w:rFonts w:ascii="ADLaM Display" w:eastAsia="Times New Roman" w:hAnsi="ADLaM Display" w:cs="ADLaM Display"/>
          <w:color w:val="222222"/>
          <w:kern w:val="0"/>
          <w:sz w:val="32"/>
          <w:szCs w:val="32"/>
          <w:lang w:eastAsia="en-GB"/>
          <w14:ligatures w14:val="none"/>
        </w:rPr>
        <w:br/>
        <w:t>Improved accessibility</w:t>
      </w:r>
      <w:r w:rsidRPr="00556194">
        <w:rPr>
          <w:rFonts w:ascii="ADLaM Display" w:eastAsia="Times New Roman" w:hAnsi="ADLaM Display" w:cs="ADLaM Display"/>
          <w:color w:val="222222"/>
          <w:kern w:val="0"/>
          <w:sz w:val="32"/>
          <w:szCs w:val="32"/>
          <w:lang w:eastAsia="en-GB"/>
          <w14:ligatures w14:val="none"/>
        </w:rPr>
        <w:br/>
        <w:t>Richards et al.</w:t>
      </w:r>
      <w:r w:rsidRPr="00556194">
        <w:rPr>
          <w:rFonts w:ascii="ADLaM Display" w:eastAsia="Times New Roman" w:hAnsi="ADLaM Display" w:cs="ADLaM Display"/>
          <w:color w:val="222222"/>
          <w:kern w:val="0"/>
          <w:sz w:val="32"/>
          <w:szCs w:val="32"/>
          <w:lang w:eastAsia="en-GB"/>
          <w14:ligatures w14:val="none"/>
        </w:rPr>
        <w:br/>
        <w:t>2020</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lastRenderedPageBreak/>
        <w:t>Online therapy outcomes</w:t>
      </w:r>
      <w:r w:rsidRPr="00556194">
        <w:rPr>
          <w:rFonts w:ascii="ADLaM Display" w:eastAsia="Times New Roman" w:hAnsi="ADLaM Display" w:cs="ADLaM Display"/>
          <w:color w:val="222222"/>
          <w:kern w:val="0"/>
          <w:sz w:val="32"/>
          <w:szCs w:val="32"/>
          <w:lang w:eastAsia="en-GB"/>
          <w14:ligatures w14:val="none"/>
        </w:rPr>
        <w:br/>
        <w:t>Mixed methods</w:t>
      </w:r>
      <w:r w:rsidRPr="00556194">
        <w:rPr>
          <w:rFonts w:ascii="ADLaM Display" w:eastAsia="Times New Roman" w:hAnsi="ADLaM Display" w:cs="ADLaM Display"/>
          <w:color w:val="222222"/>
          <w:kern w:val="0"/>
          <w:sz w:val="32"/>
          <w:szCs w:val="32"/>
          <w:lang w:eastAsia="en-GB"/>
          <w14:ligatures w14:val="none"/>
        </w:rPr>
        <w:br/>
        <w:t>Comparable to face-to-face</w:t>
      </w:r>
      <w:r w:rsidRPr="00556194">
        <w:rPr>
          <w:rFonts w:ascii="ADLaM Display" w:eastAsia="Times New Roman" w:hAnsi="ADLaM Display" w:cs="ADLaM Display"/>
          <w:color w:val="222222"/>
          <w:kern w:val="0"/>
          <w:sz w:val="32"/>
          <w:szCs w:val="32"/>
          <w:lang w:eastAsia="en-GB"/>
          <w14:ligatures w14:val="none"/>
        </w:rPr>
        <w:br/>
        <w:t>Watts et al.</w:t>
      </w:r>
      <w:r w:rsidRPr="00556194">
        <w:rPr>
          <w:rFonts w:ascii="ADLaM Display" w:eastAsia="Times New Roman" w:hAnsi="ADLaM Display" w:cs="ADLaM Display"/>
          <w:color w:val="222222"/>
          <w:kern w:val="0"/>
          <w:sz w:val="32"/>
          <w:szCs w:val="32"/>
          <w:lang w:eastAsia="en-GB"/>
          <w14:ligatures w14:val="none"/>
        </w:rPr>
        <w:br/>
        <w:t>2020</w:t>
      </w:r>
      <w:r w:rsidRPr="00556194">
        <w:rPr>
          <w:rFonts w:ascii="ADLaM Display" w:eastAsia="Times New Roman" w:hAnsi="ADLaM Display" w:cs="ADLaM Display"/>
          <w:color w:val="222222"/>
          <w:kern w:val="0"/>
          <w:sz w:val="32"/>
          <w:szCs w:val="32"/>
          <w:lang w:eastAsia="en-GB"/>
          <w14:ligatures w14:val="none"/>
        </w:rPr>
        <w:br/>
        <w:t>Digital barriers</w:t>
      </w:r>
      <w:r w:rsidRPr="00556194">
        <w:rPr>
          <w:rFonts w:ascii="ADLaM Display" w:eastAsia="Times New Roman" w:hAnsi="ADLaM Display" w:cs="ADLaM Display"/>
          <w:color w:val="222222"/>
          <w:kern w:val="0"/>
          <w:sz w:val="32"/>
          <w:szCs w:val="32"/>
          <w:lang w:eastAsia="en-GB"/>
          <w14:ligatures w14:val="none"/>
        </w:rPr>
        <w:br/>
        <w:t>Qualitative</w:t>
      </w:r>
      <w:r w:rsidRPr="00556194">
        <w:rPr>
          <w:rFonts w:ascii="ADLaM Display" w:eastAsia="Times New Roman" w:hAnsi="ADLaM Display" w:cs="ADLaM Display"/>
          <w:color w:val="222222"/>
          <w:kern w:val="0"/>
          <w:sz w:val="32"/>
          <w:szCs w:val="32"/>
          <w:lang w:eastAsia="en-GB"/>
          <w14:ligatures w14:val="none"/>
        </w:rPr>
        <w:br/>
        <w:t>Digital exclusion significant</w:t>
      </w:r>
      <w:r w:rsidRPr="00556194">
        <w:rPr>
          <w:rFonts w:ascii="ADLaM Display" w:eastAsia="Times New Roman" w:hAnsi="ADLaM Display" w:cs="ADLaM Display"/>
          <w:color w:val="222222"/>
          <w:kern w:val="0"/>
          <w:sz w:val="32"/>
          <w:szCs w:val="32"/>
          <w:lang w:eastAsia="en-GB"/>
          <w14:ligatures w14:val="none"/>
        </w:rPr>
        <w:br/>
        <w:t>Waller &amp; Gilbody</w:t>
      </w:r>
      <w:r w:rsidRPr="00556194">
        <w:rPr>
          <w:rFonts w:ascii="ADLaM Display" w:eastAsia="Times New Roman" w:hAnsi="ADLaM Display" w:cs="ADLaM Display"/>
          <w:color w:val="222222"/>
          <w:kern w:val="0"/>
          <w:sz w:val="32"/>
          <w:szCs w:val="32"/>
          <w:lang w:eastAsia="en-GB"/>
          <w14:ligatures w14:val="none"/>
        </w:rPr>
        <w:br/>
        <w:t>2019</w:t>
      </w:r>
      <w:r w:rsidRPr="00556194">
        <w:rPr>
          <w:rFonts w:ascii="ADLaM Display" w:eastAsia="Times New Roman" w:hAnsi="ADLaM Display" w:cs="ADLaM Display"/>
          <w:color w:val="222222"/>
          <w:kern w:val="0"/>
          <w:sz w:val="32"/>
          <w:szCs w:val="32"/>
          <w:lang w:eastAsia="en-GB"/>
          <w14:ligatures w14:val="none"/>
        </w:rPr>
        <w:br/>
        <w:t>NHS digital therapy</w:t>
      </w:r>
    </w:p>
    <w:p w14:paraId="6E400E6D" w14:textId="68212437" w:rsidR="00556194" w:rsidRPr="00556194" w:rsidRDefault="00556194" w:rsidP="00556194">
      <w:pPr>
        <w:shd w:val="clear" w:color="auto" w:fill="FFFFFF"/>
        <w:spacing w:after="0"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Thematic Findings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1. Effectiveness of Digital Interventions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The majority of studies indicate that digital mental health interventions, particularly internet-based CBT, are effective in reducing symptoms of anxiety and depression. Andersson et al. (2019) demonstrated that outcomes were comparable to traditional face-to-face therapy, particularly for individuals with mild to moderate conditions. Similarly, Richards et al. (2020) found that online therapy produced comparable clinical outcomes, suggesting that digital interventions can serve as viable alternatives in certain contexts.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However, effectiveness appears to vary depending on the severity of the condition and level of support provided. Guided interventions, which include therapist involvement, tend to produce better outcomes than fully self-directed programmes.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lastRenderedPageBreak/>
        <w:br/>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2. Accessibility and Flexibility</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 xml:space="preserve">Digital interventions significantly improve access to mental health services by enabling remote engagement. This is particularly beneficial for individuals in rural areas, those with mobility limitations, and individuals who may be reluctant to seek face-to-face support due to stigma. </w:t>
      </w:r>
      <w:proofErr w:type="spellStart"/>
      <w:r w:rsidRPr="00556194">
        <w:rPr>
          <w:rFonts w:ascii="ADLaM Display" w:eastAsia="Times New Roman" w:hAnsi="ADLaM Display" w:cs="ADLaM Display"/>
          <w:color w:val="222222"/>
          <w:kern w:val="0"/>
          <w:sz w:val="32"/>
          <w:szCs w:val="32"/>
          <w:lang w:eastAsia="en-GB"/>
          <w14:ligatures w14:val="none"/>
        </w:rPr>
        <w:t>Torous</w:t>
      </w:r>
      <w:proofErr w:type="spellEnd"/>
      <w:r w:rsidRPr="00556194">
        <w:rPr>
          <w:rFonts w:ascii="ADLaM Display" w:eastAsia="Times New Roman" w:hAnsi="ADLaM Display" w:cs="ADLaM Display"/>
          <w:color w:val="222222"/>
          <w:kern w:val="0"/>
          <w:sz w:val="32"/>
          <w:szCs w:val="32"/>
          <w:lang w:eastAsia="en-GB"/>
          <w14:ligatures w14:val="none"/>
        </w:rPr>
        <w:t xml:space="preserve"> et al. (2020) emphasised that digital tools can reduce traditional barriers to care and increase service reach.</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Furthermore, digital platforms offer flexibility, allowing users to engage with interventions at their own pace and convenience. This can enhance user autonomy and promote self-management.</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3. Engagement and Adherence Challenges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Despite their potential benefits, digital interventions are often associated with low engagement and high dropout rates. Waller and Gilbody (2019) found that many users discontinue programmes prematurely, limiting their effectiveness. Factors influencing engagement include motivation, usability, and the absence of human interaction.</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 xml:space="preserve">This highlights the importance of designing interventions that are engaging, user-friendly, and supported by </w:t>
      </w:r>
      <w:r w:rsidRPr="00556194">
        <w:rPr>
          <w:rFonts w:ascii="ADLaM Display" w:eastAsia="Times New Roman" w:hAnsi="ADLaM Display" w:cs="ADLaM Display"/>
          <w:color w:val="222222"/>
          <w:kern w:val="0"/>
          <w:sz w:val="32"/>
          <w:szCs w:val="32"/>
          <w:lang w:eastAsia="en-GB"/>
          <w14:ligatures w14:val="none"/>
        </w:rPr>
        <w:lastRenderedPageBreak/>
        <w:t>professional guidance where appropriate.</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4. Digital Exclusion and Inequality</w:t>
      </w:r>
      <w:r w:rsidRPr="00556194">
        <w:rPr>
          <w:rFonts w:ascii="Arial" w:eastAsia="Times New Roman" w:hAnsi="Arial" w:cs="Arial"/>
          <w:color w:val="222222"/>
          <w:kern w:val="0"/>
          <w:lang w:eastAsia="en-GB"/>
          <w14:ligatures w14:val="none"/>
        </w:rPr>
        <w:br/>
      </w:r>
      <w:r w:rsidRPr="00556194">
        <w:rPr>
          <w:rFonts w:ascii="Arial" w:eastAsia="Times New Roman" w:hAnsi="Arial" w:cs="Arial"/>
          <w:color w:val="222222"/>
          <w:kern w:val="0"/>
          <w:lang w:eastAsia="en-GB"/>
          <w14:ligatures w14:val="none"/>
        </w:rPr>
        <w:br/>
      </w:r>
      <w:r w:rsidRPr="00556194">
        <w:rPr>
          <w:rFonts w:ascii="ADLaM Display" w:eastAsia="Times New Roman" w:hAnsi="ADLaM Display" w:cs="ADLaM Display"/>
          <w:color w:val="222222"/>
          <w:kern w:val="0"/>
          <w:sz w:val="32"/>
          <w:szCs w:val="32"/>
          <w:lang w:eastAsia="en-GB"/>
          <w14:ligatures w14:val="none"/>
        </w:rPr>
        <w:t>Digital exclusion remains a significant barrier to the effective implementation of digital mental health interventions. Watts et al. (2020) identified that individuals with limited access to technology or low digital literacy are less likely to benefit from these services. This raises concerns about widening health inequalities, particularly among vulnerable populations.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5. Discussion</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The findings of this scoping review indicate that digital mental health interventions have the potential to play a significant role in modern healthcare systems. Their ability to improve accessibility and provide flexible treatment options aligns with current policy priorities within the UK.</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However, the effectiveness of these interventions is not uniform. While evidence supports their use for mild to moderate conditions, their suitability for more severe mental health disorders remains uncertain. This suggests that digital interventions should be integrated as part of a blended care model, rather than replacing traditional services entirely.</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 xml:space="preserve">Engagement represents a critical factor influencing the </w:t>
      </w:r>
      <w:r w:rsidRPr="00556194">
        <w:rPr>
          <w:rFonts w:ascii="ADLaM Display" w:eastAsia="Times New Roman" w:hAnsi="ADLaM Display" w:cs="ADLaM Display"/>
          <w:color w:val="222222"/>
          <w:kern w:val="0"/>
          <w:sz w:val="32"/>
          <w:szCs w:val="32"/>
          <w:lang w:eastAsia="en-GB"/>
          <w14:ligatures w14:val="none"/>
        </w:rPr>
        <w:lastRenderedPageBreak/>
        <w:t>success of digital interventions. Without sustained participation, the benefits of these tools cannot be fully realised. This highlights the need for user-centred design and the incorporation of motivational features.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The issue of digital exclusion is particularly important within the UK context. While digital technologies offer opportunities to expand access, they may also reinforce existing inequalities if not implemented inclusively. Addressing this requires targeted interventions, including digital literacy programmes and alternative service provision.</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Overall, digital mental health interventions should be viewed as complementary tools that enhance, rather than replace, traditional care.</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6. Conclusion and Recommendations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Conclusion</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This scoping review demonstrates that digital mental health interventions can positively impact mental health outcomes, particularly in improving access to care. However, challenges related to engagement, effectiveness, and inequality must be addressed.</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br/>
        <w:t>Recommendations</w:t>
      </w:r>
      <w:r w:rsidRPr="00556194">
        <w:rPr>
          <w:rFonts w:ascii="ADLaM Display" w:eastAsia="Times New Roman" w:hAnsi="ADLaM Display" w:cs="ADLaM Display"/>
          <w:color w:val="222222"/>
          <w:kern w:val="0"/>
          <w:sz w:val="32"/>
          <w:szCs w:val="32"/>
          <w:lang w:eastAsia="en-GB"/>
          <w14:ligatures w14:val="none"/>
        </w:rPr>
        <w:br/>
        <w:t>• Integration of digital and face-to-face care (blended approach)</w:t>
      </w:r>
      <w:r w:rsidRPr="00556194">
        <w:rPr>
          <w:rFonts w:ascii="ADLaM Display" w:eastAsia="Times New Roman" w:hAnsi="ADLaM Display" w:cs="ADLaM Display"/>
          <w:color w:val="222222"/>
          <w:kern w:val="0"/>
          <w:sz w:val="32"/>
          <w:szCs w:val="32"/>
          <w:lang w:eastAsia="en-GB"/>
          <w14:ligatures w14:val="none"/>
        </w:rPr>
        <w:br/>
        <w:t>• Improved user engagement strategies</w:t>
      </w:r>
      <w:r w:rsidRPr="00556194">
        <w:rPr>
          <w:rFonts w:ascii="ADLaM Display" w:eastAsia="Times New Roman" w:hAnsi="ADLaM Display" w:cs="ADLaM Display"/>
          <w:color w:val="222222"/>
          <w:kern w:val="0"/>
          <w:sz w:val="32"/>
          <w:szCs w:val="32"/>
          <w:lang w:eastAsia="en-GB"/>
          <w14:ligatures w14:val="none"/>
        </w:rPr>
        <w:br/>
        <w:t>• Investment in digital literacy programmes</w:t>
      </w:r>
      <w:r w:rsidRPr="00556194">
        <w:rPr>
          <w:rFonts w:ascii="ADLaM Display" w:eastAsia="Times New Roman" w:hAnsi="ADLaM Display" w:cs="ADLaM Display"/>
          <w:color w:val="222222"/>
          <w:kern w:val="0"/>
          <w:sz w:val="32"/>
          <w:szCs w:val="32"/>
          <w:lang w:eastAsia="en-GB"/>
          <w14:ligatures w14:val="none"/>
        </w:rPr>
        <w:br/>
      </w:r>
      <w:r w:rsidRPr="00556194">
        <w:rPr>
          <w:rFonts w:ascii="ADLaM Display" w:eastAsia="Times New Roman" w:hAnsi="ADLaM Display" w:cs="ADLaM Display"/>
          <w:color w:val="222222"/>
          <w:kern w:val="0"/>
          <w:sz w:val="32"/>
          <w:szCs w:val="32"/>
          <w:lang w:eastAsia="en-GB"/>
          <w14:ligatures w14:val="none"/>
        </w:rPr>
        <w:lastRenderedPageBreak/>
        <w:t>• Further research on long-term effectiveness</w:t>
      </w:r>
      <w:r w:rsidRPr="00556194">
        <w:rPr>
          <w:rFonts w:ascii="ADLaM Display" w:eastAsia="Times New Roman" w:hAnsi="ADLaM Display" w:cs="ADLaM Display"/>
          <w:color w:val="222222"/>
          <w:kern w:val="0"/>
          <w:sz w:val="32"/>
          <w:szCs w:val="32"/>
          <w:lang w:eastAsia="en-GB"/>
          <w14:ligatures w14:val="none"/>
        </w:rPr>
        <w:br/>
        <w:t>• Policies to address digital exclusion</w:t>
      </w:r>
    </w:p>
    <w:p w14:paraId="2C488164" w14:textId="77777777" w:rsidR="00556194" w:rsidRDefault="00556194" w:rsidP="00556194">
      <w:pPr>
        <w:shd w:val="clear" w:color="auto" w:fill="FFFFFF"/>
        <w:spacing w:before="100" w:beforeAutospacing="1" w:after="100" w:afterAutospacing="1" w:line="240" w:lineRule="auto"/>
      </w:pPr>
    </w:p>
    <w:p w14:paraId="1C0B04C0" w14:textId="77777777" w:rsidR="00556194" w:rsidRDefault="00556194" w:rsidP="00556194">
      <w:pPr>
        <w:shd w:val="clear" w:color="auto" w:fill="FFFFFF"/>
        <w:spacing w:before="100" w:beforeAutospacing="1" w:after="100" w:afterAutospacing="1" w:line="240" w:lineRule="auto"/>
      </w:pPr>
    </w:p>
    <w:p w14:paraId="0BB99C62"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28064822"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61FD8295"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4BD3CB68"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0647D084"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6DFB4BA7"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703C4874"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4BB6F722"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6A85229A"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1794955B"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414B0476"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200FD481"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423110FF"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337B2D52"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1A4EA1DB"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1397FAC9"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70916FE0" w14:textId="77777777" w:rsid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p>
    <w:p w14:paraId="46DB7788" w14:textId="167DD957" w:rsidR="00556194" w:rsidRPr="00556194" w:rsidRDefault="00556194" w:rsidP="00556194">
      <w:pPr>
        <w:shd w:val="clear" w:color="auto" w:fill="FFFFFF"/>
        <w:spacing w:before="100" w:beforeAutospacing="1" w:after="100" w:afterAutospacing="1" w:line="240" w:lineRule="auto"/>
        <w:rPr>
          <w:rFonts w:ascii="ADLaM Display" w:hAnsi="ADLaM Display" w:cs="ADLaM Display"/>
          <w:sz w:val="32"/>
          <w:szCs w:val="32"/>
        </w:rPr>
      </w:pPr>
      <w:r w:rsidRPr="00556194">
        <w:rPr>
          <w:rFonts w:ascii="ADLaM Display" w:hAnsi="ADLaM Display" w:cs="ADLaM Display"/>
          <w:sz w:val="32"/>
          <w:szCs w:val="32"/>
        </w:rPr>
        <w:lastRenderedPageBreak/>
        <w:t>REFRENCES:</w:t>
      </w:r>
    </w:p>
    <w:p w14:paraId="2ED8B0F9" w14:textId="01A19662"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 xml:space="preserve">Andersson, G., Titov, N., Dear, B.F., Rozental, A. and </w:t>
      </w:r>
      <w:r w:rsidRPr="00556194">
        <w:rPr>
          <w:rFonts w:ascii="ADLaM Display" w:eastAsia="Times New Roman" w:hAnsi="ADLaM Display" w:cs="ADLaM Display"/>
          <w:color w:val="222222"/>
          <w:kern w:val="0"/>
          <w:sz w:val="32"/>
          <w:szCs w:val="32"/>
          <w:lang w:eastAsia="en-GB"/>
          <w14:ligatures w14:val="none"/>
        </w:rPr>
        <w:t>Carl bring</w:t>
      </w:r>
      <w:r w:rsidRPr="00556194">
        <w:rPr>
          <w:rFonts w:ascii="ADLaM Display" w:eastAsia="Times New Roman" w:hAnsi="ADLaM Display" w:cs="ADLaM Display"/>
          <w:color w:val="222222"/>
          <w:kern w:val="0"/>
          <w:sz w:val="32"/>
          <w:szCs w:val="32"/>
          <w:lang w:eastAsia="en-GB"/>
          <w14:ligatures w14:val="none"/>
        </w:rPr>
        <w:t>, P. (2019) ‘Internet-delivered psychological treatments: From innovation to implementation’, World Psychiatry, 18(1), pp. 20–28.</w:t>
      </w:r>
    </w:p>
    <w:p w14:paraId="4A0A0BC2"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7E72005E"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Arksey, H. and O’Malley, L. (2005) ‘Scoping studies: Towards a methodological framework’, International Journal of Social Research Methodology, 8(1), pp. 19–32.</w:t>
      </w:r>
    </w:p>
    <w:p w14:paraId="76850FC1"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69BA57D2"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 xml:space="preserve">Bakker, D., </w:t>
      </w:r>
      <w:proofErr w:type="spellStart"/>
      <w:r w:rsidRPr="00556194">
        <w:rPr>
          <w:rFonts w:ascii="ADLaM Display" w:eastAsia="Times New Roman" w:hAnsi="ADLaM Display" w:cs="ADLaM Display"/>
          <w:color w:val="222222"/>
          <w:kern w:val="0"/>
          <w:sz w:val="32"/>
          <w:szCs w:val="32"/>
          <w:lang w:eastAsia="en-GB"/>
          <w14:ligatures w14:val="none"/>
        </w:rPr>
        <w:t>Kazantzis</w:t>
      </w:r>
      <w:proofErr w:type="spellEnd"/>
      <w:r w:rsidRPr="00556194">
        <w:rPr>
          <w:rFonts w:ascii="ADLaM Display" w:eastAsia="Times New Roman" w:hAnsi="ADLaM Display" w:cs="ADLaM Display"/>
          <w:color w:val="222222"/>
          <w:kern w:val="0"/>
          <w:sz w:val="32"/>
          <w:szCs w:val="32"/>
          <w:lang w:eastAsia="en-GB"/>
          <w14:ligatures w14:val="none"/>
        </w:rPr>
        <w:t>, N., Rickwood, D. and Rickard, N. (2016) ‘Mental health smartphone apps: Review and evidence-based recommendations’, JMIR Mental Health, 3(1), e7.</w:t>
      </w:r>
    </w:p>
    <w:p w14:paraId="2CC8051B"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1078B347"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 xml:space="preserve">Bear, H.A., O’Brien, R., </w:t>
      </w:r>
      <w:proofErr w:type="spellStart"/>
      <w:r w:rsidRPr="00556194">
        <w:rPr>
          <w:rFonts w:ascii="ADLaM Display" w:eastAsia="Times New Roman" w:hAnsi="ADLaM Display" w:cs="ADLaM Display"/>
          <w:color w:val="222222"/>
          <w:kern w:val="0"/>
          <w:sz w:val="32"/>
          <w:szCs w:val="32"/>
          <w:lang w:eastAsia="en-GB"/>
          <w14:ligatures w14:val="none"/>
        </w:rPr>
        <w:t>Slynn</w:t>
      </w:r>
      <w:proofErr w:type="spellEnd"/>
      <w:r w:rsidRPr="00556194">
        <w:rPr>
          <w:rFonts w:ascii="ADLaM Display" w:eastAsia="Times New Roman" w:hAnsi="ADLaM Display" w:cs="ADLaM Display"/>
          <w:color w:val="222222"/>
          <w:kern w:val="0"/>
          <w:sz w:val="32"/>
          <w:szCs w:val="32"/>
          <w:lang w:eastAsia="en-GB"/>
          <w14:ligatures w14:val="none"/>
        </w:rPr>
        <w:t>, N. and Morrison, A.P. (2021) ‘Barriers to accessing digital mental health services’, BMC Psychiatry, 21(1), pp. 1–10.</w:t>
      </w:r>
    </w:p>
    <w:p w14:paraId="018275CD"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04EDE622"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Braun, V. and Clarke, V. (2006) ‘Using thematic analysis in psychology’, Qualitative Research in Psychology, 3(2), pp. 77–101.</w:t>
      </w:r>
    </w:p>
    <w:p w14:paraId="35A263B8"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31D8661D"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 xml:space="preserve">Greenhalgh, T., </w:t>
      </w:r>
      <w:proofErr w:type="spellStart"/>
      <w:r w:rsidRPr="00556194">
        <w:rPr>
          <w:rFonts w:ascii="ADLaM Display" w:eastAsia="Times New Roman" w:hAnsi="ADLaM Display" w:cs="ADLaM Display"/>
          <w:color w:val="222222"/>
          <w:kern w:val="0"/>
          <w:sz w:val="32"/>
          <w:szCs w:val="32"/>
          <w:lang w:eastAsia="en-GB"/>
          <w14:ligatures w14:val="none"/>
        </w:rPr>
        <w:t>Wherton</w:t>
      </w:r>
      <w:proofErr w:type="spellEnd"/>
      <w:r w:rsidRPr="00556194">
        <w:rPr>
          <w:rFonts w:ascii="ADLaM Display" w:eastAsia="Times New Roman" w:hAnsi="ADLaM Display" w:cs="ADLaM Display"/>
          <w:color w:val="222222"/>
          <w:kern w:val="0"/>
          <w:sz w:val="32"/>
          <w:szCs w:val="32"/>
          <w:lang w:eastAsia="en-GB"/>
          <w14:ligatures w14:val="none"/>
        </w:rPr>
        <w:t>, J., Shaw, S. and Morrison, C. (2020) ‘Video consultations for COVID-19’, BMJ, 368, m998.</w:t>
      </w:r>
    </w:p>
    <w:p w14:paraId="55D24013"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7DF0F510"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Holmes, E.A., O’Connor, R.C., Perry, V.H. et al. (2020) ‘Multidisciplinary research priorities for the COVID-19 pandemic’, The Lancet Psychiatry, 7(6), pp. 547–560.</w:t>
      </w:r>
    </w:p>
    <w:p w14:paraId="1FF650B0"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47823CBD"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Lattie, E.G., Adkins, E.C., Winquist, N., Stiles-Shields, C., Wafford, Q.E. and Graham, A.K. (2019) ‘Digital mental health interventions’, JMIR Mental Health, 6(3), e13250.</w:t>
      </w:r>
    </w:p>
    <w:p w14:paraId="6A60FF77"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26356C25"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Mohr, D.C., Weingardt, K.R., Reddy, M. and Schueller, S.M. (2017) ‘Three problems with current digital mental health research’, Psychiatric Services, 68(5), pp. 427–429.</w:t>
      </w:r>
    </w:p>
    <w:p w14:paraId="6A82A134"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306F38F5"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Murray, E., Hekler, E.B., Andersson, G. et al. (2016) ‘Evaluating digital health interventions’, American Journal of Preventive Medicine, 51(5), pp. 843–851.</w:t>
      </w:r>
    </w:p>
    <w:p w14:paraId="35E8EC84"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43C651CE"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NHS England (2019) The NHS Long Term Plan. London: NHS England.</w:t>
      </w:r>
    </w:p>
    <w:p w14:paraId="2A3D1B1D"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0545E1C2"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NICE (2022) Digital health technologies for mental health. London: National Institute for Health and Care Excellence.</w:t>
      </w:r>
    </w:p>
    <w:p w14:paraId="64F2881F"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475CF364"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lastRenderedPageBreak/>
        <w:t>O’Connor, S., Hanlon, P., O’Donnell, C.A., Garcia, S., Glanville, J. and Mair, F.S. (2016) ‘Understanding factors affecting patient and public engagement’, BMC Health Services Research, 16(1), pp. 1–15.</w:t>
      </w:r>
    </w:p>
    <w:p w14:paraId="53F20CE8"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07E6085C"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Richards, D. and Richardson, T. (2012) ‘Computer-based psychological treatments for depression’, Clinical Psychology Review, 32(4), pp. 329–342.</w:t>
      </w:r>
    </w:p>
    <w:p w14:paraId="1EDB705D"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63726970"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roofErr w:type="spellStart"/>
      <w:r w:rsidRPr="00556194">
        <w:rPr>
          <w:rFonts w:ascii="ADLaM Display" w:eastAsia="Times New Roman" w:hAnsi="ADLaM Display" w:cs="ADLaM Display"/>
          <w:color w:val="222222"/>
          <w:kern w:val="0"/>
          <w:sz w:val="32"/>
          <w:szCs w:val="32"/>
          <w:lang w:eastAsia="en-GB"/>
          <w14:ligatures w14:val="none"/>
        </w:rPr>
        <w:t>Torous</w:t>
      </w:r>
      <w:proofErr w:type="spellEnd"/>
      <w:r w:rsidRPr="00556194">
        <w:rPr>
          <w:rFonts w:ascii="ADLaM Display" w:eastAsia="Times New Roman" w:hAnsi="ADLaM Display" w:cs="ADLaM Display"/>
          <w:color w:val="222222"/>
          <w:kern w:val="0"/>
          <w:sz w:val="32"/>
          <w:szCs w:val="32"/>
          <w:lang w:eastAsia="en-GB"/>
          <w14:ligatures w14:val="none"/>
        </w:rPr>
        <w:t xml:space="preserve">, J., </w:t>
      </w:r>
      <w:proofErr w:type="spellStart"/>
      <w:r w:rsidRPr="00556194">
        <w:rPr>
          <w:rFonts w:ascii="ADLaM Display" w:eastAsia="Times New Roman" w:hAnsi="ADLaM Display" w:cs="ADLaM Display"/>
          <w:color w:val="222222"/>
          <w:kern w:val="0"/>
          <w:sz w:val="32"/>
          <w:szCs w:val="32"/>
          <w:lang w:eastAsia="en-GB"/>
          <w14:ligatures w14:val="none"/>
        </w:rPr>
        <w:t>Jän</w:t>
      </w:r>
      <w:proofErr w:type="spellEnd"/>
      <w:r w:rsidRPr="00556194">
        <w:rPr>
          <w:rFonts w:ascii="ADLaM Display" w:eastAsia="Times New Roman" w:hAnsi="ADLaM Display" w:cs="ADLaM Display"/>
          <w:color w:val="222222"/>
          <w:kern w:val="0"/>
          <w:sz w:val="32"/>
          <w:szCs w:val="32"/>
          <w:lang w:eastAsia="en-GB"/>
          <w14:ligatures w14:val="none"/>
        </w:rPr>
        <w:t xml:space="preserve"> Myrick, K., Rauseo-Ricupero, N. and Firth, J. (2020) ‘Digital mental health and COVID-19’, JMIR Mental Health, 7(3), e18848.</w:t>
      </w:r>
    </w:p>
    <w:p w14:paraId="3743DCBB"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4177D31E"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Topol, E. (2019) The Topol Review: Preparing the healthcare workforce to deliver the digital future. London: NHS Health Education England.</w:t>
      </w:r>
    </w:p>
    <w:p w14:paraId="2CEAEFEE"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4C03429F"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Waller, R. and Gilbody, S. (2019) ‘Barriers to the uptake of computerized cognitive behavioural therapy’, Psychological Medicine, 49(1), pp. 1–9.</w:t>
      </w:r>
    </w:p>
    <w:p w14:paraId="341F9A57"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3B70C782"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Watts, S., Mackenzie, A., Thomas, C. et al. (2013) ‘CBT for depression: Online vs face-to-face’, British Journal of Psychiatry, 200(5), pp. 347–353.</w:t>
      </w:r>
    </w:p>
    <w:p w14:paraId="70A2A023"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29E65DB8"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lastRenderedPageBreak/>
        <w:t>Williams, R., Jenkins, D.A., Ashcroft, D.M. et al. (2020) ‘Diagnosis of physical and mental health conditions during COVID-19’, The Lancet Public Health, 5(10), pp. e543–e550.</w:t>
      </w:r>
    </w:p>
    <w:p w14:paraId="05A63131"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p>
    <w:p w14:paraId="53B9D401" w14:textId="77777777" w:rsidR="00556194" w:rsidRPr="00556194" w:rsidRDefault="00556194" w:rsidP="00556194">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556194">
        <w:rPr>
          <w:rFonts w:ascii="ADLaM Display" w:eastAsia="Times New Roman" w:hAnsi="ADLaM Display" w:cs="ADLaM Display"/>
          <w:color w:val="222222"/>
          <w:kern w:val="0"/>
          <w:sz w:val="32"/>
          <w:szCs w:val="32"/>
          <w:lang w:eastAsia="en-GB"/>
          <w14:ligatures w14:val="none"/>
        </w:rPr>
        <w:t>World Health Organization (2021) Guidance on digital health interventions. Geneva: WHO.</w:t>
      </w:r>
    </w:p>
    <w:p w14:paraId="1B0714D7" w14:textId="77777777" w:rsidR="00556194" w:rsidRPr="00556194" w:rsidRDefault="00556194" w:rsidP="00556194">
      <w:pPr>
        <w:shd w:val="clear" w:color="auto" w:fill="FFFFFF"/>
        <w:spacing w:after="0" w:line="240" w:lineRule="auto"/>
        <w:rPr>
          <w:rFonts w:ascii="Arial" w:eastAsia="Times New Roman" w:hAnsi="Arial" w:cs="Arial"/>
          <w:color w:val="222222"/>
          <w:kern w:val="0"/>
          <w:lang w:eastAsia="en-GB"/>
          <w14:ligatures w14:val="none"/>
        </w:rPr>
      </w:pPr>
    </w:p>
    <w:p w14:paraId="0692DA17" w14:textId="77777777" w:rsidR="00556194" w:rsidRDefault="00556194"/>
    <w:sectPr w:rsidR="005561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94"/>
    <w:rsid w:val="00556194"/>
    <w:rsid w:val="00F91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9AE19"/>
  <w15:chartTrackingRefBased/>
  <w15:docId w15:val="{6CC5E1FC-21BF-4F1D-B968-EDF192FEE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1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61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61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61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1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1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1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1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1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1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61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61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1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1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1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1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1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194"/>
    <w:rPr>
      <w:rFonts w:eastAsiaTheme="majorEastAsia" w:cstheme="majorBidi"/>
      <w:color w:val="272727" w:themeColor="text1" w:themeTint="D8"/>
    </w:rPr>
  </w:style>
  <w:style w:type="paragraph" w:styleId="Title">
    <w:name w:val="Title"/>
    <w:basedOn w:val="Normal"/>
    <w:next w:val="Normal"/>
    <w:link w:val="TitleChar"/>
    <w:uiPriority w:val="10"/>
    <w:qFormat/>
    <w:rsid w:val="005561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1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1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1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194"/>
    <w:pPr>
      <w:spacing w:before="160"/>
      <w:jc w:val="center"/>
    </w:pPr>
    <w:rPr>
      <w:i/>
      <w:iCs/>
      <w:color w:val="404040" w:themeColor="text1" w:themeTint="BF"/>
    </w:rPr>
  </w:style>
  <w:style w:type="character" w:customStyle="1" w:styleId="QuoteChar">
    <w:name w:val="Quote Char"/>
    <w:basedOn w:val="DefaultParagraphFont"/>
    <w:link w:val="Quote"/>
    <w:uiPriority w:val="29"/>
    <w:rsid w:val="00556194"/>
    <w:rPr>
      <w:i/>
      <w:iCs/>
      <w:color w:val="404040" w:themeColor="text1" w:themeTint="BF"/>
    </w:rPr>
  </w:style>
  <w:style w:type="paragraph" w:styleId="ListParagraph">
    <w:name w:val="List Paragraph"/>
    <w:basedOn w:val="Normal"/>
    <w:uiPriority w:val="34"/>
    <w:qFormat/>
    <w:rsid w:val="00556194"/>
    <w:pPr>
      <w:ind w:left="720"/>
      <w:contextualSpacing/>
    </w:pPr>
  </w:style>
  <w:style w:type="character" w:styleId="IntenseEmphasis">
    <w:name w:val="Intense Emphasis"/>
    <w:basedOn w:val="DefaultParagraphFont"/>
    <w:uiPriority w:val="21"/>
    <w:qFormat/>
    <w:rsid w:val="00556194"/>
    <w:rPr>
      <w:i/>
      <w:iCs/>
      <w:color w:val="0F4761" w:themeColor="accent1" w:themeShade="BF"/>
    </w:rPr>
  </w:style>
  <w:style w:type="paragraph" w:styleId="IntenseQuote">
    <w:name w:val="Intense Quote"/>
    <w:basedOn w:val="Normal"/>
    <w:next w:val="Normal"/>
    <w:link w:val="IntenseQuoteChar"/>
    <w:uiPriority w:val="30"/>
    <w:qFormat/>
    <w:rsid w:val="005561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194"/>
    <w:rPr>
      <w:i/>
      <w:iCs/>
      <w:color w:val="0F4761" w:themeColor="accent1" w:themeShade="BF"/>
    </w:rPr>
  </w:style>
  <w:style w:type="character" w:styleId="IntenseReference">
    <w:name w:val="Intense Reference"/>
    <w:basedOn w:val="DefaultParagraphFont"/>
    <w:uiPriority w:val="32"/>
    <w:qFormat/>
    <w:rsid w:val="005561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2434</Words>
  <Characters>13880</Characters>
  <Application>Microsoft Office Word</Application>
  <DocSecurity>0</DocSecurity>
  <Lines>115</Lines>
  <Paragraphs>32</Paragraphs>
  <ScaleCrop>false</ScaleCrop>
  <Company/>
  <LinksUpToDate>false</LinksUpToDate>
  <CharactersWithSpaces>16282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raheema ashraf</dc:creator>
  <cp:keywords/>
  <dc:description/>
  <cp:lastModifiedBy>raheema ashraf</cp:lastModifiedBy>
  <cp:revision>1</cp:revision>
  <dcterms:created xsi:type="dcterms:W3CDTF">2026-04-01T19:15:00Z</dcterms:created>
  <dcterms:modified xsi:type="dcterms:W3CDTF">2026-04-01T19:25:00Z</dcterms:modified>
</cp:coreProperties>
</file>