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1F0C24" w14:textId="77777777" w:rsidR="005074E8" w:rsidRDefault="005074E8">
      <w:pPr>
        <w:jc w:val="both"/>
      </w:pPr>
    </w:p>
    <w:p w14:paraId="70218496" w14:textId="3F9EC394" w:rsidR="00C33613" w:rsidRDefault="00B427C6">
      <w:pPr>
        <w:spacing w:line="360" w:lineRule="auto"/>
        <w:jc w:val="center"/>
        <w:rPr>
          <w:rFonts w:ascii="Times New Roman" w:hAnsi="Times New Roman" w:cs="Times New Roman"/>
          <w:b/>
          <w:sz w:val="32"/>
          <w:szCs w:val="32"/>
        </w:rPr>
      </w:pPr>
      <w:r>
        <w:rPr>
          <w:rFonts w:ascii="Times New Roman" w:hAnsi="Times New Roman" w:cs="Times New Roman"/>
          <w:b/>
          <w:sz w:val="32"/>
          <w:szCs w:val="32"/>
        </w:rPr>
        <w:t>HUMAN RES</w:t>
      </w:r>
      <w:r w:rsidR="006A3F31">
        <w:rPr>
          <w:rFonts w:ascii="Times New Roman" w:hAnsi="Times New Roman" w:cs="Times New Roman"/>
          <w:b/>
          <w:sz w:val="32"/>
          <w:szCs w:val="32"/>
        </w:rPr>
        <w:t>OU</w:t>
      </w:r>
      <w:r>
        <w:rPr>
          <w:rFonts w:ascii="Times New Roman" w:hAnsi="Times New Roman" w:cs="Times New Roman"/>
          <w:b/>
          <w:sz w:val="32"/>
          <w:szCs w:val="32"/>
        </w:rPr>
        <w:t>RCE MANAGEM</w:t>
      </w:r>
      <w:r w:rsidR="00BB3931">
        <w:rPr>
          <w:rFonts w:ascii="Times New Roman" w:hAnsi="Times New Roman" w:cs="Times New Roman"/>
          <w:b/>
          <w:sz w:val="32"/>
          <w:szCs w:val="32"/>
        </w:rPr>
        <w:t>E</w:t>
      </w:r>
      <w:r>
        <w:rPr>
          <w:rFonts w:ascii="Times New Roman" w:hAnsi="Times New Roman" w:cs="Times New Roman"/>
          <w:b/>
          <w:sz w:val="32"/>
          <w:szCs w:val="32"/>
        </w:rPr>
        <w:t>NT</w:t>
      </w:r>
    </w:p>
    <w:p w14:paraId="50E86195" w14:textId="77777777" w:rsidR="00C33613" w:rsidRDefault="00C33613">
      <w:pPr>
        <w:spacing w:line="360" w:lineRule="auto"/>
        <w:jc w:val="center"/>
        <w:rPr>
          <w:rFonts w:ascii="Times New Roman" w:hAnsi="Times New Roman" w:cs="Times New Roman"/>
          <w:b/>
          <w:sz w:val="32"/>
          <w:szCs w:val="32"/>
        </w:rPr>
      </w:pPr>
    </w:p>
    <w:p w14:paraId="7DF46AF7" w14:textId="77777777" w:rsidR="00C33613" w:rsidRPr="00D4648B" w:rsidRDefault="00C33613" w:rsidP="00C33613">
      <w:pPr>
        <w:spacing w:line="360" w:lineRule="auto"/>
        <w:jc w:val="center"/>
        <w:rPr>
          <w:rFonts w:ascii="Times New Roman" w:hAnsi="Times New Roman" w:cs="Times New Roman"/>
          <w:sz w:val="26"/>
          <w:szCs w:val="26"/>
        </w:rPr>
      </w:pPr>
      <w:r w:rsidRPr="00D4648B">
        <w:rPr>
          <w:rFonts w:ascii="Times New Roman" w:hAnsi="Times New Roman" w:cs="Times New Roman"/>
          <w:sz w:val="26"/>
          <w:szCs w:val="26"/>
        </w:rPr>
        <w:t>Program</w:t>
      </w:r>
      <w:r w:rsidR="00D4648B" w:rsidRPr="00D4648B">
        <w:rPr>
          <w:rFonts w:ascii="Times New Roman" w:hAnsi="Times New Roman" w:cs="Times New Roman"/>
          <w:sz w:val="26"/>
          <w:szCs w:val="26"/>
        </w:rPr>
        <w:t>:</w:t>
      </w:r>
      <w:r w:rsidRPr="00D4648B">
        <w:rPr>
          <w:rFonts w:ascii="Times New Roman" w:hAnsi="Times New Roman" w:cs="Times New Roman"/>
          <w:sz w:val="26"/>
          <w:szCs w:val="26"/>
        </w:rPr>
        <w:t xml:space="preserve"> Masters in Business Management (General Management)</w:t>
      </w:r>
    </w:p>
    <w:p w14:paraId="24B87DC5" w14:textId="77777777" w:rsidR="00C33613" w:rsidRPr="00D4648B" w:rsidRDefault="00C33613" w:rsidP="00C33613">
      <w:pPr>
        <w:spacing w:line="360" w:lineRule="auto"/>
        <w:jc w:val="center"/>
        <w:rPr>
          <w:rFonts w:ascii="Times New Roman" w:hAnsi="Times New Roman" w:cs="Times New Roman"/>
          <w:sz w:val="26"/>
          <w:szCs w:val="26"/>
        </w:rPr>
      </w:pPr>
      <w:r w:rsidRPr="00D4648B">
        <w:rPr>
          <w:rFonts w:ascii="Times New Roman" w:hAnsi="Times New Roman" w:cs="Times New Roman"/>
          <w:sz w:val="26"/>
          <w:szCs w:val="26"/>
        </w:rPr>
        <w:t>Module: Human Resource Management</w:t>
      </w:r>
    </w:p>
    <w:p w14:paraId="54BDA1BE" w14:textId="77777777" w:rsidR="00C33613" w:rsidRPr="00D4648B" w:rsidRDefault="00C33613" w:rsidP="00C33613">
      <w:pPr>
        <w:spacing w:line="360" w:lineRule="auto"/>
        <w:jc w:val="center"/>
        <w:rPr>
          <w:rFonts w:ascii="Times New Roman" w:hAnsi="Times New Roman" w:cs="Times New Roman"/>
          <w:sz w:val="26"/>
          <w:szCs w:val="26"/>
        </w:rPr>
      </w:pPr>
      <w:r w:rsidRPr="00D4648B">
        <w:rPr>
          <w:rFonts w:ascii="Times New Roman" w:hAnsi="Times New Roman" w:cs="Times New Roman"/>
          <w:sz w:val="26"/>
          <w:szCs w:val="26"/>
        </w:rPr>
        <w:t>Module code: LCMB 7000</w:t>
      </w:r>
    </w:p>
    <w:p w14:paraId="09F2D230" w14:textId="77777777" w:rsidR="00C33613" w:rsidRPr="00D4648B" w:rsidRDefault="00C33613" w:rsidP="00C33613">
      <w:pPr>
        <w:spacing w:line="360" w:lineRule="auto"/>
        <w:jc w:val="center"/>
        <w:rPr>
          <w:rFonts w:ascii="Times New Roman" w:hAnsi="Times New Roman" w:cs="Times New Roman"/>
          <w:sz w:val="26"/>
          <w:szCs w:val="26"/>
        </w:rPr>
      </w:pPr>
      <w:r w:rsidRPr="00D4648B">
        <w:rPr>
          <w:rFonts w:ascii="Times New Roman" w:hAnsi="Times New Roman" w:cs="Times New Roman"/>
          <w:sz w:val="26"/>
          <w:szCs w:val="26"/>
        </w:rPr>
        <w:t>Assignment title: 1</w:t>
      </w:r>
      <w:bookmarkStart w:id="0" w:name="_GoBack"/>
      <w:bookmarkEnd w:id="0"/>
    </w:p>
    <w:p w14:paraId="43763EF3" w14:textId="77777777" w:rsidR="00C33613" w:rsidRPr="00D4648B" w:rsidRDefault="00C33613" w:rsidP="00C33613">
      <w:pPr>
        <w:spacing w:line="360" w:lineRule="auto"/>
        <w:jc w:val="center"/>
        <w:rPr>
          <w:rFonts w:ascii="Times New Roman" w:hAnsi="Times New Roman" w:cs="Times New Roman"/>
          <w:sz w:val="26"/>
          <w:szCs w:val="26"/>
        </w:rPr>
      </w:pPr>
      <w:r w:rsidRPr="00D4648B">
        <w:rPr>
          <w:rFonts w:ascii="Times New Roman" w:hAnsi="Times New Roman" w:cs="Times New Roman"/>
          <w:sz w:val="26"/>
          <w:szCs w:val="26"/>
        </w:rPr>
        <w:t>Student name: Geetanjali Singh</w:t>
      </w:r>
    </w:p>
    <w:p w14:paraId="2A59BD01" w14:textId="77777777" w:rsidR="00C33613" w:rsidRPr="00D4648B" w:rsidRDefault="00C33613" w:rsidP="00C33613">
      <w:pPr>
        <w:spacing w:line="360" w:lineRule="auto"/>
        <w:jc w:val="center"/>
        <w:rPr>
          <w:rFonts w:ascii="Times New Roman" w:hAnsi="Times New Roman" w:cs="Times New Roman"/>
          <w:sz w:val="26"/>
          <w:szCs w:val="26"/>
        </w:rPr>
      </w:pPr>
      <w:r w:rsidRPr="00D4648B">
        <w:rPr>
          <w:rFonts w:ascii="Times New Roman" w:hAnsi="Times New Roman" w:cs="Times New Roman"/>
          <w:sz w:val="26"/>
          <w:szCs w:val="26"/>
        </w:rPr>
        <w:t>Student number: 2127364</w:t>
      </w:r>
    </w:p>
    <w:p w14:paraId="4FB4A934" w14:textId="77777777" w:rsidR="005074E8" w:rsidRPr="00C33613" w:rsidRDefault="00C33613" w:rsidP="00C33613">
      <w:pPr>
        <w:spacing w:line="360" w:lineRule="auto"/>
        <w:jc w:val="center"/>
        <w:rPr>
          <w:b/>
        </w:rPr>
      </w:pPr>
      <w:r w:rsidRPr="00D4648B">
        <w:rPr>
          <w:rFonts w:ascii="Times New Roman" w:hAnsi="Times New Roman" w:cs="Times New Roman"/>
          <w:sz w:val="26"/>
          <w:szCs w:val="26"/>
        </w:rPr>
        <w:t>Lecture</w:t>
      </w:r>
      <w:r w:rsidR="00D4648B" w:rsidRPr="00D4648B">
        <w:rPr>
          <w:rFonts w:ascii="Times New Roman" w:hAnsi="Times New Roman" w:cs="Times New Roman"/>
          <w:sz w:val="26"/>
          <w:szCs w:val="26"/>
        </w:rPr>
        <w:t>r</w:t>
      </w:r>
      <w:r w:rsidRPr="00D4648B">
        <w:rPr>
          <w:rFonts w:ascii="Times New Roman" w:hAnsi="Times New Roman" w:cs="Times New Roman"/>
          <w:sz w:val="26"/>
          <w:szCs w:val="26"/>
        </w:rPr>
        <w:t xml:space="preserve"> Name: Gladius Kulothunga</w:t>
      </w:r>
      <w:r w:rsidR="00D4648B" w:rsidRPr="00D4648B">
        <w:rPr>
          <w:rFonts w:ascii="Times New Roman" w:hAnsi="Times New Roman" w:cs="Times New Roman"/>
          <w:sz w:val="26"/>
          <w:szCs w:val="26"/>
        </w:rPr>
        <w:t>n</w:t>
      </w:r>
      <w:r>
        <w:rPr>
          <w:b/>
        </w:rPr>
        <w:t xml:space="preserve"> </w:t>
      </w:r>
      <w:r w:rsidR="00B427C6">
        <w:rPr>
          <w:b/>
        </w:rPr>
        <w:br w:type="page"/>
      </w:r>
    </w:p>
    <w:bookmarkStart w:id="1" w:name="_Toc112355342" w:displacedByCustomXml="next"/>
    <w:sdt>
      <w:sdtPr>
        <w:rPr>
          <w:rFonts w:ascii="Arial" w:eastAsia="Arial" w:hAnsi="Arial" w:cs="Arial"/>
          <w:b w:val="0"/>
          <w:bCs w:val="0"/>
          <w:color w:val="auto"/>
          <w:sz w:val="22"/>
          <w:szCs w:val="22"/>
        </w:rPr>
        <w:id w:val="43449172"/>
        <w:docPartObj>
          <w:docPartGallery w:val="Table of Contents"/>
          <w:docPartUnique/>
        </w:docPartObj>
      </w:sdtPr>
      <w:sdtEndPr>
        <w:rPr>
          <w:rFonts w:ascii="Times New Roman" w:hAnsi="Times New Roman" w:cs="Times New Roman"/>
          <w:sz w:val="24"/>
          <w:szCs w:val="24"/>
        </w:rPr>
      </w:sdtEndPr>
      <w:sdtContent>
        <w:p w14:paraId="60CC0190" w14:textId="77777777" w:rsidR="005074E8" w:rsidRDefault="00B427C6">
          <w:pPr>
            <w:pStyle w:val="TOCHeading1"/>
            <w:spacing w:line="360" w:lineRule="auto"/>
            <w:jc w:val="center"/>
          </w:pPr>
          <w:r>
            <w:rPr>
              <w:rFonts w:ascii="Times New Roman" w:hAnsi="Times New Roman" w:cs="Times New Roman"/>
              <w:color w:val="000000" w:themeColor="text1"/>
              <w:sz w:val="24"/>
              <w:szCs w:val="24"/>
            </w:rPr>
            <w:t>Table of Contents</w:t>
          </w:r>
        </w:p>
        <w:p w14:paraId="0D64CAB5" w14:textId="198F4A62" w:rsidR="005074E8" w:rsidRDefault="00B427C6">
          <w:pPr>
            <w:pStyle w:val="TOC1"/>
            <w:tabs>
              <w:tab w:val="right" w:leader="dot" w:pos="9350"/>
            </w:tabs>
            <w:spacing w:line="360" w:lineRule="auto"/>
            <w:jc w:val="both"/>
            <w:rPr>
              <w:rFonts w:ascii="Times New Roman" w:eastAsiaTheme="minorEastAsia" w:hAnsi="Times New Roman" w:cs="Times New Roman"/>
              <w:sz w:val="24"/>
              <w:szCs w:val="24"/>
              <w:lang w:val="en-US"/>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hyperlink w:anchor="_Toc112356371" w:history="1">
            <w:r>
              <w:rPr>
                <w:rStyle w:val="Hyperlink"/>
                <w:rFonts w:ascii="Times New Roman" w:hAnsi="Times New Roman" w:cs="Times New Roman"/>
                <w:sz w:val="24"/>
                <w:szCs w:val="24"/>
              </w:rPr>
              <w:t>Introduction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_Toc112356371 \h </w:instrText>
            </w:r>
            <w:r>
              <w:rPr>
                <w:rFonts w:ascii="Times New Roman" w:hAnsi="Times New Roman" w:cs="Times New Roman"/>
                <w:sz w:val="24"/>
                <w:szCs w:val="24"/>
              </w:rPr>
            </w:r>
            <w:r>
              <w:rPr>
                <w:rFonts w:ascii="Times New Roman" w:hAnsi="Times New Roman" w:cs="Times New Roman"/>
                <w:sz w:val="24"/>
                <w:szCs w:val="24"/>
              </w:rPr>
              <w:fldChar w:fldCharType="separate"/>
            </w:r>
            <w:r w:rsidR="00D4648B">
              <w:rPr>
                <w:rFonts w:ascii="Times New Roman" w:hAnsi="Times New Roman" w:cs="Times New Roman"/>
                <w:noProof/>
                <w:sz w:val="24"/>
                <w:szCs w:val="24"/>
              </w:rPr>
              <w:t>3</w:t>
            </w:r>
            <w:r>
              <w:rPr>
                <w:rFonts w:ascii="Times New Roman" w:hAnsi="Times New Roman" w:cs="Times New Roman"/>
                <w:sz w:val="24"/>
                <w:szCs w:val="24"/>
              </w:rPr>
              <w:fldChar w:fldCharType="end"/>
            </w:r>
          </w:hyperlink>
        </w:p>
        <w:p w14:paraId="6EC1299D" w14:textId="0BC4A8EA" w:rsidR="005074E8" w:rsidRDefault="00B427C6">
          <w:pPr>
            <w:pStyle w:val="TOC1"/>
            <w:tabs>
              <w:tab w:val="right" w:leader="dot" w:pos="9350"/>
            </w:tabs>
            <w:spacing w:line="360" w:lineRule="auto"/>
            <w:jc w:val="both"/>
            <w:rPr>
              <w:rFonts w:ascii="Times New Roman" w:eastAsiaTheme="minorEastAsia" w:hAnsi="Times New Roman" w:cs="Times New Roman"/>
              <w:sz w:val="24"/>
              <w:szCs w:val="24"/>
              <w:lang w:val="en-US"/>
            </w:rPr>
          </w:pPr>
          <w:hyperlink w:anchor="_Toc112356372" w:history="1">
            <w:r>
              <w:rPr>
                <w:rStyle w:val="Hyperlink"/>
                <w:rFonts w:ascii="Times New Roman" w:hAnsi="Times New Roman" w:cs="Times New Roman"/>
                <w:sz w:val="24"/>
                <w:szCs w:val="24"/>
              </w:rPr>
              <w:t>The current state of the labour market in the UK</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_Toc112356372 \h </w:instrText>
            </w:r>
            <w:r>
              <w:rPr>
                <w:rFonts w:ascii="Times New Roman" w:hAnsi="Times New Roman" w:cs="Times New Roman"/>
                <w:sz w:val="24"/>
                <w:szCs w:val="24"/>
              </w:rPr>
            </w:r>
            <w:r>
              <w:rPr>
                <w:rFonts w:ascii="Times New Roman" w:hAnsi="Times New Roman" w:cs="Times New Roman"/>
                <w:sz w:val="24"/>
                <w:szCs w:val="24"/>
              </w:rPr>
              <w:fldChar w:fldCharType="separate"/>
            </w:r>
            <w:r w:rsidR="00D4648B">
              <w:rPr>
                <w:rFonts w:ascii="Times New Roman" w:hAnsi="Times New Roman" w:cs="Times New Roman"/>
                <w:noProof/>
                <w:sz w:val="24"/>
                <w:szCs w:val="24"/>
              </w:rPr>
              <w:t>3</w:t>
            </w:r>
            <w:r>
              <w:rPr>
                <w:rFonts w:ascii="Times New Roman" w:hAnsi="Times New Roman" w:cs="Times New Roman"/>
                <w:sz w:val="24"/>
                <w:szCs w:val="24"/>
              </w:rPr>
              <w:fldChar w:fldCharType="end"/>
            </w:r>
          </w:hyperlink>
        </w:p>
        <w:p w14:paraId="03665E28" w14:textId="56ED8F22" w:rsidR="005074E8" w:rsidRDefault="00B427C6">
          <w:pPr>
            <w:pStyle w:val="TOC1"/>
            <w:tabs>
              <w:tab w:val="right" w:leader="dot" w:pos="9350"/>
            </w:tabs>
            <w:spacing w:line="360" w:lineRule="auto"/>
            <w:jc w:val="both"/>
            <w:rPr>
              <w:rFonts w:ascii="Times New Roman" w:eastAsiaTheme="minorEastAsia" w:hAnsi="Times New Roman" w:cs="Times New Roman"/>
              <w:sz w:val="24"/>
              <w:szCs w:val="24"/>
              <w:lang w:val="en-US"/>
            </w:rPr>
          </w:pPr>
          <w:hyperlink w:anchor="_Toc112356373" w:history="1">
            <w:r>
              <w:rPr>
                <w:rStyle w:val="Hyperlink"/>
                <w:rFonts w:ascii="Times New Roman" w:hAnsi="Times New Roman" w:cs="Times New Roman"/>
                <w:sz w:val="24"/>
                <w:szCs w:val="24"/>
              </w:rPr>
              <w:t>Emerging changes in the human resource strategies after the COVID-19 crisis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_Toc112356373 \h </w:instrText>
            </w:r>
            <w:r>
              <w:rPr>
                <w:rFonts w:ascii="Times New Roman" w:hAnsi="Times New Roman" w:cs="Times New Roman"/>
                <w:sz w:val="24"/>
                <w:szCs w:val="24"/>
              </w:rPr>
            </w:r>
            <w:r>
              <w:rPr>
                <w:rFonts w:ascii="Times New Roman" w:hAnsi="Times New Roman" w:cs="Times New Roman"/>
                <w:sz w:val="24"/>
                <w:szCs w:val="24"/>
              </w:rPr>
              <w:fldChar w:fldCharType="separate"/>
            </w:r>
            <w:r w:rsidR="00D4648B">
              <w:rPr>
                <w:rFonts w:ascii="Times New Roman" w:hAnsi="Times New Roman" w:cs="Times New Roman"/>
                <w:noProof/>
                <w:sz w:val="24"/>
                <w:szCs w:val="24"/>
              </w:rPr>
              <w:t>8</w:t>
            </w:r>
            <w:r>
              <w:rPr>
                <w:rFonts w:ascii="Times New Roman" w:hAnsi="Times New Roman" w:cs="Times New Roman"/>
                <w:sz w:val="24"/>
                <w:szCs w:val="24"/>
              </w:rPr>
              <w:fldChar w:fldCharType="end"/>
            </w:r>
          </w:hyperlink>
        </w:p>
        <w:p w14:paraId="0936CA39" w14:textId="7058068E" w:rsidR="005074E8" w:rsidRDefault="00B427C6">
          <w:pPr>
            <w:pStyle w:val="TOC1"/>
            <w:tabs>
              <w:tab w:val="right" w:leader="dot" w:pos="9350"/>
            </w:tabs>
            <w:spacing w:line="360" w:lineRule="auto"/>
            <w:jc w:val="both"/>
            <w:rPr>
              <w:rFonts w:ascii="Times New Roman" w:eastAsiaTheme="minorEastAsia" w:hAnsi="Times New Roman" w:cs="Times New Roman"/>
              <w:sz w:val="24"/>
              <w:szCs w:val="24"/>
              <w:lang w:val="en-US"/>
            </w:rPr>
          </w:pPr>
          <w:hyperlink w:anchor="_Toc112356374" w:history="1">
            <w:r>
              <w:rPr>
                <w:rStyle w:val="Hyperlink"/>
                <w:rFonts w:ascii="Times New Roman" w:hAnsi="Times New Roman" w:cs="Times New Roman"/>
                <w:sz w:val="24"/>
                <w:szCs w:val="24"/>
              </w:rPr>
              <w:t>Conclusion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_Toc112356374 \h </w:instrText>
            </w:r>
            <w:r>
              <w:rPr>
                <w:rFonts w:ascii="Times New Roman" w:hAnsi="Times New Roman" w:cs="Times New Roman"/>
                <w:sz w:val="24"/>
                <w:szCs w:val="24"/>
              </w:rPr>
            </w:r>
            <w:r>
              <w:rPr>
                <w:rFonts w:ascii="Times New Roman" w:hAnsi="Times New Roman" w:cs="Times New Roman"/>
                <w:sz w:val="24"/>
                <w:szCs w:val="24"/>
              </w:rPr>
              <w:fldChar w:fldCharType="separate"/>
            </w:r>
            <w:r w:rsidR="00D4648B">
              <w:rPr>
                <w:rFonts w:ascii="Times New Roman" w:hAnsi="Times New Roman" w:cs="Times New Roman"/>
                <w:noProof/>
                <w:sz w:val="24"/>
                <w:szCs w:val="24"/>
              </w:rPr>
              <w:t>10</w:t>
            </w:r>
            <w:r>
              <w:rPr>
                <w:rFonts w:ascii="Times New Roman" w:hAnsi="Times New Roman" w:cs="Times New Roman"/>
                <w:sz w:val="24"/>
                <w:szCs w:val="24"/>
              </w:rPr>
              <w:fldChar w:fldCharType="end"/>
            </w:r>
          </w:hyperlink>
        </w:p>
        <w:p w14:paraId="15F8AE32" w14:textId="35833CDC" w:rsidR="005074E8" w:rsidRDefault="00B427C6">
          <w:pPr>
            <w:pStyle w:val="TOC1"/>
            <w:tabs>
              <w:tab w:val="right" w:leader="dot" w:pos="9350"/>
            </w:tabs>
            <w:spacing w:line="360" w:lineRule="auto"/>
            <w:jc w:val="both"/>
            <w:rPr>
              <w:rFonts w:ascii="Times New Roman" w:eastAsiaTheme="minorEastAsia" w:hAnsi="Times New Roman" w:cs="Times New Roman"/>
              <w:sz w:val="24"/>
              <w:szCs w:val="24"/>
              <w:lang w:val="en-US"/>
            </w:rPr>
          </w:pPr>
          <w:hyperlink w:anchor="_Toc112356375" w:history="1">
            <w:r>
              <w:rPr>
                <w:rStyle w:val="Hyperlink"/>
                <w:rFonts w:ascii="Times New Roman" w:hAnsi="Times New Roman" w:cs="Times New Roman"/>
                <w:sz w:val="24"/>
                <w:szCs w:val="24"/>
              </w:rPr>
              <w:t>References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_Toc112356375 \h </w:instrText>
            </w:r>
            <w:r>
              <w:rPr>
                <w:rFonts w:ascii="Times New Roman" w:hAnsi="Times New Roman" w:cs="Times New Roman"/>
                <w:sz w:val="24"/>
                <w:szCs w:val="24"/>
              </w:rPr>
            </w:r>
            <w:r>
              <w:rPr>
                <w:rFonts w:ascii="Times New Roman" w:hAnsi="Times New Roman" w:cs="Times New Roman"/>
                <w:sz w:val="24"/>
                <w:szCs w:val="24"/>
              </w:rPr>
              <w:fldChar w:fldCharType="separate"/>
            </w:r>
            <w:r w:rsidR="00D4648B">
              <w:rPr>
                <w:rFonts w:ascii="Times New Roman" w:hAnsi="Times New Roman" w:cs="Times New Roman"/>
                <w:noProof/>
                <w:sz w:val="24"/>
                <w:szCs w:val="24"/>
              </w:rPr>
              <w:t>11</w:t>
            </w:r>
            <w:r>
              <w:rPr>
                <w:rFonts w:ascii="Times New Roman" w:hAnsi="Times New Roman" w:cs="Times New Roman"/>
                <w:sz w:val="24"/>
                <w:szCs w:val="24"/>
              </w:rPr>
              <w:fldChar w:fldCharType="end"/>
            </w:r>
          </w:hyperlink>
        </w:p>
        <w:p w14:paraId="003F8491" w14:textId="77777777" w:rsidR="005074E8" w:rsidRDefault="00B427C6">
          <w:pPr>
            <w:spacing w:line="360" w:lineRule="auto"/>
            <w:jc w:val="both"/>
            <w:rPr>
              <w:rFonts w:ascii="Times New Roman" w:hAnsi="Times New Roman" w:cs="Times New Roman"/>
              <w:sz w:val="24"/>
              <w:szCs w:val="24"/>
            </w:rPr>
          </w:pPr>
          <w:r>
            <w:rPr>
              <w:rFonts w:ascii="Times New Roman" w:hAnsi="Times New Roman" w:cs="Times New Roman"/>
              <w:sz w:val="24"/>
              <w:szCs w:val="24"/>
            </w:rPr>
            <w:fldChar w:fldCharType="end"/>
          </w:r>
        </w:p>
      </w:sdtContent>
    </w:sdt>
    <w:p w14:paraId="1FCD5E55" w14:textId="77777777" w:rsidR="005074E8" w:rsidRDefault="005074E8">
      <w:pPr>
        <w:pStyle w:val="Heading1"/>
      </w:pPr>
    </w:p>
    <w:p w14:paraId="24A8AA70" w14:textId="77777777" w:rsidR="005074E8" w:rsidRDefault="00B427C6">
      <w:pPr>
        <w:rPr>
          <w:rFonts w:ascii="Times New Roman" w:hAnsi="Times New Roman"/>
          <w:b/>
          <w:color w:val="000000" w:themeColor="text1"/>
          <w:sz w:val="32"/>
          <w:szCs w:val="40"/>
        </w:rPr>
      </w:pPr>
      <w:r>
        <w:br w:type="page"/>
      </w:r>
    </w:p>
    <w:p w14:paraId="759F5E74" w14:textId="77777777" w:rsidR="005074E8" w:rsidRDefault="00B427C6">
      <w:pPr>
        <w:pStyle w:val="Heading1"/>
      </w:pPr>
      <w:bookmarkStart w:id="2" w:name="_Toc112356371"/>
      <w:r>
        <w:lastRenderedPageBreak/>
        <w:t>Introdu</w:t>
      </w:r>
      <w:r>
        <w:t>ction</w:t>
      </w:r>
      <w:bookmarkEnd w:id="1"/>
      <w:bookmarkEnd w:id="2"/>
    </w:p>
    <w:p w14:paraId="7DF78B30" w14:textId="77777777" w:rsidR="005074E8" w:rsidRDefault="00B427C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report explores the current state of the labour market in the UK. It also describes the emerging transformations in human resource strategies after the COVID-19 pandemic and after the Brexit external environment. The report explains the employment and </w:t>
      </w:r>
      <w:r>
        <w:rPr>
          <w:rFonts w:ascii="Times New Roman" w:eastAsia="Times New Roman" w:hAnsi="Times New Roman" w:cs="Times New Roman"/>
          <w:sz w:val="24"/>
          <w:szCs w:val="24"/>
        </w:rPr>
        <w:t>unemployment status in the labour market of the UK. Vacancy and economic inactivity's status in the labour market of the UK have been explored in brief. It describes the working hours and working hours and earning status in the labour market of the UK. Job</w:t>
      </w:r>
      <w:r>
        <w:rPr>
          <w:rFonts w:ascii="Times New Roman" w:eastAsia="Times New Roman" w:hAnsi="Times New Roman" w:cs="Times New Roman"/>
          <w:sz w:val="24"/>
          <w:szCs w:val="24"/>
        </w:rPr>
        <w:t xml:space="preserve"> redesign and the COVID-19 training, corporate social responsibility, employee development as well as hiring have been described as the emerging changes in the strategies of human resource management after the COVID-19 pandemic. </w:t>
      </w:r>
    </w:p>
    <w:p w14:paraId="1CA3A4CE" w14:textId="77777777" w:rsidR="005074E8" w:rsidRDefault="00B427C6">
      <w:pPr>
        <w:pStyle w:val="Heading1"/>
      </w:pPr>
      <w:bookmarkStart w:id="3" w:name="_Toc112356372"/>
      <w:r>
        <w:t>The current state of the l</w:t>
      </w:r>
      <w:r>
        <w:t>abour market in the UK</w:t>
      </w:r>
      <w:bookmarkEnd w:id="3"/>
    </w:p>
    <w:p w14:paraId="4CF629C2" w14:textId="77777777" w:rsidR="005074E8" w:rsidRDefault="00B427C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Apart from hiring new staff and rising pay, employers in the UK labour market are looking at upscaling the existing employees to tackle retention as well as recruitment difficulties. The public health responses to the COVID-19 crisis</w:t>
      </w:r>
      <w:r>
        <w:rPr>
          <w:rFonts w:ascii="Times New Roman" w:eastAsia="Times New Roman" w:hAnsi="Times New Roman" w:cs="Times New Roman"/>
          <w:sz w:val="24"/>
          <w:szCs w:val="24"/>
        </w:rPr>
        <w:t xml:space="preserve"> have steered to the sharp drops in labour demand in various industries of the economic activities in the UK. A significant labour shortage has been experienced in different industries. </w:t>
      </w:r>
    </w:p>
    <w:p w14:paraId="1AACD6CA" w14:textId="77777777" w:rsidR="005074E8" w:rsidRDefault="00B427C6">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Employment</w:t>
      </w:r>
    </w:p>
    <w:p w14:paraId="73B8B8A7" w14:textId="77777777" w:rsidR="005074E8" w:rsidRDefault="00B427C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COVID-19 crisis steers to a large number of employees </w:t>
      </w:r>
      <w:r>
        <w:rPr>
          <w:rFonts w:ascii="Times New Roman" w:eastAsia="Times New Roman" w:hAnsi="Times New Roman" w:cs="Times New Roman"/>
          <w:sz w:val="24"/>
          <w:szCs w:val="24"/>
        </w:rPr>
        <w:t>leaving their professions, and over the last two years, the employment rate is remaining below where it was before the pandemic. There was a huge fall in the employment rate following the first COVID lockdown (</w:t>
      </w:r>
      <w:r>
        <w:rPr>
          <w:rFonts w:ascii="Times New Roman" w:hAnsi="Times New Roman" w:cs="Times New Roman"/>
          <w:color w:val="222222"/>
          <w:sz w:val="24"/>
          <w:szCs w:val="24"/>
          <w:shd w:val="clear" w:color="auto" w:fill="FFFFFF"/>
        </w:rPr>
        <w:t>White, 2022</w:t>
      </w:r>
      <w:r>
        <w:rPr>
          <w:rFonts w:ascii="Times New Roman" w:eastAsia="Times New Roman" w:hAnsi="Times New Roman" w:cs="Times New Roman"/>
          <w:sz w:val="24"/>
          <w:szCs w:val="24"/>
        </w:rPr>
        <w:t>). Although the employment rate fel</w:t>
      </w:r>
      <w:r>
        <w:rPr>
          <w:rFonts w:ascii="Times New Roman" w:eastAsia="Times New Roman" w:hAnsi="Times New Roman" w:cs="Times New Roman"/>
          <w:sz w:val="24"/>
          <w:szCs w:val="24"/>
        </w:rPr>
        <w:t xml:space="preserve">l for all the age groups, the fall was particularly identified among the young generation. As per the view of </w:t>
      </w:r>
      <w:r>
        <w:rPr>
          <w:rFonts w:ascii="Times New Roman" w:eastAsia="Times New Roman" w:hAnsi="Times New Roman" w:cs="Times New Roman"/>
          <w:color w:val="222222"/>
          <w:sz w:val="24"/>
          <w:szCs w:val="24"/>
          <w:highlight w:val="white"/>
        </w:rPr>
        <w:t xml:space="preserve">Powell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sz w:val="24"/>
          <w:szCs w:val="24"/>
        </w:rPr>
        <w:t xml:space="preserve">(2021), over 40% of the total fall in the employment rate was for employees aged 16 to 24. </w:t>
      </w:r>
    </w:p>
    <w:p w14:paraId="1090E47E" w14:textId="77777777" w:rsidR="005074E8" w:rsidRDefault="00B427C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2FD525F5" wp14:editId="1F1DFD46">
            <wp:extent cx="4000500" cy="21717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6"/>
                    <a:stretch>
                      <a:fillRect/>
                    </a:stretch>
                  </pic:blipFill>
                  <pic:spPr>
                    <a:xfrm>
                      <a:off x="0" y="0"/>
                      <a:ext cx="4000500" cy="2171700"/>
                    </a:xfrm>
                    <a:prstGeom prst="rect">
                      <a:avLst/>
                    </a:prstGeom>
                  </pic:spPr>
                </pic:pic>
              </a:graphicData>
            </a:graphic>
          </wp:inline>
        </w:drawing>
      </w:r>
    </w:p>
    <w:p w14:paraId="219A7923" w14:textId="77777777" w:rsidR="005074E8" w:rsidRDefault="00B427C6">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1: Fall in employment </w:t>
      </w:r>
    </w:p>
    <w:p w14:paraId="3E25F281" w14:textId="77777777" w:rsidR="005074E8" w:rsidRDefault="00B427C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222222"/>
          <w:sz w:val="24"/>
          <w:szCs w:val="24"/>
          <w:highlight w:val="white"/>
        </w:rPr>
        <w:t xml:space="preserve">Powell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sz w:val="24"/>
          <w:szCs w:val="24"/>
        </w:rPr>
        <w:t>2021)</w:t>
      </w:r>
    </w:p>
    <w:p w14:paraId="50D520F2" w14:textId="77777777" w:rsidR="005074E8" w:rsidRDefault="00B427C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fall in the employment rate throughout 2020 was experienced mostly because of the fall in part-time employees and self-employment. On the other hand, the number of full-time employees has increased. In full-time work, the number of</w:t>
      </w:r>
      <w:r>
        <w:rPr>
          <w:rFonts w:ascii="Times New Roman" w:eastAsia="Times New Roman" w:hAnsi="Times New Roman" w:cs="Times New Roman"/>
          <w:sz w:val="24"/>
          <w:szCs w:val="24"/>
        </w:rPr>
        <w:t xml:space="preserve"> women also improved; however, the number of part-time and full-time men and part-time women has fallen. Although, throughout 2021 as well as 2022, the employment rate has gradually increased, however, the employment rate remained below its pre-pandemic ra</w:t>
      </w:r>
      <w:r>
        <w:rPr>
          <w:rFonts w:ascii="Times New Roman" w:eastAsia="Times New Roman" w:hAnsi="Times New Roman" w:cs="Times New Roman"/>
          <w:sz w:val="24"/>
          <w:szCs w:val="24"/>
        </w:rPr>
        <w:t>te (</w:t>
      </w:r>
      <w:r>
        <w:rPr>
          <w:rFonts w:ascii="Times New Roman" w:eastAsia="Times New Roman" w:hAnsi="Times New Roman" w:cs="Times New Roman"/>
          <w:color w:val="222222"/>
          <w:sz w:val="24"/>
          <w:szCs w:val="24"/>
          <w:highlight w:val="white"/>
        </w:rPr>
        <w:t xml:space="preserve">Powell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sz w:val="24"/>
          <w:szCs w:val="24"/>
        </w:rPr>
        <w:t xml:space="preserve">2021). As mentioned before, the age group that experienced the most significant fall in employment rate in the first lockdown was employees aged 16 to 24; this was also the age group which experienced the most significant improvement in </w:t>
      </w:r>
      <w:r>
        <w:rPr>
          <w:rFonts w:ascii="Times New Roman" w:eastAsia="Times New Roman" w:hAnsi="Times New Roman" w:cs="Times New Roman"/>
          <w:sz w:val="24"/>
          <w:szCs w:val="24"/>
        </w:rPr>
        <w:t>the employment rate in 2021 as well as 2022. In June 2022, the employment level in the UK was 75.5% as compared to 75% in the same period in 2021 (Statista.com, 2022). After almost falling below 70% in 2011, the employment level started to rise in the UK a</w:t>
      </w:r>
      <w:r>
        <w:rPr>
          <w:rFonts w:ascii="Times New Roman" w:eastAsia="Times New Roman" w:hAnsi="Times New Roman" w:cs="Times New Roman"/>
          <w:sz w:val="24"/>
          <w:szCs w:val="24"/>
        </w:rPr>
        <w:t>t a relatively fast speed in early 2020. However, after that specific time, the employment level dropped precisely because of the enforcement of social lockdown due to the COVID-19 pandemic.</w:t>
      </w:r>
    </w:p>
    <w:p w14:paraId="1B5DB4D7" w14:textId="77777777" w:rsidR="005074E8" w:rsidRDefault="00B427C6">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Unemployment</w:t>
      </w:r>
    </w:p>
    <w:p w14:paraId="74EF562C" w14:textId="77777777" w:rsidR="005074E8" w:rsidRDefault="00B427C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Although the COVID-19 crisis steered to an increment</w:t>
      </w:r>
      <w:r>
        <w:rPr>
          <w:rFonts w:ascii="Times New Roman" w:eastAsia="Times New Roman" w:hAnsi="Times New Roman" w:cs="Times New Roman"/>
          <w:sz w:val="24"/>
          <w:szCs w:val="24"/>
        </w:rPr>
        <w:t xml:space="preserve"> in the unemployment rate, it did not reach the rate forecasted during the initial outbreak of COVID. As opined by </w:t>
      </w:r>
      <w:r>
        <w:rPr>
          <w:rFonts w:ascii="Times New Roman" w:eastAsia="Times New Roman" w:hAnsi="Times New Roman" w:cs="Times New Roman"/>
          <w:color w:val="222222"/>
          <w:sz w:val="28"/>
          <w:szCs w:val="28"/>
          <w:highlight w:val="white"/>
        </w:rPr>
        <w:t xml:space="preserve">Wang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sz w:val="24"/>
          <w:szCs w:val="24"/>
        </w:rPr>
        <w:t xml:space="preserve"> (2021), the unemployment rate increased throughout 2020, and it reached its peak of 1.77 million between Octobers to December 202</w:t>
      </w:r>
      <w:r>
        <w:rPr>
          <w:rFonts w:ascii="Times New Roman" w:eastAsia="Times New Roman" w:hAnsi="Times New Roman" w:cs="Times New Roman"/>
          <w:sz w:val="24"/>
          <w:szCs w:val="24"/>
        </w:rPr>
        <w:t xml:space="preserve">0. However, the unemployment rate has fallen through 2021 as well as has continued to drop in 2022. The </w:t>
      </w:r>
      <w:proofErr w:type="gramStart"/>
      <w:r>
        <w:rPr>
          <w:rFonts w:ascii="Times New Roman" w:eastAsia="Times New Roman" w:hAnsi="Times New Roman" w:cs="Times New Roman"/>
          <w:sz w:val="24"/>
          <w:szCs w:val="24"/>
        </w:rPr>
        <w:t>drop in</w:t>
      </w:r>
      <w:proofErr w:type="gramEnd"/>
      <w:r>
        <w:rPr>
          <w:rFonts w:ascii="Times New Roman" w:eastAsia="Times New Roman" w:hAnsi="Times New Roman" w:cs="Times New Roman"/>
          <w:sz w:val="24"/>
          <w:szCs w:val="24"/>
        </w:rPr>
        <w:t xml:space="preserve"> unemployment below pre-pandemic levels may be </w:t>
      </w:r>
      <w:r>
        <w:rPr>
          <w:rFonts w:ascii="Times New Roman" w:eastAsia="Times New Roman" w:hAnsi="Times New Roman" w:cs="Times New Roman"/>
          <w:sz w:val="24"/>
          <w:szCs w:val="24"/>
        </w:rPr>
        <w:lastRenderedPageBreak/>
        <w:t>partially described by the increment in economic inactivity. The unemployment level is the proport</w:t>
      </w:r>
      <w:r>
        <w:rPr>
          <w:rFonts w:ascii="Times New Roman" w:eastAsia="Times New Roman" w:hAnsi="Times New Roman" w:cs="Times New Roman"/>
          <w:sz w:val="24"/>
          <w:szCs w:val="24"/>
        </w:rPr>
        <w:t>ion of economically active employees who are unemployed (</w:t>
      </w:r>
      <w:r>
        <w:rPr>
          <w:rFonts w:ascii="Times New Roman" w:eastAsia="Times New Roman" w:hAnsi="Times New Roman" w:cs="Times New Roman"/>
          <w:color w:val="222222"/>
          <w:sz w:val="28"/>
          <w:szCs w:val="28"/>
          <w:highlight w:val="white"/>
        </w:rPr>
        <w:t xml:space="preserve">Wang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sz w:val="24"/>
          <w:szCs w:val="24"/>
        </w:rPr>
        <w:t xml:space="preserve"> 2021).</w:t>
      </w:r>
    </w:p>
    <w:p w14:paraId="1CC9CD6C" w14:textId="77777777" w:rsidR="005074E8" w:rsidRDefault="00B427C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The unemployment rate drops as the number of economically active employees drop, as occurred during a pandemic. The rise in the unemployment rate was smaller than the forecast </w:t>
      </w:r>
      <w:proofErr w:type="gramStart"/>
      <w:r>
        <w:rPr>
          <w:rFonts w:ascii="Times New Roman" w:eastAsia="Times New Roman" w:hAnsi="Times New Roman" w:cs="Times New Roman"/>
          <w:sz w:val="24"/>
          <w:szCs w:val="24"/>
        </w:rPr>
        <w:t>ris</w:t>
      </w:r>
      <w:r>
        <w:rPr>
          <w:rFonts w:ascii="Times New Roman" w:eastAsia="Times New Roman" w:hAnsi="Times New Roman" w:cs="Times New Roman"/>
          <w:sz w:val="24"/>
          <w:szCs w:val="24"/>
        </w:rPr>
        <w:t>e</w:t>
      </w:r>
      <w:proofErr w:type="gramEnd"/>
      <w:r>
        <w:rPr>
          <w:rFonts w:ascii="Times New Roman" w:eastAsia="Times New Roman" w:hAnsi="Times New Roman" w:cs="Times New Roman"/>
          <w:sz w:val="24"/>
          <w:szCs w:val="24"/>
        </w:rPr>
        <w:t xml:space="preserve"> because of the "Coronavirus job retention scheme", which meant that millions of the furloughed people could continue their jobs. At first, the job retention scheme was introduced for three months; however, it has been extended on various occasions and ke</w:t>
      </w:r>
      <w:r>
        <w:rPr>
          <w:rFonts w:ascii="Times New Roman" w:eastAsia="Times New Roman" w:hAnsi="Times New Roman" w:cs="Times New Roman"/>
          <w:sz w:val="24"/>
          <w:szCs w:val="24"/>
        </w:rPr>
        <w:t>pt in place until 2021 (</w:t>
      </w:r>
      <w:r>
        <w:rPr>
          <w:rFonts w:ascii="Times New Roman" w:eastAsia="Times New Roman" w:hAnsi="Times New Roman" w:cs="Times New Roman"/>
          <w:color w:val="222222"/>
          <w:sz w:val="28"/>
          <w:szCs w:val="28"/>
          <w:highlight w:val="white"/>
        </w:rPr>
        <w:t xml:space="preserve">Wang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sz w:val="24"/>
          <w:szCs w:val="24"/>
        </w:rPr>
        <w:t xml:space="preserve"> 2021). However, there was an exception that the unemployment rate would increase whenever the job retention scheme finally closed. However, the unemployment levels continued to drop in the months following the closure of</w:t>
      </w:r>
      <w:r>
        <w:rPr>
          <w:rFonts w:ascii="Times New Roman" w:eastAsia="Times New Roman" w:hAnsi="Times New Roman" w:cs="Times New Roman"/>
          <w:sz w:val="24"/>
          <w:szCs w:val="24"/>
        </w:rPr>
        <w:t xml:space="preserve"> this scheme because the labour market had recovered through this point.</w:t>
      </w:r>
    </w:p>
    <w:p w14:paraId="04DA7065" w14:textId="77777777" w:rsidR="005074E8" w:rsidRDefault="00B427C6">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Vacancies</w:t>
      </w:r>
    </w:p>
    <w:p w14:paraId="4B168318" w14:textId="77777777" w:rsidR="005074E8" w:rsidRDefault="00B427C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number of job vacancies has dropped to a record low in the labour market following the beginning of the COVID-</w:t>
      </w:r>
      <w:proofErr w:type="gramStart"/>
      <w:r>
        <w:rPr>
          <w:rFonts w:ascii="Times New Roman" w:eastAsia="Times New Roman" w:hAnsi="Times New Roman" w:cs="Times New Roman"/>
          <w:sz w:val="24"/>
          <w:szCs w:val="24"/>
        </w:rPr>
        <w:t>19  crisis</w:t>
      </w:r>
      <w:proofErr w:type="gramEnd"/>
      <w:r>
        <w:rPr>
          <w:rFonts w:ascii="Times New Roman" w:eastAsia="Times New Roman" w:hAnsi="Times New Roman" w:cs="Times New Roman"/>
          <w:sz w:val="24"/>
          <w:szCs w:val="24"/>
        </w:rPr>
        <w:t xml:space="preserve"> before rising to a record high. The earliest </w:t>
      </w:r>
      <w:r>
        <w:rPr>
          <w:rFonts w:ascii="Times New Roman" w:eastAsia="Times New Roman" w:hAnsi="Times New Roman" w:cs="Times New Roman"/>
          <w:sz w:val="24"/>
          <w:szCs w:val="24"/>
        </w:rPr>
        <w:t>indicator of the effect of the COVID-19 crisis on the labour market was the massive drop in job vacancies. Based on the view of (), the job vacancy rate reached a record low from 467,000 in January to march 2020 to 329,000 from April to June 2020 (</w:t>
      </w:r>
      <w:r>
        <w:rPr>
          <w:rFonts w:ascii="Times New Roman" w:eastAsia="Times New Roman" w:hAnsi="Times New Roman" w:cs="Times New Roman"/>
          <w:color w:val="222222"/>
          <w:sz w:val="28"/>
          <w:szCs w:val="28"/>
          <w:highlight w:val="white"/>
        </w:rPr>
        <w:t xml:space="preserve">Wang </w:t>
      </w:r>
      <w:r>
        <w:rPr>
          <w:rFonts w:ascii="Times New Roman" w:eastAsia="Times New Roman" w:hAnsi="Times New Roman" w:cs="Times New Roman"/>
          <w:i/>
          <w:color w:val="222222"/>
          <w:sz w:val="24"/>
          <w:szCs w:val="24"/>
          <w:highlight w:val="white"/>
        </w:rPr>
        <w:t xml:space="preserve">et </w:t>
      </w:r>
      <w:r>
        <w:rPr>
          <w:rFonts w:ascii="Times New Roman" w:eastAsia="Times New Roman" w:hAnsi="Times New Roman" w:cs="Times New Roman"/>
          <w:i/>
          <w:color w:val="222222"/>
          <w:sz w:val="24"/>
          <w:szCs w:val="24"/>
          <w:highlight w:val="white"/>
        </w:rPr>
        <w:t>al.</w:t>
      </w:r>
      <w:r>
        <w:rPr>
          <w:rFonts w:ascii="Times New Roman" w:eastAsia="Times New Roman" w:hAnsi="Times New Roman" w:cs="Times New Roman"/>
          <w:sz w:val="24"/>
          <w:szCs w:val="24"/>
        </w:rPr>
        <w:t xml:space="preserve"> 2021). The number of unemployed workers per vacancy rose following the COVID-19 pandemic and increased to 4.3 people per vacancy. Although the job vacancy rate recovered throughout the rest of 2020, however, the rate could not return to the pre-pandemi</w:t>
      </w:r>
      <w:r>
        <w:rPr>
          <w:rFonts w:ascii="Times New Roman" w:eastAsia="Times New Roman" w:hAnsi="Times New Roman" w:cs="Times New Roman"/>
          <w:sz w:val="24"/>
          <w:szCs w:val="24"/>
        </w:rPr>
        <w:t xml:space="preserve">c rate. However, the job vacancy rate has continued to rise since then. </w:t>
      </w:r>
    </w:p>
    <w:p w14:paraId="39B01699" w14:textId="77777777" w:rsidR="005074E8" w:rsidRDefault="00B427C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opined by </w:t>
      </w:r>
      <w:r>
        <w:rPr>
          <w:rFonts w:ascii="Times New Roman" w:eastAsia="Times New Roman" w:hAnsi="Times New Roman" w:cs="Times New Roman"/>
          <w:color w:val="222222"/>
          <w:sz w:val="24"/>
          <w:szCs w:val="24"/>
          <w:highlight w:val="white"/>
        </w:rPr>
        <w:t xml:space="preserve">Powell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sz w:val="24"/>
          <w:szCs w:val="24"/>
        </w:rPr>
        <w:t>(2021), 1.29 million vacancies were released between January to March 2022, which was the highest since records started in 2001 and 491,000 higher as compar</w:t>
      </w:r>
      <w:r>
        <w:rPr>
          <w:rFonts w:ascii="Times New Roman" w:eastAsia="Times New Roman" w:hAnsi="Times New Roman" w:cs="Times New Roman"/>
          <w:sz w:val="24"/>
          <w:szCs w:val="24"/>
        </w:rPr>
        <w:t>ed to January and March 2020. The variety of the vacancies across the industries gradually returned over 2020 and 2021. By the year 2021, the vacancies were at the pre-pandemic rate; however, the recovery was skewed heavily towards the warehouse, construct</w:t>
      </w:r>
      <w:r>
        <w:rPr>
          <w:rFonts w:ascii="Times New Roman" w:eastAsia="Times New Roman" w:hAnsi="Times New Roman" w:cs="Times New Roman"/>
          <w:sz w:val="24"/>
          <w:szCs w:val="24"/>
        </w:rPr>
        <w:t xml:space="preserve">ion as well as the driving occupations. Different types of vacancies started to return in 2022; however, the lower paying vacancies make up the more significant share of the vacancies compared to </w:t>
      </w:r>
      <w:proofErr w:type="gramStart"/>
      <w:r>
        <w:rPr>
          <w:rFonts w:ascii="Times New Roman" w:eastAsia="Times New Roman" w:hAnsi="Times New Roman" w:cs="Times New Roman"/>
          <w:sz w:val="24"/>
          <w:szCs w:val="24"/>
        </w:rPr>
        <w:t>pre pandemic</w:t>
      </w:r>
      <w:proofErr w:type="gramEnd"/>
      <w:r>
        <w:rPr>
          <w:rFonts w:ascii="Times New Roman" w:eastAsia="Times New Roman" w:hAnsi="Times New Roman" w:cs="Times New Roman"/>
          <w:sz w:val="24"/>
          <w:szCs w:val="24"/>
        </w:rPr>
        <w:t>.</w:t>
      </w:r>
    </w:p>
    <w:p w14:paraId="335FAE1F" w14:textId="77777777" w:rsidR="005074E8" w:rsidRDefault="00B427C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5C8A3507" wp14:editId="3D213C23">
            <wp:extent cx="4010025" cy="2333625"/>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7"/>
                    <a:stretch>
                      <a:fillRect/>
                    </a:stretch>
                  </pic:blipFill>
                  <pic:spPr>
                    <a:xfrm>
                      <a:off x="0" y="0"/>
                      <a:ext cx="4010025" cy="2333625"/>
                    </a:xfrm>
                    <a:prstGeom prst="rect">
                      <a:avLst/>
                    </a:prstGeom>
                  </pic:spPr>
                </pic:pic>
              </a:graphicData>
            </a:graphic>
          </wp:inline>
        </w:drawing>
      </w:r>
    </w:p>
    <w:p w14:paraId="78A79A20" w14:textId="77777777" w:rsidR="005074E8" w:rsidRDefault="00B427C6">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Vacancy in the labour market</w:t>
      </w:r>
    </w:p>
    <w:p w14:paraId="50D0A6AC" w14:textId="77777777" w:rsidR="005074E8" w:rsidRDefault="00B427C6">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(Source: </w:t>
      </w:r>
      <w:r>
        <w:rPr>
          <w:rFonts w:ascii="Times New Roman" w:eastAsia="Times New Roman" w:hAnsi="Times New Roman" w:cs="Times New Roman"/>
          <w:color w:val="222222"/>
          <w:sz w:val="24"/>
          <w:szCs w:val="24"/>
          <w:highlight w:val="white"/>
        </w:rPr>
        <w:t xml:space="preserve">Powell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sz w:val="24"/>
          <w:szCs w:val="24"/>
        </w:rPr>
        <w:t>2021)</w:t>
      </w:r>
    </w:p>
    <w:p w14:paraId="6F9707CC" w14:textId="77777777" w:rsidR="005074E8" w:rsidRDefault="005074E8">
      <w:pPr>
        <w:spacing w:line="360" w:lineRule="auto"/>
        <w:jc w:val="both"/>
        <w:rPr>
          <w:rFonts w:ascii="Times New Roman" w:eastAsia="Times New Roman" w:hAnsi="Times New Roman" w:cs="Times New Roman"/>
          <w:sz w:val="24"/>
          <w:szCs w:val="24"/>
        </w:rPr>
      </w:pPr>
    </w:p>
    <w:p w14:paraId="10130BDB" w14:textId="77777777" w:rsidR="005074E8" w:rsidRDefault="00B427C6">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Economic inactivity</w:t>
      </w:r>
    </w:p>
    <w:p w14:paraId="45BA9604" w14:textId="77777777" w:rsidR="005074E8" w:rsidRDefault="00B427C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impacts of the pandemic crisis is the smaller labour market because of a rise in the economic inactivity among employees aged 16 to 64. The labour market is defined as the number of human beings </w:t>
      </w:r>
      <w:r>
        <w:rPr>
          <w:rFonts w:ascii="Times New Roman" w:eastAsia="Times New Roman" w:hAnsi="Times New Roman" w:cs="Times New Roman"/>
          <w:sz w:val="24"/>
          <w:szCs w:val="24"/>
        </w:rPr>
        <w:t xml:space="preserve">who are either in the job or seeking a job and had around 4, 00,000 fewer people in the two years from the beginning of the pandemic. As per the findings of </w:t>
      </w:r>
      <w:r>
        <w:rPr>
          <w:rFonts w:ascii="Times New Roman" w:eastAsia="Times New Roman" w:hAnsi="Times New Roman" w:cs="Times New Roman"/>
          <w:color w:val="222222"/>
          <w:sz w:val="24"/>
          <w:szCs w:val="24"/>
          <w:highlight w:val="white"/>
        </w:rPr>
        <w:t xml:space="preserve">Blundell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i/>
          <w:color w:val="222222"/>
          <w:sz w:val="24"/>
          <w:szCs w:val="24"/>
        </w:rPr>
        <w:t xml:space="preserve"> </w:t>
      </w:r>
      <w:r>
        <w:rPr>
          <w:rFonts w:ascii="Times New Roman" w:eastAsia="Times New Roman" w:hAnsi="Times New Roman" w:cs="Times New Roman"/>
          <w:sz w:val="24"/>
          <w:szCs w:val="24"/>
        </w:rPr>
        <w:t>(2022), it has been identified that 8.86 million people who were aged between 16 to</w:t>
      </w:r>
      <w:r>
        <w:rPr>
          <w:rFonts w:ascii="Times New Roman" w:eastAsia="Times New Roman" w:hAnsi="Times New Roman" w:cs="Times New Roman"/>
          <w:sz w:val="24"/>
          <w:szCs w:val="24"/>
        </w:rPr>
        <w:t xml:space="preserve"> 64 were economically inactive from January to March 2022; however, it was 8.45 million between January to march 2020. Between these two quarters, the economic inactivity rate of people aged 16 to 64 improved by 419,000, an increment of 5% (</w:t>
      </w:r>
      <w:r>
        <w:rPr>
          <w:rFonts w:ascii="Times New Roman" w:eastAsia="Times New Roman" w:hAnsi="Times New Roman" w:cs="Times New Roman"/>
          <w:color w:val="222222"/>
          <w:sz w:val="24"/>
          <w:szCs w:val="24"/>
          <w:highlight w:val="white"/>
        </w:rPr>
        <w:t xml:space="preserve">Blundell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sz w:val="24"/>
          <w:szCs w:val="24"/>
        </w:rPr>
        <w:t xml:space="preserve"> 2022). The core reason for the increment in the economic inactivity from the beginning of the COVID-19 crisis was being a student or having a long-term illness. The only category which decreased in this period is the people who were looking after homes or</w:t>
      </w:r>
      <w:r>
        <w:rPr>
          <w:rFonts w:ascii="Times New Roman" w:eastAsia="Times New Roman" w:hAnsi="Times New Roman" w:cs="Times New Roman"/>
          <w:sz w:val="24"/>
          <w:szCs w:val="24"/>
        </w:rPr>
        <w:t xml:space="preserve"> people (</w:t>
      </w:r>
      <w:r>
        <w:rPr>
          <w:rFonts w:ascii="Times New Roman" w:hAnsi="Times New Roman" w:cs="Times New Roman"/>
          <w:color w:val="222222"/>
          <w:sz w:val="24"/>
          <w:szCs w:val="24"/>
          <w:shd w:val="clear" w:color="auto" w:fill="FFFFFF"/>
        </w:rPr>
        <w:t xml:space="preserve">Pearce </w:t>
      </w:r>
      <w:r>
        <w:rPr>
          <w:rFonts w:ascii="Times New Roman" w:hAnsi="Times New Roman" w:cs="Times New Roman"/>
          <w:i/>
          <w:color w:val="222222"/>
          <w:sz w:val="24"/>
          <w:szCs w:val="24"/>
          <w:shd w:val="clear" w:color="auto" w:fill="FFFFFF"/>
        </w:rPr>
        <w:t xml:space="preserve">et al. </w:t>
      </w:r>
      <w:r>
        <w:rPr>
          <w:rFonts w:ascii="Times New Roman" w:hAnsi="Times New Roman" w:cs="Times New Roman"/>
          <w:color w:val="222222"/>
          <w:sz w:val="24"/>
          <w:szCs w:val="24"/>
          <w:shd w:val="clear" w:color="auto" w:fill="FFFFFF"/>
        </w:rPr>
        <w:t>2022</w:t>
      </w:r>
      <w:r>
        <w:rPr>
          <w:rFonts w:ascii="Times New Roman" w:eastAsia="Times New Roman" w:hAnsi="Times New Roman" w:cs="Times New Roman"/>
          <w:sz w:val="24"/>
          <w:szCs w:val="24"/>
        </w:rPr>
        <w:t>). This category is mainly associated with the women being more likely to stay or enter the workforce to make up for the partner losing income or due to the increased flexibility.</w:t>
      </w:r>
    </w:p>
    <w:p w14:paraId="2219FFE8" w14:textId="77777777" w:rsidR="005074E8" w:rsidRDefault="00B427C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3F0CE873" wp14:editId="6D3E6688">
            <wp:extent cx="5391150" cy="2524125"/>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8"/>
                    <a:stretch>
                      <a:fillRect/>
                    </a:stretch>
                  </pic:blipFill>
                  <pic:spPr>
                    <a:xfrm>
                      <a:off x="0" y="0"/>
                      <a:ext cx="5391150" cy="2524125"/>
                    </a:xfrm>
                    <a:prstGeom prst="rect">
                      <a:avLst/>
                    </a:prstGeom>
                  </pic:spPr>
                </pic:pic>
              </a:graphicData>
            </a:graphic>
          </wp:inline>
        </w:drawing>
      </w:r>
    </w:p>
    <w:p w14:paraId="5A7B22B3" w14:textId="77777777" w:rsidR="005074E8" w:rsidRDefault="00B427C6">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3: Rise in economic inactive </w:t>
      </w:r>
    </w:p>
    <w:p w14:paraId="40EF0871" w14:textId="77777777" w:rsidR="005074E8" w:rsidRDefault="00B427C6">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(Source: </w:t>
      </w:r>
      <w:r>
        <w:rPr>
          <w:rFonts w:ascii="Times New Roman" w:eastAsia="Times New Roman" w:hAnsi="Times New Roman" w:cs="Times New Roman"/>
          <w:color w:val="222222"/>
          <w:sz w:val="24"/>
          <w:szCs w:val="24"/>
          <w:highlight w:val="white"/>
        </w:rPr>
        <w:t xml:space="preserve">Powell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sz w:val="24"/>
          <w:szCs w:val="24"/>
        </w:rPr>
        <w:t>2021)</w:t>
      </w:r>
    </w:p>
    <w:p w14:paraId="2D23A19B" w14:textId="77777777" w:rsidR="005074E8" w:rsidRDefault="005074E8">
      <w:pPr>
        <w:spacing w:line="360" w:lineRule="auto"/>
        <w:jc w:val="both"/>
        <w:rPr>
          <w:rFonts w:ascii="Times New Roman" w:eastAsia="Times New Roman" w:hAnsi="Times New Roman" w:cs="Times New Roman"/>
          <w:sz w:val="24"/>
          <w:szCs w:val="24"/>
        </w:rPr>
      </w:pPr>
    </w:p>
    <w:p w14:paraId="4AFB86E2" w14:textId="77777777" w:rsidR="005074E8" w:rsidRDefault="00B427C6">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Working hours</w:t>
      </w:r>
    </w:p>
    <w:p w14:paraId="2E726232" w14:textId="77777777" w:rsidR="005074E8" w:rsidRDefault="00B427C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significant decline in working hours was another indicator of the impact of the COVID-19 pandemic on the labour market because millions of workers were furloughed after the introduction of the "Job retention scheme". </w:t>
      </w:r>
      <w:r>
        <w:rPr>
          <w:rFonts w:ascii="Times New Roman" w:eastAsia="Times New Roman" w:hAnsi="Times New Roman" w:cs="Times New Roman"/>
          <w:sz w:val="24"/>
          <w:szCs w:val="24"/>
        </w:rPr>
        <w:t xml:space="preserve">As per the view of </w:t>
      </w:r>
      <w:r>
        <w:rPr>
          <w:rFonts w:ascii="Times New Roman" w:eastAsia="Times New Roman" w:hAnsi="Times New Roman" w:cs="Times New Roman"/>
          <w:color w:val="222222"/>
          <w:sz w:val="24"/>
          <w:szCs w:val="24"/>
          <w:highlight w:val="white"/>
        </w:rPr>
        <w:t>Mayhew and Anand, (2020</w:t>
      </w:r>
      <w:r>
        <w:rPr>
          <w:rFonts w:ascii="Times New Roman" w:eastAsia="Times New Roman" w:hAnsi="Times New Roman" w:cs="Times New Roman"/>
          <w:sz w:val="24"/>
          <w:szCs w:val="24"/>
        </w:rPr>
        <w:t>), the total number of working hours in the labour market of the UK dropped to 848 million hours. The working hours across the economy enhanced because the number of furloughed jobs has fallen significantly; howeve</w:t>
      </w:r>
      <w:r>
        <w:rPr>
          <w:rFonts w:ascii="Times New Roman" w:eastAsia="Times New Roman" w:hAnsi="Times New Roman" w:cs="Times New Roman"/>
          <w:sz w:val="24"/>
          <w:szCs w:val="24"/>
        </w:rPr>
        <w:t>r, it could not return to the pre-pandemic level until the closure of the "Job retention scheme". As compared to the total number of weekly working hours from January to March 2020, the total number of weekly working hours from January to March 2022 was sl</w:t>
      </w:r>
      <w:r>
        <w:rPr>
          <w:rFonts w:ascii="Times New Roman" w:eastAsia="Times New Roman" w:hAnsi="Times New Roman" w:cs="Times New Roman"/>
          <w:sz w:val="24"/>
          <w:szCs w:val="24"/>
        </w:rPr>
        <w:t>ightly higher (</w:t>
      </w:r>
      <w:r>
        <w:rPr>
          <w:rFonts w:ascii="Times New Roman" w:hAnsi="Times New Roman" w:cs="Times New Roman"/>
          <w:color w:val="222222"/>
          <w:sz w:val="24"/>
          <w:szCs w:val="24"/>
          <w:shd w:val="clear" w:color="auto" w:fill="FFFFFF"/>
        </w:rPr>
        <w:t>Deshmukh, 2022</w:t>
      </w:r>
      <w:r>
        <w:rPr>
          <w:rFonts w:ascii="Times New Roman" w:eastAsia="Times New Roman" w:hAnsi="Times New Roman" w:cs="Times New Roman"/>
          <w:sz w:val="24"/>
          <w:szCs w:val="24"/>
        </w:rPr>
        <w:t xml:space="preserve">). </w:t>
      </w:r>
    </w:p>
    <w:p w14:paraId="752DE6B0" w14:textId="77777777" w:rsidR="005074E8" w:rsidRDefault="00B427C6">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Earnings</w:t>
      </w:r>
    </w:p>
    <w:p w14:paraId="7CF7D58F" w14:textId="77777777" w:rsidR="005074E8" w:rsidRDefault="00B427C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After the introduction of the first lockdown, the average weekly earnings dropped gradually. This drop was partly experienced because many furloughed employees were receiving only 80% of their real wages, as well a</w:t>
      </w:r>
      <w:r>
        <w:rPr>
          <w:rFonts w:ascii="Times New Roman" w:eastAsia="Times New Roman" w:hAnsi="Times New Roman" w:cs="Times New Roman"/>
          <w:sz w:val="24"/>
          <w:szCs w:val="24"/>
        </w:rPr>
        <w:t xml:space="preserve">s because the working hours of many of the employees dropped </w:t>
      </w:r>
      <w:r>
        <w:rPr>
          <w:rFonts w:ascii="Times New Roman" w:eastAsia="Times New Roman" w:hAnsi="Times New Roman" w:cs="Times New Roman"/>
          <w:color w:val="222222"/>
          <w:sz w:val="24"/>
          <w:szCs w:val="24"/>
          <w:highlight w:val="white"/>
        </w:rPr>
        <w:t>Mayhew and Anand, (2020</w:t>
      </w:r>
      <w:r>
        <w:rPr>
          <w:rFonts w:ascii="Times New Roman" w:eastAsia="Times New Roman" w:hAnsi="Times New Roman" w:cs="Times New Roman"/>
          <w:sz w:val="24"/>
          <w:szCs w:val="24"/>
        </w:rPr>
        <w:t xml:space="preserve">). However, after the end of the first lockdown, the usual earnings started to rise quickly because lockdown restrictions were lifted, and hence the workers began to raise </w:t>
      </w:r>
      <w:r>
        <w:rPr>
          <w:rFonts w:ascii="Times New Roman" w:eastAsia="Times New Roman" w:hAnsi="Times New Roman" w:cs="Times New Roman"/>
          <w:sz w:val="24"/>
          <w:szCs w:val="24"/>
        </w:rPr>
        <w:t xml:space="preserve">their working hours. This rise in earnings was also partly because of a drop in the proportion as well as the number of the lower-paid jobs and partly because the annual earnings growth was being </w:t>
      </w:r>
      <w:r>
        <w:rPr>
          <w:rFonts w:ascii="Times New Roman" w:eastAsia="Times New Roman" w:hAnsi="Times New Roman" w:cs="Times New Roman"/>
          <w:sz w:val="24"/>
          <w:szCs w:val="24"/>
        </w:rPr>
        <w:lastRenderedPageBreak/>
        <w:t>compared to the period impacted by the pandemic (</w:t>
      </w:r>
      <w:r>
        <w:rPr>
          <w:rFonts w:ascii="Times New Roman" w:eastAsia="Times New Roman" w:hAnsi="Times New Roman" w:cs="Times New Roman"/>
          <w:color w:val="222222"/>
          <w:sz w:val="24"/>
          <w:szCs w:val="24"/>
          <w:highlight w:val="white"/>
        </w:rPr>
        <w:t xml:space="preserve">Blundell </w:t>
      </w:r>
      <w:r>
        <w:rPr>
          <w:rFonts w:ascii="Times New Roman" w:eastAsia="Times New Roman" w:hAnsi="Times New Roman" w:cs="Times New Roman"/>
          <w:i/>
          <w:color w:val="222222"/>
          <w:sz w:val="24"/>
          <w:szCs w:val="24"/>
          <w:highlight w:val="white"/>
        </w:rPr>
        <w:t>et</w:t>
      </w:r>
      <w:r>
        <w:rPr>
          <w:rFonts w:ascii="Times New Roman" w:eastAsia="Times New Roman" w:hAnsi="Times New Roman" w:cs="Times New Roman"/>
          <w:i/>
          <w:color w:val="222222"/>
          <w:sz w:val="24"/>
          <w:szCs w:val="24"/>
          <w:highlight w:val="white"/>
        </w:rPr>
        <w:t xml:space="preserve"> al.</w:t>
      </w:r>
      <w:r>
        <w:rPr>
          <w:rFonts w:ascii="Times New Roman" w:eastAsia="Times New Roman" w:hAnsi="Times New Roman" w:cs="Times New Roman"/>
          <w:i/>
          <w:color w:val="222222"/>
          <w:sz w:val="24"/>
          <w:szCs w:val="24"/>
        </w:rPr>
        <w:t xml:space="preserve"> </w:t>
      </w:r>
      <w:r>
        <w:rPr>
          <w:rFonts w:ascii="Times New Roman" w:eastAsia="Times New Roman" w:hAnsi="Times New Roman" w:cs="Times New Roman"/>
          <w:sz w:val="24"/>
          <w:szCs w:val="24"/>
        </w:rPr>
        <w:t xml:space="preserve">2022). However, the growth in the earning again declined as the second lockdown was introduced. Although the earnings continued to increase as the restrictions of the second lockdown started to be lifted, however, it coincided with the increase in </w:t>
      </w:r>
      <w:r>
        <w:rPr>
          <w:rFonts w:ascii="Times New Roman" w:eastAsia="Times New Roman" w:hAnsi="Times New Roman" w:cs="Times New Roman"/>
          <w:sz w:val="24"/>
          <w:szCs w:val="24"/>
        </w:rPr>
        <w:t>inflation which consequently dampened the growth in usual earnings. The continued increase in the inflation in 2022 limited the growth in the usual wages, with earnings excluding bonuses draping from the end of 2021 (</w:t>
      </w:r>
      <w:r>
        <w:rPr>
          <w:rFonts w:ascii="Times New Roman" w:eastAsia="Times New Roman" w:hAnsi="Times New Roman" w:cs="Times New Roman"/>
          <w:color w:val="222222"/>
          <w:sz w:val="24"/>
          <w:szCs w:val="24"/>
          <w:highlight w:val="white"/>
        </w:rPr>
        <w:t>Mayhew and Anand, 2020</w:t>
      </w:r>
      <w:r>
        <w:rPr>
          <w:rFonts w:ascii="Times New Roman" w:eastAsia="Times New Roman" w:hAnsi="Times New Roman" w:cs="Times New Roman"/>
          <w:sz w:val="24"/>
          <w:szCs w:val="24"/>
        </w:rPr>
        <w:t>).</w:t>
      </w:r>
    </w:p>
    <w:p w14:paraId="4AC8D73E" w14:textId="77777777" w:rsidR="005074E8" w:rsidRDefault="00B427C6">
      <w:pPr>
        <w:pStyle w:val="Heading1"/>
      </w:pPr>
      <w:bookmarkStart w:id="4" w:name="_Toc112356373"/>
      <w:r>
        <w:t>Emerging chang</w:t>
      </w:r>
      <w:r>
        <w:t>es in the human resource strategies after the COVID-19 crisis</w:t>
      </w:r>
      <w:bookmarkEnd w:id="4"/>
      <w:r>
        <w:t xml:space="preserve"> </w:t>
      </w:r>
    </w:p>
    <w:p w14:paraId="15F64EF3" w14:textId="77777777" w:rsidR="005074E8" w:rsidRDefault="00B427C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employees are a most significant asset of any firm, hence the human resource management of any firm is required to take care of its employee’s wellbeing (</w:t>
      </w:r>
      <w:proofErr w:type="spellStart"/>
      <w:r>
        <w:rPr>
          <w:rFonts w:ascii="Times New Roman" w:eastAsia="Times New Roman" w:hAnsi="Times New Roman" w:cs="Times New Roman"/>
          <w:color w:val="222222"/>
          <w:sz w:val="24"/>
          <w:szCs w:val="24"/>
          <w:highlight w:val="white"/>
        </w:rPr>
        <w:t>Hamouche</w:t>
      </w:r>
      <w:proofErr w:type="spellEnd"/>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Thus</w:t>
      </w:r>
      <w:proofErr w:type="gramEnd"/>
      <w:r>
        <w:rPr>
          <w:rFonts w:ascii="Times New Roman" w:eastAsia="Times New Roman" w:hAnsi="Times New Roman" w:cs="Times New Roman"/>
          <w:sz w:val="24"/>
          <w:szCs w:val="24"/>
        </w:rPr>
        <w:t xml:space="preserve"> a health disas</w:t>
      </w:r>
      <w:r>
        <w:rPr>
          <w:rFonts w:ascii="Times New Roman" w:eastAsia="Times New Roman" w:hAnsi="Times New Roman" w:cs="Times New Roman"/>
          <w:sz w:val="24"/>
          <w:szCs w:val="24"/>
        </w:rPr>
        <w:t>ter like a pandemic poses great challenges to the human resource department in order to reduce the negative impacts of the COVID-19 crisis on workers. There has been a certain emerging transformation in the strategies followed by the human resource managem</w:t>
      </w:r>
      <w:r>
        <w:rPr>
          <w:rFonts w:ascii="Times New Roman" w:eastAsia="Times New Roman" w:hAnsi="Times New Roman" w:cs="Times New Roman"/>
          <w:sz w:val="24"/>
          <w:szCs w:val="24"/>
        </w:rPr>
        <w:t>ent after the COVID-19 as well as Brexit.</w:t>
      </w:r>
    </w:p>
    <w:p w14:paraId="253F898F" w14:textId="77777777" w:rsidR="005074E8" w:rsidRDefault="00B427C6">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Job redesign</w:t>
      </w:r>
    </w:p>
    <w:p w14:paraId="118CFF28" w14:textId="77777777" w:rsidR="005074E8" w:rsidRDefault="00B427C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Job redesign plays a significant role in the human resource management practices in pandemic situations as it considers the impact of the workplace on the workers. The COVID-19 crisis has caused severa</w:t>
      </w:r>
      <w:r>
        <w:rPr>
          <w:rFonts w:ascii="Times New Roman" w:eastAsia="Times New Roman" w:hAnsi="Times New Roman" w:cs="Times New Roman"/>
          <w:sz w:val="24"/>
          <w:szCs w:val="24"/>
        </w:rPr>
        <w:t>l transformations in job design on the global level of the organisation. The HRM department in the firm ensures that they align the employees and the operations of the organisation with the transformation (</w:t>
      </w:r>
      <w:proofErr w:type="spellStart"/>
      <w:r>
        <w:rPr>
          <w:rFonts w:ascii="Times New Roman" w:eastAsia="Times New Roman" w:hAnsi="Times New Roman" w:cs="Times New Roman"/>
          <w:color w:val="222222"/>
          <w:sz w:val="24"/>
          <w:szCs w:val="24"/>
          <w:highlight w:val="white"/>
        </w:rPr>
        <w:t>Dirani</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xml:space="preserve">. They also support workers to </w:t>
      </w:r>
      <w:r>
        <w:rPr>
          <w:rFonts w:ascii="Times New Roman" w:eastAsia="Times New Roman" w:hAnsi="Times New Roman" w:cs="Times New Roman"/>
          <w:sz w:val="24"/>
          <w:szCs w:val="24"/>
        </w:rPr>
        <w:t xml:space="preserve">adapt to these transformations in order to ensure the </w:t>
      </w:r>
      <w:proofErr w:type="gramStart"/>
      <w:r>
        <w:rPr>
          <w:rFonts w:ascii="Times New Roman" w:eastAsia="Times New Roman" w:hAnsi="Times New Roman" w:cs="Times New Roman"/>
          <w:sz w:val="24"/>
          <w:szCs w:val="24"/>
        </w:rPr>
        <w:t>long term</w:t>
      </w:r>
      <w:proofErr w:type="gramEnd"/>
      <w:r>
        <w:rPr>
          <w:rFonts w:ascii="Times New Roman" w:eastAsia="Times New Roman" w:hAnsi="Times New Roman" w:cs="Times New Roman"/>
          <w:sz w:val="24"/>
          <w:szCs w:val="24"/>
        </w:rPr>
        <w:t xml:space="preserve"> benefits in enhancing job redesign. The HR professional conducts proactive review of the job design, regulations, risk analysis, practices as well as guidelines to protect the health of employ</w:t>
      </w:r>
      <w:r>
        <w:rPr>
          <w:rFonts w:ascii="Times New Roman" w:eastAsia="Times New Roman" w:hAnsi="Times New Roman" w:cs="Times New Roman"/>
          <w:sz w:val="24"/>
          <w:szCs w:val="24"/>
        </w:rPr>
        <w:t>ees in pandemic situations (</w:t>
      </w:r>
      <w:proofErr w:type="spellStart"/>
      <w:r>
        <w:rPr>
          <w:rFonts w:ascii="Times New Roman" w:eastAsia="Times New Roman" w:hAnsi="Times New Roman" w:cs="Times New Roman"/>
          <w:color w:val="222222"/>
          <w:sz w:val="24"/>
          <w:szCs w:val="24"/>
          <w:highlight w:val="white"/>
        </w:rPr>
        <w:t>Hamouche</w:t>
      </w:r>
      <w:proofErr w:type="spellEnd"/>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xml:space="preserve">). </w:t>
      </w:r>
    </w:p>
    <w:p w14:paraId="69254A97" w14:textId="77777777" w:rsidR="005074E8" w:rsidRDefault="00B427C6">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COVID-19 training</w:t>
      </w:r>
    </w:p>
    <w:p w14:paraId="56AB7160" w14:textId="77777777" w:rsidR="005074E8" w:rsidRDefault="00B427C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many companies, the technical aspects were not totally unknown before the pandemic because of the continuous growth of information technology and automation. However very less requirement </w:t>
      </w:r>
      <w:r>
        <w:rPr>
          <w:rFonts w:ascii="Times New Roman" w:eastAsia="Times New Roman" w:hAnsi="Times New Roman" w:cs="Times New Roman"/>
          <w:sz w:val="24"/>
          <w:szCs w:val="24"/>
        </w:rPr>
        <w:t>for technology was felt before the pandemic. The pandemic and the requirement to work from home have forced the HR department to implement technology at each organisational level (</w:t>
      </w:r>
      <w:proofErr w:type="spellStart"/>
      <w:r>
        <w:rPr>
          <w:rFonts w:ascii="Times New Roman" w:eastAsia="Times New Roman" w:hAnsi="Times New Roman" w:cs="Times New Roman"/>
          <w:color w:val="222222"/>
          <w:sz w:val="24"/>
          <w:szCs w:val="24"/>
          <w:highlight w:val="white"/>
        </w:rPr>
        <w:t>Kutieshat</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Farmanesh</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 Such changes in the organisation cause stres</w:t>
      </w:r>
      <w:r>
        <w:rPr>
          <w:rFonts w:ascii="Times New Roman" w:eastAsia="Times New Roman" w:hAnsi="Times New Roman" w:cs="Times New Roman"/>
          <w:sz w:val="24"/>
          <w:szCs w:val="24"/>
        </w:rPr>
        <w:t xml:space="preserve">s to the </w:t>
      </w:r>
      <w:r>
        <w:rPr>
          <w:rFonts w:ascii="Times New Roman" w:eastAsia="Times New Roman" w:hAnsi="Times New Roman" w:cs="Times New Roman"/>
          <w:sz w:val="24"/>
          <w:szCs w:val="24"/>
        </w:rPr>
        <w:lastRenderedPageBreak/>
        <w:t>employees, hence to mitigate this stress, the HR department provides additional training to employees in order to offer support in shaping several new skills which assists employees in dealing with new situations as well as new modes of working. T</w:t>
      </w:r>
      <w:r>
        <w:rPr>
          <w:rFonts w:ascii="Times New Roman" w:eastAsia="Times New Roman" w:hAnsi="Times New Roman" w:cs="Times New Roman"/>
          <w:sz w:val="24"/>
          <w:szCs w:val="24"/>
        </w:rPr>
        <w:t>his additional training mitigates the stress of the workers further providing them the sense of growth as well as acquisition of new skills and knowledge (</w:t>
      </w:r>
      <w:proofErr w:type="spellStart"/>
      <w:r>
        <w:rPr>
          <w:rFonts w:ascii="Times New Roman" w:eastAsia="Times New Roman" w:hAnsi="Times New Roman" w:cs="Times New Roman"/>
          <w:color w:val="222222"/>
          <w:sz w:val="24"/>
          <w:szCs w:val="24"/>
          <w:highlight w:val="white"/>
        </w:rPr>
        <w:t>Kutieshat</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Farmanesh</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 The COVID-19 training provided by the HR department creates remote wo</w:t>
      </w:r>
      <w:r>
        <w:rPr>
          <w:rFonts w:ascii="Times New Roman" w:eastAsia="Times New Roman" w:hAnsi="Times New Roman" w:cs="Times New Roman"/>
          <w:sz w:val="24"/>
          <w:szCs w:val="24"/>
        </w:rPr>
        <w:t xml:space="preserve">rking skills in employees and plays an important role in improving their knowledge and skills. </w:t>
      </w:r>
    </w:p>
    <w:p w14:paraId="0A2946A5" w14:textId="77777777" w:rsidR="005074E8" w:rsidRDefault="00B427C6">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Corporate social responsibility</w:t>
      </w:r>
    </w:p>
    <w:p w14:paraId="6C87E874" w14:textId="77777777" w:rsidR="005074E8" w:rsidRDefault="00B427C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specific, during the pandemic, the HR department of any organisation has the obligations and responsibilities to its stakehol</w:t>
      </w:r>
      <w:r>
        <w:rPr>
          <w:rFonts w:ascii="Times New Roman" w:eastAsia="Times New Roman" w:hAnsi="Times New Roman" w:cs="Times New Roman"/>
          <w:sz w:val="24"/>
          <w:szCs w:val="24"/>
        </w:rPr>
        <w:t xml:space="preserve">ders. Hence, there is the need for the HR department to support the </w:t>
      </w:r>
      <w:proofErr w:type="gramStart"/>
      <w:r>
        <w:rPr>
          <w:rFonts w:ascii="Times New Roman" w:eastAsia="Times New Roman" w:hAnsi="Times New Roman" w:cs="Times New Roman"/>
          <w:sz w:val="24"/>
          <w:szCs w:val="24"/>
        </w:rPr>
        <w:t>society  as</w:t>
      </w:r>
      <w:proofErr w:type="gramEnd"/>
      <w:r>
        <w:rPr>
          <w:rFonts w:ascii="Times New Roman" w:eastAsia="Times New Roman" w:hAnsi="Times New Roman" w:cs="Times New Roman"/>
          <w:sz w:val="24"/>
          <w:szCs w:val="24"/>
        </w:rPr>
        <w:t xml:space="preserve"> well as important stakeholders of the organisation, such as customers and employees by engaging activities of corporate social responsibilities (</w:t>
      </w:r>
      <w:r>
        <w:rPr>
          <w:rFonts w:ascii="Times New Roman" w:eastAsia="Times New Roman" w:hAnsi="Times New Roman" w:cs="Times New Roman"/>
          <w:color w:val="222222"/>
          <w:sz w:val="24"/>
          <w:szCs w:val="24"/>
          <w:highlight w:val="white"/>
        </w:rPr>
        <w:t xml:space="preserve">El </w:t>
      </w:r>
      <w:proofErr w:type="spellStart"/>
      <w:r>
        <w:rPr>
          <w:rFonts w:ascii="Times New Roman" w:eastAsia="Times New Roman" w:hAnsi="Times New Roman" w:cs="Times New Roman"/>
          <w:color w:val="222222"/>
          <w:sz w:val="24"/>
          <w:szCs w:val="24"/>
          <w:highlight w:val="white"/>
        </w:rPr>
        <w:t>Dessouky</w:t>
      </w:r>
      <w:proofErr w:type="spellEnd"/>
      <w:r>
        <w:rPr>
          <w:rFonts w:ascii="Times New Roman" w:eastAsia="Times New Roman" w:hAnsi="Times New Roman" w:cs="Times New Roman"/>
          <w:color w:val="222222"/>
          <w:sz w:val="24"/>
          <w:szCs w:val="24"/>
          <w:highlight w:val="white"/>
        </w:rPr>
        <w:t xml:space="preserve"> and Al-</w:t>
      </w:r>
      <w:proofErr w:type="spellStart"/>
      <w:r>
        <w:rPr>
          <w:rFonts w:ascii="Times New Roman" w:eastAsia="Times New Roman" w:hAnsi="Times New Roman" w:cs="Times New Roman"/>
          <w:color w:val="222222"/>
          <w:sz w:val="24"/>
          <w:szCs w:val="24"/>
          <w:highlight w:val="white"/>
        </w:rPr>
        <w:t>Ghareeb</w:t>
      </w:r>
      <w:proofErr w:type="spellEnd"/>
      <w:r>
        <w:rPr>
          <w:rFonts w:ascii="Times New Roman" w:eastAsia="Times New Roman" w:hAnsi="Times New Roman" w:cs="Times New Roman"/>
          <w:color w:val="222222"/>
          <w:sz w:val="24"/>
          <w:szCs w:val="24"/>
          <w:highlight w:val="white"/>
        </w:rPr>
        <w:t>, 202</w:t>
      </w:r>
      <w:r>
        <w:rPr>
          <w:rFonts w:ascii="Times New Roman" w:eastAsia="Times New Roman" w:hAnsi="Times New Roman" w:cs="Times New Roman"/>
          <w:color w:val="222222"/>
          <w:sz w:val="24"/>
          <w:szCs w:val="24"/>
          <w:highlight w:val="white"/>
        </w:rPr>
        <w:t>0)</w:t>
      </w:r>
      <w:r>
        <w:rPr>
          <w:rFonts w:ascii="Times New Roman" w:eastAsia="Times New Roman" w:hAnsi="Times New Roman" w:cs="Times New Roman"/>
          <w:sz w:val="24"/>
          <w:szCs w:val="24"/>
        </w:rPr>
        <w:t xml:space="preserve">. To fulfil these demands, the HR department has followed corporate social responsibilities as the form of entirely new international governance which promotes the ability to make a collective decision in the transitional challenges. During the COVID-19 </w:t>
      </w:r>
      <w:r>
        <w:rPr>
          <w:rFonts w:ascii="Times New Roman" w:eastAsia="Times New Roman" w:hAnsi="Times New Roman" w:cs="Times New Roman"/>
          <w:sz w:val="24"/>
          <w:szCs w:val="24"/>
        </w:rPr>
        <w:t>pandemic, the HR department has taken unique responsibilities for the safety of their workers (</w:t>
      </w:r>
      <w:r>
        <w:rPr>
          <w:rFonts w:ascii="Times New Roman" w:eastAsia="Times New Roman" w:hAnsi="Times New Roman" w:cs="Times New Roman"/>
          <w:color w:val="222222"/>
          <w:sz w:val="24"/>
          <w:szCs w:val="24"/>
          <w:highlight w:val="white"/>
        </w:rPr>
        <w:t xml:space="preserve">Zhong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sz w:val="24"/>
          <w:szCs w:val="24"/>
        </w:rPr>
        <w:t>. The HR department is providing the employees work from home facilities by provisioning the same condition which is similar to the office. How</w:t>
      </w:r>
      <w:r>
        <w:rPr>
          <w:rFonts w:ascii="Times New Roman" w:eastAsia="Times New Roman" w:hAnsi="Times New Roman" w:cs="Times New Roman"/>
          <w:sz w:val="24"/>
          <w:szCs w:val="24"/>
        </w:rPr>
        <w:t xml:space="preserve">ever, for those workers who cannot get the advantage of remote work, the HR department offers full security equipment as well as maximum security in the workplace. </w:t>
      </w:r>
    </w:p>
    <w:p w14:paraId="34ED930B" w14:textId="77777777" w:rsidR="005074E8" w:rsidRDefault="00B427C6">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Employee development</w:t>
      </w:r>
    </w:p>
    <w:p w14:paraId="192ECBDD" w14:textId="77777777" w:rsidR="005074E8" w:rsidRDefault="00B427C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Employee as the important component of any firm significantly impacts </w:t>
      </w:r>
      <w:r>
        <w:rPr>
          <w:rFonts w:ascii="Times New Roman" w:eastAsia="Times New Roman" w:hAnsi="Times New Roman" w:cs="Times New Roman"/>
          <w:sz w:val="24"/>
          <w:szCs w:val="24"/>
        </w:rPr>
        <w:t>its success, productivity, as well as future. This is the core reason why the HR department invests a significant amount in worker development. The HR professionals are playing an important role while dealing with the outcome of the pandemic that is respon</w:t>
      </w:r>
      <w:r>
        <w:rPr>
          <w:rFonts w:ascii="Times New Roman" w:eastAsia="Times New Roman" w:hAnsi="Times New Roman" w:cs="Times New Roman"/>
          <w:sz w:val="24"/>
          <w:szCs w:val="24"/>
        </w:rPr>
        <w:t>sible for mitigating stress among the workers in the firm (</w:t>
      </w:r>
      <w:r>
        <w:rPr>
          <w:rFonts w:ascii="Times New Roman" w:eastAsia="Times New Roman" w:hAnsi="Times New Roman" w:cs="Times New Roman"/>
          <w:color w:val="222222"/>
          <w:sz w:val="24"/>
          <w:szCs w:val="24"/>
          <w:highlight w:val="white"/>
        </w:rPr>
        <w:t>Bennett and McWhorter, 2021)</w:t>
      </w:r>
      <w:r>
        <w:rPr>
          <w:rFonts w:ascii="Times New Roman" w:eastAsia="Times New Roman" w:hAnsi="Times New Roman" w:cs="Times New Roman"/>
          <w:sz w:val="24"/>
          <w:szCs w:val="24"/>
        </w:rPr>
        <w:t xml:space="preserve">. The HR professionals are providing part time positions as well as flexible working hours to the employees. This offers workers with a certain sense of security, which </w:t>
      </w:r>
      <w:r>
        <w:rPr>
          <w:rFonts w:ascii="Times New Roman" w:eastAsia="Times New Roman" w:hAnsi="Times New Roman" w:cs="Times New Roman"/>
          <w:sz w:val="24"/>
          <w:szCs w:val="24"/>
        </w:rPr>
        <w:t>in the situation of the global pandemic crisis have more efficient impact on employees, their intention to stay in the firm as well as their performance (</w:t>
      </w:r>
      <w:r>
        <w:rPr>
          <w:rFonts w:ascii="Times New Roman" w:eastAsia="Times New Roman" w:hAnsi="Times New Roman" w:cs="Times New Roman"/>
          <w:color w:val="222222"/>
          <w:sz w:val="24"/>
          <w:szCs w:val="24"/>
          <w:highlight w:val="white"/>
        </w:rPr>
        <w:t xml:space="preserve">Zhong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sz w:val="24"/>
          <w:szCs w:val="24"/>
        </w:rPr>
        <w:t xml:space="preserve">). </w:t>
      </w:r>
    </w:p>
    <w:p w14:paraId="334F9FF9" w14:textId="77777777" w:rsidR="005074E8" w:rsidRDefault="00B427C6">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Hiring</w:t>
      </w:r>
    </w:p>
    <w:p w14:paraId="10B8E043" w14:textId="77777777" w:rsidR="005074E8" w:rsidRDefault="00B427C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employee's staffing consists of two basic human resource management </w:t>
      </w:r>
      <w:r>
        <w:rPr>
          <w:rFonts w:ascii="Times New Roman" w:eastAsia="Times New Roman" w:hAnsi="Times New Roman" w:cs="Times New Roman"/>
          <w:sz w:val="24"/>
          <w:szCs w:val="24"/>
        </w:rPr>
        <w:t>activities such as selection as well as recruitment. All these activities of HRM are aimed at recruiting the employees. The dynamics of staffing requires relying on a large number of variables such as political regulations as well as market demands (</w:t>
      </w:r>
      <w:proofErr w:type="spellStart"/>
      <w:r>
        <w:rPr>
          <w:rFonts w:ascii="Times New Roman" w:eastAsia="Times New Roman" w:hAnsi="Times New Roman" w:cs="Times New Roman"/>
          <w:color w:val="222222"/>
          <w:sz w:val="24"/>
          <w:szCs w:val="24"/>
          <w:highlight w:val="white"/>
        </w:rPr>
        <w:t>Przytuła</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sz w:val="24"/>
          <w:szCs w:val="24"/>
        </w:rPr>
        <w:t xml:space="preserve"> 2020). It is hence the responsibility of HR professionals in order to adapt to the current trends. The HR managers who intend to fill the vacancies with contractual employees deal with the challenges regarding the applicability of workplace</w:t>
      </w:r>
      <w:r>
        <w:rPr>
          <w:rFonts w:ascii="Times New Roman" w:eastAsia="Times New Roman" w:hAnsi="Times New Roman" w:cs="Times New Roman"/>
          <w:sz w:val="24"/>
          <w:szCs w:val="24"/>
        </w:rPr>
        <w:t xml:space="preserve"> laws upon the employee. Utilising the contingent employees offers the HRR department with a greater flexibility regarding workforce management (</w:t>
      </w:r>
      <w:proofErr w:type="spellStart"/>
      <w:r>
        <w:rPr>
          <w:rFonts w:ascii="Times New Roman" w:eastAsia="Times New Roman" w:hAnsi="Times New Roman" w:cs="Times New Roman"/>
          <w:color w:val="222222"/>
          <w:sz w:val="24"/>
          <w:szCs w:val="24"/>
          <w:highlight w:val="white"/>
        </w:rPr>
        <w:t>Przytuła</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sz w:val="24"/>
          <w:szCs w:val="24"/>
        </w:rPr>
        <w:t xml:space="preserve"> 2020). The HR professional has expanded their involvement in ensuring increased people connect </w:t>
      </w:r>
      <w:r>
        <w:rPr>
          <w:rFonts w:ascii="Times New Roman" w:eastAsia="Times New Roman" w:hAnsi="Times New Roman" w:cs="Times New Roman"/>
          <w:sz w:val="24"/>
          <w:szCs w:val="24"/>
        </w:rPr>
        <w:t>and lives of workers (</w:t>
      </w:r>
      <w:proofErr w:type="spellStart"/>
      <w:r>
        <w:rPr>
          <w:rFonts w:ascii="Times New Roman" w:eastAsia="Times New Roman" w:hAnsi="Times New Roman" w:cs="Times New Roman"/>
          <w:color w:val="222222"/>
          <w:sz w:val="24"/>
          <w:szCs w:val="24"/>
          <w:highlight w:val="white"/>
        </w:rPr>
        <w:t>Przytuła</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sz w:val="24"/>
          <w:szCs w:val="24"/>
        </w:rPr>
        <w:t xml:space="preserve"> 2020). Keeping in mind the developing remote working culture as well as the possibility of an outbreak of infection in the future, the HR department is looking at digital collaboration skills of the job applicants whil</w:t>
      </w:r>
      <w:r>
        <w:rPr>
          <w:rFonts w:ascii="Times New Roman" w:eastAsia="Times New Roman" w:hAnsi="Times New Roman" w:cs="Times New Roman"/>
          <w:sz w:val="24"/>
          <w:szCs w:val="24"/>
        </w:rPr>
        <w:t xml:space="preserve">e hiring.  </w:t>
      </w:r>
    </w:p>
    <w:p w14:paraId="1F8024C9" w14:textId="77777777" w:rsidR="005074E8" w:rsidRDefault="00B427C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Brexit is affecting the organisational bottom line, however more than anything the Brexit impacts people. Hence the HR department implements a people strategy on the basis of their forecasted as well as current pool talent. As many of the worke</w:t>
      </w:r>
      <w:r>
        <w:rPr>
          <w:rFonts w:ascii="Times New Roman" w:eastAsia="Times New Roman" w:hAnsi="Times New Roman" w:cs="Times New Roman"/>
          <w:sz w:val="24"/>
          <w:szCs w:val="24"/>
        </w:rPr>
        <w:t>rs could be migrated after Brexit, the HR department provides development and training programs to these employees in order to enhance their knowledge and skills (</w:t>
      </w:r>
      <w:proofErr w:type="spellStart"/>
      <w:r>
        <w:rPr>
          <w:rFonts w:ascii="Times New Roman" w:eastAsia="Times New Roman" w:hAnsi="Times New Roman" w:cs="Times New Roman"/>
          <w:color w:val="222222"/>
          <w:sz w:val="24"/>
          <w:szCs w:val="24"/>
          <w:highlight w:val="white"/>
        </w:rPr>
        <w:t>Mitsakis</w:t>
      </w:r>
      <w:proofErr w:type="spellEnd"/>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The HR professionals are concentrating on retaining its existing employees b</w:t>
      </w:r>
      <w:r>
        <w:rPr>
          <w:rFonts w:ascii="Times New Roman" w:eastAsia="Times New Roman" w:hAnsi="Times New Roman" w:cs="Times New Roman"/>
          <w:sz w:val="24"/>
          <w:szCs w:val="24"/>
        </w:rPr>
        <w:t xml:space="preserve">y offering them better opportunities. </w:t>
      </w:r>
    </w:p>
    <w:p w14:paraId="12100093" w14:textId="77777777" w:rsidR="005074E8" w:rsidRDefault="00B427C6">
      <w:pPr>
        <w:pStyle w:val="Heading1"/>
      </w:pPr>
      <w:bookmarkStart w:id="5" w:name="_Toc112355344"/>
      <w:bookmarkStart w:id="6" w:name="_Toc112356374"/>
      <w:r>
        <w:t>Conclusion</w:t>
      </w:r>
      <w:bookmarkEnd w:id="5"/>
      <w:bookmarkEnd w:id="6"/>
    </w:p>
    <w:p w14:paraId="0AF2BACF" w14:textId="77777777" w:rsidR="005074E8" w:rsidRDefault="00B427C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From the above report it can be concluded that due to COVID-19 pandemic a sharp drop in the demand of the labour has been experienced in the labour market of the UK. The labour market of the UK has experien</w:t>
      </w:r>
      <w:r>
        <w:rPr>
          <w:rFonts w:ascii="Times New Roman" w:eastAsia="Times New Roman" w:hAnsi="Times New Roman" w:cs="Times New Roman"/>
          <w:sz w:val="24"/>
          <w:szCs w:val="24"/>
        </w:rPr>
        <w:t xml:space="preserve">ced a significant fall in the employment rate in the pandemic situation, however as the restrictions of the pandemic are being reduced the employment rate is rising. The earning of people shrieked after the pandemic situation. The employees were receiving </w:t>
      </w:r>
      <w:r>
        <w:rPr>
          <w:rFonts w:ascii="Times New Roman" w:eastAsia="Times New Roman" w:hAnsi="Times New Roman" w:cs="Times New Roman"/>
          <w:sz w:val="24"/>
          <w:szCs w:val="24"/>
        </w:rPr>
        <w:t xml:space="preserve">less wages due to reduced working hours. The need to work remotely due to pandemic has forced the HR professionals to adopt technology at each level of the organisation. </w:t>
      </w:r>
    </w:p>
    <w:p w14:paraId="1CF53B8B" w14:textId="77777777" w:rsidR="005074E8" w:rsidRDefault="00B427C6">
      <w:pPr>
        <w:spacing w:line="360" w:lineRule="auto"/>
        <w:jc w:val="both"/>
        <w:rPr>
          <w:rFonts w:ascii="Times New Roman" w:eastAsia="Times New Roman" w:hAnsi="Times New Roman" w:cs="Times New Roman"/>
          <w:b/>
          <w:sz w:val="24"/>
          <w:szCs w:val="24"/>
        </w:rPr>
      </w:pPr>
      <w:r>
        <w:br w:type="page"/>
      </w:r>
    </w:p>
    <w:p w14:paraId="06F9FAA6" w14:textId="77777777" w:rsidR="005074E8" w:rsidRDefault="00B427C6">
      <w:pPr>
        <w:pStyle w:val="Heading1"/>
      </w:pPr>
      <w:bookmarkStart w:id="7" w:name="_Toc112355345"/>
      <w:bookmarkStart w:id="8" w:name="_Toc112356375"/>
      <w:r>
        <w:lastRenderedPageBreak/>
        <w:t>References</w:t>
      </w:r>
      <w:bookmarkEnd w:id="7"/>
      <w:bookmarkEnd w:id="8"/>
    </w:p>
    <w:p w14:paraId="3F1159CB" w14:textId="77777777" w:rsidR="005074E8" w:rsidRDefault="00B427C6">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Bennett, E.E. and McWhorter, R.R., 2021. Virtual HRD’s role in crisis an</w:t>
      </w:r>
      <w:r>
        <w:rPr>
          <w:rFonts w:ascii="Times New Roman" w:eastAsia="Times New Roman" w:hAnsi="Times New Roman" w:cs="Times New Roman"/>
          <w:color w:val="222222"/>
          <w:sz w:val="24"/>
          <w:szCs w:val="24"/>
          <w:highlight w:val="white"/>
        </w:rPr>
        <w:t xml:space="preserve">d the post Covid-19 professional lifeworld: Accelerating skills for digital transformation. </w:t>
      </w:r>
      <w:r>
        <w:rPr>
          <w:rFonts w:ascii="Times New Roman" w:eastAsia="Times New Roman" w:hAnsi="Times New Roman" w:cs="Times New Roman"/>
          <w:i/>
          <w:color w:val="222222"/>
          <w:sz w:val="24"/>
          <w:szCs w:val="24"/>
          <w:highlight w:val="white"/>
        </w:rPr>
        <w:t>Advances in Developing Human Resources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23</w:t>
      </w:r>
      <w:r>
        <w:rPr>
          <w:rFonts w:ascii="Times New Roman" w:eastAsia="Times New Roman" w:hAnsi="Times New Roman" w:cs="Times New Roman"/>
          <w:color w:val="222222"/>
          <w:sz w:val="24"/>
          <w:szCs w:val="24"/>
          <w:highlight w:val="white"/>
        </w:rPr>
        <w:t>(1), pp.5-25.</w:t>
      </w:r>
    </w:p>
    <w:p w14:paraId="17AE9006" w14:textId="77777777" w:rsidR="005074E8" w:rsidRDefault="00B427C6">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Blundell, R., Dias, M.C., Cribb, J., Joyce, R., Waters, T., </w:t>
      </w:r>
      <w:proofErr w:type="spellStart"/>
      <w:r>
        <w:rPr>
          <w:rFonts w:ascii="Times New Roman" w:eastAsia="Times New Roman" w:hAnsi="Times New Roman" w:cs="Times New Roman"/>
          <w:color w:val="222222"/>
          <w:sz w:val="24"/>
          <w:szCs w:val="24"/>
          <w:highlight w:val="white"/>
        </w:rPr>
        <w:t>Wernham</w:t>
      </w:r>
      <w:proofErr w:type="spellEnd"/>
      <w:r>
        <w:rPr>
          <w:rFonts w:ascii="Times New Roman" w:eastAsia="Times New Roman" w:hAnsi="Times New Roman" w:cs="Times New Roman"/>
          <w:color w:val="222222"/>
          <w:sz w:val="24"/>
          <w:szCs w:val="24"/>
          <w:highlight w:val="white"/>
        </w:rPr>
        <w:t>, T. and Xu, X., 2022. Inequality and the</w:t>
      </w:r>
      <w:r>
        <w:rPr>
          <w:rFonts w:ascii="Times New Roman" w:eastAsia="Times New Roman" w:hAnsi="Times New Roman" w:cs="Times New Roman"/>
          <w:color w:val="222222"/>
          <w:sz w:val="24"/>
          <w:szCs w:val="24"/>
          <w:highlight w:val="white"/>
        </w:rPr>
        <w:t xml:space="preserve"> COVID-19 Crisis in the United Kingdom. </w:t>
      </w:r>
      <w:r>
        <w:rPr>
          <w:rFonts w:ascii="Times New Roman" w:eastAsia="Times New Roman" w:hAnsi="Times New Roman" w:cs="Times New Roman"/>
          <w:i/>
          <w:color w:val="222222"/>
          <w:sz w:val="24"/>
          <w:szCs w:val="24"/>
          <w:highlight w:val="white"/>
        </w:rPr>
        <w:t>Annual Review of Economics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14</w:t>
      </w:r>
      <w:r>
        <w:rPr>
          <w:rFonts w:ascii="Times New Roman" w:eastAsia="Times New Roman" w:hAnsi="Times New Roman" w:cs="Times New Roman"/>
          <w:color w:val="222222"/>
          <w:sz w:val="24"/>
          <w:szCs w:val="24"/>
          <w:highlight w:val="white"/>
        </w:rPr>
        <w:t>.</w:t>
      </w:r>
    </w:p>
    <w:p w14:paraId="1ED7F067" w14:textId="77777777" w:rsidR="005074E8" w:rsidRDefault="00B427C6">
      <w:pPr>
        <w:spacing w:line="360" w:lineRule="auto"/>
        <w:jc w:val="both"/>
        <w:rPr>
          <w:rFonts w:ascii="Times New Roman" w:eastAsia="Times New Roman" w:hAnsi="Times New Roman" w:cs="Times New Roman"/>
          <w:color w:val="222222"/>
          <w:sz w:val="24"/>
          <w:szCs w:val="24"/>
          <w:highlight w:val="white"/>
        </w:rPr>
      </w:pPr>
      <w:r>
        <w:rPr>
          <w:rFonts w:ascii="Times New Roman" w:hAnsi="Times New Roman" w:cs="Times New Roman"/>
          <w:color w:val="222222"/>
          <w:sz w:val="24"/>
          <w:szCs w:val="24"/>
          <w:shd w:val="clear" w:color="auto" w:fill="FFFFFF"/>
        </w:rPr>
        <w:t>Deshmukh, G., 2022. Integrated Strategic Factors Framework. </w:t>
      </w:r>
      <w:r>
        <w:rPr>
          <w:rFonts w:ascii="Times New Roman" w:hAnsi="Times New Roman" w:cs="Times New Roman"/>
          <w:i/>
          <w:iCs/>
          <w:color w:val="222222"/>
          <w:sz w:val="24"/>
          <w:szCs w:val="24"/>
          <w:shd w:val="clear" w:color="auto" w:fill="FFFFFF"/>
        </w:rPr>
        <w:t>Journal of Positive School Psychology</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6</w:t>
      </w:r>
      <w:r>
        <w:rPr>
          <w:rFonts w:ascii="Times New Roman" w:hAnsi="Times New Roman" w:cs="Times New Roman"/>
          <w:color w:val="222222"/>
          <w:sz w:val="24"/>
          <w:szCs w:val="24"/>
          <w:shd w:val="clear" w:color="auto" w:fill="FFFFFF"/>
        </w:rPr>
        <w:t>(8), pp.3318-3333.</w:t>
      </w:r>
    </w:p>
    <w:p w14:paraId="5D2E5810" w14:textId="77777777" w:rsidR="005074E8" w:rsidRDefault="00B427C6">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Dirani</w:t>
      </w:r>
      <w:proofErr w:type="spellEnd"/>
      <w:r>
        <w:rPr>
          <w:rFonts w:ascii="Times New Roman" w:eastAsia="Times New Roman" w:hAnsi="Times New Roman" w:cs="Times New Roman"/>
          <w:color w:val="222222"/>
          <w:sz w:val="24"/>
          <w:szCs w:val="24"/>
          <w:highlight w:val="white"/>
        </w:rPr>
        <w:t xml:space="preserve">, K.M., Abadi, M., Alizadeh, A., </w:t>
      </w:r>
      <w:proofErr w:type="spellStart"/>
      <w:r>
        <w:rPr>
          <w:rFonts w:ascii="Times New Roman" w:eastAsia="Times New Roman" w:hAnsi="Times New Roman" w:cs="Times New Roman"/>
          <w:color w:val="222222"/>
          <w:sz w:val="24"/>
          <w:szCs w:val="24"/>
          <w:highlight w:val="white"/>
        </w:rPr>
        <w:t>Barhate</w:t>
      </w:r>
      <w:proofErr w:type="spellEnd"/>
      <w:r>
        <w:rPr>
          <w:rFonts w:ascii="Times New Roman" w:eastAsia="Times New Roman" w:hAnsi="Times New Roman" w:cs="Times New Roman"/>
          <w:color w:val="222222"/>
          <w:sz w:val="24"/>
          <w:szCs w:val="24"/>
          <w:highlight w:val="white"/>
        </w:rPr>
        <w:t xml:space="preserve">, B., Garza, R.C., </w:t>
      </w:r>
      <w:proofErr w:type="spellStart"/>
      <w:r>
        <w:rPr>
          <w:rFonts w:ascii="Times New Roman" w:eastAsia="Times New Roman" w:hAnsi="Times New Roman" w:cs="Times New Roman"/>
          <w:color w:val="222222"/>
          <w:sz w:val="24"/>
          <w:szCs w:val="24"/>
          <w:highlight w:val="white"/>
        </w:rPr>
        <w:t>Gunasekara</w:t>
      </w:r>
      <w:proofErr w:type="spellEnd"/>
      <w:r>
        <w:rPr>
          <w:rFonts w:ascii="Times New Roman" w:eastAsia="Times New Roman" w:hAnsi="Times New Roman" w:cs="Times New Roman"/>
          <w:color w:val="222222"/>
          <w:sz w:val="24"/>
          <w:szCs w:val="24"/>
          <w:highlight w:val="white"/>
        </w:rPr>
        <w:t xml:space="preserve">, N., Ibrahim, G. and </w:t>
      </w:r>
      <w:proofErr w:type="spellStart"/>
      <w:r>
        <w:rPr>
          <w:rFonts w:ascii="Times New Roman" w:eastAsia="Times New Roman" w:hAnsi="Times New Roman" w:cs="Times New Roman"/>
          <w:color w:val="222222"/>
          <w:sz w:val="24"/>
          <w:szCs w:val="24"/>
          <w:highlight w:val="white"/>
        </w:rPr>
        <w:t>Majzun</w:t>
      </w:r>
      <w:proofErr w:type="spellEnd"/>
      <w:r>
        <w:rPr>
          <w:rFonts w:ascii="Times New Roman" w:eastAsia="Times New Roman" w:hAnsi="Times New Roman" w:cs="Times New Roman"/>
          <w:color w:val="222222"/>
          <w:sz w:val="24"/>
          <w:szCs w:val="24"/>
          <w:highlight w:val="white"/>
        </w:rPr>
        <w:t xml:space="preserve">, Z., 2020. Leadership competencies and the essential role of human resource development in times of crisis: a response to Covid-19 pandemic. </w:t>
      </w:r>
      <w:r>
        <w:rPr>
          <w:rFonts w:ascii="Times New Roman" w:eastAsia="Times New Roman" w:hAnsi="Times New Roman" w:cs="Times New Roman"/>
          <w:i/>
          <w:color w:val="222222"/>
          <w:sz w:val="24"/>
          <w:szCs w:val="24"/>
          <w:highlight w:val="white"/>
        </w:rPr>
        <w:t>Human Resou</w:t>
      </w:r>
      <w:r>
        <w:rPr>
          <w:rFonts w:ascii="Times New Roman" w:eastAsia="Times New Roman" w:hAnsi="Times New Roman" w:cs="Times New Roman"/>
          <w:i/>
          <w:color w:val="222222"/>
          <w:sz w:val="24"/>
          <w:szCs w:val="24"/>
          <w:highlight w:val="white"/>
        </w:rPr>
        <w:t>rce Development International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23</w:t>
      </w:r>
      <w:r>
        <w:rPr>
          <w:rFonts w:ascii="Times New Roman" w:eastAsia="Times New Roman" w:hAnsi="Times New Roman" w:cs="Times New Roman"/>
          <w:color w:val="222222"/>
          <w:sz w:val="24"/>
          <w:szCs w:val="24"/>
          <w:highlight w:val="white"/>
        </w:rPr>
        <w:t>(4), pp.380-394.</w:t>
      </w:r>
    </w:p>
    <w:p w14:paraId="55F543F0" w14:textId="77777777" w:rsidR="005074E8" w:rsidRDefault="00B427C6">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El </w:t>
      </w:r>
      <w:proofErr w:type="spellStart"/>
      <w:r>
        <w:rPr>
          <w:rFonts w:ascii="Times New Roman" w:eastAsia="Times New Roman" w:hAnsi="Times New Roman" w:cs="Times New Roman"/>
          <w:color w:val="222222"/>
          <w:sz w:val="24"/>
          <w:szCs w:val="24"/>
          <w:highlight w:val="white"/>
        </w:rPr>
        <w:t>Dessouky</w:t>
      </w:r>
      <w:proofErr w:type="spellEnd"/>
      <w:r>
        <w:rPr>
          <w:rFonts w:ascii="Times New Roman" w:eastAsia="Times New Roman" w:hAnsi="Times New Roman" w:cs="Times New Roman"/>
          <w:color w:val="222222"/>
          <w:sz w:val="24"/>
          <w:szCs w:val="24"/>
          <w:highlight w:val="white"/>
        </w:rPr>
        <w:t>, N.F. and Al-</w:t>
      </w:r>
      <w:proofErr w:type="spellStart"/>
      <w:r>
        <w:rPr>
          <w:rFonts w:ascii="Times New Roman" w:eastAsia="Times New Roman" w:hAnsi="Times New Roman" w:cs="Times New Roman"/>
          <w:color w:val="222222"/>
          <w:sz w:val="24"/>
          <w:szCs w:val="24"/>
          <w:highlight w:val="white"/>
        </w:rPr>
        <w:t>Ghareeb</w:t>
      </w:r>
      <w:proofErr w:type="spellEnd"/>
      <w:r>
        <w:rPr>
          <w:rFonts w:ascii="Times New Roman" w:eastAsia="Times New Roman" w:hAnsi="Times New Roman" w:cs="Times New Roman"/>
          <w:color w:val="222222"/>
          <w:sz w:val="24"/>
          <w:szCs w:val="24"/>
          <w:highlight w:val="white"/>
        </w:rPr>
        <w:t xml:space="preserve">, A., 2020, November. Human resource management and organizational resilience in the era of COVID-19: theoretical insights, challenges and implications. In </w:t>
      </w:r>
      <w:r>
        <w:rPr>
          <w:rFonts w:ascii="Times New Roman" w:eastAsia="Times New Roman" w:hAnsi="Times New Roman" w:cs="Times New Roman"/>
          <w:i/>
          <w:color w:val="222222"/>
          <w:sz w:val="24"/>
          <w:szCs w:val="24"/>
          <w:highlight w:val="white"/>
        </w:rPr>
        <w:t>2020 Second Intern</w:t>
      </w:r>
      <w:r>
        <w:rPr>
          <w:rFonts w:ascii="Times New Roman" w:eastAsia="Times New Roman" w:hAnsi="Times New Roman" w:cs="Times New Roman"/>
          <w:i/>
          <w:color w:val="222222"/>
          <w:sz w:val="24"/>
          <w:szCs w:val="24"/>
          <w:highlight w:val="white"/>
        </w:rPr>
        <w:t>ational Sustainability and Resilience Conference: Technology and Innovation in Building Designs (51154)</w:t>
      </w:r>
      <w:r>
        <w:rPr>
          <w:rFonts w:ascii="Times New Roman" w:eastAsia="Times New Roman" w:hAnsi="Times New Roman" w:cs="Times New Roman"/>
          <w:color w:val="222222"/>
          <w:sz w:val="24"/>
          <w:szCs w:val="24"/>
          <w:highlight w:val="white"/>
        </w:rPr>
        <w:t xml:space="preserve"> (pp. 1-6). IEEE.</w:t>
      </w:r>
    </w:p>
    <w:p w14:paraId="3D3C3E22" w14:textId="77777777" w:rsidR="005074E8" w:rsidRDefault="00B427C6">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Hamouche</w:t>
      </w:r>
      <w:proofErr w:type="spellEnd"/>
      <w:r>
        <w:rPr>
          <w:rFonts w:ascii="Times New Roman" w:eastAsia="Times New Roman" w:hAnsi="Times New Roman" w:cs="Times New Roman"/>
          <w:color w:val="222222"/>
          <w:sz w:val="24"/>
          <w:szCs w:val="24"/>
          <w:highlight w:val="white"/>
        </w:rPr>
        <w:t>, S., 2021. Human resource management and the COVID-19 crisis: Implications, challenges, opportunities, and future organization</w:t>
      </w:r>
      <w:r>
        <w:rPr>
          <w:rFonts w:ascii="Times New Roman" w:eastAsia="Times New Roman" w:hAnsi="Times New Roman" w:cs="Times New Roman"/>
          <w:color w:val="222222"/>
          <w:sz w:val="24"/>
          <w:szCs w:val="24"/>
          <w:highlight w:val="white"/>
        </w:rPr>
        <w:t xml:space="preserve">al directions. </w:t>
      </w:r>
      <w:r>
        <w:rPr>
          <w:rFonts w:ascii="Times New Roman" w:eastAsia="Times New Roman" w:hAnsi="Times New Roman" w:cs="Times New Roman"/>
          <w:i/>
          <w:color w:val="222222"/>
          <w:sz w:val="24"/>
          <w:szCs w:val="24"/>
          <w:highlight w:val="white"/>
        </w:rPr>
        <w:t>Journal of Management &amp; Organization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w:t>
      </w:r>
      <w:r>
        <w:rPr>
          <w:rFonts w:ascii="Times New Roman" w:eastAsia="Times New Roman" w:hAnsi="Times New Roman" w:cs="Times New Roman"/>
          <w:color w:val="222222"/>
          <w:sz w:val="24"/>
          <w:szCs w:val="24"/>
          <w:highlight w:val="white"/>
        </w:rPr>
        <w:t>, pp.1-16.</w:t>
      </w:r>
    </w:p>
    <w:p w14:paraId="4B286010" w14:textId="77777777" w:rsidR="005074E8" w:rsidRDefault="00B427C6">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Kutieshat</w:t>
      </w:r>
      <w:proofErr w:type="spellEnd"/>
      <w:r>
        <w:rPr>
          <w:rFonts w:ascii="Times New Roman" w:eastAsia="Times New Roman" w:hAnsi="Times New Roman" w:cs="Times New Roman"/>
          <w:color w:val="222222"/>
          <w:sz w:val="24"/>
          <w:szCs w:val="24"/>
          <w:highlight w:val="white"/>
        </w:rPr>
        <w:t xml:space="preserve">, R. and </w:t>
      </w:r>
      <w:proofErr w:type="spellStart"/>
      <w:r>
        <w:rPr>
          <w:rFonts w:ascii="Times New Roman" w:eastAsia="Times New Roman" w:hAnsi="Times New Roman" w:cs="Times New Roman"/>
          <w:color w:val="222222"/>
          <w:sz w:val="24"/>
          <w:szCs w:val="24"/>
          <w:highlight w:val="white"/>
        </w:rPr>
        <w:t>Farmanesh</w:t>
      </w:r>
      <w:proofErr w:type="spellEnd"/>
      <w:r>
        <w:rPr>
          <w:rFonts w:ascii="Times New Roman" w:eastAsia="Times New Roman" w:hAnsi="Times New Roman" w:cs="Times New Roman"/>
          <w:color w:val="222222"/>
          <w:sz w:val="24"/>
          <w:szCs w:val="24"/>
          <w:highlight w:val="white"/>
        </w:rPr>
        <w:t>, P., 2022. The Impact of New Human Resource Management Practices on Innovation Performance during the COVID 19 Crisis: A New Perception on Enhancing the Educationa</w:t>
      </w:r>
      <w:r>
        <w:rPr>
          <w:rFonts w:ascii="Times New Roman" w:eastAsia="Times New Roman" w:hAnsi="Times New Roman" w:cs="Times New Roman"/>
          <w:color w:val="222222"/>
          <w:sz w:val="24"/>
          <w:szCs w:val="24"/>
          <w:highlight w:val="white"/>
        </w:rPr>
        <w:t xml:space="preserve">l Sector. </w:t>
      </w:r>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14</w:t>
      </w:r>
      <w:r>
        <w:rPr>
          <w:rFonts w:ascii="Times New Roman" w:eastAsia="Times New Roman" w:hAnsi="Times New Roman" w:cs="Times New Roman"/>
          <w:color w:val="222222"/>
          <w:sz w:val="24"/>
          <w:szCs w:val="24"/>
          <w:highlight w:val="white"/>
        </w:rPr>
        <w:t>(5), p.2872.</w:t>
      </w:r>
    </w:p>
    <w:p w14:paraId="66FA2B1D" w14:textId="77777777" w:rsidR="005074E8" w:rsidRDefault="00B427C6">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Mayhew, K. and Anand, P., 2020. COVID-19 and the UK labour market. </w:t>
      </w:r>
      <w:r>
        <w:rPr>
          <w:rFonts w:ascii="Times New Roman" w:eastAsia="Times New Roman" w:hAnsi="Times New Roman" w:cs="Times New Roman"/>
          <w:i/>
          <w:color w:val="222222"/>
          <w:sz w:val="24"/>
          <w:szCs w:val="24"/>
          <w:highlight w:val="white"/>
        </w:rPr>
        <w:t>Oxford Review of Economic Policy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36</w:t>
      </w:r>
      <w:r>
        <w:rPr>
          <w:rFonts w:ascii="Times New Roman" w:eastAsia="Times New Roman" w:hAnsi="Times New Roman" w:cs="Times New Roman"/>
          <w:color w:val="222222"/>
          <w:sz w:val="24"/>
          <w:szCs w:val="24"/>
          <w:highlight w:val="white"/>
        </w:rPr>
        <w:t xml:space="preserve">(Supplement_1), </w:t>
      </w:r>
      <w:proofErr w:type="gramStart"/>
      <w:r>
        <w:rPr>
          <w:rFonts w:ascii="Times New Roman" w:eastAsia="Times New Roman" w:hAnsi="Times New Roman" w:cs="Times New Roman"/>
          <w:color w:val="222222"/>
          <w:sz w:val="24"/>
          <w:szCs w:val="24"/>
          <w:highlight w:val="white"/>
        </w:rPr>
        <w:t>pp.S</w:t>
      </w:r>
      <w:proofErr w:type="gramEnd"/>
      <w:r>
        <w:rPr>
          <w:rFonts w:ascii="Times New Roman" w:eastAsia="Times New Roman" w:hAnsi="Times New Roman" w:cs="Times New Roman"/>
          <w:color w:val="222222"/>
          <w:sz w:val="24"/>
          <w:szCs w:val="24"/>
          <w:highlight w:val="white"/>
        </w:rPr>
        <w:t>215-S224.</w:t>
      </w:r>
    </w:p>
    <w:p w14:paraId="2654E78E" w14:textId="77777777" w:rsidR="005074E8" w:rsidRDefault="00B427C6">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Mitsakis</w:t>
      </w:r>
      <w:proofErr w:type="spellEnd"/>
      <w:r>
        <w:rPr>
          <w:rFonts w:ascii="Times New Roman" w:eastAsia="Times New Roman" w:hAnsi="Times New Roman" w:cs="Times New Roman"/>
          <w:color w:val="222222"/>
          <w:sz w:val="24"/>
          <w:szCs w:val="24"/>
          <w:highlight w:val="white"/>
        </w:rPr>
        <w:t>, F., 2019. Modify the redefined: Strategic human resource development mat</w:t>
      </w:r>
      <w:r>
        <w:rPr>
          <w:rFonts w:ascii="Times New Roman" w:eastAsia="Times New Roman" w:hAnsi="Times New Roman" w:cs="Times New Roman"/>
          <w:color w:val="222222"/>
          <w:sz w:val="24"/>
          <w:szCs w:val="24"/>
          <w:highlight w:val="white"/>
        </w:rPr>
        <w:t xml:space="preserve">urity at a crossroads. </w:t>
      </w:r>
      <w:r>
        <w:rPr>
          <w:rFonts w:ascii="Times New Roman" w:eastAsia="Times New Roman" w:hAnsi="Times New Roman" w:cs="Times New Roman"/>
          <w:i/>
          <w:color w:val="222222"/>
          <w:sz w:val="24"/>
          <w:szCs w:val="24"/>
          <w:highlight w:val="white"/>
        </w:rPr>
        <w:t>Human Resource Development Review</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18</w:t>
      </w:r>
      <w:r>
        <w:rPr>
          <w:rFonts w:ascii="Times New Roman" w:eastAsia="Times New Roman" w:hAnsi="Times New Roman" w:cs="Times New Roman"/>
          <w:color w:val="222222"/>
          <w:sz w:val="24"/>
          <w:szCs w:val="24"/>
          <w:highlight w:val="white"/>
        </w:rPr>
        <w:t>(4), pp.470-506.</w:t>
      </w:r>
    </w:p>
    <w:p w14:paraId="2243FB45" w14:textId="77777777" w:rsidR="005074E8" w:rsidRDefault="00B427C6">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Pearce, A., Quan, R. and </w:t>
      </w:r>
      <w:proofErr w:type="spellStart"/>
      <w:r>
        <w:rPr>
          <w:rFonts w:ascii="Times New Roman" w:hAnsi="Times New Roman" w:cs="Times New Roman"/>
          <w:color w:val="222222"/>
          <w:sz w:val="24"/>
          <w:szCs w:val="24"/>
          <w:shd w:val="clear" w:color="auto" w:fill="FFFFFF"/>
        </w:rPr>
        <w:t>Dziewanowska</w:t>
      </w:r>
      <w:proofErr w:type="spellEnd"/>
      <w:r>
        <w:rPr>
          <w:rFonts w:ascii="Times New Roman" w:hAnsi="Times New Roman" w:cs="Times New Roman"/>
          <w:color w:val="222222"/>
          <w:sz w:val="24"/>
          <w:szCs w:val="24"/>
          <w:shd w:val="clear" w:color="auto" w:fill="FFFFFF"/>
        </w:rPr>
        <w:t>, K., 2022. Lundgren Tours: Out of the Frying Pan and into the Fire. A young entrepreneur survives and thrives after the ‘double-</w:t>
      </w:r>
      <w:proofErr w:type="spellStart"/>
      <w:r>
        <w:rPr>
          <w:rFonts w:ascii="Times New Roman" w:hAnsi="Times New Roman" w:cs="Times New Roman"/>
          <w:color w:val="222222"/>
          <w:sz w:val="24"/>
          <w:szCs w:val="24"/>
          <w:shd w:val="clear" w:color="auto" w:fill="FFFFFF"/>
        </w:rPr>
        <w:t>whammy’of</w:t>
      </w:r>
      <w:proofErr w:type="spellEnd"/>
      <w:r>
        <w:rPr>
          <w:rFonts w:ascii="Times New Roman" w:hAnsi="Times New Roman" w:cs="Times New Roman"/>
          <w:color w:val="222222"/>
          <w:sz w:val="24"/>
          <w:szCs w:val="24"/>
          <w:shd w:val="clear" w:color="auto" w:fill="FFFFFF"/>
        </w:rPr>
        <w:t xml:space="preserve"> Bre</w:t>
      </w:r>
      <w:r>
        <w:rPr>
          <w:rFonts w:ascii="Times New Roman" w:hAnsi="Times New Roman" w:cs="Times New Roman"/>
          <w:color w:val="222222"/>
          <w:sz w:val="24"/>
          <w:szCs w:val="24"/>
          <w:shd w:val="clear" w:color="auto" w:fill="FFFFFF"/>
        </w:rPr>
        <w:t>xit and Coronavirus. </w:t>
      </w:r>
      <w:r>
        <w:rPr>
          <w:rFonts w:ascii="Times New Roman" w:hAnsi="Times New Roman" w:cs="Times New Roman"/>
          <w:i/>
          <w:iCs/>
          <w:color w:val="222222"/>
          <w:sz w:val="24"/>
          <w:szCs w:val="24"/>
          <w:shd w:val="clear" w:color="auto" w:fill="FFFFFF"/>
        </w:rPr>
        <w:t>The International Journal of Entrepreneurship and Innovation</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23</w:t>
      </w:r>
      <w:r>
        <w:rPr>
          <w:rFonts w:ascii="Times New Roman" w:hAnsi="Times New Roman" w:cs="Times New Roman"/>
          <w:color w:val="222222"/>
          <w:sz w:val="24"/>
          <w:szCs w:val="24"/>
          <w:shd w:val="clear" w:color="auto" w:fill="FFFFFF"/>
        </w:rPr>
        <w:t>(2), pp.86-98.</w:t>
      </w:r>
    </w:p>
    <w:p w14:paraId="250B40E3" w14:textId="77777777" w:rsidR="005074E8" w:rsidRDefault="00B427C6">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Powell, A., Francis-Devine, B. and Clark, H., 2021. Coronavirus: Impact on the labour market. </w:t>
      </w:r>
      <w:r>
        <w:rPr>
          <w:rFonts w:ascii="Times New Roman" w:eastAsia="Times New Roman" w:hAnsi="Times New Roman" w:cs="Times New Roman"/>
          <w:i/>
          <w:color w:val="222222"/>
          <w:sz w:val="24"/>
          <w:szCs w:val="24"/>
          <w:highlight w:val="white"/>
        </w:rPr>
        <w:t>Common Library Research Briefing, Number CBP8898, House of Com</w:t>
      </w:r>
      <w:r>
        <w:rPr>
          <w:rFonts w:ascii="Times New Roman" w:eastAsia="Times New Roman" w:hAnsi="Times New Roman" w:cs="Times New Roman"/>
          <w:i/>
          <w:color w:val="222222"/>
          <w:sz w:val="24"/>
          <w:szCs w:val="24"/>
          <w:highlight w:val="white"/>
        </w:rPr>
        <w:t>mon Library, United Kingdom</w:t>
      </w:r>
      <w:r>
        <w:rPr>
          <w:rFonts w:ascii="Times New Roman" w:eastAsia="Times New Roman" w:hAnsi="Times New Roman" w:cs="Times New Roman"/>
          <w:color w:val="222222"/>
          <w:sz w:val="24"/>
          <w:szCs w:val="24"/>
          <w:highlight w:val="white"/>
        </w:rPr>
        <w:t>.</w:t>
      </w:r>
    </w:p>
    <w:p w14:paraId="3BC50E7F" w14:textId="77777777" w:rsidR="005074E8" w:rsidRDefault="00B427C6">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Przytuła</w:t>
      </w:r>
      <w:proofErr w:type="spellEnd"/>
      <w:r>
        <w:rPr>
          <w:rFonts w:ascii="Times New Roman" w:eastAsia="Times New Roman" w:hAnsi="Times New Roman" w:cs="Times New Roman"/>
          <w:color w:val="222222"/>
          <w:sz w:val="24"/>
          <w:szCs w:val="24"/>
          <w:highlight w:val="white"/>
        </w:rPr>
        <w:t xml:space="preserve">, S., </w:t>
      </w:r>
      <w:proofErr w:type="spellStart"/>
      <w:r>
        <w:rPr>
          <w:rFonts w:ascii="Times New Roman" w:eastAsia="Times New Roman" w:hAnsi="Times New Roman" w:cs="Times New Roman"/>
          <w:color w:val="222222"/>
          <w:sz w:val="24"/>
          <w:szCs w:val="24"/>
          <w:highlight w:val="white"/>
        </w:rPr>
        <w:t>Strzelec</w:t>
      </w:r>
      <w:proofErr w:type="spellEnd"/>
      <w:r>
        <w:rPr>
          <w:rFonts w:ascii="Times New Roman" w:eastAsia="Times New Roman" w:hAnsi="Times New Roman" w:cs="Times New Roman"/>
          <w:color w:val="222222"/>
          <w:sz w:val="24"/>
          <w:szCs w:val="24"/>
          <w:highlight w:val="white"/>
        </w:rPr>
        <w:t xml:space="preserve">, G. and </w:t>
      </w:r>
      <w:proofErr w:type="spellStart"/>
      <w:r>
        <w:rPr>
          <w:rFonts w:ascii="Times New Roman" w:eastAsia="Times New Roman" w:hAnsi="Times New Roman" w:cs="Times New Roman"/>
          <w:color w:val="222222"/>
          <w:sz w:val="24"/>
          <w:szCs w:val="24"/>
          <w:highlight w:val="white"/>
        </w:rPr>
        <w:t>Krysińska-Kościańska</w:t>
      </w:r>
      <w:proofErr w:type="spellEnd"/>
      <w:r>
        <w:rPr>
          <w:rFonts w:ascii="Times New Roman" w:eastAsia="Times New Roman" w:hAnsi="Times New Roman" w:cs="Times New Roman"/>
          <w:color w:val="222222"/>
          <w:sz w:val="24"/>
          <w:szCs w:val="24"/>
          <w:highlight w:val="white"/>
        </w:rPr>
        <w:t xml:space="preserve">, K., 2020. Re-vision of future trends in human resource management (HRM) after COVID-19. </w:t>
      </w:r>
      <w:r>
        <w:rPr>
          <w:rFonts w:ascii="Times New Roman" w:eastAsia="Times New Roman" w:hAnsi="Times New Roman" w:cs="Times New Roman"/>
          <w:i/>
          <w:color w:val="222222"/>
          <w:sz w:val="24"/>
          <w:szCs w:val="24"/>
          <w:highlight w:val="white"/>
        </w:rPr>
        <w:t>Journal of Intercultural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w:t>
      </w:r>
      <w:r>
        <w:rPr>
          <w:rFonts w:ascii="Times New Roman" w:eastAsia="Times New Roman" w:hAnsi="Times New Roman" w:cs="Times New Roman"/>
          <w:color w:val="222222"/>
          <w:sz w:val="24"/>
          <w:szCs w:val="24"/>
          <w:highlight w:val="white"/>
        </w:rPr>
        <w:t>(4).</w:t>
      </w:r>
    </w:p>
    <w:p w14:paraId="11C9E34C" w14:textId="77777777" w:rsidR="005074E8" w:rsidRDefault="00B427C6">
      <w:pPr>
        <w:pStyle w:val="Heading4"/>
        <w:keepNext w:val="0"/>
        <w:keepLines w:val="0"/>
        <w:spacing w:before="0" w:after="0" w:line="360"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Statista.com, (2022). </w:t>
      </w:r>
      <w:r>
        <w:rPr>
          <w:rFonts w:ascii="Times New Roman" w:eastAsia="Times New Roman" w:hAnsi="Times New Roman" w:cs="Times New Roman"/>
          <w:i/>
          <w:color w:val="000000"/>
        </w:rPr>
        <w:t xml:space="preserve">Employment rate UK 2021 </w:t>
      </w:r>
      <w:r>
        <w:rPr>
          <w:rFonts w:ascii="Times New Roman" w:eastAsia="Times New Roman" w:hAnsi="Times New Roman" w:cs="Times New Roman"/>
          <w:color w:val="000000"/>
        </w:rPr>
        <w:t xml:space="preserve">Available at: </w:t>
      </w:r>
      <w:hyperlink r:id="rId9" w:history="1">
        <w:r>
          <w:rPr>
            <w:rFonts w:ascii="Times New Roman" w:eastAsia="Times New Roman" w:hAnsi="Times New Roman" w:cs="Times New Roman"/>
            <w:color w:val="1155CC"/>
            <w:u w:val="single"/>
          </w:rPr>
          <w:t>https://www.statista.com/statistics/281992/employment-rate-in-the-united-kingdom/</w:t>
        </w:r>
      </w:hyperlink>
      <w:r>
        <w:rPr>
          <w:rFonts w:ascii="Times New Roman" w:eastAsia="Times New Roman" w:hAnsi="Times New Roman" w:cs="Times New Roman"/>
          <w:color w:val="000000"/>
        </w:rPr>
        <w:t xml:space="preserve"> [Accessed 25 August 2022].</w:t>
      </w:r>
    </w:p>
    <w:p w14:paraId="0921A731" w14:textId="77777777" w:rsidR="005074E8" w:rsidRDefault="00B427C6">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Wang, C., W</w:t>
      </w:r>
      <w:r>
        <w:rPr>
          <w:rFonts w:ascii="Times New Roman" w:eastAsia="Times New Roman" w:hAnsi="Times New Roman" w:cs="Times New Roman"/>
          <w:color w:val="222222"/>
          <w:sz w:val="24"/>
          <w:szCs w:val="24"/>
          <w:highlight w:val="white"/>
        </w:rPr>
        <w:t xml:space="preserve">ang, D., Abbas, J., </w:t>
      </w:r>
      <w:proofErr w:type="spellStart"/>
      <w:r>
        <w:rPr>
          <w:rFonts w:ascii="Times New Roman" w:eastAsia="Times New Roman" w:hAnsi="Times New Roman" w:cs="Times New Roman"/>
          <w:color w:val="222222"/>
          <w:sz w:val="24"/>
          <w:szCs w:val="24"/>
          <w:highlight w:val="white"/>
        </w:rPr>
        <w:t>Duan</w:t>
      </w:r>
      <w:proofErr w:type="spellEnd"/>
      <w:r>
        <w:rPr>
          <w:rFonts w:ascii="Times New Roman" w:eastAsia="Times New Roman" w:hAnsi="Times New Roman" w:cs="Times New Roman"/>
          <w:color w:val="222222"/>
          <w:sz w:val="24"/>
          <w:szCs w:val="24"/>
          <w:highlight w:val="white"/>
        </w:rPr>
        <w:t xml:space="preserve">, K. and Mubeen, R., 2021. Global financial crisis, smart lockdown strategies, and the COVID-19 </w:t>
      </w:r>
      <w:proofErr w:type="spellStart"/>
      <w:r>
        <w:rPr>
          <w:rFonts w:ascii="Times New Roman" w:eastAsia="Times New Roman" w:hAnsi="Times New Roman" w:cs="Times New Roman"/>
          <w:color w:val="222222"/>
          <w:sz w:val="24"/>
          <w:szCs w:val="24"/>
          <w:highlight w:val="white"/>
        </w:rPr>
        <w:t>spillover</w:t>
      </w:r>
      <w:proofErr w:type="spellEnd"/>
      <w:r>
        <w:rPr>
          <w:rFonts w:ascii="Times New Roman" w:eastAsia="Times New Roman" w:hAnsi="Times New Roman" w:cs="Times New Roman"/>
          <w:color w:val="222222"/>
          <w:sz w:val="24"/>
          <w:szCs w:val="24"/>
          <w:highlight w:val="white"/>
        </w:rPr>
        <w:t xml:space="preserve"> impacts: A global perspective implications from Southeast Asia. </w:t>
      </w:r>
      <w:r>
        <w:rPr>
          <w:rFonts w:ascii="Times New Roman" w:eastAsia="Times New Roman" w:hAnsi="Times New Roman" w:cs="Times New Roman"/>
          <w:i/>
          <w:color w:val="222222"/>
          <w:sz w:val="24"/>
          <w:szCs w:val="24"/>
          <w:highlight w:val="white"/>
        </w:rPr>
        <w:t>Frontiers in Psychiatry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w:t>
      </w:r>
      <w:r>
        <w:rPr>
          <w:rFonts w:ascii="Times New Roman" w:eastAsia="Times New Roman" w:hAnsi="Times New Roman" w:cs="Times New Roman"/>
          <w:color w:val="222222"/>
          <w:sz w:val="24"/>
          <w:szCs w:val="24"/>
          <w:highlight w:val="white"/>
        </w:rPr>
        <w:t>.</w:t>
      </w:r>
    </w:p>
    <w:p w14:paraId="6B17A856" w14:textId="77777777" w:rsidR="005074E8" w:rsidRDefault="00B427C6">
      <w:pPr>
        <w:spacing w:line="360" w:lineRule="auto"/>
        <w:jc w:val="both"/>
        <w:rPr>
          <w:rFonts w:ascii="Times New Roman" w:eastAsia="Times New Roman" w:hAnsi="Times New Roman" w:cs="Times New Roman"/>
          <w:color w:val="222222"/>
          <w:sz w:val="24"/>
          <w:szCs w:val="24"/>
          <w:highlight w:val="white"/>
        </w:rPr>
      </w:pPr>
      <w:r>
        <w:rPr>
          <w:rFonts w:ascii="Times New Roman" w:hAnsi="Times New Roman" w:cs="Times New Roman"/>
          <w:color w:val="222222"/>
          <w:sz w:val="24"/>
          <w:szCs w:val="24"/>
          <w:shd w:val="clear" w:color="auto" w:fill="FFFFFF"/>
        </w:rPr>
        <w:t xml:space="preserve">White, M., 2022. </w:t>
      </w:r>
      <w:proofErr w:type="spellStart"/>
      <w:r>
        <w:rPr>
          <w:rFonts w:ascii="Times New Roman" w:hAnsi="Times New Roman" w:cs="Times New Roman"/>
          <w:color w:val="222222"/>
          <w:sz w:val="24"/>
          <w:szCs w:val="24"/>
          <w:shd w:val="clear" w:color="auto" w:fill="FFFFFF"/>
        </w:rPr>
        <w:t>Half hearted</w:t>
      </w:r>
      <w:proofErr w:type="spellEnd"/>
      <w:r>
        <w:rPr>
          <w:rFonts w:ascii="Times New Roman" w:hAnsi="Times New Roman" w:cs="Times New Roman"/>
          <w:color w:val="222222"/>
          <w:sz w:val="24"/>
          <w:szCs w:val="24"/>
          <w:shd w:val="clear" w:color="auto" w:fill="FFFFFF"/>
        </w:rPr>
        <w:t xml:space="preserve"> and</w:t>
      </w:r>
      <w:r>
        <w:rPr>
          <w:rFonts w:ascii="Times New Roman" w:hAnsi="Times New Roman" w:cs="Times New Roman"/>
          <w:color w:val="222222"/>
          <w:sz w:val="24"/>
          <w:szCs w:val="24"/>
          <w:shd w:val="clear" w:color="auto" w:fill="FFFFFF"/>
        </w:rPr>
        <w:t xml:space="preserve"> half baked: the government’s new food strategy. </w:t>
      </w:r>
      <w:proofErr w:type="spellStart"/>
      <w:r>
        <w:rPr>
          <w:rFonts w:ascii="Times New Roman" w:hAnsi="Times New Roman" w:cs="Times New Roman"/>
          <w:i/>
          <w:iCs/>
          <w:color w:val="222222"/>
          <w:sz w:val="24"/>
          <w:szCs w:val="24"/>
          <w:shd w:val="clear" w:color="auto" w:fill="FFFFFF"/>
        </w:rPr>
        <w:t>bmj</w:t>
      </w:r>
      <w:proofErr w:type="spellEnd"/>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377</w:t>
      </w:r>
      <w:r>
        <w:rPr>
          <w:rFonts w:ascii="Times New Roman" w:hAnsi="Times New Roman" w:cs="Times New Roman"/>
          <w:color w:val="222222"/>
          <w:sz w:val="24"/>
          <w:szCs w:val="24"/>
          <w:shd w:val="clear" w:color="auto" w:fill="FFFFFF"/>
        </w:rPr>
        <w:t>.</w:t>
      </w:r>
    </w:p>
    <w:p w14:paraId="05A1EB86" w14:textId="77777777" w:rsidR="005074E8" w:rsidRDefault="00B427C6">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Zhong, Y., Li, Y., Ding, J. and Liao, Y., 2021. Risk management: Exploring emerging Human Resource issues during the COVID-19 pandemic. </w:t>
      </w:r>
      <w:r>
        <w:rPr>
          <w:rFonts w:ascii="Times New Roman" w:eastAsia="Times New Roman" w:hAnsi="Times New Roman" w:cs="Times New Roman"/>
          <w:i/>
          <w:color w:val="222222"/>
          <w:sz w:val="24"/>
          <w:szCs w:val="24"/>
          <w:highlight w:val="white"/>
        </w:rPr>
        <w:t>Journal of Risk and Financial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14</w:t>
      </w:r>
      <w:r>
        <w:rPr>
          <w:rFonts w:ascii="Times New Roman" w:eastAsia="Times New Roman" w:hAnsi="Times New Roman" w:cs="Times New Roman"/>
          <w:color w:val="222222"/>
          <w:sz w:val="24"/>
          <w:szCs w:val="24"/>
          <w:highlight w:val="white"/>
        </w:rPr>
        <w:t>(5), p.228.</w:t>
      </w:r>
    </w:p>
    <w:sectPr w:rsidR="005074E8">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E50EE9" w14:textId="77777777" w:rsidR="00B427C6" w:rsidRDefault="00B427C6">
      <w:pPr>
        <w:spacing w:line="240" w:lineRule="auto"/>
      </w:pPr>
      <w:r>
        <w:separator/>
      </w:r>
    </w:p>
  </w:endnote>
  <w:endnote w:type="continuationSeparator" w:id="0">
    <w:p w14:paraId="0494D1AF" w14:textId="77777777" w:rsidR="00B427C6" w:rsidRDefault="00B427C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F75A5B" w14:textId="77777777" w:rsidR="005074E8" w:rsidRDefault="005074E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3449165"/>
      <w:docPartObj>
        <w:docPartGallery w:val="AutoText"/>
      </w:docPartObj>
    </w:sdtPr>
    <w:sdtEndPr/>
    <w:sdtContent>
      <w:p w14:paraId="3DE46D02" w14:textId="77777777" w:rsidR="005074E8" w:rsidRDefault="00B427C6">
        <w:pPr>
          <w:pStyle w:val="Footer"/>
          <w:jc w:val="right"/>
        </w:pPr>
        <w:r>
          <w:fldChar w:fldCharType="begin"/>
        </w:r>
        <w:r>
          <w:instrText xml:space="preserve"> PAGE   \* MERGEFORMAT </w:instrText>
        </w:r>
        <w:r>
          <w:fldChar w:fldCharType="separate"/>
        </w:r>
        <w:r>
          <w:t>12</w:t>
        </w:r>
        <w:r>
          <w:fldChar w:fldCharType="end"/>
        </w:r>
      </w:p>
    </w:sdtContent>
  </w:sdt>
  <w:p w14:paraId="7F36C029" w14:textId="77777777" w:rsidR="005074E8" w:rsidRDefault="005074E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5079AE" w14:textId="77777777" w:rsidR="005074E8" w:rsidRDefault="005074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23D312" w14:textId="77777777" w:rsidR="00B427C6" w:rsidRDefault="00B427C6">
      <w:r>
        <w:separator/>
      </w:r>
    </w:p>
  </w:footnote>
  <w:footnote w:type="continuationSeparator" w:id="0">
    <w:p w14:paraId="6AD0C2B3" w14:textId="77777777" w:rsidR="00B427C6" w:rsidRDefault="00B427C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07CADC" w14:textId="77777777" w:rsidR="005074E8" w:rsidRDefault="005074E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FB8C3A" w14:textId="77777777" w:rsidR="005074E8" w:rsidRDefault="005074E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A151FF" w14:textId="77777777" w:rsidR="005074E8" w:rsidRDefault="005074E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80392"/>
    <w:rsid w:val="FF7D730E"/>
    <w:rsid w:val="00180392"/>
    <w:rsid w:val="002D4AAE"/>
    <w:rsid w:val="00313726"/>
    <w:rsid w:val="00346C24"/>
    <w:rsid w:val="003960A9"/>
    <w:rsid w:val="00461F13"/>
    <w:rsid w:val="005074E8"/>
    <w:rsid w:val="006A3F31"/>
    <w:rsid w:val="007A2989"/>
    <w:rsid w:val="00855224"/>
    <w:rsid w:val="00954F78"/>
    <w:rsid w:val="00A623B8"/>
    <w:rsid w:val="00AE1C02"/>
    <w:rsid w:val="00B427C6"/>
    <w:rsid w:val="00BB3931"/>
    <w:rsid w:val="00C264B5"/>
    <w:rsid w:val="00C32892"/>
    <w:rsid w:val="00C33613"/>
    <w:rsid w:val="00D4648B"/>
    <w:rsid w:val="00DE7BB4"/>
    <w:rsid w:val="00E74B9D"/>
    <w:rsid w:val="00FD6DA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FB88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lang w:val="en-US" w:eastAsia="en-US" w:bidi="ar-SA"/>
      </w:rPr>
    </w:rPrDefault>
    <w:pPrDefault/>
  </w:docDefaults>
  <w:latentStyles w:defLockedState="0" w:defUIPriority="99" w:defSemiHidden="0" w:defUnhideWhenUsed="0" w:defQFormat="0" w:count="375">
    <w:lsdException w:name="Normal" w:uiPriority="0" w:qFormat="1"/>
    <w:lsdException w:name="heading 1" w:uiPriority="0" w:qFormat="1"/>
    <w:lsdException w:name="heading 2" w:uiPriority="0" w:qFormat="1"/>
    <w:lsdException w:name="heading 3" w:uiPriority="0" w:qFormat="1"/>
    <w:lsdException w:name="heading 4" w:uiPriority="0" w:qFormat="1"/>
    <w:lsdException w:name="heading 5" w:uiPriority="0" w:qFormat="1"/>
    <w:lsdException w:name="heading 6" w:uiPriority="0"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Grid" w:uiPriority="5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pacing w:line="276" w:lineRule="auto"/>
    </w:pPr>
    <w:rPr>
      <w:sz w:val="22"/>
      <w:szCs w:val="22"/>
      <w:lang w:val="en-GB"/>
    </w:rPr>
  </w:style>
  <w:style w:type="paragraph" w:styleId="Heading1">
    <w:name w:val="heading 1"/>
    <w:basedOn w:val="Normal"/>
    <w:next w:val="Normal"/>
    <w:qFormat/>
    <w:pPr>
      <w:keepNext/>
      <w:keepLines/>
      <w:spacing w:before="400" w:after="120" w:line="360" w:lineRule="auto"/>
      <w:outlineLvl w:val="0"/>
    </w:pPr>
    <w:rPr>
      <w:rFonts w:ascii="Times New Roman" w:hAnsi="Times New Roman"/>
      <w:b/>
      <w:color w:val="000000" w:themeColor="text1"/>
      <w:sz w:val="32"/>
      <w:szCs w:val="40"/>
    </w:rPr>
  </w:style>
  <w:style w:type="paragraph" w:styleId="Heading2">
    <w:name w:val="heading 2"/>
    <w:basedOn w:val="Normal"/>
    <w:next w:val="Normal"/>
    <w:qFormat/>
    <w:pPr>
      <w:keepNext/>
      <w:keepLines/>
      <w:spacing w:before="360" w:after="120"/>
      <w:outlineLvl w:val="1"/>
    </w:pPr>
    <w:rPr>
      <w:sz w:val="32"/>
      <w:szCs w:val="32"/>
    </w:rPr>
  </w:style>
  <w:style w:type="paragraph" w:styleId="Heading3">
    <w:name w:val="heading 3"/>
    <w:basedOn w:val="Normal"/>
    <w:next w:val="Normal"/>
    <w:qFormat/>
    <w:pPr>
      <w:keepNext/>
      <w:keepLines/>
      <w:spacing w:before="320" w:after="80"/>
      <w:outlineLvl w:val="2"/>
    </w:pPr>
    <w:rPr>
      <w:color w:val="434343"/>
      <w:sz w:val="28"/>
      <w:szCs w:val="28"/>
    </w:rPr>
  </w:style>
  <w:style w:type="paragraph" w:styleId="Heading4">
    <w:name w:val="heading 4"/>
    <w:basedOn w:val="Normal"/>
    <w:next w:val="Normal"/>
    <w:qFormat/>
    <w:pPr>
      <w:keepNext/>
      <w:keepLines/>
      <w:spacing w:before="280" w:after="80"/>
      <w:outlineLvl w:val="3"/>
    </w:pPr>
    <w:rPr>
      <w:color w:val="666666"/>
      <w:sz w:val="24"/>
      <w:szCs w:val="24"/>
    </w:rPr>
  </w:style>
  <w:style w:type="paragraph" w:styleId="Heading5">
    <w:name w:val="heading 5"/>
    <w:basedOn w:val="Normal"/>
    <w:next w:val="Normal"/>
    <w:qFormat/>
    <w:pPr>
      <w:keepNext/>
      <w:keepLines/>
      <w:spacing w:before="240" w:after="80"/>
      <w:outlineLvl w:val="4"/>
    </w:pPr>
    <w:rPr>
      <w:color w:val="666666"/>
    </w:rPr>
  </w:style>
  <w:style w:type="paragraph" w:styleId="Heading6">
    <w:name w:val="heading 6"/>
    <w:basedOn w:val="Normal"/>
    <w:next w:val="Normal"/>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qFormat/>
    <w:pPr>
      <w:spacing w:line="240" w:lineRule="auto"/>
    </w:pPr>
    <w:rPr>
      <w:rFonts w:ascii="Tahoma" w:hAnsi="Tahoma" w:cs="Tahoma"/>
      <w:sz w:val="16"/>
      <w:szCs w:val="16"/>
    </w:rPr>
  </w:style>
  <w:style w:type="paragraph" w:styleId="Footer">
    <w:name w:val="footer"/>
    <w:basedOn w:val="Normal"/>
    <w:link w:val="FooterChar"/>
    <w:uiPriority w:val="99"/>
    <w:unhideWhenUsed/>
    <w:qFormat/>
    <w:pPr>
      <w:tabs>
        <w:tab w:val="center" w:pos="4680"/>
        <w:tab w:val="right" w:pos="9360"/>
      </w:tabs>
      <w:spacing w:line="240" w:lineRule="auto"/>
    </w:pPr>
  </w:style>
  <w:style w:type="paragraph" w:styleId="Header">
    <w:name w:val="header"/>
    <w:basedOn w:val="Normal"/>
    <w:link w:val="HeaderChar"/>
    <w:uiPriority w:val="99"/>
    <w:semiHidden/>
    <w:unhideWhenUsed/>
    <w:qFormat/>
    <w:pPr>
      <w:tabs>
        <w:tab w:val="center" w:pos="4680"/>
        <w:tab w:val="right" w:pos="9360"/>
      </w:tabs>
      <w:spacing w:line="240" w:lineRule="auto"/>
    </w:pPr>
  </w:style>
  <w:style w:type="character" w:styleId="Hyperlink">
    <w:name w:val="Hyperlink"/>
    <w:basedOn w:val="DefaultParagraphFont"/>
    <w:uiPriority w:val="99"/>
    <w:unhideWhenUsed/>
    <w:qFormat/>
    <w:rPr>
      <w:color w:val="0000FF" w:themeColor="hyperlink"/>
      <w:u w:val="single"/>
    </w:rPr>
  </w:style>
  <w:style w:type="paragraph" w:styleId="Subtitle">
    <w:name w:val="Subtitle"/>
    <w:basedOn w:val="Normal"/>
    <w:next w:val="Normal"/>
    <w:qFormat/>
    <w:pPr>
      <w:keepNext/>
      <w:keepLines/>
      <w:spacing w:after="320"/>
    </w:pPr>
    <w:rPr>
      <w:color w:val="666666"/>
      <w:sz w:val="30"/>
      <w:szCs w:val="30"/>
    </w:rPr>
  </w:style>
  <w:style w:type="paragraph" w:styleId="Title">
    <w:name w:val="Title"/>
    <w:basedOn w:val="Normal"/>
    <w:next w:val="Normal"/>
    <w:qFormat/>
    <w:pPr>
      <w:keepNext/>
      <w:keepLines/>
      <w:spacing w:after="60"/>
    </w:pPr>
    <w:rPr>
      <w:sz w:val="52"/>
      <w:szCs w:val="52"/>
    </w:rPr>
  </w:style>
  <w:style w:type="paragraph" w:styleId="TOC1">
    <w:name w:val="toc 1"/>
    <w:basedOn w:val="Normal"/>
    <w:next w:val="Normal"/>
    <w:uiPriority w:val="39"/>
    <w:unhideWhenUsed/>
    <w:qFormat/>
    <w:pPr>
      <w:spacing w:after="100"/>
    </w:pPr>
  </w:style>
  <w:style w:type="character" w:customStyle="1" w:styleId="BalloonTextChar">
    <w:name w:val="Balloon Text Char"/>
    <w:basedOn w:val="DefaultParagraphFont"/>
    <w:link w:val="BalloonText"/>
    <w:uiPriority w:val="99"/>
    <w:semiHidden/>
    <w:qFormat/>
    <w:rPr>
      <w:rFonts w:ascii="Tahoma" w:hAnsi="Tahoma" w:cs="Tahoma"/>
      <w:sz w:val="16"/>
      <w:szCs w:val="16"/>
    </w:rPr>
  </w:style>
  <w:style w:type="character" w:customStyle="1" w:styleId="HeaderChar">
    <w:name w:val="Header Char"/>
    <w:basedOn w:val="DefaultParagraphFont"/>
    <w:link w:val="Header"/>
    <w:uiPriority w:val="99"/>
    <w:semiHidden/>
    <w:qFormat/>
  </w:style>
  <w:style w:type="character" w:customStyle="1" w:styleId="FooterChar">
    <w:name w:val="Footer Char"/>
    <w:basedOn w:val="DefaultParagraphFont"/>
    <w:link w:val="Footer"/>
    <w:uiPriority w:val="99"/>
    <w:qFormat/>
  </w:style>
  <w:style w:type="paragraph" w:customStyle="1" w:styleId="TOCHeading1">
    <w:name w:val="TOC Heading1"/>
    <w:basedOn w:val="Heading1"/>
    <w:next w:val="Normal"/>
    <w:uiPriority w:val="39"/>
    <w:unhideWhenUsed/>
    <w:qFormat/>
    <w:pPr>
      <w:spacing w:before="480" w:after="0" w:line="276" w:lineRule="auto"/>
      <w:outlineLvl w:val="9"/>
    </w:pPr>
    <w:rPr>
      <w:rFonts w:asciiTheme="majorHAnsi" w:eastAsiaTheme="majorEastAsia" w:hAnsiTheme="majorHAnsi" w:cstheme="majorBidi"/>
      <w:bCs/>
      <w:color w:val="365F91" w:themeColor="accent1" w:themeShade="BF"/>
      <w:sz w:val="28"/>
      <w:szCs w:val="28"/>
    </w:r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eader" Target="header2.xml"/><Relationship Id="rId5" Type="http://schemas.openxmlformats.org/officeDocument/2006/relationships/endnotes" Target="end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statista.com/statistics/281992/employment-rate-in-the-united-kingdom/"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12</Pages>
  <Words>2969</Words>
  <Characters>16928</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19858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2022-08-26T01:15:00Z</dcterms:created>
  <dcterms:modified xsi:type="dcterms:W3CDTF">2022-09-12T15:37:00Z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1033-4.4.1.7616</vt:lpwstr>
  </property>
</Properties>
</file>