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38EA00" w14:textId="77777777" w:rsidR="006227CE" w:rsidRDefault="006C5E69">
      <w:pPr>
        <w:pStyle w:val="Heading1"/>
        <w:jc w:val="center"/>
      </w:pPr>
      <w:r>
        <w:t xml:space="preserve"> </w:t>
      </w:r>
    </w:p>
    <w:p w14:paraId="3938EA01" w14:textId="77777777" w:rsidR="006227CE" w:rsidRDefault="006C5E69">
      <w:pPr>
        <w:pStyle w:val="Heading1"/>
        <w:jc w:val="center"/>
      </w:pPr>
      <w:r>
        <w:t xml:space="preserve"> </w:t>
      </w:r>
    </w:p>
    <w:p w14:paraId="15430215" w14:textId="77777777" w:rsidR="00CB14A3" w:rsidRDefault="00CB14A3" w:rsidP="00CB14A3">
      <w:pPr>
        <w:pStyle w:val="Heading1"/>
        <w:jc w:val="center"/>
      </w:pPr>
    </w:p>
    <w:p w14:paraId="46B38A6A" w14:textId="77777777" w:rsidR="00CB14A3" w:rsidRDefault="00CB14A3" w:rsidP="00CB14A3">
      <w:pPr>
        <w:jc w:val="center"/>
      </w:pPr>
      <w:r>
        <w:rPr>
          <w:noProof/>
        </w:rPr>
        <w:drawing>
          <wp:inline distT="114300" distB="114300" distL="114300" distR="114300" wp14:anchorId="4616C0A0" wp14:editId="71E89383">
            <wp:extent cx="2124674" cy="763005"/>
            <wp:effectExtent l="0" t="0" r="0" b="0"/>
            <wp:docPr id="12"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8"/>
                    <a:srcRect/>
                    <a:stretch>
                      <a:fillRect/>
                    </a:stretch>
                  </pic:blipFill>
                  <pic:spPr>
                    <a:xfrm>
                      <a:off x="0" y="0"/>
                      <a:ext cx="2124674" cy="763005"/>
                    </a:xfrm>
                    <a:prstGeom prst="rect">
                      <a:avLst/>
                    </a:prstGeom>
                    <a:ln/>
                  </pic:spPr>
                </pic:pic>
              </a:graphicData>
            </a:graphic>
          </wp:inline>
        </w:drawing>
      </w:r>
    </w:p>
    <w:p w14:paraId="70D1D37B" w14:textId="77777777" w:rsidR="00CB14A3" w:rsidRPr="00423837" w:rsidRDefault="00CB14A3" w:rsidP="00CB14A3">
      <w:pPr>
        <w:pStyle w:val="Heading1"/>
        <w:jc w:val="center"/>
      </w:pPr>
      <w:bookmarkStart w:id="0" w:name="_do61977zha19" w:colFirst="0" w:colLast="0"/>
      <w:bookmarkEnd w:id="0"/>
      <w:r>
        <w:t xml:space="preserve"> </w:t>
      </w:r>
      <w:bookmarkStart w:id="1" w:name="_hralpseova8r" w:colFirst="0" w:colLast="0"/>
      <w:bookmarkStart w:id="2" w:name="_5tknds2dm7ry" w:colFirst="0" w:colLast="0"/>
      <w:bookmarkEnd w:id="1"/>
      <w:bookmarkEnd w:id="2"/>
    </w:p>
    <w:p w14:paraId="3CAB00C2" w14:textId="77777777" w:rsidR="00CB14A3" w:rsidRDefault="00CB14A3" w:rsidP="00CB14A3">
      <w:pPr>
        <w:jc w:val="center"/>
        <w:rPr>
          <w:b/>
          <w:bCs/>
          <w:sz w:val="36"/>
          <w:szCs w:val="36"/>
        </w:rPr>
      </w:pPr>
    </w:p>
    <w:p w14:paraId="0748DBAF" w14:textId="77777777" w:rsidR="00CB14A3" w:rsidRPr="00423837" w:rsidRDefault="00CB14A3" w:rsidP="00CB14A3">
      <w:pPr>
        <w:jc w:val="center"/>
        <w:rPr>
          <w:b/>
          <w:bCs/>
          <w:sz w:val="40"/>
          <w:szCs w:val="40"/>
        </w:rPr>
      </w:pPr>
      <w:proofErr w:type="spellStart"/>
      <w:r w:rsidRPr="00423837">
        <w:rPr>
          <w:b/>
          <w:bCs/>
          <w:sz w:val="40"/>
          <w:szCs w:val="40"/>
        </w:rPr>
        <w:t>Programme</w:t>
      </w:r>
      <w:proofErr w:type="spellEnd"/>
      <w:r w:rsidRPr="00423837">
        <w:rPr>
          <w:b/>
          <w:bCs/>
          <w:sz w:val="40"/>
          <w:szCs w:val="40"/>
        </w:rPr>
        <w:t>: Master of Business Administration</w:t>
      </w:r>
    </w:p>
    <w:p w14:paraId="11208DD0" w14:textId="77777777" w:rsidR="00CB14A3" w:rsidRDefault="00CB14A3" w:rsidP="00CB14A3">
      <w:pPr>
        <w:jc w:val="center"/>
        <w:rPr>
          <w:b/>
          <w:bCs/>
          <w:sz w:val="36"/>
          <w:szCs w:val="36"/>
        </w:rPr>
      </w:pPr>
    </w:p>
    <w:p w14:paraId="28ED11BF" w14:textId="77777777" w:rsidR="00CB14A3" w:rsidRDefault="00CB14A3" w:rsidP="00CB14A3">
      <w:pPr>
        <w:jc w:val="center"/>
        <w:rPr>
          <w:b/>
          <w:bCs/>
          <w:sz w:val="36"/>
          <w:szCs w:val="36"/>
        </w:rPr>
      </w:pPr>
      <w:r>
        <w:rPr>
          <w:b/>
          <w:bCs/>
          <w:sz w:val="36"/>
          <w:szCs w:val="36"/>
        </w:rPr>
        <w:t>Module Title: Financial Management</w:t>
      </w:r>
    </w:p>
    <w:p w14:paraId="29CE942B" w14:textId="77777777" w:rsidR="00CB14A3" w:rsidRDefault="00CB14A3" w:rsidP="00CB14A3">
      <w:pPr>
        <w:jc w:val="center"/>
        <w:rPr>
          <w:b/>
          <w:bCs/>
          <w:sz w:val="36"/>
          <w:szCs w:val="36"/>
        </w:rPr>
      </w:pPr>
    </w:p>
    <w:p w14:paraId="75170FE8" w14:textId="77777777" w:rsidR="00CB14A3" w:rsidRDefault="00CB14A3" w:rsidP="00CB14A3">
      <w:pPr>
        <w:jc w:val="center"/>
        <w:rPr>
          <w:b/>
          <w:bCs/>
          <w:sz w:val="36"/>
          <w:szCs w:val="36"/>
        </w:rPr>
      </w:pPr>
      <w:r>
        <w:rPr>
          <w:b/>
          <w:bCs/>
          <w:sz w:val="36"/>
          <w:szCs w:val="36"/>
        </w:rPr>
        <w:t>Module Code: LCMB7002</w:t>
      </w:r>
    </w:p>
    <w:p w14:paraId="10CA32C4" w14:textId="77777777" w:rsidR="00CB14A3" w:rsidRDefault="00CB14A3" w:rsidP="00CB14A3">
      <w:pPr>
        <w:jc w:val="center"/>
        <w:rPr>
          <w:b/>
          <w:bCs/>
          <w:sz w:val="36"/>
          <w:szCs w:val="36"/>
        </w:rPr>
      </w:pPr>
    </w:p>
    <w:p w14:paraId="380A49DE" w14:textId="77777777" w:rsidR="00CB14A3" w:rsidRDefault="00CB14A3" w:rsidP="00CB14A3">
      <w:pPr>
        <w:jc w:val="center"/>
        <w:rPr>
          <w:b/>
          <w:bCs/>
          <w:sz w:val="36"/>
          <w:szCs w:val="36"/>
        </w:rPr>
      </w:pPr>
      <w:r>
        <w:rPr>
          <w:b/>
          <w:bCs/>
          <w:sz w:val="36"/>
          <w:szCs w:val="36"/>
        </w:rPr>
        <w:t xml:space="preserve">Lecturer: </w:t>
      </w:r>
      <w:r w:rsidRPr="00423837">
        <w:rPr>
          <w:b/>
          <w:bCs/>
          <w:sz w:val="36"/>
          <w:szCs w:val="36"/>
        </w:rPr>
        <w:t xml:space="preserve">Dr </w:t>
      </w:r>
      <w:proofErr w:type="spellStart"/>
      <w:r w:rsidRPr="00423837">
        <w:rPr>
          <w:b/>
          <w:bCs/>
          <w:sz w:val="36"/>
          <w:szCs w:val="36"/>
        </w:rPr>
        <w:t>Shengfeng</w:t>
      </w:r>
      <w:proofErr w:type="spellEnd"/>
      <w:r w:rsidRPr="00423837">
        <w:rPr>
          <w:b/>
          <w:bCs/>
          <w:sz w:val="36"/>
          <w:szCs w:val="36"/>
        </w:rPr>
        <w:t xml:space="preserve"> Mei</w:t>
      </w:r>
    </w:p>
    <w:p w14:paraId="7DC09A1E" w14:textId="77777777" w:rsidR="00CB14A3" w:rsidRDefault="00CB14A3" w:rsidP="00CB14A3">
      <w:pPr>
        <w:jc w:val="center"/>
        <w:rPr>
          <w:b/>
          <w:bCs/>
          <w:sz w:val="36"/>
          <w:szCs w:val="36"/>
        </w:rPr>
      </w:pPr>
      <w:r>
        <w:rPr>
          <w:b/>
          <w:bCs/>
          <w:sz w:val="36"/>
          <w:szCs w:val="36"/>
        </w:rPr>
        <w:t xml:space="preserve"> </w:t>
      </w:r>
    </w:p>
    <w:p w14:paraId="60E5743F" w14:textId="77777777" w:rsidR="00CB14A3" w:rsidRPr="00423837" w:rsidRDefault="00CB14A3" w:rsidP="00CB14A3">
      <w:pPr>
        <w:jc w:val="center"/>
        <w:rPr>
          <w:b/>
          <w:bCs/>
          <w:sz w:val="36"/>
          <w:szCs w:val="36"/>
        </w:rPr>
      </w:pPr>
      <w:r w:rsidRPr="00423837">
        <w:rPr>
          <w:b/>
          <w:bCs/>
          <w:sz w:val="36"/>
          <w:szCs w:val="36"/>
        </w:rPr>
        <w:t>Student Name:</w:t>
      </w:r>
      <w:r>
        <w:rPr>
          <w:b/>
          <w:bCs/>
          <w:sz w:val="36"/>
          <w:szCs w:val="36"/>
        </w:rPr>
        <w:t xml:space="preserve"> Akash Patel </w:t>
      </w:r>
    </w:p>
    <w:p w14:paraId="5DA97EC2" w14:textId="77777777" w:rsidR="00CB14A3" w:rsidRDefault="00CB14A3" w:rsidP="00CB14A3">
      <w:pPr>
        <w:jc w:val="center"/>
        <w:rPr>
          <w:b/>
          <w:bCs/>
          <w:sz w:val="36"/>
          <w:szCs w:val="36"/>
        </w:rPr>
      </w:pPr>
      <w:r w:rsidRPr="00423837">
        <w:rPr>
          <w:b/>
          <w:bCs/>
          <w:sz w:val="36"/>
          <w:szCs w:val="36"/>
        </w:rPr>
        <w:t xml:space="preserve">Student ID: </w:t>
      </w:r>
      <w:r>
        <w:rPr>
          <w:b/>
          <w:bCs/>
          <w:sz w:val="36"/>
          <w:szCs w:val="36"/>
        </w:rPr>
        <w:t>2538074</w:t>
      </w:r>
    </w:p>
    <w:p w14:paraId="4A70CB91" w14:textId="77777777" w:rsidR="00CB14A3" w:rsidRDefault="00CB14A3" w:rsidP="00CB14A3">
      <w:pPr>
        <w:jc w:val="center"/>
        <w:rPr>
          <w:b/>
          <w:bCs/>
          <w:sz w:val="36"/>
          <w:szCs w:val="36"/>
        </w:rPr>
      </w:pPr>
    </w:p>
    <w:p w14:paraId="3938EA0D" w14:textId="2D440EB3" w:rsidR="006227CE" w:rsidRDefault="00CB14A3" w:rsidP="00CB14A3">
      <w:pPr>
        <w:jc w:val="center"/>
      </w:pPr>
      <w:r>
        <w:rPr>
          <w:b/>
          <w:bCs/>
          <w:sz w:val="36"/>
          <w:szCs w:val="36"/>
        </w:rPr>
        <w:t xml:space="preserve">Word Count: </w:t>
      </w:r>
      <w:r>
        <w:rPr>
          <w:b/>
          <w:bCs/>
          <w:sz w:val="36"/>
          <w:szCs w:val="36"/>
        </w:rPr>
        <w:t>5448</w:t>
      </w:r>
      <w:r w:rsidR="006C5E69">
        <w:br w:type="page"/>
      </w:r>
    </w:p>
    <w:p w14:paraId="3938EA0E" w14:textId="77777777" w:rsidR="006227CE" w:rsidRDefault="006C5E69">
      <w:pPr>
        <w:jc w:val="center"/>
        <w:rPr>
          <w:b/>
          <w:bCs/>
          <w:sz w:val="28"/>
          <w:szCs w:val="28"/>
        </w:rPr>
      </w:pPr>
      <w:r>
        <w:rPr>
          <w:b/>
          <w:bCs/>
          <w:sz w:val="28"/>
          <w:szCs w:val="28"/>
        </w:rPr>
        <w:lastRenderedPageBreak/>
        <w:t>Table of contents</w:t>
      </w:r>
    </w:p>
    <w:sdt>
      <w:sdtPr>
        <w:id w:val="-57715819"/>
        <w:docPartObj>
          <w:docPartGallery w:val="Table of Contents"/>
          <w:docPartUnique/>
        </w:docPartObj>
      </w:sdtPr>
      <w:sdtContent>
        <w:p w14:paraId="11F3E30F" w14:textId="517C44A7" w:rsidR="00562958" w:rsidRDefault="006C5E69">
          <w:pPr>
            <w:pStyle w:val="TOC1"/>
            <w:tabs>
              <w:tab w:val="right" w:pos="9350"/>
            </w:tabs>
            <w:rPr>
              <w:rFonts w:asciiTheme="minorHAnsi" w:eastAsiaTheme="minorEastAsia" w:hAnsiTheme="minorHAnsi" w:cstheme="minorBidi"/>
              <w:noProof/>
              <w:sz w:val="22"/>
              <w:szCs w:val="22"/>
              <w:lang w:val="en-IN"/>
            </w:rPr>
          </w:pPr>
          <w:r>
            <w:fldChar w:fldCharType="begin"/>
          </w:r>
          <w:r>
            <w:instrText xml:space="preserve"> TOC \h \u \z \t "Heading 1,1,Heading 2,2,Heading 3,3,Heading 4,4,Heading 5,5,Heading 6,6,"</w:instrText>
          </w:r>
          <w:r>
            <w:fldChar w:fldCharType="separate"/>
          </w:r>
          <w:hyperlink w:anchor="_Toc237448011" w:history="1">
            <w:r w:rsidR="00562958" w:rsidRPr="00A266DE">
              <w:rPr>
                <w:rStyle w:val="Hyperlink"/>
                <w:noProof/>
              </w:rPr>
              <w:t>Introduction</w:t>
            </w:r>
            <w:r w:rsidR="00562958">
              <w:rPr>
                <w:noProof/>
                <w:webHidden/>
              </w:rPr>
              <w:tab/>
            </w:r>
            <w:r w:rsidR="00562958">
              <w:rPr>
                <w:noProof/>
                <w:webHidden/>
              </w:rPr>
              <w:fldChar w:fldCharType="begin"/>
            </w:r>
            <w:r w:rsidR="00562958">
              <w:rPr>
                <w:noProof/>
                <w:webHidden/>
              </w:rPr>
              <w:instrText xml:space="preserve"> PAGEREF _Toc237448011 \h </w:instrText>
            </w:r>
            <w:r w:rsidR="00562958">
              <w:rPr>
                <w:noProof/>
                <w:webHidden/>
              </w:rPr>
            </w:r>
            <w:r w:rsidR="00562958">
              <w:rPr>
                <w:noProof/>
                <w:webHidden/>
              </w:rPr>
              <w:fldChar w:fldCharType="separate"/>
            </w:r>
            <w:r w:rsidR="00413DB3">
              <w:rPr>
                <w:noProof/>
                <w:webHidden/>
              </w:rPr>
              <w:t>4</w:t>
            </w:r>
            <w:r w:rsidR="00562958">
              <w:rPr>
                <w:noProof/>
                <w:webHidden/>
              </w:rPr>
              <w:fldChar w:fldCharType="end"/>
            </w:r>
          </w:hyperlink>
        </w:p>
        <w:p w14:paraId="545A6C3F" w14:textId="0C71A182" w:rsidR="00562958" w:rsidRDefault="00562958">
          <w:pPr>
            <w:pStyle w:val="TOC1"/>
            <w:tabs>
              <w:tab w:val="right" w:pos="9350"/>
            </w:tabs>
            <w:rPr>
              <w:rFonts w:asciiTheme="minorHAnsi" w:eastAsiaTheme="minorEastAsia" w:hAnsiTheme="minorHAnsi" w:cstheme="minorBidi"/>
              <w:noProof/>
              <w:sz w:val="22"/>
              <w:szCs w:val="22"/>
              <w:lang w:val="en-IN"/>
            </w:rPr>
          </w:pPr>
          <w:hyperlink w:anchor="_Toc237448012" w:history="1">
            <w:r w:rsidRPr="00A266DE">
              <w:rPr>
                <w:rStyle w:val="Hyperlink"/>
                <w:noProof/>
              </w:rPr>
              <w:t>1. Financial Health Check</w:t>
            </w:r>
            <w:r>
              <w:rPr>
                <w:noProof/>
                <w:webHidden/>
              </w:rPr>
              <w:tab/>
            </w:r>
            <w:r>
              <w:rPr>
                <w:noProof/>
                <w:webHidden/>
              </w:rPr>
              <w:fldChar w:fldCharType="begin"/>
            </w:r>
            <w:r>
              <w:rPr>
                <w:noProof/>
                <w:webHidden/>
              </w:rPr>
              <w:instrText xml:space="preserve"> PAGEREF _Toc237448012 \h </w:instrText>
            </w:r>
            <w:r>
              <w:rPr>
                <w:noProof/>
                <w:webHidden/>
              </w:rPr>
            </w:r>
            <w:r>
              <w:rPr>
                <w:noProof/>
                <w:webHidden/>
              </w:rPr>
              <w:fldChar w:fldCharType="separate"/>
            </w:r>
            <w:r w:rsidR="00413DB3">
              <w:rPr>
                <w:noProof/>
                <w:webHidden/>
              </w:rPr>
              <w:t>5</w:t>
            </w:r>
            <w:r>
              <w:rPr>
                <w:noProof/>
                <w:webHidden/>
              </w:rPr>
              <w:fldChar w:fldCharType="end"/>
            </w:r>
          </w:hyperlink>
        </w:p>
        <w:p w14:paraId="2BF796C3" w14:textId="64A0FCCC" w:rsidR="00562958" w:rsidRDefault="00562958">
          <w:pPr>
            <w:pStyle w:val="TOC2"/>
            <w:tabs>
              <w:tab w:val="right" w:pos="9350"/>
            </w:tabs>
            <w:rPr>
              <w:rFonts w:asciiTheme="minorHAnsi" w:eastAsiaTheme="minorEastAsia" w:hAnsiTheme="minorHAnsi" w:cstheme="minorBidi"/>
              <w:noProof/>
              <w:sz w:val="22"/>
              <w:szCs w:val="22"/>
              <w:lang w:val="en-IN"/>
            </w:rPr>
          </w:pPr>
          <w:hyperlink w:anchor="_Toc237448013" w:history="1">
            <w:r w:rsidRPr="00A266DE">
              <w:rPr>
                <w:rStyle w:val="Hyperlink"/>
                <w:noProof/>
              </w:rPr>
              <w:t>1.1 Five-Year Financial Performance of Whitbread Plc</w:t>
            </w:r>
            <w:r>
              <w:rPr>
                <w:noProof/>
                <w:webHidden/>
              </w:rPr>
              <w:tab/>
            </w:r>
            <w:r>
              <w:rPr>
                <w:noProof/>
                <w:webHidden/>
              </w:rPr>
              <w:fldChar w:fldCharType="begin"/>
            </w:r>
            <w:r>
              <w:rPr>
                <w:noProof/>
                <w:webHidden/>
              </w:rPr>
              <w:instrText xml:space="preserve"> PAGEREF _Toc237448013 \h </w:instrText>
            </w:r>
            <w:r>
              <w:rPr>
                <w:noProof/>
                <w:webHidden/>
              </w:rPr>
            </w:r>
            <w:r>
              <w:rPr>
                <w:noProof/>
                <w:webHidden/>
              </w:rPr>
              <w:fldChar w:fldCharType="separate"/>
            </w:r>
            <w:r w:rsidR="00413DB3">
              <w:rPr>
                <w:noProof/>
                <w:webHidden/>
              </w:rPr>
              <w:t>5</w:t>
            </w:r>
            <w:r>
              <w:rPr>
                <w:noProof/>
                <w:webHidden/>
              </w:rPr>
              <w:fldChar w:fldCharType="end"/>
            </w:r>
          </w:hyperlink>
        </w:p>
        <w:p w14:paraId="545F8391" w14:textId="49A2DA92" w:rsidR="00562958" w:rsidRDefault="00562958">
          <w:pPr>
            <w:pStyle w:val="TOC3"/>
            <w:tabs>
              <w:tab w:val="right" w:pos="9350"/>
            </w:tabs>
            <w:rPr>
              <w:rFonts w:asciiTheme="minorHAnsi" w:eastAsiaTheme="minorEastAsia" w:hAnsiTheme="minorHAnsi" w:cstheme="minorBidi"/>
              <w:noProof/>
              <w:sz w:val="22"/>
              <w:szCs w:val="22"/>
              <w:lang w:val="en-IN"/>
            </w:rPr>
          </w:pPr>
          <w:hyperlink w:anchor="_Toc237448014" w:history="1">
            <w:r w:rsidRPr="00A266DE">
              <w:rPr>
                <w:rStyle w:val="Hyperlink"/>
                <w:noProof/>
              </w:rPr>
              <w:t>1.1.1 Income statement analysis</w:t>
            </w:r>
            <w:r>
              <w:rPr>
                <w:noProof/>
                <w:webHidden/>
              </w:rPr>
              <w:tab/>
            </w:r>
            <w:r>
              <w:rPr>
                <w:noProof/>
                <w:webHidden/>
              </w:rPr>
              <w:fldChar w:fldCharType="begin"/>
            </w:r>
            <w:r>
              <w:rPr>
                <w:noProof/>
                <w:webHidden/>
              </w:rPr>
              <w:instrText xml:space="preserve"> PAGEREF _Toc237448014 \h </w:instrText>
            </w:r>
            <w:r>
              <w:rPr>
                <w:noProof/>
                <w:webHidden/>
              </w:rPr>
            </w:r>
            <w:r>
              <w:rPr>
                <w:noProof/>
                <w:webHidden/>
              </w:rPr>
              <w:fldChar w:fldCharType="separate"/>
            </w:r>
            <w:r w:rsidR="00413DB3">
              <w:rPr>
                <w:noProof/>
                <w:webHidden/>
              </w:rPr>
              <w:t>5</w:t>
            </w:r>
            <w:r>
              <w:rPr>
                <w:noProof/>
                <w:webHidden/>
              </w:rPr>
              <w:fldChar w:fldCharType="end"/>
            </w:r>
          </w:hyperlink>
        </w:p>
        <w:p w14:paraId="6F472B83" w14:textId="5D160D43" w:rsidR="00562958" w:rsidRDefault="00562958">
          <w:pPr>
            <w:pStyle w:val="TOC3"/>
            <w:tabs>
              <w:tab w:val="right" w:pos="9350"/>
            </w:tabs>
            <w:rPr>
              <w:rFonts w:asciiTheme="minorHAnsi" w:eastAsiaTheme="minorEastAsia" w:hAnsiTheme="minorHAnsi" w:cstheme="minorBidi"/>
              <w:noProof/>
              <w:sz w:val="22"/>
              <w:szCs w:val="22"/>
              <w:lang w:val="en-IN"/>
            </w:rPr>
          </w:pPr>
          <w:hyperlink w:anchor="_Toc237448015" w:history="1">
            <w:r w:rsidRPr="00A266DE">
              <w:rPr>
                <w:rStyle w:val="Hyperlink"/>
                <w:noProof/>
              </w:rPr>
              <w:t>1.1.2 Balance sheet analysis</w:t>
            </w:r>
            <w:r>
              <w:rPr>
                <w:noProof/>
                <w:webHidden/>
              </w:rPr>
              <w:tab/>
            </w:r>
            <w:r>
              <w:rPr>
                <w:noProof/>
                <w:webHidden/>
              </w:rPr>
              <w:fldChar w:fldCharType="begin"/>
            </w:r>
            <w:r>
              <w:rPr>
                <w:noProof/>
                <w:webHidden/>
              </w:rPr>
              <w:instrText xml:space="preserve"> PAGEREF _Toc237448015 \h </w:instrText>
            </w:r>
            <w:r>
              <w:rPr>
                <w:noProof/>
                <w:webHidden/>
              </w:rPr>
            </w:r>
            <w:r>
              <w:rPr>
                <w:noProof/>
                <w:webHidden/>
              </w:rPr>
              <w:fldChar w:fldCharType="separate"/>
            </w:r>
            <w:r w:rsidR="00413DB3">
              <w:rPr>
                <w:noProof/>
                <w:webHidden/>
              </w:rPr>
              <w:t>6</w:t>
            </w:r>
            <w:r>
              <w:rPr>
                <w:noProof/>
                <w:webHidden/>
              </w:rPr>
              <w:fldChar w:fldCharType="end"/>
            </w:r>
          </w:hyperlink>
        </w:p>
        <w:p w14:paraId="185D38A1" w14:textId="028833F4" w:rsidR="00562958" w:rsidRDefault="00562958">
          <w:pPr>
            <w:pStyle w:val="TOC2"/>
            <w:tabs>
              <w:tab w:val="right" w:pos="9350"/>
            </w:tabs>
            <w:rPr>
              <w:rFonts w:asciiTheme="minorHAnsi" w:eastAsiaTheme="minorEastAsia" w:hAnsiTheme="minorHAnsi" w:cstheme="minorBidi"/>
              <w:noProof/>
              <w:sz w:val="22"/>
              <w:szCs w:val="22"/>
              <w:lang w:val="en-IN"/>
            </w:rPr>
          </w:pPr>
          <w:hyperlink w:anchor="_Toc237448016" w:history="1">
            <w:r w:rsidRPr="00A266DE">
              <w:rPr>
                <w:rStyle w:val="Hyperlink"/>
                <w:noProof/>
              </w:rPr>
              <w:t>1.2 Liquidity Ratios</w:t>
            </w:r>
            <w:r>
              <w:rPr>
                <w:noProof/>
                <w:webHidden/>
              </w:rPr>
              <w:tab/>
            </w:r>
            <w:r>
              <w:rPr>
                <w:noProof/>
                <w:webHidden/>
              </w:rPr>
              <w:fldChar w:fldCharType="begin"/>
            </w:r>
            <w:r>
              <w:rPr>
                <w:noProof/>
                <w:webHidden/>
              </w:rPr>
              <w:instrText xml:space="preserve"> PAGEREF _Toc237448016 \h </w:instrText>
            </w:r>
            <w:r>
              <w:rPr>
                <w:noProof/>
                <w:webHidden/>
              </w:rPr>
            </w:r>
            <w:r>
              <w:rPr>
                <w:noProof/>
                <w:webHidden/>
              </w:rPr>
              <w:fldChar w:fldCharType="separate"/>
            </w:r>
            <w:r w:rsidR="00413DB3">
              <w:rPr>
                <w:noProof/>
                <w:webHidden/>
              </w:rPr>
              <w:t>7</w:t>
            </w:r>
            <w:r>
              <w:rPr>
                <w:noProof/>
                <w:webHidden/>
              </w:rPr>
              <w:fldChar w:fldCharType="end"/>
            </w:r>
          </w:hyperlink>
        </w:p>
        <w:p w14:paraId="4B522BAA" w14:textId="1519A24B" w:rsidR="00562958" w:rsidRDefault="00562958">
          <w:pPr>
            <w:pStyle w:val="TOC2"/>
            <w:tabs>
              <w:tab w:val="right" w:pos="9350"/>
            </w:tabs>
            <w:rPr>
              <w:rFonts w:asciiTheme="minorHAnsi" w:eastAsiaTheme="minorEastAsia" w:hAnsiTheme="minorHAnsi" w:cstheme="minorBidi"/>
              <w:noProof/>
              <w:sz w:val="22"/>
              <w:szCs w:val="22"/>
              <w:lang w:val="en-IN"/>
            </w:rPr>
          </w:pPr>
          <w:hyperlink w:anchor="_Toc237448017" w:history="1">
            <w:r w:rsidRPr="00A266DE">
              <w:rPr>
                <w:rStyle w:val="Hyperlink"/>
                <w:noProof/>
              </w:rPr>
              <w:t>1.3 Efficiency Ratios</w:t>
            </w:r>
            <w:r>
              <w:rPr>
                <w:noProof/>
                <w:webHidden/>
              </w:rPr>
              <w:tab/>
            </w:r>
            <w:r>
              <w:rPr>
                <w:noProof/>
                <w:webHidden/>
              </w:rPr>
              <w:fldChar w:fldCharType="begin"/>
            </w:r>
            <w:r>
              <w:rPr>
                <w:noProof/>
                <w:webHidden/>
              </w:rPr>
              <w:instrText xml:space="preserve"> PAGEREF _Toc237448017 \h </w:instrText>
            </w:r>
            <w:r>
              <w:rPr>
                <w:noProof/>
                <w:webHidden/>
              </w:rPr>
            </w:r>
            <w:r>
              <w:rPr>
                <w:noProof/>
                <w:webHidden/>
              </w:rPr>
              <w:fldChar w:fldCharType="separate"/>
            </w:r>
            <w:r w:rsidR="00413DB3">
              <w:rPr>
                <w:noProof/>
                <w:webHidden/>
              </w:rPr>
              <w:t>8</w:t>
            </w:r>
            <w:r>
              <w:rPr>
                <w:noProof/>
                <w:webHidden/>
              </w:rPr>
              <w:fldChar w:fldCharType="end"/>
            </w:r>
          </w:hyperlink>
        </w:p>
        <w:p w14:paraId="2A61F4EC" w14:textId="19705469" w:rsidR="00562958" w:rsidRDefault="00562958">
          <w:pPr>
            <w:pStyle w:val="TOC2"/>
            <w:tabs>
              <w:tab w:val="right" w:pos="9350"/>
            </w:tabs>
            <w:rPr>
              <w:rFonts w:asciiTheme="minorHAnsi" w:eastAsiaTheme="minorEastAsia" w:hAnsiTheme="minorHAnsi" w:cstheme="minorBidi"/>
              <w:noProof/>
              <w:sz w:val="22"/>
              <w:szCs w:val="22"/>
              <w:lang w:val="en-IN"/>
            </w:rPr>
          </w:pPr>
          <w:hyperlink w:anchor="_Toc237448018" w:history="1">
            <w:r w:rsidRPr="00A266DE">
              <w:rPr>
                <w:rStyle w:val="Hyperlink"/>
                <w:noProof/>
              </w:rPr>
              <w:t>1.4 Profitability Ratios</w:t>
            </w:r>
            <w:r>
              <w:rPr>
                <w:noProof/>
                <w:webHidden/>
              </w:rPr>
              <w:tab/>
            </w:r>
            <w:r>
              <w:rPr>
                <w:noProof/>
                <w:webHidden/>
              </w:rPr>
              <w:fldChar w:fldCharType="begin"/>
            </w:r>
            <w:r>
              <w:rPr>
                <w:noProof/>
                <w:webHidden/>
              </w:rPr>
              <w:instrText xml:space="preserve"> PAGEREF _Toc237448018 \h </w:instrText>
            </w:r>
            <w:r>
              <w:rPr>
                <w:noProof/>
                <w:webHidden/>
              </w:rPr>
            </w:r>
            <w:r>
              <w:rPr>
                <w:noProof/>
                <w:webHidden/>
              </w:rPr>
              <w:fldChar w:fldCharType="separate"/>
            </w:r>
            <w:r w:rsidR="00413DB3">
              <w:rPr>
                <w:noProof/>
                <w:webHidden/>
              </w:rPr>
              <w:t>9</w:t>
            </w:r>
            <w:r>
              <w:rPr>
                <w:noProof/>
                <w:webHidden/>
              </w:rPr>
              <w:fldChar w:fldCharType="end"/>
            </w:r>
          </w:hyperlink>
        </w:p>
        <w:p w14:paraId="0AFDC540" w14:textId="4CEC3CF5" w:rsidR="00562958" w:rsidRDefault="00562958">
          <w:pPr>
            <w:pStyle w:val="TOC2"/>
            <w:tabs>
              <w:tab w:val="right" w:pos="9350"/>
            </w:tabs>
            <w:rPr>
              <w:rFonts w:asciiTheme="minorHAnsi" w:eastAsiaTheme="minorEastAsia" w:hAnsiTheme="minorHAnsi" w:cstheme="minorBidi"/>
              <w:noProof/>
              <w:sz w:val="22"/>
              <w:szCs w:val="22"/>
              <w:lang w:val="en-IN"/>
            </w:rPr>
          </w:pPr>
          <w:hyperlink w:anchor="_Toc237448019" w:history="1">
            <w:r w:rsidRPr="00A266DE">
              <w:rPr>
                <w:rStyle w:val="Hyperlink"/>
                <w:noProof/>
              </w:rPr>
              <w:t>1.5 Gearing Ratios</w:t>
            </w:r>
            <w:r>
              <w:rPr>
                <w:noProof/>
                <w:webHidden/>
              </w:rPr>
              <w:tab/>
            </w:r>
            <w:r>
              <w:rPr>
                <w:noProof/>
                <w:webHidden/>
              </w:rPr>
              <w:fldChar w:fldCharType="begin"/>
            </w:r>
            <w:r>
              <w:rPr>
                <w:noProof/>
                <w:webHidden/>
              </w:rPr>
              <w:instrText xml:space="preserve"> PAGEREF _Toc237448019 \h </w:instrText>
            </w:r>
            <w:r>
              <w:rPr>
                <w:noProof/>
                <w:webHidden/>
              </w:rPr>
            </w:r>
            <w:r>
              <w:rPr>
                <w:noProof/>
                <w:webHidden/>
              </w:rPr>
              <w:fldChar w:fldCharType="separate"/>
            </w:r>
            <w:r w:rsidR="00413DB3">
              <w:rPr>
                <w:noProof/>
                <w:webHidden/>
              </w:rPr>
              <w:t>11</w:t>
            </w:r>
            <w:r>
              <w:rPr>
                <w:noProof/>
                <w:webHidden/>
              </w:rPr>
              <w:fldChar w:fldCharType="end"/>
            </w:r>
          </w:hyperlink>
        </w:p>
        <w:p w14:paraId="4484CE9D" w14:textId="2718A116" w:rsidR="00562958" w:rsidRDefault="00562958">
          <w:pPr>
            <w:pStyle w:val="TOC2"/>
            <w:tabs>
              <w:tab w:val="right" w:pos="9350"/>
            </w:tabs>
            <w:rPr>
              <w:rFonts w:asciiTheme="minorHAnsi" w:eastAsiaTheme="minorEastAsia" w:hAnsiTheme="minorHAnsi" w:cstheme="minorBidi"/>
              <w:noProof/>
              <w:sz w:val="22"/>
              <w:szCs w:val="22"/>
              <w:lang w:val="en-IN"/>
            </w:rPr>
          </w:pPr>
          <w:hyperlink w:anchor="_Toc237448020" w:history="1">
            <w:r w:rsidRPr="00A266DE">
              <w:rPr>
                <w:rStyle w:val="Hyperlink"/>
                <w:noProof/>
              </w:rPr>
              <w:t>1.6 Investment Ratios</w:t>
            </w:r>
            <w:r>
              <w:rPr>
                <w:noProof/>
                <w:webHidden/>
              </w:rPr>
              <w:tab/>
            </w:r>
            <w:r>
              <w:rPr>
                <w:noProof/>
                <w:webHidden/>
              </w:rPr>
              <w:fldChar w:fldCharType="begin"/>
            </w:r>
            <w:r>
              <w:rPr>
                <w:noProof/>
                <w:webHidden/>
              </w:rPr>
              <w:instrText xml:space="preserve"> PAGEREF _Toc237448020 \h </w:instrText>
            </w:r>
            <w:r>
              <w:rPr>
                <w:noProof/>
                <w:webHidden/>
              </w:rPr>
            </w:r>
            <w:r>
              <w:rPr>
                <w:noProof/>
                <w:webHidden/>
              </w:rPr>
              <w:fldChar w:fldCharType="separate"/>
            </w:r>
            <w:r w:rsidR="00413DB3">
              <w:rPr>
                <w:noProof/>
                <w:webHidden/>
              </w:rPr>
              <w:t>12</w:t>
            </w:r>
            <w:r>
              <w:rPr>
                <w:noProof/>
                <w:webHidden/>
              </w:rPr>
              <w:fldChar w:fldCharType="end"/>
            </w:r>
          </w:hyperlink>
        </w:p>
        <w:p w14:paraId="35F736E0" w14:textId="10B21529" w:rsidR="00562958" w:rsidRDefault="00562958">
          <w:pPr>
            <w:pStyle w:val="TOC2"/>
            <w:tabs>
              <w:tab w:val="right" w:pos="9350"/>
            </w:tabs>
            <w:rPr>
              <w:rFonts w:asciiTheme="minorHAnsi" w:eastAsiaTheme="minorEastAsia" w:hAnsiTheme="minorHAnsi" w:cstheme="minorBidi"/>
              <w:noProof/>
              <w:sz w:val="22"/>
              <w:szCs w:val="22"/>
              <w:lang w:val="en-IN"/>
            </w:rPr>
          </w:pPr>
          <w:hyperlink w:anchor="_Toc237448021" w:history="1">
            <w:r w:rsidRPr="00A266DE">
              <w:rPr>
                <w:rStyle w:val="Hyperlink"/>
                <w:noProof/>
              </w:rPr>
              <w:t>1.7 Cash Flow Ratios</w:t>
            </w:r>
            <w:r>
              <w:rPr>
                <w:noProof/>
                <w:webHidden/>
              </w:rPr>
              <w:tab/>
            </w:r>
            <w:r>
              <w:rPr>
                <w:noProof/>
                <w:webHidden/>
              </w:rPr>
              <w:fldChar w:fldCharType="begin"/>
            </w:r>
            <w:r>
              <w:rPr>
                <w:noProof/>
                <w:webHidden/>
              </w:rPr>
              <w:instrText xml:space="preserve"> PAGEREF _Toc237448021 \h </w:instrText>
            </w:r>
            <w:r>
              <w:rPr>
                <w:noProof/>
                <w:webHidden/>
              </w:rPr>
            </w:r>
            <w:r>
              <w:rPr>
                <w:noProof/>
                <w:webHidden/>
              </w:rPr>
              <w:fldChar w:fldCharType="separate"/>
            </w:r>
            <w:r w:rsidR="00413DB3">
              <w:rPr>
                <w:noProof/>
                <w:webHidden/>
              </w:rPr>
              <w:t>13</w:t>
            </w:r>
            <w:r>
              <w:rPr>
                <w:noProof/>
                <w:webHidden/>
              </w:rPr>
              <w:fldChar w:fldCharType="end"/>
            </w:r>
          </w:hyperlink>
        </w:p>
        <w:p w14:paraId="6801010B" w14:textId="462CE39C" w:rsidR="00562958" w:rsidRDefault="00562958">
          <w:pPr>
            <w:pStyle w:val="TOC2"/>
            <w:tabs>
              <w:tab w:val="right" w:pos="9350"/>
            </w:tabs>
            <w:rPr>
              <w:rFonts w:asciiTheme="minorHAnsi" w:eastAsiaTheme="minorEastAsia" w:hAnsiTheme="minorHAnsi" w:cstheme="minorBidi"/>
              <w:noProof/>
              <w:sz w:val="22"/>
              <w:szCs w:val="22"/>
              <w:lang w:val="en-IN"/>
            </w:rPr>
          </w:pPr>
          <w:hyperlink w:anchor="_Toc237448022" w:history="1">
            <w:r w:rsidRPr="00A266DE">
              <w:rPr>
                <w:rStyle w:val="Hyperlink"/>
                <w:noProof/>
              </w:rPr>
              <w:t>1.8 Liquidity ratio comparison</w:t>
            </w:r>
            <w:r>
              <w:rPr>
                <w:noProof/>
                <w:webHidden/>
              </w:rPr>
              <w:tab/>
            </w:r>
            <w:r>
              <w:rPr>
                <w:noProof/>
                <w:webHidden/>
              </w:rPr>
              <w:fldChar w:fldCharType="begin"/>
            </w:r>
            <w:r>
              <w:rPr>
                <w:noProof/>
                <w:webHidden/>
              </w:rPr>
              <w:instrText xml:space="preserve"> PAGEREF _Toc237448022 \h </w:instrText>
            </w:r>
            <w:r>
              <w:rPr>
                <w:noProof/>
                <w:webHidden/>
              </w:rPr>
            </w:r>
            <w:r>
              <w:rPr>
                <w:noProof/>
                <w:webHidden/>
              </w:rPr>
              <w:fldChar w:fldCharType="separate"/>
            </w:r>
            <w:r w:rsidR="00413DB3">
              <w:rPr>
                <w:noProof/>
                <w:webHidden/>
              </w:rPr>
              <w:t>14</w:t>
            </w:r>
            <w:r>
              <w:rPr>
                <w:noProof/>
                <w:webHidden/>
              </w:rPr>
              <w:fldChar w:fldCharType="end"/>
            </w:r>
          </w:hyperlink>
        </w:p>
        <w:p w14:paraId="099202C1" w14:textId="67AA21C4" w:rsidR="00562958" w:rsidRDefault="00562958">
          <w:pPr>
            <w:pStyle w:val="TOC3"/>
            <w:tabs>
              <w:tab w:val="right" w:pos="9350"/>
            </w:tabs>
            <w:rPr>
              <w:rFonts w:asciiTheme="minorHAnsi" w:eastAsiaTheme="minorEastAsia" w:hAnsiTheme="minorHAnsi" w:cstheme="minorBidi"/>
              <w:noProof/>
              <w:sz w:val="22"/>
              <w:szCs w:val="22"/>
              <w:lang w:val="en-IN"/>
            </w:rPr>
          </w:pPr>
          <w:hyperlink w:anchor="_Toc237448023" w:history="1">
            <w:r w:rsidRPr="00A266DE">
              <w:rPr>
                <w:rStyle w:val="Hyperlink"/>
                <w:noProof/>
              </w:rPr>
              <w:t>1.8.1 Evaluation of the liquidity ratio with industry benchmark</w:t>
            </w:r>
            <w:r>
              <w:rPr>
                <w:noProof/>
                <w:webHidden/>
              </w:rPr>
              <w:tab/>
            </w:r>
            <w:r>
              <w:rPr>
                <w:noProof/>
                <w:webHidden/>
              </w:rPr>
              <w:fldChar w:fldCharType="begin"/>
            </w:r>
            <w:r>
              <w:rPr>
                <w:noProof/>
                <w:webHidden/>
              </w:rPr>
              <w:instrText xml:space="preserve"> PAGEREF _Toc237448023 \h </w:instrText>
            </w:r>
            <w:r>
              <w:rPr>
                <w:noProof/>
                <w:webHidden/>
              </w:rPr>
            </w:r>
            <w:r>
              <w:rPr>
                <w:noProof/>
                <w:webHidden/>
              </w:rPr>
              <w:fldChar w:fldCharType="separate"/>
            </w:r>
            <w:r w:rsidR="00413DB3">
              <w:rPr>
                <w:noProof/>
                <w:webHidden/>
              </w:rPr>
              <w:t>14</w:t>
            </w:r>
            <w:r>
              <w:rPr>
                <w:noProof/>
                <w:webHidden/>
              </w:rPr>
              <w:fldChar w:fldCharType="end"/>
            </w:r>
          </w:hyperlink>
        </w:p>
        <w:p w14:paraId="41804DFA" w14:textId="3B4BE763" w:rsidR="00562958" w:rsidRDefault="00562958">
          <w:pPr>
            <w:pStyle w:val="TOC3"/>
            <w:tabs>
              <w:tab w:val="right" w:pos="9350"/>
            </w:tabs>
            <w:rPr>
              <w:rFonts w:asciiTheme="minorHAnsi" w:eastAsiaTheme="minorEastAsia" w:hAnsiTheme="minorHAnsi" w:cstheme="minorBidi"/>
              <w:noProof/>
              <w:sz w:val="22"/>
              <w:szCs w:val="22"/>
              <w:lang w:val="en-IN"/>
            </w:rPr>
          </w:pPr>
          <w:hyperlink w:anchor="_Toc237448024" w:history="1">
            <w:r w:rsidRPr="00A266DE">
              <w:rPr>
                <w:rStyle w:val="Hyperlink"/>
                <w:noProof/>
              </w:rPr>
              <w:t>1.8.2 Impact of firm performance based on liquidity ratio</w:t>
            </w:r>
            <w:r>
              <w:rPr>
                <w:noProof/>
                <w:webHidden/>
              </w:rPr>
              <w:tab/>
            </w:r>
            <w:r>
              <w:rPr>
                <w:noProof/>
                <w:webHidden/>
              </w:rPr>
              <w:fldChar w:fldCharType="begin"/>
            </w:r>
            <w:r>
              <w:rPr>
                <w:noProof/>
                <w:webHidden/>
              </w:rPr>
              <w:instrText xml:space="preserve"> PAGEREF _Toc237448024 \h </w:instrText>
            </w:r>
            <w:r>
              <w:rPr>
                <w:noProof/>
                <w:webHidden/>
              </w:rPr>
            </w:r>
            <w:r>
              <w:rPr>
                <w:noProof/>
                <w:webHidden/>
              </w:rPr>
              <w:fldChar w:fldCharType="separate"/>
            </w:r>
            <w:r w:rsidR="00413DB3">
              <w:rPr>
                <w:noProof/>
                <w:webHidden/>
              </w:rPr>
              <w:t>14</w:t>
            </w:r>
            <w:r>
              <w:rPr>
                <w:noProof/>
                <w:webHidden/>
              </w:rPr>
              <w:fldChar w:fldCharType="end"/>
            </w:r>
          </w:hyperlink>
        </w:p>
        <w:p w14:paraId="723C3B92" w14:textId="49C3AECD" w:rsidR="00562958" w:rsidRDefault="00562958">
          <w:pPr>
            <w:pStyle w:val="TOC1"/>
            <w:tabs>
              <w:tab w:val="right" w:pos="9350"/>
            </w:tabs>
            <w:rPr>
              <w:rFonts w:asciiTheme="minorHAnsi" w:eastAsiaTheme="minorEastAsia" w:hAnsiTheme="minorHAnsi" w:cstheme="minorBidi"/>
              <w:noProof/>
              <w:sz w:val="22"/>
              <w:szCs w:val="22"/>
              <w:lang w:val="en-IN"/>
            </w:rPr>
          </w:pPr>
          <w:hyperlink w:anchor="_Toc237448025" w:history="1">
            <w:r w:rsidRPr="00A266DE">
              <w:rPr>
                <w:rStyle w:val="Hyperlink"/>
                <w:noProof/>
              </w:rPr>
              <w:t>2. Working Capital Management Analysis</w:t>
            </w:r>
            <w:r>
              <w:rPr>
                <w:noProof/>
                <w:webHidden/>
              </w:rPr>
              <w:tab/>
            </w:r>
            <w:r>
              <w:rPr>
                <w:noProof/>
                <w:webHidden/>
              </w:rPr>
              <w:fldChar w:fldCharType="begin"/>
            </w:r>
            <w:r>
              <w:rPr>
                <w:noProof/>
                <w:webHidden/>
              </w:rPr>
              <w:instrText xml:space="preserve"> PAGEREF _Toc237448025 \h </w:instrText>
            </w:r>
            <w:r>
              <w:rPr>
                <w:noProof/>
                <w:webHidden/>
              </w:rPr>
            </w:r>
            <w:r>
              <w:rPr>
                <w:noProof/>
                <w:webHidden/>
              </w:rPr>
              <w:fldChar w:fldCharType="separate"/>
            </w:r>
            <w:r w:rsidR="00413DB3">
              <w:rPr>
                <w:noProof/>
                <w:webHidden/>
              </w:rPr>
              <w:t>15</w:t>
            </w:r>
            <w:r>
              <w:rPr>
                <w:noProof/>
                <w:webHidden/>
              </w:rPr>
              <w:fldChar w:fldCharType="end"/>
            </w:r>
          </w:hyperlink>
        </w:p>
        <w:p w14:paraId="0BC64262" w14:textId="06950009" w:rsidR="00562958" w:rsidRDefault="00562958">
          <w:pPr>
            <w:pStyle w:val="TOC2"/>
            <w:tabs>
              <w:tab w:val="right" w:pos="9350"/>
            </w:tabs>
            <w:rPr>
              <w:rFonts w:asciiTheme="minorHAnsi" w:eastAsiaTheme="minorEastAsia" w:hAnsiTheme="minorHAnsi" w:cstheme="minorBidi"/>
              <w:noProof/>
              <w:sz w:val="22"/>
              <w:szCs w:val="22"/>
              <w:lang w:val="en-IN"/>
            </w:rPr>
          </w:pPr>
          <w:hyperlink w:anchor="_Toc237448026" w:history="1">
            <w:r w:rsidRPr="00A266DE">
              <w:rPr>
                <w:rStyle w:val="Hyperlink"/>
                <w:noProof/>
              </w:rPr>
              <w:t>2.1 Discussion of Cash Operating Cycle Performance</w:t>
            </w:r>
            <w:r>
              <w:rPr>
                <w:noProof/>
                <w:webHidden/>
              </w:rPr>
              <w:tab/>
            </w:r>
            <w:r>
              <w:rPr>
                <w:noProof/>
                <w:webHidden/>
              </w:rPr>
              <w:fldChar w:fldCharType="begin"/>
            </w:r>
            <w:r>
              <w:rPr>
                <w:noProof/>
                <w:webHidden/>
              </w:rPr>
              <w:instrText xml:space="preserve"> PAGEREF _Toc237448026 \h </w:instrText>
            </w:r>
            <w:r>
              <w:rPr>
                <w:noProof/>
                <w:webHidden/>
              </w:rPr>
            </w:r>
            <w:r>
              <w:rPr>
                <w:noProof/>
                <w:webHidden/>
              </w:rPr>
              <w:fldChar w:fldCharType="separate"/>
            </w:r>
            <w:r w:rsidR="00413DB3">
              <w:rPr>
                <w:noProof/>
                <w:webHidden/>
              </w:rPr>
              <w:t>15</w:t>
            </w:r>
            <w:r>
              <w:rPr>
                <w:noProof/>
                <w:webHidden/>
              </w:rPr>
              <w:fldChar w:fldCharType="end"/>
            </w:r>
          </w:hyperlink>
        </w:p>
        <w:p w14:paraId="4FED6445" w14:textId="4F61D52C" w:rsidR="00562958" w:rsidRDefault="00562958">
          <w:pPr>
            <w:pStyle w:val="TOC2"/>
            <w:tabs>
              <w:tab w:val="right" w:pos="9350"/>
            </w:tabs>
            <w:rPr>
              <w:rFonts w:asciiTheme="minorHAnsi" w:eastAsiaTheme="minorEastAsia" w:hAnsiTheme="minorHAnsi" w:cstheme="minorBidi"/>
              <w:noProof/>
              <w:sz w:val="22"/>
              <w:szCs w:val="22"/>
              <w:lang w:val="en-IN"/>
            </w:rPr>
          </w:pPr>
          <w:hyperlink w:anchor="_Toc237448027" w:history="1">
            <w:r w:rsidRPr="00A266DE">
              <w:rPr>
                <w:rStyle w:val="Hyperlink"/>
                <w:noProof/>
              </w:rPr>
              <w:t>2.2 Working Capital Challenges</w:t>
            </w:r>
            <w:r>
              <w:rPr>
                <w:noProof/>
                <w:webHidden/>
              </w:rPr>
              <w:tab/>
            </w:r>
            <w:r>
              <w:rPr>
                <w:noProof/>
                <w:webHidden/>
              </w:rPr>
              <w:fldChar w:fldCharType="begin"/>
            </w:r>
            <w:r>
              <w:rPr>
                <w:noProof/>
                <w:webHidden/>
              </w:rPr>
              <w:instrText xml:space="preserve"> PAGEREF _Toc237448027 \h </w:instrText>
            </w:r>
            <w:r>
              <w:rPr>
                <w:noProof/>
                <w:webHidden/>
              </w:rPr>
            </w:r>
            <w:r>
              <w:rPr>
                <w:noProof/>
                <w:webHidden/>
              </w:rPr>
              <w:fldChar w:fldCharType="separate"/>
            </w:r>
            <w:r w:rsidR="00413DB3">
              <w:rPr>
                <w:noProof/>
                <w:webHidden/>
              </w:rPr>
              <w:t>18</w:t>
            </w:r>
            <w:r>
              <w:rPr>
                <w:noProof/>
                <w:webHidden/>
              </w:rPr>
              <w:fldChar w:fldCharType="end"/>
            </w:r>
          </w:hyperlink>
        </w:p>
        <w:p w14:paraId="612C8D85" w14:textId="75B49FEC" w:rsidR="00562958" w:rsidRDefault="00562958">
          <w:pPr>
            <w:pStyle w:val="TOC2"/>
            <w:tabs>
              <w:tab w:val="right" w:pos="9350"/>
            </w:tabs>
            <w:rPr>
              <w:rFonts w:asciiTheme="minorHAnsi" w:eastAsiaTheme="minorEastAsia" w:hAnsiTheme="minorHAnsi" w:cstheme="minorBidi"/>
              <w:noProof/>
              <w:sz w:val="22"/>
              <w:szCs w:val="22"/>
              <w:lang w:val="en-IN"/>
            </w:rPr>
          </w:pPr>
          <w:hyperlink w:anchor="_Toc237448028" w:history="1">
            <w:r w:rsidRPr="00A266DE">
              <w:rPr>
                <w:rStyle w:val="Hyperlink"/>
                <w:noProof/>
              </w:rPr>
              <w:t>2.3 Recommendation to improve liquidity of working capital</w:t>
            </w:r>
            <w:r>
              <w:rPr>
                <w:noProof/>
                <w:webHidden/>
              </w:rPr>
              <w:tab/>
            </w:r>
            <w:r>
              <w:rPr>
                <w:noProof/>
                <w:webHidden/>
              </w:rPr>
              <w:fldChar w:fldCharType="begin"/>
            </w:r>
            <w:r>
              <w:rPr>
                <w:noProof/>
                <w:webHidden/>
              </w:rPr>
              <w:instrText xml:space="preserve"> PAGEREF _Toc237448028 \h </w:instrText>
            </w:r>
            <w:r>
              <w:rPr>
                <w:noProof/>
                <w:webHidden/>
              </w:rPr>
            </w:r>
            <w:r>
              <w:rPr>
                <w:noProof/>
                <w:webHidden/>
              </w:rPr>
              <w:fldChar w:fldCharType="separate"/>
            </w:r>
            <w:r w:rsidR="00413DB3">
              <w:rPr>
                <w:noProof/>
                <w:webHidden/>
              </w:rPr>
              <w:t>18</w:t>
            </w:r>
            <w:r>
              <w:rPr>
                <w:noProof/>
                <w:webHidden/>
              </w:rPr>
              <w:fldChar w:fldCharType="end"/>
            </w:r>
          </w:hyperlink>
        </w:p>
        <w:p w14:paraId="053E1B16" w14:textId="001375DC" w:rsidR="00562958" w:rsidRDefault="00562958">
          <w:pPr>
            <w:pStyle w:val="TOC3"/>
            <w:tabs>
              <w:tab w:val="right" w:pos="9350"/>
            </w:tabs>
            <w:rPr>
              <w:rFonts w:asciiTheme="minorHAnsi" w:eastAsiaTheme="minorEastAsia" w:hAnsiTheme="minorHAnsi" w:cstheme="minorBidi"/>
              <w:noProof/>
              <w:sz w:val="22"/>
              <w:szCs w:val="22"/>
              <w:lang w:val="en-IN"/>
            </w:rPr>
          </w:pPr>
          <w:hyperlink w:anchor="_Toc237448029" w:history="1">
            <w:r w:rsidRPr="00A266DE">
              <w:rPr>
                <w:rStyle w:val="Hyperlink"/>
                <w:noProof/>
              </w:rPr>
              <w:t>2.3.1 Optimising inventory</w:t>
            </w:r>
            <w:r>
              <w:rPr>
                <w:noProof/>
                <w:webHidden/>
              </w:rPr>
              <w:tab/>
            </w:r>
            <w:r>
              <w:rPr>
                <w:noProof/>
                <w:webHidden/>
              </w:rPr>
              <w:fldChar w:fldCharType="begin"/>
            </w:r>
            <w:r>
              <w:rPr>
                <w:noProof/>
                <w:webHidden/>
              </w:rPr>
              <w:instrText xml:space="preserve"> PAGEREF _Toc237448029 \h </w:instrText>
            </w:r>
            <w:r>
              <w:rPr>
                <w:noProof/>
                <w:webHidden/>
              </w:rPr>
            </w:r>
            <w:r>
              <w:rPr>
                <w:noProof/>
                <w:webHidden/>
              </w:rPr>
              <w:fldChar w:fldCharType="separate"/>
            </w:r>
            <w:r w:rsidR="00413DB3">
              <w:rPr>
                <w:noProof/>
                <w:webHidden/>
              </w:rPr>
              <w:t>18</w:t>
            </w:r>
            <w:r>
              <w:rPr>
                <w:noProof/>
                <w:webHidden/>
              </w:rPr>
              <w:fldChar w:fldCharType="end"/>
            </w:r>
          </w:hyperlink>
        </w:p>
        <w:p w14:paraId="3AA1C075" w14:textId="0210E409" w:rsidR="00562958" w:rsidRDefault="00562958">
          <w:pPr>
            <w:pStyle w:val="TOC3"/>
            <w:tabs>
              <w:tab w:val="right" w:pos="9350"/>
            </w:tabs>
            <w:rPr>
              <w:rFonts w:asciiTheme="minorHAnsi" w:eastAsiaTheme="minorEastAsia" w:hAnsiTheme="minorHAnsi" w:cstheme="minorBidi"/>
              <w:noProof/>
              <w:sz w:val="22"/>
              <w:szCs w:val="22"/>
              <w:lang w:val="en-IN"/>
            </w:rPr>
          </w:pPr>
          <w:hyperlink w:anchor="_Toc237448030" w:history="1">
            <w:r w:rsidRPr="00A266DE">
              <w:rPr>
                <w:rStyle w:val="Hyperlink"/>
                <w:noProof/>
              </w:rPr>
              <w:t>2.3.2 Streamlining improvement in accounts receivable</w:t>
            </w:r>
            <w:r>
              <w:rPr>
                <w:noProof/>
                <w:webHidden/>
              </w:rPr>
              <w:tab/>
            </w:r>
            <w:r>
              <w:rPr>
                <w:noProof/>
                <w:webHidden/>
              </w:rPr>
              <w:fldChar w:fldCharType="begin"/>
            </w:r>
            <w:r>
              <w:rPr>
                <w:noProof/>
                <w:webHidden/>
              </w:rPr>
              <w:instrText xml:space="preserve"> PAGEREF _Toc237448030 \h </w:instrText>
            </w:r>
            <w:r>
              <w:rPr>
                <w:noProof/>
                <w:webHidden/>
              </w:rPr>
            </w:r>
            <w:r>
              <w:rPr>
                <w:noProof/>
                <w:webHidden/>
              </w:rPr>
              <w:fldChar w:fldCharType="separate"/>
            </w:r>
            <w:r w:rsidR="00413DB3">
              <w:rPr>
                <w:noProof/>
                <w:webHidden/>
              </w:rPr>
              <w:t>19</w:t>
            </w:r>
            <w:r>
              <w:rPr>
                <w:noProof/>
                <w:webHidden/>
              </w:rPr>
              <w:fldChar w:fldCharType="end"/>
            </w:r>
          </w:hyperlink>
        </w:p>
        <w:p w14:paraId="6A611B72" w14:textId="4810113E" w:rsidR="00562958" w:rsidRDefault="00562958">
          <w:pPr>
            <w:pStyle w:val="TOC2"/>
            <w:tabs>
              <w:tab w:val="right" w:pos="9350"/>
            </w:tabs>
            <w:rPr>
              <w:rFonts w:asciiTheme="minorHAnsi" w:eastAsiaTheme="minorEastAsia" w:hAnsiTheme="minorHAnsi" w:cstheme="minorBidi"/>
              <w:noProof/>
              <w:sz w:val="22"/>
              <w:szCs w:val="22"/>
              <w:lang w:val="en-IN"/>
            </w:rPr>
          </w:pPr>
          <w:hyperlink w:anchor="_Toc237448031" w:history="1">
            <w:r w:rsidRPr="00A266DE">
              <w:rPr>
                <w:rStyle w:val="Hyperlink"/>
                <w:noProof/>
              </w:rPr>
              <w:t>2.4 Comparison of financing option</w:t>
            </w:r>
            <w:r>
              <w:rPr>
                <w:noProof/>
                <w:webHidden/>
              </w:rPr>
              <w:tab/>
            </w:r>
            <w:r>
              <w:rPr>
                <w:noProof/>
                <w:webHidden/>
              </w:rPr>
              <w:fldChar w:fldCharType="begin"/>
            </w:r>
            <w:r>
              <w:rPr>
                <w:noProof/>
                <w:webHidden/>
              </w:rPr>
              <w:instrText xml:space="preserve"> PAGEREF _Toc237448031 \h </w:instrText>
            </w:r>
            <w:r>
              <w:rPr>
                <w:noProof/>
                <w:webHidden/>
              </w:rPr>
            </w:r>
            <w:r>
              <w:rPr>
                <w:noProof/>
                <w:webHidden/>
              </w:rPr>
              <w:fldChar w:fldCharType="separate"/>
            </w:r>
            <w:r w:rsidR="00413DB3">
              <w:rPr>
                <w:noProof/>
                <w:webHidden/>
              </w:rPr>
              <w:t>19</w:t>
            </w:r>
            <w:r>
              <w:rPr>
                <w:noProof/>
                <w:webHidden/>
              </w:rPr>
              <w:fldChar w:fldCharType="end"/>
            </w:r>
          </w:hyperlink>
        </w:p>
        <w:p w14:paraId="2A66E78A" w14:textId="03D01E67" w:rsidR="00562958" w:rsidRDefault="00562958">
          <w:pPr>
            <w:pStyle w:val="TOC3"/>
            <w:tabs>
              <w:tab w:val="right" w:pos="9350"/>
            </w:tabs>
            <w:rPr>
              <w:rFonts w:asciiTheme="minorHAnsi" w:eastAsiaTheme="minorEastAsia" w:hAnsiTheme="minorHAnsi" w:cstheme="minorBidi"/>
              <w:noProof/>
              <w:sz w:val="22"/>
              <w:szCs w:val="22"/>
              <w:lang w:val="en-IN"/>
            </w:rPr>
          </w:pPr>
          <w:hyperlink w:anchor="_Toc237448032" w:history="1">
            <w:r w:rsidRPr="00A266DE">
              <w:rPr>
                <w:rStyle w:val="Hyperlink"/>
                <w:noProof/>
              </w:rPr>
              <w:t>2.4.1 Short-Term Financing Options</w:t>
            </w:r>
            <w:r>
              <w:rPr>
                <w:noProof/>
                <w:webHidden/>
              </w:rPr>
              <w:tab/>
            </w:r>
            <w:r>
              <w:rPr>
                <w:noProof/>
                <w:webHidden/>
              </w:rPr>
              <w:fldChar w:fldCharType="begin"/>
            </w:r>
            <w:r>
              <w:rPr>
                <w:noProof/>
                <w:webHidden/>
              </w:rPr>
              <w:instrText xml:space="preserve"> PAGEREF _Toc237448032 \h </w:instrText>
            </w:r>
            <w:r>
              <w:rPr>
                <w:noProof/>
                <w:webHidden/>
              </w:rPr>
            </w:r>
            <w:r>
              <w:rPr>
                <w:noProof/>
                <w:webHidden/>
              </w:rPr>
              <w:fldChar w:fldCharType="separate"/>
            </w:r>
            <w:r w:rsidR="00413DB3">
              <w:rPr>
                <w:noProof/>
                <w:webHidden/>
              </w:rPr>
              <w:t>19</w:t>
            </w:r>
            <w:r>
              <w:rPr>
                <w:noProof/>
                <w:webHidden/>
              </w:rPr>
              <w:fldChar w:fldCharType="end"/>
            </w:r>
          </w:hyperlink>
        </w:p>
        <w:p w14:paraId="48CD6E07" w14:textId="7E874F59" w:rsidR="00562958" w:rsidRDefault="00562958">
          <w:pPr>
            <w:pStyle w:val="TOC3"/>
            <w:tabs>
              <w:tab w:val="right" w:pos="9350"/>
            </w:tabs>
            <w:rPr>
              <w:rFonts w:asciiTheme="minorHAnsi" w:eastAsiaTheme="minorEastAsia" w:hAnsiTheme="minorHAnsi" w:cstheme="minorBidi"/>
              <w:noProof/>
              <w:sz w:val="22"/>
              <w:szCs w:val="22"/>
              <w:lang w:val="en-IN"/>
            </w:rPr>
          </w:pPr>
          <w:hyperlink w:anchor="_Toc237448033" w:history="1">
            <w:r w:rsidRPr="00A266DE">
              <w:rPr>
                <w:rStyle w:val="Hyperlink"/>
                <w:noProof/>
              </w:rPr>
              <w:t>2.4.2 Long-Term Financing Options</w:t>
            </w:r>
            <w:r>
              <w:rPr>
                <w:noProof/>
                <w:webHidden/>
              </w:rPr>
              <w:tab/>
            </w:r>
            <w:r>
              <w:rPr>
                <w:noProof/>
                <w:webHidden/>
              </w:rPr>
              <w:fldChar w:fldCharType="begin"/>
            </w:r>
            <w:r>
              <w:rPr>
                <w:noProof/>
                <w:webHidden/>
              </w:rPr>
              <w:instrText xml:space="preserve"> PAGEREF _Toc237448033 \h </w:instrText>
            </w:r>
            <w:r>
              <w:rPr>
                <w:noProof/>
                <w:webHidden/>
              </w:rPr>
            </w:r>
            <w:r>
              <w:rPr>
                <w:noProof/>
                <w:webHidden/>
              </w:rPr>
              <w:fldChar w:fldCharType="separate"/>
            </w:r>
            <w:r w:rsidR="00413DB3">
              <w:rPr>
                <w:noProof/>
                <w:webHidden/>
              </w:rPr>
              <w:t>19</w:t>
            </w:r>
            <w:r>
              <w:rPr>
                <w:noProof/>
                <w:webHidden/>
              </w:rPr>
              <w:fldChar w:fldCharType="end"/>
            </w:r>
          </w:hyperlink>
        </w:p>
        <w:p w14:paraId="0C02D4AB" w14:textId="0F96F2E1" w:rsidR="00562958" w:rsidRDefault="00562958">
          <w:pPr>
            <w:pStyle w:val="TOC3"/>
            <w:tabs>
              <w:tab w:val="right" w:pos="9350"/>
            </w:tabs>
            <w:rPr>
              <w:rFonts w:asciiTheme="minorHAnsi" w:eastAsiaTheme="minorEastAsia" w:hAnsiTheme="minorHAnsi" w:cstheme="minorBidi"/>
              <w:noProof/>
              <w:sz w:val="22"/>
              <w:szCs w:val="22"/>
              <w:lang w:val="en-IN"/>
            </w:rPr>
          </w:pPr>
          <w:hyperlink w:anchor="_Toc237448034" w:history="1">
            <w:r w:rsidRPr="00A266DE">
              <w:rPr>
                <w:rStyle w:val="Hyperlink"/>
                <w:noProof/>
              </w:rPr>
              <w:t>2.4.3 Comparative Analysis</w:t>
            </w:r>
            <w:r>
              <w:rPr>
                <w:noProof/>
                <w:webHidden/>
              </w:rPr>
              <w:tab/>
            </w:r>
            <w:r>
              <w:rPr>
                <w:noProof/>
                <w:webHidden/>
              </w:rPr>
              <w:fldChar w:fldCharType="begin"/>
            </w:r>
            <w:r>
              <w:rPr>
                <w:noProof/>
                <w:webHidden/>
              </w:rPr>
              <w:instrText xml:space="preserve"> PAGEREF _Toc237448034 \h </w:instrText>
            </w:r>
            <w:r>
              <w:rPr>
                <w:noProof/>
                <w:webHidden/>
              </w:rPr>
            </w:r>
            <w:r>
              <w:rPr>
                <w:noProof/>
                <w:webHidden/>
              </w:rPr>
              <w:fldChar w:fldCharType="separate"/>
            </w:r>
            <w:r w:rsidR="00413DB3">
              <w:rPr>
                <w:noProof/>
                <w:webHidden/>
              </w:rPr>
              <w:t>20</w:t>
            </w:r>
            <w:r>
              <w:rPr>
                <w:noProof/>
                <w:webHidden/>
              </w:rPr>
              <w:fldChar w:fldCharType="end"/>
            </w:r>
          </w:hyperlink>
        </w:p>
        <w:p w14:paraId="63A55A98" w14:textId="7A03E4EF" w:rsidR="00562958" w:rsidRDefault="00562958">
          <w:pPr>
            <w:pStyle w:val="TOC1"/>
            <w:tabs>
              <w:tab w:val="right" w:pos="9350"/>
            </w:tabs>
            <w:rPr>
              <w:rFonts w:asciiTheme="minorHAnsi" w:eastAsiaTheme="minorEastAsia" w:hAnsiTheme="minorHAnsi" w:cstheme="minorBidi"/>
              <w:noProof/>
              <w:sz w:val="22"/>
              <w:szCs w:val="22"/>
              <w:lang w:val="en-IN"/>
            </w:rPr>
          </w:pPr>
          <w:hyperlink w:anchor="_Toc237448035" w:history="1">
            <w:r w:rsidRPr="00A266DE">
              <w:rPr>
                <w:rStyle w:val="Hyperlink"/>
                <w:noProof/>
              </w:rPr>
              <w:t>3. Strategic Financial Restructuring Plan</w:t>
            </w:r>
            <w:r>
              <w:rPr>
                <w:noProof/>
                <w:webHidden/>
              </w:rPr>
              <w:tab/>
            </w:r>
            <w:r>
              <w:rPr>
                <w:noProof/>
                <w:webHidden/>
              </w:rPr>
              <w:fldChar w:fldCharType="begin"/>
            </w:r>
            <w:r>
              <w:rPr>
                <w:noProof/>
                <w:webHidden/>
              </w:rPr>
              <w:instrText xml:space="preserve"> PAGEREF _Toc237448035 \h </w:instrText>
            </w:r>
            <w:r>
              <w:rPr>
                <w:noProof/>
                <w:webHidden/>
              </w:rPr>
            </w:r>
            <w:r>
              <w:rPr>
                <w:noProof/>
                <w:webHidden/>
              </w:rPr>
              <w:fldChar w:fldCharType="separate"/>
            </w:r>
            <w:r w:rsidR="00413DB3">
              <w:rPr>
                <w:noProof/>
                <w:webHidden/>
              </w:rPr>
              <w:t>21</w:t>
            </w:r>
            <w:r>
              <w:rPr>
                <w:noProof/>
                <w:webHidden/>
              </w:rPr>
              <w:fldChar w:fldCharType="end"/>
            </w:r>
          </w:hyperlink>
        </w:p>
        <w:p w14:paraId="59915514" w14:textId="55A3BD1A" w:rsidR="00562958" w:rsidRDefault="00562958">
          <w:pPr>
            <w:pStyle w:val="TOC2"/>
            <w:tabs>
              <w:tab w:val="right" w:pos="9350"/>
            </w:tabs>
            <w:rPr>
              <w:rFonts w:asciiTheme="minorHAnsi" w:eastAsiaTheme="minorEastAsia" w:hAnsiTheme="minorHAnsi" w:cstheme="minorBidi"/>
              <w:noProof/>
              <w:sz w:val="22"/>
              <w:szCs w:val="22"/>
              <w:lang w:val="en-IN"/>
            </w:rPr>
          </w:pPr>
          <w:hyperlink w:anchor="_Toc237448036" w:history="1">
            <w:r w:rsidRPr="00A266DE">
              <w:rPr>
                <w:rStyle w:val="Hyperlink"/>
                <w:noProof/>
              </w:rPr>
              <w:t>3.1 Recommended Financial Restructuring Options</w:t>
            </w:r>
            <w:r>
              <w:rPr>
                <w:noProof/>
                <w:webHidden/>
              </w:rPr>
              <w:tab/>
            </w:r>
            <w:r>
              <w:rPr>
                <w:noProof/>
                <w:webHidden/>
              </w:rPr>
              <w:fldChar w:fldCharType="begin"/>
            </w:r>
            <w:r>
              <w:rPr>
                <w:noProof/>
                <w:webHidden/>
              </w:rPr>
              <w:instrText xml:space="preserve"> PAGEREF _Toc237448036 \h </w:instrText>
            </w:r>
            <w:r>
              <w:rPr>
                <w:noProof/>
                <w:webHidden/>
              </w:rPr>
            </w:r>
            <w:r>
              <w:rPr>
                <w:noProof/>
                <w:webHidden/>
              </w:rPr>
              <w:fldChar w:fldCharType="separate"/>
            </w:r>
            <w:r w:rsidR="00413DB3">
              <w:rPr>
                <w:noProof/>
                <w:webHidden/>
              </w:rPr>
              <w:t>21</w:t>
            </w:r>
            <w:r>
              <w:rPr>
                <w:noProof/>
                <w:webHidden/>
              </w:rPr>
              <w:fldChar w:fldCharType="end"/>
            </w:r>
          </w:hyperlink>
        </w:p>
        <w:p w14:paraId="3779D4A1" w14:textId="46D978CC" w:rsidR="00562958" w:rsidRDefault="00562958">
          <w:pPr>
            <w:pStyle w:val="TOC2"/>
            <w:tabs>
              <w:tab w:val="right" w:pos="9350"/>
            </w:tabs>
            <w:rPr>
              <w:rFonts w:asciiTheme="minorHAnsi" w:eastAsiaTheme="minorEastAsia" w:hAnsiTheme="minorHAnsi" w:cstheme="minorBidi"/>
              <w:noProof/>
              <w:sz w:val="22"/>
              <w:szCs w:val="22"/>
              <w:lang w:val="en-IN"/>
            </w:rPr>
          </w:pPr>
          <w:hyperlink w:anchor="_Toc237448037" w:history="1">
            <w:r w:rsidRPr="00A266DE">
              <w:rPr>
                <w:rStyle w:val="Hyperlink"/>
                <w:noProof/>
              </w:rPr>
              <w:t>3.2 Impact on Financial Restructuring</w:t>
            </w:r>
            <w:r>
              <w:rPr>
                <w:noProof/>
                <w:webHidden/>
              </w:rPr>
              <w:tab/>
            </w:r>
            <w:r>
              <w:rPr>
                <w:noProof/>
                <w:webHidden/>
              </w:rPr>
              <w:fldChar w:fldCharType="begin"/>
            </w:r>
            <w:r>
              <w:rPr>
                <w:noProof/>
                <w:webHidden/>
              </w:rPr>
              <w:instrText xml:space="preserve"> PAGEREF _Toc237448037 \h </w:instrText>
            </w:r>
            <w:r>
              <w:rPr>
                <w:noProof/>
                <w:webHidden/>
              </w:rPr>
            </w:r>
            <w:r>
              <w:rPr>
                <w:noProof/>
                <w:webHidden/>
              </w:rPr>
              <w:fldChar w:fldCharType="separate"/>
            </w:r>
            <w:r w:rsidR="00413DB3">
              <w:rPr>
                <w:noProof/>
                <w:webHidden/>
              </w:rPr>
              <w:t>21</w:t>
            </w:r>
            <w:r>
              <w:rPr>
                <w:noProof/>
                <w:webHidden/>
              </w:rPr>
              <w:fldChar w:fldCharType="end"/>
            </w:r>
          </w:hyperlink>
        </w:p>
        <w:p w14:paraId="57DF01B3" w14:textId="1EEF8131" w:rsidR="00562958" w:rsidRDefault="00562958">
          <w:pPr>
            <w:pStyle w:val="TOC3"/>
            <w:tabs>
              <w:tab w:val="right" w:pos="9350"/>
            </w:tabs>
            <w:rPr>
              <w:rFonts w:asciiTheme="minorHAnsi" w:eastAsiaTheme="minorEastAsia" w:hAnsiTheme="minorHAnsi" w:cstheme="minorBidi"/>
              <w:noProof/>
              <w:sz w:val="22"/>
              <w:szCs w:val="22"/>
              <w:lang w:val="en-IN"/>
            </w:rPr>
          </w:pPr>
          <w:hyperlink w:anchor="_Toc237448038" w:history="1">
            <w:r w:rsidRPr="00A266DE">
              <w:rPr>
                <w:rStyle w:val="Hyperlink"/>
                <w:noProof/>
              </w:rPr>
              <w:t>3.2.1 Significance on Shareholder Value</w:t>
            </w:r>
            <w:r>
              <w:rPr>
                <w:noProof/>
                <w:webHidden/>
              </w:rPr>
              <w:tab/>
            </w:r>
            <w:r>
              <w:rPr>
                <w:noProof/>
                <w:webHidden/>
              </w:rPr>
              <w:fldChar w:fldCharType="begin"/>
            </w:r>
            <w:r>
              <w:rPr>
                <w:noProof/>
                <w:webHidden/>
              </w:rPr>
              <w:instrText xml:space="preserve"> PAGEREF _Toc237448038 \h </w:instrText>
            </w:r>
            <w:r>
              <w:rPr>
                <w:noProof/>
                <w:webHidden/>
              </w:rPr>
            </w:r>
            <w:r>
              <w:rPr>
                <w:noProof/>
                <w:webHidden/>
              </w:rPr>
              <w:fldChar w:fldCharType="separate"/>
            </w:r>
            <w:r w:rsidR="00413DB3">
              <w:rPr>
                <w:noProof/>
                <w:webHidden/>
              </w:rPr>
              <w:t>21</w:t>
            </w:r>
            <w:r>
              <w:rPr>
                <w:noProof/>
                <w:webHidden/>
              </w:rPr>
              <w:fldChar w:fldCharType="end"/>
            </w:r>
          </w:hyperlink>
        </w:p>
        <w:p w14:paraId="2151085F" w14:textId="653A92DA" w:rsidR="00562958" w:rsidRDefault="00562958">
          <w:pPr>
            <w:pStyle w:val="TOC3"/>
            <w:tabs>
              <w:tab w:val="right" w:pos="9350"/>
            </w:tabs>
            <w:rPr>
              <w:rFonts w:asciiTheme="minorHAnsi" w:eastAsiaTheme="minorEastAsia" w:hAnsiTheme="minorHAnsi" w:cstheme="minorBidi"/>
              <w:noProof/>
              <w:sz w:val="22"/>
              <w:szCs w:val="22"/>
              <w:lang w:val="en-IN"/>
            </w:rPr>
          </w:pPr>
          <w:hyperlink w:anchor="_Toc237448039" w:history="1">
            <w:r w:rsidRPr="00A266DE">
              <w:rPr>
                <w:rStyle w:val="Hyperlink"/>
                <w:noProof/>
              </w:rPr>
              <w:t>3.2.2 Significance of Debt Structure</w:t>
            </w:r>
            <w:r>
              <w:rPr>
                <w:noProof/>
                <w:webHidden/>
              </w:rPr>
              <w:tab/>
            </w:r>
            <w:r>
              <w:rPr>
                <w:noProof/>
                <w:webHidden/>
              </w:rPr>
              <w:fldChar w:fldCharType="begin"/>
            </w:r>
            <w:r>
              <w:rPr>
                <w:noProof/>
                <w:webHidden/>
              </w:rPr>
              <w:instrText xml:space="preserve"> PAGEREF _Toc237448039 \h </w:instrText>
            </w:r>
            <w:r>
              <w:rPr>
                <w:noProof/>
                <w:webHidden/>
              </w:rPr>
            </w:r>
            <w:r>
              <w:rPr>
                <w:noProof/>
                <w:webHidden/>
              </w:rPr>
              <w:fldChar w:fldCharType="separate"/>
            </w:r>
            <w:r w:rsidR="00413DB3">
              <w:rPr>
                <w:noProof/>
                <w:webHidden/>
              </w:rPr>
              <w:t>21</w:t>
            </w:r>
            <w:r>
              <w:rPr>
                <w:noProof/>
                <w:webHidden/>
              </w:rPr>
              <w:fldChar w:fldCharType="end"/>
            </w:r>
          </w:hyperlink>
        </w:p>
        <w:p w14:paraId="3CBADDE8" w14:textId="350B7BB5" w:rsidR="00562958" w:rsidRDefault="00562958">
          <w:pPr>
            <w:pStyle w:val="TOC3"/>
            <w:tabs>
              <w:tab w:val="right" w:pos="9350"/>
            </w:tabs>
            <w:rPr>
              <w:rFonts w:asciiTheme="minorHAnsi" w:eastAsiaTheme="minorEastAsia" w:hAnsiTheme="minorHAnsi" w:cstheme="minorBidi"/>
              <w:noProof/>
              <w:sz w:val="22"/>
              <w:szCs w:val="22"/>
              <w:lang w:val="en-IN"/>
            </w:rPr>
          </w:pPr>
          <w:hyperlink w:anchor="_Toc237448040" w:history="1">
            <w:r w:rsidRPr="00A266DE">
              <w:rPr>
                <w:rStyle w:val="Hyperlink"/>
                <w:noProof/>
              </w:rPr>
              <w:t>3.2.3 Significance of Operational Flexibility</w:t>
            </w:r>
            <w:r>
              <w:rPr>
                <w:noProof/>
                <w:webHidden/>
              </w:rPr>
              <w:tab/>
            </w:r>
            <w:r>
              <w:rPr>
                <w:noProof/>
                <w:webHidden/>
              </w:rPr>
              <w:fldChar w:fldCharType="begin"/>
            </w:r>
            <w:r>
              <w:rPr>
                <w:noProof/>
                <w:webHidden/>
              </w:rPr>
              <w:instrText xml:space="preserve"> PAGEREF _Toc237448040 \h </w:instrText>
            </w:r>
            <w:r>
              <w:rPr>
                <w:noProof/>
                <w:webHidden/>
              </w:rPr>
            </w:r>
            <w:r>
              <w:rPr>
                <w:noProof/>
                <w:webHidden/>
              </w:rPr>
              <w:fldChar w:fldCharType="separate"/>
            </w:r>
            <w:r w:rsidR="00413DB3">
              <w:rPr>
                <w:noProof/>
                <w:webHidden/>
              </w:rPr>
              <w:t>22</w:t>
            </w:r>
            <w:r>
              <w:rPr>
                <w:noProof/>
                <w:webHidden/>
              </w:rPr>
              <w:fldChar w:fldCharType="end"/>
            </w:r>
          </w:hyperlink>
        </w:p>
        <w:p w14:paraId="67DFEC5D" w14:textId="634856B3" w:rsidR="00562958" w:rsidRDefault="00562958">
          <w:pPr>
            <w:pStyle w:val="TOC2"/>
            <w:tabs>
              <w:tab w:val="right" w:pos="9350"/>
            </w:tabs>
            <w:rPr>
              <w:rFonts w:asciiTheme="minorHAnsi" w:eastAsiaTheme="minorEastAsia" w:hAnsiTheme="minorHAnsi" w:cstheme="minorBidi"/>
              <w:noProof/>
              <w:sz w:val="22"/>
              <w:szCs w:val="22"/>
              <w:lang w:val="en-IN"/>
            </w:rPr>
          </w:pPr>
          <w:hyperlink w:anchor="_Toc237448041" w:history="1">
            <w:r w:rsidRPr="00A266DE">
              <w:rPr>
                <w:rStyle w:val="Hyperlink"/>
                <w:noProof/>
              </w:rPr>
              <w:t>3.3 International Financial Considerations</w:t>
            </w:r>
            <w:r>
              <w:rPr>
                <w:noProof/>
                <w:webHidden/>
              </w:rPr>
              <w:tab/>
            </w:r>
            <w:r>
              <w:rPr>
                <w:noProof/>
                <w:webHidden/>
              </w:rPr>
              <w:fldChar w:fldCharType="begin"/>
            </w:r>
            <w:r>
              <w:rPr>
                <w:noProof/>
                <w:webHidden/>
              </w:rPr>
              <w:instrText xml:space="preserve"> PAGEREF _Toc237448041 \h </w:instrText>
            </w:r>
            <w:r>
              <w:rPr>
                <w:noProof/>
                <w:webHidden/>
              </w:rPr>
            </w:r>
            <w:r>
              <w:rPr>
                <w:noProof/>
                <w:webHidden/>
              </w:rPr>
              <w:fldChar w:fldCharType="separate"/>
            </w:r>
            <w:r w:rsidR="00413DB3">
              <w:rPr>
                <w:noProof/>
                <w:webHidden/>
              </w:rPr>
              <w:t>22</w:t>
            </w:r>
            <w:r>
              <w:rPr>
                <w:noProof/>
                <w:webHidden/>
              </w:rPr>
              <w:fldChar w:fldCharType="end"/>
            </w:r>
          </w:hyperlink>
        </w:p>
        <w:p w14:paraId="147B98E2" w14:textId="7C87864E" w:rsidR="00562958" w:rsidRDefault="00562958">
          <w:pPr>
            <w:pStyle w:val="TOC3"/>
            <w:tabs>
              <w:tab w:val="right" w:pos="9350"/>
            </w:tabs>
            <w:rPr>
              <w:rFonts w:asciiTheme="minorHAnsi" w:eastAsiaTheme="minorEastAsia" w:hAnsiTheme="minorHAnsi" w:cstheme="minorBidi"/>
              <w:noProof/>
              <w:sz w:val="22"/>
              <w:szCs w:val="22"/>
              <w:lang w:val="en-IN"/>
            </w:rPr>
          </w:pPr>
          <w:hyperlink w:anchor="_Toc237448042" w:history="1">
            <w:r w:rsidRPr="00A266DE">
              <w:rPr>
                <w:rStyle w:val="Hyperlink"/>
                <w:noProof/>
              </w:rPr>
              <w:t>3.3.1 Taxation Considerations</w:t>
            </w:r>
            <w:r>
              <w:rPr>
                <w:noProof/>
                <w:webHidden/>
              </w:rPr>
              <w:tab/>
            </w:r>
            <w:r>
              <w:rPr>
                <w:noProof/>
                <w:webHidden/>
              </w:rPr>
              <w:fldChar w:fldCharType="begin"/>
            </w:r>
            <w:r>
              <w:rPr>
                <w:noProof/>
                <w:webHidden/>
              </w:rPr>
              <w:instrText xml:space="preserve"> PAGEREF _Toc237448042 \h </w:instrText>
            </w:r>
            <w:r>
              <w:rPr>
                <w:noProof/>
                <w:webHidden/>
              </w:rPr>
            </w:r>
            <w:r>
              <w:rPr>
                <w:noProof/>
                <w:webHidden/>
              </w:rPr>
              <w:fldChar w:fldCharType="separate"/>
            </w:r>
            <w:r w:rsidR="00413DB3">
              <w:rPr>
                <w:noProof/>
                <w:webHidden/>
              </w:rPr>
              <w:t>22</w:t>
            </w:r>
            <w:r>
              <w:rPr>
                <w:noProof/>
                <w:webHidden/>
              </w:rPr>
              <w:fldChar w:fldCharType="end"/>
            </w:r>
          </w:hyperlink>
        </w:p>
        <w:p w14:paraId="64A4DB8F" w14:textId="30260B41" w:rsidR="00562958" w:rsidRDefault="00562958">
          <w:pPr>
            <w:pStyle w:val="TOC3"/>
            <w:tabs>
              <w:tab w:val="right" w:pos="9350"/>
            </w:tabs>
            <w:rPr>
              <w:rFonts w:asciiTheme="minorHAnsi" w:eastAsiaTheme="minorEastAsia" w:hAnsiTheme="minorHAnsi" w:cstheme="minorBidi"/>
              <w:noProof/>
              <w:sz w:val="22"/>
              <w:szCs w:val="22"/>
              <w:lang w:val="en-IN"/>
            </w:rPr>
          </w:pPr>
          <w:hyperlink w:anchor="_Toc237448043" w:history="1">
            <w:r w:rsidRPr="00A266DE">
              <w:rPr>
                <w:rStyle w:val="Hyperlink"/>
                <w:noProof/>
              </w:rPr>
              <w:t>3.3.2 Currency Risk</w:t>
            </w:r>
            <w:r>
              <w:rPr>
                <w:noProof/>
                <w:webHidden/>
              </w:rPr>
              <w:tab/>
            </w:r>
            <w:r>
              <w:rPr>
                <w:noProof/>
                <w:webHidden/>
              </w:rPr>
              <w:fldChar w:fldCharType="begin"/>
            </w:r>
            <w:r>
              <w:rPr>
                <w:noProof/>
                <w:webHidden/>
              </w:rPr>
              <w:instrText xml:space="preserve"> PAGEREF _Toc237448043 \h </w:instrText>
            </w:r>
            <w:r>
              <w:rPr>
                <w:noProof/>
                <w:webHidden/>
              </w:rPr>
            </w:r>
            <w:r>
              <w:rPr>
                <w:noProof/>
                <w:webHidden/>
              </w:rPr>
              <w:fldChar w:fldCharType="separate"/>
            </w:r>
            <w:r w:rsidR="00413DB3">
              <w:rPr>
                <w:noProof/>
                <w:webHidden/>
              </w:rPr>
              <w:t>23</w:t>
            </w:r>
            <w:r>
              <w:rPr>
                <w:noProof/>
                <w:webHidden/>
              </w:rPr>
              <w:fldChar w:fldCharType="end"/>
            </w:r>
          </w:hyperlink>
        </w:p>
        <w:p w14:paraId="2387E567" w14:textId="0012E29C" w:rsidR="00562958" w:rsidRDefault="00562958">
          <w:pPr>
            <w:pStyle w:val="TOC3"/>
            <w:tabs>
              <w:tab w:val="right" w:pos="9350"/>
            </w:tabs>
            <w:rPr>
              <w:rFonts w:asciiTheme="minorHAnsi" w:eastAsiaTheme="minorEastAsia" w:hAnsiTheme="minorHAnsi" w:cstheme="minorBidi"/>
              <w:noProof/>
              <w:sz w:val="22"/>
              <w:szCs w:val="22"/>
              <w:lang w:val="en-IN"/>
            </w:rPr>
          </w:pPr>
          <w:hyperlink w:anchor="_Toc237448044" w:history="1">
            <w:r w:rsidRPr="00A266DE">
              <w:rPr>
                <w:rStyle w:val="Hyperlink"/>
                <w:noProof/>
              </w:rPr>
              <w:t>3.3.3 Inflation Risk</w:t>
            </w:r>
            <w:r>
              <w:rPr>
                <w:noProof/>
                <w:webHidden/>
              </w:rPr>
              <w:tab/>
            </w:r>
            <w:r>
              <w:rPr>
                <w:noProof/>
                <w:webHidden/>
              </w:rPr>
              <w:fldChar w:fldCharType="begin"/>
            </w:r>
            <w:r>
              <w:rPr>
                <w:noProof/>
                <w:webHidden/>
              </w:rPr>
              <w:instrText xml:space="preserve"> PAGEREF _Toc237448044 \h </w:instrText>
            </w:r>
            <w:r>
              <w:rPr>
                <w:noProof/>
                <w:webHidden/>
              </w:rPr>
            </w:r>
            <w:r>
              <w:rPr>
                <w:noProof/>
                <w:webHidden/>
              </w:rPr>
              <w:fldChar w:fldCharType="separate"/>
            </w:r>
            <w:r w:rsidR="00413DB3">
              <w:rPr>
                <w:noProof/>
                <w:webHidden/>
              </w:rPr>
              <w:t>23</w:t>
            </w:r>
            <w:r>
              <w:rPr>
                <w:noProof/>
                <w:webHidden/>
              </w:rPr>
              <w:fldChar w:fldCharType="end"/>
            </w:r>
          </w:hyperlink>
        </w:p>
        <w:p w14:paraId="2F785BD6" w14:textId="2F9C662A" w:rsidR="00562958" w:rsidRDefault="00562958">
          <w:pPr>
            <w:pStyle w:val="TOC2"/>
            <w:tabs>
              <w:tab w:val="right" w:pos="9350"/>
            </w:tabs>
            <w:rPr>
              <w:rFonts w:asciiTheme="minorHAnsi" w:eastAsiaTheme="minorEastAsia" w:hAnsiTheme="minorHAnsi" w:cstheme="minorBidi"/>
              <w:noProof/>
              <w:sz w:val="22"/>
              <w:szCs w:val="22"/>
              <w:lang w:val="en-IN"/>
            </w:rPr>
          </w:pPr>
          <w:hyperlink w:anchor="_Toc237448045" w:history="1">
            <w:r w:rsidRPr="00A266DE">
              <w:rPr>
                <w:rStyle w:val="Hyperlink"/>
                <w:noProof/>
              </w:rPr>
              <w:t>3.4 Discussion on the Ethical and ESG Operations</w:t>
            </w:r>
            <w:r>
              <w:rPr>
                <w:noProof/>
                <w:webHidden/>
              </w:rPr>
              <w:tab/>
            </w:r>
            <w:r>
              <w:rPr>
                <w:noProof/>
                <w:webHidden/>
              </w:rPr>
              <w:fldChar w:fldCharType="begin"/>
            </w:r>
            <w:r>
              <w:rPr>
                <w:noProof/>
                <w:webHidden/>
              </w:rPr>
              <w:instrText xml:space="preserve"> PAGEREF _Toc237448045 \h </w:instrText>
            </w:r>
            <w:r>
              <w:rPr>
                <w:noProof/>
                <w:webHidden/>
              </w:rPr>
            </w:r>
            <w:r>
              <w:rPr>
                <w:noProof/>
                <w:webHidden/>
              </w:rPr>
              <w:fldChar w:fldCharType="separate"/>
            </w:r>
            <w:r w:rsidR="00413DB3">
              <w:rPr>
                <w:noProof/>
                <w:webHidden/>
              </w:rPr>
              <w:t>24</w:t>
            </w:r>
            <w:r>
              <w:rPr>
                <w:noProof/>
                <w:webHidden/>
              </w:rPr>
              <w:fldChar w:fldCharType="end"/>
            </w:r>
          </w:hyperlink>
        </w:p>
        <w:p w14:paraId="3767FC28" w14:textId="51847993" w:rsidR="00562958" w:rsidRDefault="00562958">
          <w:pPr>
            <w:pStyle w:val="TOC1"/>
            <w:tabs>
              <w:tab w:val="right" w:pos="9350"/>
            </w:tabs>
            <w:rPr>
              <w:rFonts w:asciiTheme="minorHAnsi" w:eastAsiaTheme="minorEastAsia" w:hAnsiTheme="minorHAnsi" w:cstheme="minorBidi"/>
              <w:noProof/>
              <w:sz w:val="22"/>
              <w:szCs w:val="22"/>
              <w:lang w:val="en-IN"/>
            </w:rPr>
          </w:pPr>
          <w:hyperlink w:anchor="_Toc237448046" w:history="1">
            <w:r w:rsidRPr="00A266DE">
              <w:rPr>
                <w:rStyle w:val="Hyperlink"/>
                <w:noProof/>
              </w:rPr>
              <w:t>4. Investment Appraisal and Capital Budgeting</w:t>
            </w:r>
            <w:r>
              <w:rPr>
                <w:noProof/>
                <w:webHidden/>
              </w:rPr>
              <w:tab/>
            </w:r>
            <w:r>
              <w:rPr>
                <w:noProof/>
                <w:webHidden/>
              </w:rPr>
              <w:fldChar w:fldCharType="begin"/>
            </w:r>
            <w:r>
              <w:rPr>
                <w:noProof/>
                <w:webHidden/>
              </w:rPr>
              <w:instrText xml:space="preserve"> PAGEREF _Toc237448046 \h </w:instrText>
            </w:r>
            <w:r>
              <w:rPr>
                <w:noProof/>
                <w:webHidden/>
              </w:rPr>
            </w:r>
            <w:r>
              <w:rPr>
                <w:noProof/>
                <w:webHidden/>
              </w:rPr>
              <w:fldChar w:fldCharType="separate"/>
            </w:r>
            <w:r w:rsidR="00413DB3">
              <w:rPr>
                <w:noProof/>
                <w:webHidden/>
              </w:rPr>
              <w:t>25</w:t>
            </w:r>
            <w:r>
              <w:rPr>
                <w:noProof/>
                <w:webHidden/>
              </w:rPr>
              <w:fldChar w:fldCharType="end"/>
            </w:r>
          </w:hyperlink>
        </w:p>
        <w:p w14:paraId="2B415516" w14:textId="435B876F" w:rsidR="00562958" w:rsidRDefault="00562958">
          <w:pPr>
            <w:pStyle w:val="TOC2"/>
            <w:tabs>
              <w:tab w:val="right" w:pos="9350"/>
            </w:tabs>
            <w:rPr>
              <w:rFonts w:asciiTheme="minorHAnsi" w:eastAsiaTheme="minorEastAsia" w:hAnsiTheme="minorHAnsi" w:cstheme="minorBidi"/>
              <w:noProof/>
              <w:sz w:val="22"/>
              <w:szCs w:val="22"/>
              <w:lang w:val="en-IN"/>
            </w:rPr>
          </w:pPr>
          <w:hyperlink w:anchor="_Toc237448047" w:history="1">
            <w:r w:rsidRPr="00A266DE">
              <w:rPr>
                <w:rStyle w:val="Hyperlink"/>
                <w:noProof/>
              </w:rPr>
              <w:t>4.1 Project Overview</w:t>
            </w:r>
            <w:r>
              <w:rPr>
                <w:noProof/>
                <w:webHidden/>
              </w:rPr>
              <w:tab/>
            </w:r>
            <w:r>
              <w:rPr>
                <w:noProof/>
                <w:webHidden/>
              </w:rPr>
              <w:fldChar w:fldCharType="begin"/>
            </w:r>
            <w:r>
              <w:rPr>
                <w:noProof/>
                <w:webHidden/>
              </w:rPr>
              <w:instrText xml:space="preserve"> PAGEREF _Toc237448047 \h </w:instrText>
            </w:r>
            <w:r>
              <w:rPr>
                <w:noProof/>
                <w:webHidden/>
              </w:rPr>
            </w:r>
            <w:r>
              <w:rPr>
                <w:noProof/>
                <w:webHidden/>
              </w:rPr>
              <w:fldChar w:fldCharType="separate"/>
            </w:r>
            <w:r w:rsidR="00413DB3">
              <w:rPr>
                <w:noProof/>
                <w:webHidden/>
              </w:rPr>
              <w:t>25</w:t>
            </w:r>
            <w:r>
              <w:rPr>
                <w:noProof/>
                <w:webHidden/>
              </w:rPr>
              <w:fldChar w:fldCharType="end"/>
            </w:r>
          </w:hyperlink>
        </w:p>
        <w:p w14:paraId="0469FC92" w14:textId="5AA81C90" w:rsidR="00562958" w:rsidRDefault="00562958">
          <w:pPr>
            <w:pStyle w:val="TOC2"/>
            <w:tabs>
              <w:tab w:val="right" w:pos="9350"/>
            </w:tabs>
            <w:rPr>
              <w:rFonts w:asciiTheme="minorHAnsi" w:eastAsiaTheme="minorEastAsia" w:hAnsiTheme="minorHAnsi" w:cstheme="minorBidi"/>
              <w:noProof/>
              <w:sz w:val="22"/>
              <w:szCs w:val="22"/>
              <w:lang w:val="en-IN"/>
            </w:rPr>
          </w:pPr>
          <w:hyperlink w:anchor="_Toc237448048" w:history="1">
            <w:r w:rsidRPr="00A266DE">
              <w:rPr>
                <w:rStyle w:val="Hyperlink"/>
                <w:noProof/>
              </w:rPr>
              <w:t>4.2 Discuss Project Viability</w:t>
            </w:r>
            <w:r>
              <w:rPr>
                <w:noProof/>
                <w:webHidden/>
              </w:rPr>
              <w:tab/>
            </w:r>
            <w:r>
              <w:rPr>
                <w:noProof/>
                <w:webHidden/>
              </w:rPr>
              <w:fldChar w:fldCharType="begin"/>
            </w:r>
            <w:r>
              <w:rPr>
                <w:noProof/>
                <w:webHidden/>
              </w:rPr>
              <w:instrText xml:space="preserve"> PAGEREF _Toc237448048 \h </w:instrText>
            </w:r>
            <w:r>
              <w:rPr>
                <w:noProof/>
                <w:webHidden/>
              </w:rPr>
            </w:r>
            <w:r>
              <w:rPr>
                <w:noProof/>
                <w:webHidden/>
              </w:rPr>
              <w:fldChar w:fldCharType="separate"/>
            </w:r>
            <w:r w:rsidR="00413DB3">
              <w:rPr>
                <w:noProof/>
                <w:webHidden/>
              </w:rPr>
              <w:t>25</w:t>
            </w:r>
            <w:r>
              <w:rPr>
                <w:noProof/>
                <w:webHidden/>
              </w:rPr>
              <w:fldChar w:fldCharType="end"/>
            </w:r>
          </w:hyperlink>
        </w:p>
        <w:p w14:paraId="710B1CC4" w14:textId="255BF373" w:rsidR="00562958" w:rsidRDefault="00562958">
          <w:pPr>
            <w:pStyle w:val="TOC3"/>
            <w:tabs>
              <w:tab w:val="right" w:pos="9350"/>
            </w:tabs>
            <w:rPr>
              <w:rFonts w:asciiTheme="minorHAnsi" w:eastAsiaTheme="minorEastAsia" w:hAnsiTheme="minorHAnsi" w:cstheme="minorBidi"/>
              <w:noProof/>
              <w:sz w:val="22"/>
              <w:szCs w:val="22"/>
              <w:lang w:val="en-IN"/>
            </w:rPr>
          </w:pPr>
          <w:hyperlink w:anchor="_Toc237448049" w:history="1">
            <w:r w:rsidRPr="00A266DE">
              <w:rPr>
                <w:rStyle w:val="Hyperlink"/>
                <w:noProof/>
              </w:rPr>
              <w:t>4.2.1 Project A Appraisal</w:t>
            </w:r>
            <w:r>
              <w:rPr>
                <w:noProof/>
                <w:webHidden/>
              </w:rPr>
              <w:tab/>
            </w:r>
            <w:r>
              <w:rPr>
                <w:noProof/>
                <w:webHidden/>
              </w:rPr>
              <w:fldChar w:fldCharType="begin"/>
            </w:r>
            <w:r>
              <w:rPr>
                <w:noProof/>
                <w:webHidden/>
              </w:rPr>
              <w:instrText xml:space="preserve"> PAGEREF _Toc237448049 \h </w:instrText>
            </w:r>
            <w:r>
              <w:rPr>
                <w:noProof/>
                <w:webHidden/>
              </w:rPr>
            </w:r>
            <w:r>
              <w:rPr>
                <w:noProof/>
                <w:webHidden/>
              </w:rPr>
              <w:fldChar w:fldCharType="separate"/>
            </w:r>
            <w:r w:rsidR="00413DB3">
              <w:rPr>
                <w:noProof/>
                <w:webHidden/>
              </w:rPr>
              <w:t>25</w:t>
            </w:r>
            <w:r>
              <w:rPr>
                <w:noProof/>
                <w:webHidden/>
              </w:rPr>
              <w:fldChar w:fldCharType="end"/>
            </w:r>
          </w:hyperlink>
        </w:p>
        <w:p w14:paraId="525B8017" w14:textId="69A902F1" w:rsidR="00562958" w:rsidRDefault="00562958">
          <w:pPr>
            <w:pStyle w:val="TOC3"/>
            <w:tabs>
              <w:tab w:val="right" w:pos="9350"/>
            </w:tabs>
            <w:rPr>
              <w:rFonts w:asciiTheme="minorHAnsi" w:eastAsiaTheme="minorEastAsia" w:hAnsiTheme="minorHAnsi" w:cstheme="minorBidi"/>
              <w:noProof/>
              <w:sz w:val="22"/>
              <w:szCs w:val="22"/>
              <w:lang w:val="en-IN"/>
            </w:rPr>
          </w:pPr>
          <w:hyperlink w:anchor="_Toc237448050" w:history="1">
            <w:r w:rsidRPr="00A266DE">
              <w:rPr>
                <w:rStyle w:val="Hyperlink"/>
                <w:noProof/>
              </w:rPr>
              <w:t>4.2.2 Project B Appraisal</w:t>
            </w:r>
            <w:r>
              <w:rPr>
                <w:noProof/>
                <w:webHidden/>
              </w:rPr>
              <w:tab/>
            </w:r>
            <w:r>
              <w:rPr>
                <w:noProof/>
                <w:webHidden/>
              </w:rPr>
              <w:fldChar w:fldCharType="begin"/>
            </w:r>
            <w:r>
              <w:rPr>
                <w:noProof/>
                <w:webHidden/>
              </w:rPr>
              <w:instrText xml:space="preserve"> PAGEREF _Toc237448050 \h </w:instrText>
            </w:r>
            <w:r>
              <w:rPr>
                <w:noProof/>
                <w:webHidden/>
              </w:rPr>
            </w:r>
            <w:r>
              <w:rPr>
                <w:noProof/>
                <w:webHidden/>
              </w:rPr>
              <w:fldChar w:fldCharType="separate"/>
            </w:r>
            <w:r w:rsidR="00413DB3">
              <w:rPr>
                <w:noProof/>
                <w:webHidden/>
              </w:rPr>
              <w:t>28</w:t>
            </w:r>
            <w:r>
              <w:rPr>
                <w:noProof/>
                <w:webHidden/>
              </w:rPr>
              <w:fldChar w:fldCharType="end"/>
            </w:r>
          </w:hyperlink>
        </w:p>
        <w:p w14:paraId="1B4DD9FC" w14:textId="72E0F7CB" w:rsidR="00562958" w:rsidRDefault="00562958">
          <w:pPr>
            <w:pStyle w:val="TOC3"/>
            <w:tabs>
              <w:tab w:val="right" w:pos="9350"/>
            </w:tabs>
            <w:rPr>
              <w:rFonts w:asciiTheme="minorHAnsi" w:eastAsiaTheme="minorEastAsia" w:hAnsiTheme="minorHAnsi" w:cstheme="minorBidi"/>
              <w:noProof/>
              <w:sz w:val="22"/>
              <w:szCs w:val="22"/>
              <w:lang w:val="en-IN"/>
            </w:rPr>
          </w:pPr>
          <w:hyperlink w:anchor="_Toc237448051" w:history="1">
            <w:r w:rsidRPr="00A266DE">
              <w:rPr>
                <w:rStyle w:val="Hyperlink"/>
                <w:noProof/>
              </w:rPr>
              <w:t>4.2.3 Project C Appraisal</w:t>
            </w:r>
            <w:r>
              <w:rPr>
                <w:noProof/>
                <w:webHidden/>
              </w:rPr>
              <w:tab/>
            </w:r>
            <w:r>
              <w:rPr>
                <w:noProof/>
                <w:webHidden/>
              </w:rPr>
              <w:fldChar w:fldCharType="begin"/>
            </w:r>
            <w:r>
              <w:rPr>
                <w:noProof/>
                <w:webHidden/>
              </w:rPr>
              <w:instrText xml:space="preserve"> PAGEREF _Toc237448051 \h </w:instrText>
            </w:r>
            <w:r>
              <w:rPr>
                <w:noProof/>
                <w:webHidden/>
              </w:rPr>
            </w:r>
            <w:r>
              <w:rPr>
                <w:noProof/>
                <w:webHidden/>
              </w:rPr>
              <w:fldChar w:fldCharType="separate"/>
            </w:r>
            <w:r w:rsidR="00413DB3">
              <w:rPr>
                <w:noProof/>
                <w:webHidden/>
              </w:rPr>
              <w:t>31</w:t>
            </w:r>
            <w:r>
              <w:rPr>
                <w:noProof/>
                <w:webHidden/>
              </w:rPr>
              <w:fldChar w:fldCharType="end"/>
            </w:r>
          </w:hyperlink>
        </w:p>
        <w:p w14:paraId="14B0540B" w14:textId="0AEEC6FF" w:rsidR="00562958" w:rsidRDefault="00562958">
          <w:pPr>
            <w:pStyle w:val="TOC2"/>
            <w:tabs>
              <w:tab w:val="right" w:pos="9350"/>
            </w:tabs>
            <w:rPr>
              <w:rFonts w:asciiTheme="minorHAnsi" w:eastAsiaTheme="minorEastAsia" w:hAnsiTheme="minorHAnsi" w:cstheme="minorBidi"/>
              <w:noProof/>
              <w:sz w:val="22"/>
              <w:szCs w:val="22"/>
              <w:lang w:val="en-IN"/>
            </w:rPr>
          </w:pPr>
          <w:hyperlink w:anchor="_Toc237448052" w:history="1">
            <w:r w:rsidRPr="00A266DE">
              <w:rPr>
                <w:rStyle w:val="Hyperlink"/>
                <w:noProof/>
              </w:rPr>
              <w:t>4.3 Recommendation based on the company financial performance</w:t>
            </w:r>
            <w:r>
              <w:rPr>
                <w:noProof/>
                <w:webHidden/>
              </w:rPr>
              <w:tab/>
            </w:r>
            <w:r>
              <w:rPr>
                <w:noProof/>
                <w:webHidden/>
              </w:rPr>
              <w:fldChar w:fldCharType="begin"/>
            </w:r>
            <w:r>
              <w:rPr>
                <w:noProof/>
                <w:webHidden/>
              </w:rPr>
              <w:instrText xml:space="preserve"> PAGEREF _Toc237448052 \h </w:instrText>
            </w:r>
            <w:r>
              <w:rPr>
                <w:noProof/>
                <w:webHidden/>
              </w:rPr>
            </w:r>
            <w:r>
              <w:rPr>
                <w:noProof/>
                <w:webHidden/>
              </w:rPr>
              <w:fldChar w:fldCharType="separate"/>
            </w:r>
            <w:r w:rsidR="00413DB3">
              <w:rPr>
                <w:noProof/>
                <w:webHidden/>
              </w:rPr>
              <w:t>33</w:t>
            </w:r>
            <w:r>
              <w:rPr>
                <w:noProof/>
                <w:webHidden/>
              </w:rPr>
              <w:fldChar w:fldCharType="end"/>
            </w:r>
          </w:hyperlink>
        </w:p>
        <w:p w14:paraId="4B94E603" w14:textId="56BB7E35" w:rsidR="00562958" w:rsidRDefault="00562958">
          <w:pPr>
            <w:pStyle w:val="TOC3"/>
            <w:tabs>
              <w:tab w:val="right" w:pos="9350"/>
            </w:tabs>
            <w:rPr>
              <w:rFonts w:asciiTheme="minorHAnsi" w:eastAsiaTheme="minorEastAsia" w:hAnsiTheme="minorHAnsi" w:cstheme="minorBidi"/>
              <w:noProof/>
              <w:sz w:val="22"/>
              <w:szCs w:val="22"/>
              <w:lang w:val="en-IN"/>
            </w:rPr>
          </w:pPr>
          <w:hyperlink w:anchor="_Toc237448053" w:history="1">
            <w:r w:rsidRPr="00A266DE">
              <w:rPr>
                <w:rStyle w:val="Hyperlink"/>
                <w:noProof/>
              </w:rPr>
              <w:t>4.3.1 Selection of project</w:t>
            </w:r>
            <w:r>
              <w:rPr>
                <w:noProof/>
                <w:webHidden/>
              </w:rPr>
              <w:tab/>
            </w:r>
            <w:r>
              <w:rPr>
                <w:noProof/>
                <w:webHidden/>
              </w:rPr>
              <w:fldChar w:fldCharType="begin"/>
            </w:r>
            <w:r>
              <w:rPr>
                <w:noProof/>
                <w:webHidden/>
              </w:rPr>
              <w:instrText xml:space="preserve"> PAGEREF _Toc237448053 \h </w:instrText>
            </w:r>
            <w:r>
              <w:rPr>
                <w:noProof/>
                <w:webHidden/>
              </w:rPr>
            </w:r>
            <w:r>
              <w:rPr>
                <w:noProof/>
                <w:webHidden/>
              </w:rPr>
              <w:fldChar w:fldCharType="separate"/>
            </w:r>
            <w:r w:rsidR="00413DB3">
              <w:rPr>
                <w:noProof/>
                <w:webHidden/>
              </w:rPr>
              <w:t>33</w:t>
            </w:r>
            <w:r>
              <w:rPr>
                <w:noProof/>
                <w:webHidden/>
              </w:rPr>
              <w:fldChar w:fldCharType="end"/>
            </w:r>
          </w:hyperlink>
        </w:p>
        <w:p w14:paraId="2A48EDE3" w14:textId="1B8B587E" w:rsidR="00562958" w:rsidRDefault="00562958">
          <w:pPr>
            <w:pStyle w:val="TOC3"/>
            <w:tabs>
              <w:tab w:val="right" w:pos="9350"/>
            </w:tabs>
            <w:rPr>
              <w:rFonts w:asciiTheme="minorHAnsi" w:eastAsiaTheme="minorEastAsia" w:hAnsiTheme="minorHAnsi" w:cstheme="minorBidi"/>
              <w:noProof/>
              <w:sz w:val="22"/>
              <w:szCs w:val="22"/>
              <w:lang w:val="en-IN"/>
            </w:rPr>
          </w:pPr>
          <w:hyperlink w:anchor="_Toc237448054" w:history="1">
            <w:r w:rsidRPr="00A266DE">
              <w:rPr>
                <w:rStyle w:val="Hyperlink"/>
                <w:noProof/>
              </w:rPr>
              <w:t>4.3.2 Financial performance</w:t>
            </w:r>
            <w:r>
              <w:rPr>
                <w:noProof/>
                <w:webHidden/>
              </w:rPr>
              <w:tab/>
            </w:r>
            <w:r>
              <w:rPr>
                <w:noProof/>
                <w:webHidden/>
              </w:rPr>
              <w:fldChar w:fldCharType="begin"/>
            </w:r>
            <w:r>
              <w:rPr>
                <w:noProof/>
                <w:webHidden/>
              </w:rPr>
              <w:instrText xml:space="preserve"> PAGEREF _Toc237448054 \h </w:instrText>
            </w:r>
            <w:r>
              <w:rPr>
                <w:noProof/>
                <w:webHidden/>
              </w:rPr>
            </w:r>
            <w:r>
              <w:rPr>
                <w:noProof/>
                <w:webHidden/>
              </w:rPr>
              <w:fldChar w:fldCharType="separate"/>
            </w:r>
            <w:r w:rsidR="00413DB3">
              <w:rPr>
                <w:noProof/>
                <w:webHidden/>
              </w:rPr>
              <w:t>33</w:t>
            </w:r>
            <w:r>
              <w:rPr>
                <w:noProof/>
                <w:webHidden/>
              </w:rPr>
              <w:fldChar w:fldCharType="end"/>
            </w:r>
          </w:hyperlink>
        </w:p>
        <w:p w14:paraId="4ADAED6A" w14:textId="102EA4C1" w:rsidR="00562958" w:rsidRDefault="00562958">
          <w:pPr>
            <w:pStyle w:val="TOC3"/>
            <w:tabs>
              <w:tab w:val="right" w:pos="9350"/>
            </w:tabs>
            <w:rPr>
              <w:rFonts w:asciiTheme="minorHAnsi" w:eastAsiaTheme="minorEastAsia" w:hAnsiTheme="minorHAnsi" w:cstheme="minorBidi"/>
              <w:noProof/>
              <w:sz w:val="22"/>
              <w:szCs w:val="22"/>
              <w:lang w:val="en-IN"/>
            </w:rPr>
          </w:pPr>
          <w:hyperlink w:anchor="_Toc237448055" w:history="1">
            <w:r w:rsidRPr="00A266DE">
              <w:rPr>
                <w:rStyle w:val="Hyperlink"/>
                <w:noProof/>
              </w:rPr>
              <w:t>4.3.3 Non-Financial Risk</w:t>
            </w:r>
            <w:r>
              <w:rPr>
                <w:noProof/>
                <w:webHidden/>
              </w:rPr>
              <w:tab/>
            </w:r>
            <w:r>
              <w:rPr>
                <w:noProof/>
                <w:webHidden/>
              </w:rPr>
              <w:fldChar w:fldCharType="begin"/>
            </w:r>
            <w:r>
              <w:rPr>
                <w:noProof/>
                <w:webHidden/>
              </w:rPr>
              <w:instrText xml:space="preserve"> PAGEREF _Toc237448055 \h </w:instrText>
            </w:r>
            <w:r>
              <w:rPr>
                <w:noProof/>
                <w:webHidden/>
              </w:rPr>
            </w:r>
            <w:r>
              <w:rPr>
                <w:noProof/>
                <w:webHidden/>
              </w:rPr>
              <w:fldChar w:fldCharType="separate"/>
            </w:r>
            <w:r w:rsidR="00413DB3">
              <w:rPr>
                <w:noProof/>
                <w:webHidden/>
              </w:rPr>
              <w:t>34</w:t>
            </w:r>
            <w:r>
              <w:rPr>
                <w:noProof/>
                <w:webHidden/>
              </w:rPr>
              <w:fldChar w:fldCharType="end"/>
            </w:r>
          </w:hyperlink>
        </w:p>
        <w:p w14:paraId="4BD2CE14" w14:textId="25A1972C" w:rsidR="00562958" w:rsidRDefault="00562958">
          <w:pPr>
            <w:pStyle w:val="TOC2"/>
            <w:tabs>
              <w:tab w:val="right" w:pos="9350"/>
            </w:tabs>
            <w:rPr>
              <w:rFonts w:asciiTheme="minorHAnsi" w:eastAsiaTheme="minorEastAsia" w:hAnsiTheme="minorHAnsi" w:cstheme="minorBidi"/>
              <w:noProof/>
              <w:sz w:val="22"/>
              <w:szCs w:val="22"/>
              <w:lang w:val="en-IN"/>
            </w:rPr>
          </w:pPr>
          <w:hyperlink w:anchor="_Toc237448056" w:history="1">
            <w:r w:rsidRPr="00A266DE">
              <w:rPr>
                <w:rStyle w:val="Hyperlink"/>
                <w:noProof/>
              </w:rPr>
              <w:t>4.4 Capital Rationing Analysis (£100 Million Limit)</w:t>
            </w:r>
            <w:r>
              <w:rPr>
                <w:noProof/>
                <w:webHidden/>
              </w:rPr>
              <w:tab/>
            </w:r>
            <w:r>
              <w:rPr>
                <w:noProof/>
                <w:webHidden/>
              </w:rPr>
              <w:fldChar w:fldCharType="begin"/>
            </w:r>
            <w:r>
              <w:rPr>
                <w:noProof/>
                <w:webHidden/>
              </w:rPr>
              <w:instrText xml:space="preserve"> PAGEREF _Toc237448056 \h </w:instrText>
            </w:r>
            <w:r>
              <w:rPr>
                <w:noProof/>
                <w:webHidden/>
              </w:rPr>
            </w:r>
            <w:r>
              <w:rPr>
                <w:noProof/>
                <w:webHidden/>
              </w:rPr>
              <w:fldChar w:fldCharType="separate"/>
            </w:r>
            <w:r w:rsidR="00413DB3">
              <w:rPr>
                <w:noProof/>
                <w:webHidden/>
              </w:rPr>
              <w:t>35</w:t>
            </w:r>
            <w:r>
              <w:rPr>
                <w:noProof/>
                <w:webHidden/>
              </w:rPr>
              <w:fldChar w:fldCharType="end"/>
            </w:r>
          </w:hyperlink>
        </w:p>
        <w:p w14:paraId="7138B58C" w14:textId="63C55DA0" w:rsidR="00562958" w:rsidRDefault="00562958">
          <w:pPr>
            <w:pStyle w:val="TOC1"/>
            <w:tabs>
              <w:tab w:val="right" w:pos="9350"/>
            </w:tabs>
            <w:rPr>
              <w:rFonts w:asciiTheme="minorHAnsi" w:eastAsiaTheme="minorEastAsia" w:hAnsiTheme="minorHAnsi" w:cstheme="minorBidi"/>
              <w:noProof/>
              <w:sz w:val="22"/>
              <w:szCs w:val="22"/>
              <w:lang w:val="en-IN"/>
            </w:rPr>
          </w:pPr>
          <w:hyperlink w:anchor="_Toc237448057" w:history="1">
            <w:r w:rsidRPr="00A266DE">
              <w:rPr>
                <w:rStyle w:val="Hyperlink"/>
                <w:noProof/>
              </w:rPr>
              <w:t>5. Critical Reflection on Artificial Intelligence Usage</w:t>
            </w:r>
            <w:r>
              <w:rPr>
                <w:noProof/>
                <w:webHidden/>
              </w:rPr>
              <w:tab/>
            </w:r>
            <w:r>
              <w:rPr>
                <w:noProof/>
                <w:webHidden/>
              </w:rPr>
              <w:fldChar w:fldCharType="begin"/>
            </w:r>
            <w:r>
              <w:rPr>
                <w:noProof/>
                <w:webHidden/>
              </w:rPr>
              <w:instrText xml:space="preserve"> PAGEREF _Toc237448057 \h </w:instrText>
            </w:r>
            <w:r>
              <w:rPr>
                <w:noProof/>
                <w:webHidden/>
              </w:rPr>
            </w:r>
            <w:r>
              <w:rPr>
                <w:noProof/>
                <w:webHidden/>
              </w:rPr>
              <w:fldChar w:fldCharType="separate"/>
            </w:r>
            <w:r w:rsidR="00413DB3">
              <w:rPr>
                <w:noProof/>
                <w:webHidden/>
              </w:rPr>
              <w:t>37</w:t>
            </w:r>
            <w:r>
              <w:rPr>
                <w:noProof/>
                <w:webHidden/>
              </w:rPr>
              <w:fldChar w:fldCharType="end"/>
            </w:r>
          </w:hyperlink>
        </w:p>
        <w:p w14:paraId="2799A55C" w14:textId="3D14C264" w:rsidR="00562958" w:rsidRDefault="00562958">
          <w:pPr>
            <w:pStyle w:val="TOC2"/>
            <w:tabs>
              <w:tab w:val="right" w:pos="9350"/>
            </w:tabs>
            <w:rPr>
              <w:rFonts w:asciiTheme="minorHAnsi" w:eastAsiaTheme="minorEastAsia" w:hAnsiTheme="minorHAnsi" w:cstheme="minorBidi"/>
              <w:noProof/>
              <w:sz w:val="22"/>
              <w:szCs w:val="22"/>
              <w:lang w:val="en-IN"/>
            </w:rPr>
          </w:pPr>
          <w:hyperlink w:anchor="_Toc237448058" w:history="1">
            <w:r w:rsidRPr="00A266DE">
              <w:rPr>
                <w:rStyle w:val="Hyperlink"/>
                <w:noProof/>
              </w:rPr>
              <w:t>5.1 AI tools and Acknowledgement</w:t>
            </w:r>
            <w:r>
              <w:rPr>
                <w:noProof/>
                <w:webHidden/>
              </w:rPr>
              <w:tab/>
            </w:r>
            <w:r>
              <w:rPr>
                <w:noProof/>
                <w:webHidden/>
              </w:rPr>
              <w:fldChar w:fldCharType="begin"/>
            </w:r>
            <w:r>
              <w:rPr>
                <w:noProof/>
                <w:webHidden/>
              </w:rPr>
              <w:instrText xml:space="preserve"> PAGEREF _Toc237448058 \h </w:instrText>
            </w:r>
            <w:r>
              <w:rPr>
                <w:noProof/>
                <w:webHidden/>
              </w:rPr>
            </w:r>
            <w:r>
              <w:rPr>
                <w:noProof/>
                <w:webHidden/>
              </w:rPr>
              <w:fldChar w:fldCharType="separate"/>
            </w:r>
            <w:r w:rsidR="00413DB3">
              <w:rPr>
                <w:noProof/>
                <w:webHidden/>
              </w:rPr>
              <w:t>37</w:t>
            </w:r>
            <w:r>
              <w:rPr>
                <w:noProof/>
                <w:webHidden/>
              </w:rPr>
              <w:fldChar w:fldCharType="end"/>
            </w:r>
          </w:hyperlink>
        </w:p>
        <w:p w14:paraId="4C698AAB" w14:textId="76F9CA3F" w:rsidR="00562958" w:rsidRDefault="00562958">
          <w:pPr>
            <w:pStyle w:val="TOC2"/>
            <w:tabs>
              <w:tab w:val="right" w:pos="9350"/>
            </w:tabs>
            <w:rPr>
              <w:rFonts w:asciiTheme="minorHAnsi" w:eastAsiaTheme="minorEastAsia" w:hAnsiTheme="minorHAnsi" w:cstheme="minorBidi"/>
              <w:noProof/>
              <w:sz w:val="22"/>
              <w:szCs w:val="22"/>
              <w:lang w:val="en-IN"/>
            </w:rPr>
          </w:pPr>
          <w:hyperlink w:anchor="_Toc237448059" w:history="1">
            <w:r w:rsidRPr="00A266DE">
              <w:rPr>
                <w:rStyle w:val="Hyperlink"/>
                <w:noProof/>
              </w:rPr>
              <w:t>5.2 Evaluation of AI Outputs</w:t>
            </w:r>
            <w:r>
              <w:rPr>
                <w:noProof/>
                <w:webHidden/>
              </w:rPr>
              <w:tab/>
            </w:r>
            <w:r>
              <w:rPr>
                <w:noProof/>
                <w:webHidden/>
              </w:rPr>
              <w:fldChar w:fldCharType="begin"/>
            </w:r>
            <w:r>
              <w:rPr>
                <w:noProof/>
                <w:webHidden/>
              </w:rPr>
              <w:instrText xml:space="preserve"> PAGEREF _Toc237448059 \h </w:instrText>
            </w:r>
            <w:r>
              <w:rPr>
                <w:noProof/>
                <w:webHidden/>
              </w:rPr>
            </w:r>
            <w:r>
              <w:rPr>
                <w:noProof/>
                <w:webHidden/>
              </w:rPr>
              <w:fldChar w:fldCharType="separate"/>
            </w:r>
            <w:r w:rsidR="00413DB3">
              <w:rPr>
                <w:noProof/>
                <w:webHidden/>
              </w:rPr>
              <w:t>37</w:t>
            </w:r>
            <w:r>
              <w:rPr>
                <w:noProof/>
                <w:webHidden/>
              </w:rPr>
              <w:fldChar w:fldCharType="end"/>
            </w:r>
          </w:hyperlink>
        </w:p>
        <w:p w14:paraId="07F9B092" w14:textId="0FAF0961" w:rsidR="00562958" w:rsidRDefault="00562958">
          <w:pPr>
            <w:pStyle w:val="TOC2"/>
            <w:tabs>
              <w:tab w:val="right" w:pos="9350"/>
            </w:tabs>
            <w:rPr>
              <w:rFonts w:asciiTheme="minorHAnsi" w:eastAsiaTheme="minorEastAsia" w:hAnsiTheme="minorHAnsi" w:cstheme="minorBidi"/>
              <w:noProof/>
              <w:sz w:val="22"/>
              <w:szCs w:val="22"/>
              <w:lang w:val="en-IN"/>
            </w:rPr>
          </w:pPr>
          <w:hyperlink w:anchor="_Toc237448060" w:history="1">
            <w:r w:rsidRPr="00A266DE">
              <w:rPr>
                <w:rStyle w:val="Hyperlink"/>
                <w:noProof/>
              </w:rPr>
              <w:t>5.3 Contribution Analysis</w:t>
            </w:r>
            <w:r>
              <w:rPr>
                <w:noProof/>
                <w:webHidden/>
              </w:rPr>
              <w:tab/>
            </w:r>
            <w:r>
              <w:rPr>
                <w:noProof/>
                <w:webHidden/>
              </w:rPr>
              <w:fldChar w:fldCharType="begin"/>
            </w:r>
            <w:r>
              <w:rPr>
                <w:noProof/>
                <w:webHidden/>
              </w:rPr>
              <w:instrText xml:space="preserve"> PAGEREF _Toc237448060 \h </w:instrText>
            </w:r>
            <w:r>
              <w:rPr>
                <w:noProof/>
                <w:webHidden/>
              </w:rPr>
            </w:r>
            <w:r>
              <w:rPr>
                <w:noProof/>
                <w:webHidden/>
              </w:rPr>
              <w:fldChar w:fldCharType="separate"/>
            </w:r>
            <w:r w:rsidR="00413DB3">
              <w:rPr>
                <w:noProof/>
                <w:webHidden/>
              </w:rPr>
              <w:t>37</w:t>
            </w:r>
            <w:r>
              <w:rPr>
                <w:noProof/>
                <w:webHidden/>
              </w:rPr>
              <w:fldChar w:fldCharType="end"/>
            </w:r>
          </w:hyperlink>
        </w:p>
        <w:p w14:paraId="10F77A7A" w14:textId="6AD6799C" w:rsidR="00562958" w:rsidRDefault="00562958">
          <w:pPr>
            <w:pStyle w:val="TOC3"/>
            <w:tabs>
              <w:tab w:val="right" w:pos="9350"/>
            </w:tabs>
            <w:rPr>
              <w:rFonts w:asciiTheme="minorHAnsi" w:eastAsiaTheme="minorEastAsia" w:hAnsiTheme="minorHAnsi" w:cstheme="minorBidi"/>
              <w:noProof/>
              <w:sz w:val="22"/>
              <w:szCs w:val="22"/>
              <w:lang w:val="en-IN"/>
            </w:rPr>
          </w:pPr>
          <w:hyperlink w:anchor="_Toc237448061" w:history="1">
            <w:r w:rsidRPr="00A266DE">
              <w:rPr>
                <w:rStyle w:val="Hyperlink"/>
                <w:noProof/>
              </w:rPr>
              <w:t>5.3.1 AI-Generated Contributions</w:t>
            </w:r>
            <w:r>
              <w:rPr>
                <w:noProof/>
                <w:webHidden/>
              </w:rPr>
              <w:tab/>
            </w:r>
            <w:r>
              <w:rPr>
                <w:noProof/>
                <w:webHidden/>
              </w:rPr>
              <w:fldChar w:fldCharType="begin"/>
            </w:r>
            <w:r>
              <w:rPr>
                <w:noProof/>
                <w:webHidden/>
              </w:rPr>
              <w:instrText xml:space="preserve"> PAGEREF _Toc237448061 \h </w:instrText>
            </w:r>
            <w:r>
              <w:rPr>
                <w:noProof/>
                <w:webHidden/>
              </w:rPr>
            </w:r>
            <w:r>
              <w:rPr>
                <w:noProof/>
                <w:webHidden/>
              </w:rPr>
              <w:fldChar w:fldCharType="separate"/>
            </w:r>
            <w:r w:rsidR="00413DB3">
              <w:rPr>
                <w:noProof/>
                <w:webHidden/>
              </w:rPr>
              <w:t>37</w:t>
            </w:r>
            <w:r>
              <w:rPr>
                <w:noProof/>
                <w:webHidden/>
              </w:rPr>
              <w:fldChar w:fldCharType="end"/>
            </w:r>
          </w:hyperlink>
        </w:p>
        <w:p w14:paraId="01225EF5" w14:textId="2A710957" w:rsidR="00562958" w:rsidRDefault="00562958">
          <w:pPr>
            <w:pStyle w:val="TOC3"/>
            <w:tabs>
              <w:tab w:val="right" w:pos="9350"/>
            </w:tabs>
            <w:rPr>
              <w:rFonts w:asciiTheme="minorHAnsi" w:eastAsiaTheme="minorEastAsia" w:hAnsiTheme="minorHAnsi" w:cstheme="minorBidi"/>
              <w:noProof/>
              <w:sz w:val="22"/>
              <w:szCs w:val="22"/>
              <w:lang w:val="en-IN"/>
            </w:rPr>
          </w:pPr>
          <w:hyperlink w:anchor="_Toc237448062" w:history="1">
            <w:r w:rsidRPr="00A266DE">
              <w:rPr>
                <w:rStyle w:val="Hyperlink"/>
                <w:noProof/>
              </w:rPr>
              <w:t>5.3.2 Independent Critical Analysis</w:t>
            </w:r>
            <w:r>
              <w:rPr>
                <w:noProof/>
                <w:webHidden/>
              </w:rPr>
              <w:tab/>
            </w:r>
            <w:r>
              <w:rPr>
                <w:noProof/>
                <w:webHidden/>
              </w:rPr>
              <w:fldChar w:fldCharType="begin"/>
            </w:r>
            <w:r>
              <w:rPr>
                <w:noProof/>
                <w:webHidden/>
              </w:rPr>
              <w:instrText xml:space="preserve"> PAGEREF _Toc237448062 \h </w:instrText>
            </w:r>
            <w:r>
              <w:rPr>
                <w:noProof/>
                <w:webHidden/>
              </w:rPr>
            </w:r>
            <w:r>
              <w:rPr>
                <w:noProof/>
                <w:webHidden/>
              </w:rPr>
              <w:fldChar w:fldCharType="separate"/>
            </w:r>
            <w:r w:rsidR="00413DB3">
              <w:rPr>
                <w:noProof/>
                <w:webHidden/>
              </w:rPr>
              <w:t>38</w:t>
            </w:r>
            <w:r>
              <w:rPr>
                <w:noProof/>
                <w:webHidden/>
              </w:rPr>
              <w:fldChar w:fldCharType="end"/>
            </w:r>
          </w:hyperlink>
        </w:p>
        <w:p w14:paraId="1EA19F2B" w14:textId="2E713941" w:rsidR="00562958" w:rsidRDefault="00562958">
          <w:pPr>
            <w:pStyle w:val="TOC2"/>
            <w:tabs>
              <w:tab w:val="right" w:pos="9350"/>
            </w:tabs>
            <w:rPr>
              <w:rFonts w:asciiTheme="minorHAnsi" w:eastAsiaTheme="minorEastAsia" w:hAnsiTheme="minorHAnsi" w:cstheme="minorBidi"/>
              <w:noProof/>
              <w:sz w:val="22"/>
              <w:szCs w:val="22"/>
              <w:lang w:val="en-IN"/>
            </w:rPr>
          </w:pPr>
          <w:hyperlink w:anchor="_Toc237448063" w:history="1">
            <w:r w:rsidRPr="00A266DE">
              <w:rPr>
                <w:rStyle w:val="Hyperlink"/>
                <w:noProof/>
              </w:rPr>
              <w:t>5.4 Ethical and Professional Reflection</w:t>
            </w:r>
            <w:r>
              <w:rPr>
                <w:noProof/>
                <w:webHidden/>
              </w:rPr>
              <w:tab/>
            </w:r>
            <w:r>
              <w:rPr>
                <w:noProof/>
                <w:webHidden/>
              </w:rPr>
              <w:fldChar w:fldCharType="begin"/>
            </w:r>
            <w:r>
              <w:rPr>
                <w:noProof/>
                <w:webHidden/>
              </w:rPr>
              <w:instrText xml:space="preserve"> PAGEREF _Toc237448063 \h </w:instrText>
            </w:r>
            <w:r>
              <w:rPr>
                <w:noProof/>
                <w:webHidden/>
              </w:rPr>
            </w:r>
            <w:r>
              <w:rPr>
                <w:noProof/>
                <w:webHidden/>
              </w:rPr>
              <w:fldChar w:fldCharType="separate"/>
            </w:r>
            <w:r w:rsidR="00413DB3">
              <w:rPr>
                <w:noProof/>
                <w:webHidden/>
              </w:rPr>
              <w:t>38</w:t>
            </w:r>
            <w:r>
              <w:rPr>
                <w:noProof/>
                <w:webHidden/>
              </w:rPr>
              <w:fldChar w:fldCharType="end"/>
            </w:r>
          </w:hyperlink>
        </w:p>
        <w:p w14:paraId="3963F702" w14:textId="194CC660" w:rsidR="00562958" w:rsidRDefault="00562958">
          <w:pPr>
            <w:pStyle w:val="TOC1"/>
            <w:tabs>
              <w:tab w:val="right" w:pos="9350"/>
            </w:tabs>
            <w:rPr>
              <w:rFonts w:asciiTheme="minorHAnsi" w:eastAsiaTheme="minorEastAsia" w:hAnsiTheme="minorHAnsi" w:cstheme="minorBidi"/>
              <w:noProof/>
              <w:sz w:val="22"/>
              <w:szCs w:val="22"/>
              <w:lang w:val="en-IN"/>
            </w:rPr>
          </w:pPr>
          <w:hyperlink w:anchor="_Toc237448064" w:history="1">
            <w:r w:rsidRPr="00A266DE">
              <w:rPr>
                <w:rStyle w:val="Hyperlink"/>
                <w:noProof/>
              </w:rPr>
              <w:t>Conclusion</w:t>
            </w:r>
            <w:r>
              <w:rPr>
                <w:noProof/>
                <w:webHidden/>
              </w:rPr>
              <w:tab/>
            </w:r>
            <w:r>
              <w:rPr>
                <w:noProof/>
                <w:webHidden/>
              </w:rPr>
              <w:fldChar w:fldCharType="begin"/>
            </w:r>
            <w:r>
              <w:rPr>
                <w:noProof/>
                <w:webHidden/>
              </w:rPr>
              <w:instrText xml:space="preserve"> PAGEREF _Toc237448064 \h </w:instrText>
            </w:r>
            <w:r>
              <w:rPr>
                <w:noProof/>
                <w:webHidden/>
              </w:rPr>
            </w:r>
            <w:r>
              <w:rPr>
                <w:noProof/>
                <w:webHidden/>
              </w:rPr>
              <w:fldChar w:fldCharType="separate"/>
            </w:r>
            <w:r w:rsidR="00413DB3">
              <w:rPr>
                <w:noProof/>
                <w:webHidden/>
              </w:rPr>
              <w:t>39</w:t>
            </w:r>
            <w:r>
              <w:rPr>
                <w:noProof/>
                <w:webHidden/>
              </w:rPr>
              <w:fldChar w:fldCharType="end"/>
            </w:r>
          </w:hyperlink>
        </w:p>
        <w:p w14:paraId="4B07EA85" w14:textId="5C8AEA48" w:rsidR="00562958" w:rsidRDefault="00562958">
          <w:pPr>
            <w:pStyle w:val="TOC1"/>
            <w:tabs>
              <w:tab w:val="right" w:pos="9350"/>
            </w:tabs>
            <w:rPr>
              <w:rFonts w:asciiTheme="minorHAnsi" w:eastAsiaTheme="minorEastAsia" w:hAnsiTheme="minorHAnsi" w:cstheme="minorBidi"/>
              <w:noProof/>
              <w:sz w:val="22"/>
              <w:szCs w:val="22"/>
              <w:lang w:val="en-IN"/>
            </w:rPr>
          </w:pPr>
          <w:hyperlink w:anchor="_Toc237448065" w:history="1">
            <w:r w:rsidRPr="00A266DE">
              <w:rPr>
                <w:rStyle w:val="Hyperlink"/>
                <w:noProof/>
              </w:rPr>
              <w:t>References</w:t>
            </w:r>
            <w:r>
              <w:rPr>
                <w:noProof/>
                <w:webHidden/>
              </w:rPr>
              <w:tab/>
            </w:r>
            <w:r>
              <w:rPr>
                <w:noProof/>
                <w:webHidden/>
              </w:rPr>
              <w:fldChar w:fldCharType="begin"/>
            </w:r>
            <w:r>
              <w:rPr>
                <w:noProof/>
                <w:webHidden/>
              </w:rPr>
              <w:instrText xml:space="preserve"> PAGEREF _Toc237448065 \h </w:instrText>
            </w:r>
            <w:r>
              <w:rPr>
                <w:noProof/>
                <w:webHidden/>
              </w:rPr>
            </w:r>
            <w:r>
              <w:rPr>
                <w:noProof/>
                <w:webHidden/>
              </w:rPr>
              <w:fldChar w:fldCharType="separate"/>
            </w:r>
            <w:r w:rsidR="00413DB3">
              <w:rPr>
                <w:noProof/>
                <w:webHidden/>
              </w:rPr>
              <w:t>40</w:t>
            </w:r>
            <w:r>
              <w:rPr>
                <w:noProof/>
                <w:webHidden/>
              </w:rPr>
              <w:fldChar w:fldCharType="end"/>
            </w:r>
          </w:hyperlink>
        </w:p>
        <w:p w14:paraId="09BCC9EF" w14:textId="308CA6F3" w:rsidR="00562958" w:rsidRDefault="00562958">
          <w:pPr>
            <w:pStyle w:val="TOC1"/>
            <w:tabs>
              <w:tab w:val="right" w:pos="9350"/>
            </w:tabs>
            <w:rPr>
              <w:rFonts w:asciiTheme="minorHAnsi" w:eastAsiaTheme="minorEastAsia" w:hAnsiTheme="minorHAnsi" w:cstheme="minorBidi"/>
              <w:noProof/>
              <w:sz w:val="22"/>
              <w:szCs w:val="22"/>
              <w:lang w:val="en-IN"/>
            </w:rPr>
          </w:pPr>
          <w:hyperlink w:anchor="_Toc237448066" w:history="1">
            <w:r w:rsidRPr="00A266DE">
              <w:rPr>
                <w:rStyle w:val="Hyperlink"/>
                <w:noProof/>
              </w:rPr>
              <w:t>Appendices</w:t>
            </w:r>
            <w:r>
              <w:rPr>
                <w:noProof/>
                <w:webHidden/>
              </w:rPr>
              <w:tab/>
            </w:r>
            <w:r>
              <w:rPr>
                <w:noProof/>
                <w:webHidden/>
              </w:rPr>
              <w:fldChar w:fldCharType="begin"/>
            </w:r>
            <w:r>
              <w:rPr>
                <w:noProof/>
                <w:webHidden/>
              </w:rPr>
              <w:instrText xml:space="preserve"> PAGEREF _Toc237448066 \h </w:instrText>
            </w:r>
            <w:r>
              <w:rPr>
                <w:noProof/>
                <w:webHidden/>
              </w:rPr>
            </w:r>
            <w:r>
              <w:rPr>
                <w:noProof/>
                <w:webHidden/>
              </w:rPr>
              <w:fldChar w:fldCharType="separate"/>
            </w:r>
            <w:r w:rsidR="00413DB3">
              <w:rPr>
                <w:noProof/>
                <w:webHidden/>
              </w:rPr>
              <w:t>45</w:t>
            </w:r>
            <w:r>
              <w:rPr>
                <w:noProof/>
                <w:webHidden/>
              </w:rPr>
              <w:fldChar w:fldCharType="end"/>
            </w:r>
          </w:hyperlink>
        </w:p>
        <w:p w14:paraId="2A9B9298" w14:textId="2EC5354A" w:rsidR="00562958" w:rsidRDefault="00562958">
          <w:pPr>
            <w:pStyle w:val="TOC2"/>
            <w:tabs>
              <w:tab w:val="right" w:pos="9350"/>
            </w:tabs>
            <w:rPr>
              <w:rFonts w:asciiTheme="minorHAnsi" w:eastAsiaTheme="minorEastAsia" w:hAnsiTheme="minorHAnsi" w:cstheme="minorBidi"/>
              <w:noProof/>
              <w:sz w:val="22"/>
              <w:szCs w:val="22"/>
              <w:lang w:val="en-IN"/>
            </w:rPr>
          </w:pPr>
          <w:hyperlink w:anchor="_Toc237448067" w:history="1">
            <w:r w:rsidRPr="00A266DE">
              <w:rPr>
                <w:rStyle w:val="Hyperlink"/>
                <w:noProof/>
              </w:rPr>
              <w:t>Appendix 1: Ratio Analysis</w:t>
            </w:r>
            <w:r>
              <w:rPr>
                <w:noProof/>
                <w:webHidden/>
              </w:rPr>
              <w:tab/>
            </w:r>
            <w:r>
              <w:rPr>
                <w:noProof/>
                <w:webHidden/>
              </w:rPr>
              <w:fldChar w:fldCharType="begin"/>
            </w:r>
            <w:r>
              <w:rPr>
                <w:noProof/>
                <w:webHidden/>
              </w:rPr>
              <w:instrText xml:space="preserve"> PAGEREF _Toc237448067 \h </w:instrText>
            </w:r>
            <w:r>
              <w:rPr>
                <w:noProof/>
                <w:webHidden/>
              </w:rPr>
            </w:r>
            <w:r>
              <w:rPr>
                <w:noProof/>
                <w:webHidden/>
              </w:rPr>
              <w:fldChar w:fldCharType="separate"/>
            </w:r>
            <w:r w:rsidR="00413DB3">
              <w:rPr>
                <w:noProof/>
                <w:webHidden/>
              </w:rPr>
              <w:t>45</w:t>
            </w:r>
            <w:r>
              <w:rPr>
                <w:noProof/>
                <w:webHidden/>
              </w:rPr>
              <w:fldChar w:fldCharType="end"/>
            </w:r>
          </w:hyperlink>
        </w:p>
        <w:p w14:paraId="2D53909C" w14:textId="24EDB5B8" w:rsidR="00562958" w:rsidRDefault="00562958">
          <w:pPr>
            <w:pStyle w:val="TOC2"/>
            <w:tabs>
              <w:tab w:val="right" w:pos="9350"/>
            </w:tabs>
            <w:rPr>
              <w:rFonts w:asciiTheme="minorHAnsi" w:eastAsiaTheme="minorEastAsia" w:hAnsiTheme="minorHAnsi" w:cstheme="minorBidi"/>
              <w:noProof/>
              <w:sz w:val="22"/>
              <w:szCs w:val="22"/>
              <w:lang w:val="en-IN"/>
            </w:rPr>
          </w:pPr>
          <w:hyperlink w:anchor="_Toc237448068" w:history="1">
            <w:r w:rsidRPr="00A266DE">
              <w:rPr>
                <w:rStyle w:val="Hyperlink"/>
                <w:noProof/>
              </w:rPr>
              <w:t>Appendix 2: Capital Rationing Analysis</w:t>
            </w:r>
            <w:r>
              <w:rPr>
                <w:noProof/>
                <w:webHidden/>
              </w:rPr>
              <w:tab/>
            </w:r>
            <w:r>
              <w:rPr>
                <w:noProof/>
                <w:webHidden/>
              </w:rPr>
              <w:fldChar w:fldCharType="begin"/>
            </w:r>
            <w:r>
              <w:rPr>
                <w:noProof/>
                <w:webHidden/>
              </w:rPr>
              <w:instrText xml:space="preserve"> PAGEREF _Toc237448068 \h </w:instrText>
            </w:r>
            <w:r>
              <w:rPr>
                <w:noProof/>
                <w:webHidden/>
              </w:rPr>
            </w:r>
            <w:r>
              <w:rPr>
                <w:noProof/>
                <w:webHidden/>
              </w:rPr>
              <w:fldChar w:fldCharType="separate"/>
            </w:r>
            <w:r w:rsidR="00413DB3">
              <w:rPr>
                <w:noProof/>
                <w:webHidden/>
              </w:rPr>
              <w:t>48</w:t>
            </w:r>
            <w:r>
              <w:rPr>
                <w:noProof/>
                <w:webHidden/>
              </w:rPr>
              <w:fldChar w:fldCharType="end"/>
            </w:r>
          </w:hyperlink>
        </w:p>
        <w:p w14:paraId="79DF7DC5" w14:textId="7F376D1D" w:rsidR="00562958" w:rsidRDefault="00562958">
          <w:pPr>
            <w:pStyle w:val="TOC2"/>
            <w:tabs>
              <w:tab w:val="right" w:pos="9350"/>
            </w:tabs>
            <w:rPr>
              <w:rFonts w:asciiTheme="minorHAnsi" w:eastAsiaTheme="minorEastAsia" w:hAnsiTheme="minorHAnsi" w:cstheme="minorBidi"/>
              <w:noProof/>
              <w:sz w:val="22"/>
              <w:szCs w:val="22"/>
              <w:lang w:val="en-IN"/>
            </w:rPr>
          </w:pPr>
          <w:hyperlink w:anchor="_Toc237448069" w:history="1">
            <w:r w:rsidRPr="00A266DE">
              <w:rPr>
                <w:rStyle w:val="Hyperlink"/>
                <w:noProof/>
              </w:rPr>
              <w:t>Appendix 3: PROJECT</w:t>
            </w:r>
            <w:r>
              <w:rPr>
                <w:noProof/>
                <w:webHidden/>
              </w:rPr>
              <w:tab/>
            </w:r>
            <w:r>
              <w:rPr>
                <w:noProof/>
                <w:webHidden/>
              </w:rPr>
              <w:fldChar w:fldCharType="begin"/>
            </w:r>
            <w:r>
              <w:rPr>
                <w:noProof/>
                <w:webHidden/>
              </w:rPr>
              <w:instrText xml:space="preserve"> PAGEREF _Toc237448069 \h </w:instrText>
            </w:r>
            <w:r>
              <w:rPr>
                <w:noProof/>
                <w:webHidden/>
              </w:rPr>
            </w:r>
            <w:r>
              <w:rPr>
                <w:noProof/>
                <w:webHidden/>
              </w:rPr>
              <w:fldChar w:fldCharType="separate"/>
            </w:r>
            <w:r w:rsidR="00413DB3">
              <w:rPr>
                <w:noProof/>
                <w:webHidden/>
              </w:rPr>
              <w:t>49</w:t>
            </w:r>
            <w:r>
              <w:rPr>
                <w:noProof/>
                <w:webHidden/>
              </w:rPr>
              <w:fldChar w:fldCharType="end"/>
            </w:r>
          </w:hyperlink>
        </w:p>
        <w:p w14:paraId="3938EA4A" w14:textId="0DE8EB40" w:rsidR="006227CE" w:rsidRDefault="006C5E69">
          <w:pPr>
            <w:widowControl w:val="0"/>
            <w:tabs>
              <w:tab w:val="right" w:pos="12000"/>
            </w:tabs>
            <w:spacing w:before="60" w:line="240" w:lineRule="auto"/>
            <w:ind w:left="360"/>
            <w:jc w:val="left"/>
            <w:rPr>
              <w:color w:val="000000"/>
            </w:rPr>
          </w:pPr>
          <w:r>
            <w:fldChar w:fldCharType="end"/>
          </w:r>
        </w:p>
      </w:sdtContent>
    </w:sdt>
    <w:p w14:paraId="3938EA4B" w14:textId="77777777" w:rsidR="006227CE" w:rsidRDefault="006C5E69">
      <w:pPr>
        <w:jc w:val="center"/>
      </w:pPr>
      <w:r>
        <w:br w:type="page"/>
      </w:r>
    </w:p>
    <w:p w14:paraId="3938EA4C" w14:textId="77777777" w:rsidR="006227CE" w:rsidRDefault="006C5E69">
      <w:pPr>
        <w:pStyle w:val="Heading1"/>
      </w:pPr>
      <w:bookmarkStart w:id="3" w:name="_heading=h.u8uewj6cxz2" w:colFirst="0" w:colLast="0"/>
      <w:bookmarkStart w:id="4" w:name="_Toc237448011"/>
      <w:bookmarkEnd w:id="3"/>
      <w:r>
        <w:lastRenderedPageBreak/>
        <w:t>Introduction</w:t>
      </w:r>
      <w:bookmarkEnd w:id="4"/>
      <w:r>
        <w:t xml:space="preserve"> </w:t>
      </w:r>
    </w:p>
    <w:p w14:paraId="3938EA4D" w14:textId="77777777" w:rsidR="006227CE" w:rsidRDefault="006C5E69">
      <w:r>
        <w:t xml:space="preserve">The report highlights the financial analysis of Whitbread Plc over the five years by highlighting core problem trends and adoption of the financial strategy to enhance improvement in business operations. In this report, accessing working capital appraisal and adoption of the recommended strategies to enhance liquidity measures. </w:t>
      </w:r>
    </w:p>
    <w:p w14:paraId="3938EA4E" w14:textId="77777777" w:rsidR="006227CE" w:rsidRDefault="006C5E69">
      <w:pPr>
        <w:pStyle w:val="Heading1"/>
      </w:pPr>
      <w:bookmarkStart w:id="5" w:name="_heading=h.3ib22s9luosk" w:colFirst="0" w:colLast="0"/>
      <w:bookmarkEnd w:id="5"/>
      <w:r>
        <w:br w:type="page"/>
      </w:r>
    </w:p>
    <w:p w14:paraId="3938EA4F" w14:textId="77777777" w:rsidR="006227CE" w:rsidRDefault="006C5E69">
      <w:pPr>
        <w:pStyle w:val="Heading1"/>
      </w:pPr>
      <w:bookmarkStart w:id="6" w:name="_Toc237448012"/>
      <w:r>
        <w:lastRenderedPageBreak/>
        <w:t>1. Financial Health Check</w:t>
      </w:r>
      <w:bookmarkEnd w:id="6"/>
      <w:r>
        <w:t xml:space="preserve"> </w:t>
      </w:r>
    </w:p>
    <w:p w14:paraId="3938EA50" w14:textId="77777777" w:rsidR="006227CE" w:rsidRDefault="006C5E69">
      <w:pPr>
        <w:pStyle w:val="Heading2"/>
      </w:pPr>
      <w:bookmarkStart w:id="7" w:name="_Toc237448013"/>
      <w:r>
        <w:t>1.1 Five-Year Financial Performance of Whitbread Plc</w:t>
      </w:r>
      <w:bookmarkEnd w:id="7"/>
      <w:r>
        <w:t xml:space="preserve"> </w:t>
      </w:r>
    </w:p>
    <w:p w14:paraId="3938EA51" w14:textId="77777777" w:rsidR="006227CE" w:rsidRDefault="006C5E69">
      <w:pPr>
        <w:pStyle w:val="Heading3"/>
      </w:pPr>
      <w:bookmarkStart w:id="8" w:name="_Toc237448014"/>
      <w:r>
        <w:t>1.1.1 Income statement analysis</w:t>
      </w:r>
      <w:bookmarkEnd w:id="8"/>
      <w:r>
        <w:t xml:space="preserve"> </w:t>
      </w:r>
    </w:p>
    <w:p w14:paraId="3938EA52" w14:textId="77777777" w:rsidR="006227CE" w:rsidRDefault="006C5E69">
      <w:r>
        <w:t xml:space="preserve">The key income statement analysis also illustrates a strong trend towards improving Whitbread Plc operational standards in post pandemic recovery between 2021-2025. The cumulative growth of revenue is also identified as 396% from “£589.4 million in 2021 to £2,921.9 million in 2025”. For instance, Whitbread Plc also opened 1000 new premier rooms with forward booking service that enable higher guest access in the UK and Germany (Withers, 2025). As a result, operation profit also improved with recovering key loss £839.1 million to profit £509.3 million in 2025. This expansion was also helpful to support net profitability with recovering losses £906.5 million to make stable profit £253.7 million in 2025. </w:t>
      </w:r>
    </w:p>
    <w:p w14:paraId="3938EA53" w14:textId="77777777" w:rsidR="006227CE" w:rsidRDefault="006C5E69">
      <w:pPr>
        <w:jc w:val="center"/>
      </w:pPr>
      <w:r>
        <w:rPr>
          <w:noProof/>
          <w:lang w:val="en-US" w:eastAsia="en-US" w:bidi="gu-IN"/>
        </w:rPr>
        <w:drawing>
          <wp:inline distT="0" distB="0" distL="0" distR="0" wp14:anchorId="3938EE2F" wp14:editId="3938EE30">
            <wp:extent cx="4867954" cy="828791"/>
            <wp:effectExtent l="0" t="0" r="0" b="0"/>
            <wp:docPr id="77"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9"/>
                    <a:srcRect/>
                    <a:stretch>
                      <a:fillRect/>
                    </a:stretch>
                  </pic:blipFill>
                  <pic:spPr>
                    <a:xfrm>
                      <a:off x="0" y="0"/>
                      <a:ext cx="4867954" cy="828791"/>
                    </a:xfrm>
                    <a:prstGeom prst="rect">
                      <a:avLst/>
                    </a:prstGeom>
                    <a:ln/>
                  </pic:spPr>
                </pic:pic>
              </a:graphicData>
            </a:graphic>
          </wp:inline>
        </w:drawing>
      </w:r>
    </w:p>
    <w:p w14:paraId="3938EA54" w14:textId="77777777" w:rsidR="006227CE" w:rsidRDefault="006C5E69">
      <w:pPr>
        <w:jc w:val="center"/>
      </w:pPr>
      <w:r>
        <w:rPr>
          <w:b/>
          <w:bCs/>
        </w:rPr>
        <w:t>Table 1:Income statement analysis</w:t>
      </w:r>
    </w:p>
    <w:p w14:paraId="3938EA55" w14:textId="77777777" w:rsidR="006227CE" w:rsidRDefault="006C5E69">
      <w:pPr>
        <w:jc w:val="center"/>
      </w:pPr>
      <w:r>
        <w:rPr>
          <w:noProof/>
          <w:lang w:val="en-US" w:eastAsia="en-US" w:bidi="gu-IN"/>
        </w:rPr>
        <w:drawing>
          <wp:inline distT="114300" distB="114300" distL="114300" distR="114300" wp14:anchorId="3938EE31" wp14:editId="3938EE32">
            <wp:extent cx="4567238" cy="2744734"/>
            <wp:effectExtent l="0" t="0" r="0" b="0"/>
            <wp:docPr id="76" name="image45.png"/>
            <wp:cNvGraphicFramePr/>
            <a:graphic xmlns:a="http://schemas.openxmlformats.org/drawingml/2006/main">
              <a:graphicData uri="http://schemas.openxmlformats.org/drawingml/2006/picture">
                <pic:pic xmlns:pic="http://schemas.openxmlformats.org/drawingml/2006/picture">
                  <pic:nvPicPr>
                    <pic:cNvPr id="0" name="image45.png"/>
                    <pic:cNvPicPr preferRelativeResize="0"/>
                  </pic:nvPicPr>
                  <pic:blipFill>
                    <a:blip r:embed="rId10"/>
                    <a:srcRect/>
                    <a:stretch>
                      <a:fillRect/>
                    </a:stretch>
                  </pic:blipFill>
                  <pic:spPr>
                    <a:xfrm>
                      <a:off x="0" y="0"/>
                      <a:ext cx="4567238" cy="2744734"/>
                    </a:xfrm>
                    <a:prstGeom prst="rect">
                      <a:avLst/>
                    </a:prstGeom>
                    <a:ln/>
                  </pic:spPr>
                </pic:pic>
              </a:graphicData>
            </a:graphic>
          </wp:inline>
        </w:drawing>
      </w:r>
    </w:p>
    <w:p w14:paraId="3938EA56" w14:textId="77777777" w:rsidR="006227CE" w:rsidRDefault="006C5E69">
      <w:pPr>
        <w:jc w:val="center"/>
        <w:rPr>
          <w:b/>
          <w:bCs/>
        </w:rPr>
      </w:pPr>
      <w:r>
        <w:rPr>
          <w:b/>
          <w:bCs/>
        </w:rPr>
        <w:t xml:space="preserve">Figure 1: Income statement </w:t>
      </w:r>
    </w:p>
    <w:p w14:paraId="3938EA57" w14:textId="77777777" w:rsidR="006227CE" w:rsidRDefault="006C5E69">
      <w:pPr>
        <w:jc w:val="center"/>
      </w:pPr>
      <w:r>
        <w:t>(Source: Whitbread Plc, 2021; Whitbread Plc, 2023; Whitbread PLC, 2025)</w:t>
      </w:r>
    </w:p>
    <w:p w14:paraId="3938EA58" w14:textId="77777777" w:rsidR="006227CE" w:rsidRDefault="006C5E69">
      <w:pPr>
        <w:pStyle w:val="Heading3"/>
      </w:pPr>
      <w:bookmarkStart w:id="9" w:name="_Toc237448015"/>
      <w:r>
        <w:lastRenderedPageBreak/>
        <w:t>1.1.2 Balance sheet analysis</w:t>
      </w:r>
      <w:bookmarkEnd w:id="9"/>
      <w:r>
        <w:t xml:space="preserve"> </w:t>
      </w:r>
    </w:p>
    <w:p w14:paraId="3938EA59" w14:textId="77777777" w:rsidR="006227CE" w:rsidRDefault="006C5E69">
      <w:pPr>
        <w:jc w:val="center"/>
      </w:pPr>
      <w:r>
        <w:rPr>
          <w:noProof/>
          <w:lang w:val="en-US" w:eastAsia="en-US" w:bidi="gu-IN"/>
        </w:rPr>
        <w:drawing>
          <wp:inline distT="0" distB="0" distL="0" distR="0" wp14:anchorId="3938EE33" wp14:editId="3938EE34">
            <wp:extent cx="5258534" cy="838317"/>
            <wp:effectExtent l="0" t="0" r="0" b="0"/>
            <wp:docPr id="79" name="image31.png"/>
            <wp:cNvGraphicFramePr/>
            <a:graphic xmlns:a="http://schemas.openxmlformats.org/drawingml/2006/main">
              <a:graphicData uri="http://schemas.openxmlformats.org/drawingml/2006/picture">
                <pic:pic xmlns:pic="http://schemas.openxmlformats.org/drawingml/2006/picture">
                  <pic:nvPicPr>
                    <pic:cNvPr id="0" name="image31.png"/>
                    <pic:cNvPicPr preferRelativeResize="0"/>
                  </pic:nvPicPr>
                  <pic:blipFill>
                    <a:blip r:embed="rId11"/>
                    <a:srcRect/>
                    <a:stretch>
                      <a:fillRect/>
                    </a:stretch>
                  </pic:blipFill>
                  <pic:spPr>
                    <a:xfrm>
                      <a:off x="0" y="0"/>
                      <a:ext cx="5258534" cy="838317"/>
                    </a:xfrm>
                    <a:prstGeom prst="rect">
                      <a:avLst/>
                    </a:prstGeom>
                    <a:ln/>
                  </pic:spPr>
                </pic:pic>
              </a:graphicData>
            </a:graphic>
          </wp:inline>
        </w:drawing>
      </w:r>
    </w:p>
    <w:p w14:paraId="3938EA5A" w14:textId="77777777" w:rsidR="006227CE" w:rsidRDefault="006C5E69">
      <w:pPr>
        <w:jc w:val="center"/>
        <w:rPr>
          <w:b/>
          <w:bCs/>
        </w:rPr>
      </w:pPr>
      <w:r>
        <w:rPr>
          <w:b/>
          <w:bCs/>
        </w:rPr>
        <w:t xml:space="preserve">Table 2: Balance sheet analysis </w:t>
      </w:r>
    </w:p>
    <w:p w14:paraId="3938EA5B" w14:textId="77777777" w:rsidR="006227CE" w:rsidRDefault="006C5E69">
      <w:pPr>
        <w:jc w:val="center"/>
      </w:pPr>
      <w:r>
        <w:rPr>
          <w:noProof/>
          <w:lang w:val="en-US" w:eastAsia="en-US" w:bidi="gu-IN"/>
        </w:rPr>
        <w:drawing>
          <wp:inline distT="114300" distB="114300" distL="114300" distR="114300" wp14:anchorId="3938EE35" wp14:editId="3938EE36">
            <wp:extent cx="4548188" cy="2733286"/>
            <wp:effectExtent l="0" t="0" r="0" b="0"/>
            <wp:docPr id="78" name="image32.png"/>
            <wp:cNvGraphicFramePr/>
            <a:graphic xmlns:a="http://schemas.openxmlformats.org/drawingml/2006/main">
              <a:graphicData uri="http://schemas.openxmlformats.org/drawingml/2006/picture">
                <pic:pic xmlns:pic="http://schemas.openxmlformats.org/drawingml/2006/picture">
                  <pic:nvPicPr>
                    <pic:cNvPr id="0" name="image32.png"/>
                    <pic:cNvPicPr preferRelativeResize="0"/>
                  </pic:nvPicPr>
                  <pic:blipFill>
                    <a:blip r:embed="rId12"/>
                    <a:srcRect/>
                    <a:stretch>
                      <a:fillRect/>
                    </a:stretch>
                  </pic:blipFill>
                  <pic:spPr>
                    <a:xfrm>
                      <a:off x="0" y="0"/>
                      <a:ext cx="4548188" cy="2733286"/>
                    </a:xfrm>
                    <a:prstGeom prst="rect">
                      <a:avLst/>
                    </a:prstGeom>
                    <a:ln/>
                  </pic:spPr>
                </pic:pic>
              </a:graphicData>
            </a:graphic>
          </wp:inline>
        </w:drawing>
      </w:r>
    </w:p>
    <w:p w14:paraId="3938EA5C" w14:textId="77777777" w:rsidR="006227CE" w:rsidRDefault="006C5E69">
      <w:pPr>
        <w:jc w:val="center"/>
        <w:rPr>
          <w:b/>
          <w:bCs/>
        </w:rPr>
      </w:pPr>
      <w:r>
        <w:rPr>
          <w:b/>
          <w:bCs/>
        </w:rPr>
        <w:t>Figure 2: Balance sheet</w:t>
      </w:r>
    </w:p>
    <w:p w14:paraId="3938EA5D" w14:textId="77777777" w:rsidR="006227CE" w:rsidRDefault="006C5E69">
      <w:pPr>
        <w:jc w:val="center"/>
      </w:pPr>
      <w:r>
        <w:t>(Source: Whitbread Plc, 2021; Whitbread Plc, 2023; Whitbread PLC, 2025)</w:t>
      </w:r>
    </w:p>
    <w:p w14:paraId="3938EA5E" w14:textId="77777777" w:rsidR="006227CE" w:rsidRDefault="006C5E69">
      <w:r>
        <w:t xml:space="preserve">The Whitbread also assured stable balance sheet position with diversifying key instability in liquidity position from 2021-2025. This strong asset base is supported through stable current asset position £9.90 billion in 2025 also be 4% higher as compared to £9.52 billion in 2024. As is ensure strong expansion of property and plan inventory position £4.68 billion and use to right asset value £3.66 billion. On the other hand, current liabilities rose by 70.1% from £775.3 million to £1,319.0 million indicating most pressure on management short term liquidity position of Whitbread Plc. Overall, rise in short term borrowing about £450.0 million influence balancing cash flow position of organization. </w:t>
      </w:r>
    </w:p>
    <w:p w14:paraId="3938EA5F" w14:textId="77777777" w:rsidR="006227CE" w:rsidRDefault="006C5E69">
      <w:pPr>
        <w:pStyle w:val="Heading2"/>
      </w:pPr>
      <w:bookmarkStart w:id="10" w:name="_Toc237448016"/>
      <w:r>
        <w:lastRenderedPageBreak/>
        <w:t>1.2 Liquidity Ratios</w:t>
      </w:r>
      <w:bookmarkEnd w:id="10"/>
      <w:r>
        <w:t xml:space="preserve"> </w:t>
      </w:r>
    </w:p>
    <w:p w14:paraId="3938EA60" w14:textId="77777777" w:rsidR="006227CE" w:rsidRDefault="006C5E69">
      <w:pPr>
        <w:rPr>
          <w:b/>
          <w:bCs/>
        </w:rPr>
      </w:pPr>
      <w:r>
        <w:rPr>
          <w:noProof/>
          <w:lang w:val="en-US" w:eastAsia="en-US" w:bidi="gu-IN"/>
        </w:rPr>
        <w:drawing>
          <wp:inline distT="114300" distB="114300" distL="114300" distR="114300" wp14:anchorId="3938EE37" wp14:editId="3938EE38">
            <wp:extent cx="5943600" cy="1066800"/>
            <wp:effectExtent l="0" t="0" r="0" b="0"/>
            <wp:docPr id="81"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13"/>
                    <a:srcRect/>
                    <a:stretch>
                      <a:fillRect/>
                    </a:stretch>
                  </pic:blipFill>
                  <pic:spPr>
                    <a:xfrm>
                      <a:off x="0" y="0"/>
                      <a:ext cx="5943600" cy="1066800"/>
                    </a:xfrm>
                    <a:prstGeom prst="rect">
                      <a:avLst/>
                    </a:prstGeom>
                    <a:ln/>
                  </pic:spPr>
                </pic:pic>
              </a:graphicData>
            </a:graphic>
          </wp:inline>
        </w:drawing>
      </w:r>
    </w:p>
    <w:p w14:paraId="3938EA61" w14:textId="77777777" w:rsidR="006227CE" w:rsidRDefault="006C5E69">
      <w:pPr>
        <w:jc w:val="center"/>
        <w:rPr>
          <w:b/>
          <w:bCs/>
        </w:rPr>
      </w:pPr>
      <w:r>
        <w:rPr>
          <w:b/>
          <w:bCs/>
        </w:rPr>
        <w:t xml:space="preserve">Table 3: Liquidity Ratios </w:t>
      </w:r>
    </w:p>
    <w:p w14:paraId="3938EA62" w14:textId="77777777" w:rsidR="006227CE" w:rsidRDefault="006C5E69">
      <w:pPr>
        <w:jc w:val="center"/>
      </w:pPr>
      <w:r>
        <w:rPr>
          <w:noProof/>
          <w:lang w:val="en-US" w:eastAsia="en-US" w:bidi="gu-IN"/>
        </w:rPr>
        <w:drawing>
          <wp:inline distT="114300" distB="114300" distL="114300" distR="114300" wp14:anchorId="3938EE39" wp14:editId="3938EE3A">
            <wp:extent cx="4643438" cy="2790527"/>
            <wp:effectExtent l="0" t="0" r="0" b="0"/>
            <wp:docPr id="80" name="image30.png"/>
            <wp:cNvGraphicFramePr/>
            <a:graphic xmlns:a="http://schemas.openxmlformats.org/drawingml/2006/main">
              <a:graphicData uri="http://schemas.openxmlformats.org/drawingml/2006/picture">
                <pic:pic xmlns:pic="http://schemas.openxmlformats.org/drawingml/2006/picture">
                  <pic:nvPicPr>
                    <pic:cNvPr id="0" name="image30.png"/>
                    <pic:cNvPicPr preferRelativeResize="0"/>
                  </pic:nvPicPr>
                  <pic:blipFill>
                    <a:blip r:embed="rId14"/>
                    <a:srcRect/>
                    <a:stretch>
                      <a:fillRect/>
                    </a:stretch>
                  </pic:blipFill>
                  <pic:spPr>
                    <a:xfrm>
                      <a:off x="0" y="0"/>
                      <a:ext cx="4643438" cy="2790527"/>
                    </a:xfrm>
                    <a:prstGeom prst="rect">
                      <a:avLst/>
                    </a:prstGeom>
                    <a:ln/>
                  </pic:spPr>
                </pic:pic>
              </a:graphicData>
            </a:graphic>
          </wp:inline>
        </w:drawing>
      </w:r>
    </w:p>
    <w:p w14:paraId="3938EA63" w14:textId="77777777" w:rsidR="006227CE" w:rsidRDefault="006C5E69">
      <w:pPr>
        <w:jc w:val="center"/>
        <w:rPr>
          <w:b/>
          <w:bCs/>
        </w:rPr>
      </w:pPr>
      <w:r>
        <w:rPr>
          <w:b/>
          <w:bCs/>
        </w:rPr>
        <w:t>Figure 3: Liquidity ratios</w:t>
      </w:r>
    </w:p>
    <w:p w14:paraId="3938EA64" w14:textId="77777777" w:rsidR="006227CE" w:rsidRDefault="006C5E69">
      <w:pPr>
        <w:jc w:val="center"/>
      </w:pPr>
      <w:r>
        <w:t>(Source: Whitbread Plc, 2021; Whitbread Plc, 2023; Whitbread PLC, 2025)</w:t>
      </w:r>
    </w:p>
    <w:p w14:paraId="3938EA65" w14:textId="77777777" w:rsidR="006227CE" w:rsidRDefault="006C5E69">
      <w:pPr>
        <w:rPr>
          <w:b/>
          <w:bCs/>
        </w:rPr>
      </w:pPr>
      <w:r>
        <w:rPr>
          <w:b/>
          <w:bCs/>
        </w:rPr>
        <w:t>Market Trends</w:t>
      </w:r>
    </w:p>
    <w:p w14:paraId="3938EA66" w14:textId="77777777" w:rsidR="006227CE" w:rsidRDefault="006C5E69">
      <w:r>
        <w:t xml:space="preserve">In the current scenario, Whitbread Plc has achieved a consistent downtrend in its current ratios to 0.81 due to selling of business units in 2025. The company has sold hotels worth $2bn for managing its operational losses (Martin, 2026). In addition, Whitbread has also declined its quick ratio by 53.75%, signifying asset conversion issues in its business operations. In addition, Whitbread Plc also has lowered its inventory value to £17.1m that has illustrated the occurrence of working capital issues for the </w:t>
      </w:r>
      <w:proofErr w:type="spellStart"/>
      <w:r>
        <w:t>organisation</w:t>
      </w:r>
      <w:proofErr w:type="spellEnd"/>
      <w:r>
        <w:t xml:space="preserve"> (Whitbread PLC, 2025). The company has also witnessed the absence of adequate financial resources due to the low performance in the cash ratio to 0.69 in 2025 (Whitbread PLC, 2025). Thus, the existence of low business investments has hampered the service quality of the </w:t>
      </w:r>
      <w:proofErr w:type="spellStart"/>
      <w:r>
        <w:t>organisation</w:t>
      </w:r>
      <w:proofErr w:type="spellEnd"/>
      <w:r>
        <w:t xml:space="preserve">. </w:t>
      </w:r>
    </w:p>
    <w:p w14:paraId="3DE9F05B" w14:textId="77777777" w:rsidR="00413DB3" w:rsidRDefault="00413DB3"/>
    <w:p w14:paraId="3938EA67" w14:textId="77777777" w:rsidR="006227CE" w:rsidRDefault="006C5E69">
      <w:pPr>
        <w:rPr>
          <w:b/>
          <w:bCs/>
        </w:rPr>
      </w:pPr>
      <w:r>
        <w:rPr>
          <w:b/>
          <w:bCs/>
        </w:rPr>
        <w:lastRenderedPageBreak/>
        <w:t>Strength</w:t>
      </w:r>
    </w:p>
    <w:p w14:paraId="3938EA68" w14:textId="77777777" w:rsidR="006227CE" w:rsidRDefault="006C5E69">
      <w:r>
        <w:t>Strong cash reserves and effective asset management also manage a better operational liquidity position for long-term value creation.</w:t>
      </w:r>
    </w:p>
    <w:p w14:paraId="3938EA69" w14:textId="77777777" w:rsidR="006227CE" w:rsidRDefault="006C5E69">
      <w:pPr>
        <w:rPr>
          <w:b/>
          <w:bCs/>
        </w:rPr>
      </w:pPr>
      <w:r>
        <w:rPr>
          <w:b/>
          <w:bCs/>
        </w:rPr>
        <w:t>Threat</w:t>
      </w:r>
    </w:p>
    <w:p w14:paraId="3938EA6A" w14:textId="77777777" w:rsidR="006227CE" w:rsidRDefault="006C5E69">
      <w:r>
        <w:t>The decline in current ratio has also hampered the ability of the organization in meeting the financial and operational short-term requirements of business.</w:t>
      </w:r>
    </w:p>
    <w:p w14:paraId="3938EA6B" w14:textId="77777777" w:rsidR="006227CE" w:rsidRDefault="006C5E69">
      <w:pPr>
        <w:pStyle w:val="Heading2"/>
      </w:pPr>
      <w:bookmarkStart w:id="11" w:name="_Toc237448017"/>
      <w:r>
        <w:t>1.3 Efficiency Ratios</w:t>
      </w:r>
      <w:bookmarkEnd w:id="11"/>
      <w:r>
        <w:t xml:space="preserve"> </w:t>
      </w:r>
    </w:p>
    <w:p w14:paraId="3938EA6C" w14:textId="77777777" w:rsidR="006227CE" w:rsidRDefault="006C5E69">
      <w:r>
        <w:rPr>
          <w:noProof/>
          <w:lang w:val="en-US" w:eastAsia="en-US" w:bidi="gu-IN"/>
        </w:rPr>
        <w:drawing>
          <wp:inline distT="114300" distB="114300" distL="114300" distR="114300" wp14:anchorId="3938EE3B" wp14:editId="3938EE3C">
            <wp:extent cx="5943600" cy="2019300"/>
            <wp:effectExtent l="0" t="0" r="0" b="0"/>
            <wp:docPr id="83" name="image27.png"/>
            <wp:cNvGraphicFramePr/>
            <a:graphic xmlns:a="http://schemas.openxmlformats.org/drawingml/2006/main">
              <a:graphicData uri="http://schemas.openxmlformats.org/drawingml/2006/picture">
                <pic:pic xmlns:pic="http://schemas.openxmlformats.org/drawingml/2006/picture">
                  <pic:nvPicPr>
                    <pic:cNvPr id="0" name="image27.png"/>
                    <pic:cNvPicPr preferRelativeResize="0"/>
                  </pic:nvPicPr>
                  <pic:blipFill>
                    <a:blip r:embed="rId15"/>
                    <a:srcRect/>
                    <a:stretch>
                      <a:fillRect/>
                    </a:stretch>
                  </pic:blipFill>
                  <pic:spPr>
                    <a:xfrm>
                      <a:off x="0" y="0"/>
                      <a:ext cx="5943600" cy="2019300"/>
                    </a:xfrm>
                    <a:prstGeom prst="rect">
                      <a:avLst/>
                    </a:prstGeom>
                    <a:ln/>
                  </pic:spPr>
                </pic:pic>
              </a:graphicData>
            </a:graphic>
          </wp:inline>
        </w:drawing>
      </w:r>
    </w:p>
    <w:p w14:paraId="3938EA6D" w14:textId="77777777" w:rsidR="006227CE" w:rsidRDefault="006C5E69">
      <w:pPr>
        <w:jc w:val="center"/>
        <w:rPr>
          <w:b/>
          <w:bCs/>
        </w:rPr>
      </w:pPr>
      <w:r>
        <w:rPr>
          <w:b/>
          <w:bCs/>
        </w:rPr>
        <w:t xml:space="preserve">Table 4: Efficiency Ratios </w:t>
      </w:r>
    </w:p>
    <w:p w14:paraId="3938EA6E" w14:textId="77777777" w:rsidR="006227CE" w:rsidRDefault="006C5E69">
      <w:pPr>
        <w:jc w:val="center"/>
      </w:pPr>
      <w:r>
        <w:rPr>
          <w:noProof/>
          <w:lang w:val="en-US" w:eastAsia="en-US" w:bidi="gu-IN"/>
        </w:rPr>
        <w:drawing>
          <wp:inline distT="114300" distB="114300" distL="114300" distR="114300" wp14:anchorId="3938EE3D" wp14:editId="3938EE3E">
            <wp:extent cx="4672013" cy="2807700"/>
            <wp:effectExtent l="0" t="0" r="0" b="0"/>
            <wp:docPr id="82" name="image29.png"/>
            <wp:cNvGraphicFramePr/>
            <a:graphic xmlns:a="http://schemas.openxmlformats.org/drawingml/2006/main">
              <a:graphicData uri="http://schemas.openxmlformats.org/drawingml/2006/picture">
                <pic:pic xmlns:pic="http://schemas.openxmlformats.org/drawingml/2006/picture">
                  <pic:nvPicPr>
                    <pic:cNvPr id="0" name="image29.png"/>
                    <pic:cNvPicPr preferRelativeResize="0"/>
                  </pic:nvPicPr>
                  <pic:blipFill>
                    <a:blip r:embed="rId16"/>
                    <a:srcRect/>
                    <a:stretch>
                      <a:fillRect/>
                    </a:stretch>
                  </pic:blipFill>
                  <pic:spPr>
                    <a:xfrm>
                      <a:off x="0" y="0"/>
                      <a:ext cx="4672013" cy="2807700"/>
                    </a:xfrm>
                    <a:prstGeom prst="rect">
                      <a:avLst/>
                    </a:prstGeom>
                    <a:ln/>
                  </pic:spPr>
                </pic:pic>
              </a:graphicData>
            </a:graphic>
          </wp:inline>
        </w:drawing>
      </w:r>
    </w:p>
    <w:p w14:paraId="3938EA6F" w14:textId="77777777" w:rsidR="006227CE" w:rsidRDefault="006C5E69">
      <w:pPr>
        <w:jc w:val="center"/>
        <w:rPr>
          <w:b/>
          <w:bCs/>
        </w:rPr>
      </w:pPr>
      <w:r>
        <w:rPr>
          <w:b/>
          <w:bCs/>
        </w:rPr>
        <w:t>Figure 4: Efficiency ratios</w:t>
      </w:r>
    </w:p>
    <w:p w14:paraId="3938EA70" w14:textId="77777777" w:rsidR="006227CE" w:rsidRDefault="006C5E69">
      <w:pPr>
        <w:jc w:val="center"/>
      </w:pPr>
      <w:r>
        <w:t>(Source: Whitbread Plc, 2021; Whitbread Plc, 2023; Whitbread PLC, 2025)</w:t>
      </w:r>
    </w:p>
    <w:p w14:paraId="52B6B1FE" w14:textId="77777777" w:rsidR="00413DB3" w:rsidRDefault="00413DB3">
      <w:pPr>
        <w:jc w:val="center"/>
      </w:pPr>
    </w:p>
    <w:p w14:paraId="45D73C6F" w14:textId="77777777" w:rsidR="00413DB3" w:rsidRDefault="00413DB3">
      <w:pPr>
        <w:jc w:val="center"/>
      </w:pPr>
    </w:p>
    <w:p w14:paraId="3938EA71" w14:textId="77777777" w:rsidR="006227CE" w:rsidRDefault="006C5E69">
      <w:pPr>
        <w:rPr>
          <w:b/>
          <w:bCs/>
        </w:rPr>
      </w:pPr>
      <w:r>
        <w:rPr>
          <w:b/>
          <w:bCs/>
        </w:rPr>
        <w:lastRenderedPageBreak/>
        <w:t>Market Trends</w:t>
      </w:r>
    </w:p>
    <w:p w14:paraId="3938EA72" w14:textId="77777777" w:rsidR="006227CE" w:rsidRDefault="006C5E69">
      <w:r>
        <w:t xml:space="preserve">The Inventory turnover days of Whitbread Plc with a 33.33% in 2022 and a decrease of 25% in 2025. Decrease in inventory days is due to operational restructuring at Whitbread Plc by affecting its “Accelerating Growth Plan” by a shift in employee employment (Whitbread PLC, 2025). Whitbread PLC restructured its business operations by addressing the transition for “high demand hotels” and encountered a significant shift in managing business assets. Receivable turnover days are designed to decrease to 86.84%. Decline in receivable turnover days is due to poor credit facilities and operational delays due to tight capital management. Overall, payable turnover days increased by 14.94% to address better cash flow with strong liquidity maintenance. </w:t>
      </w:r>
    </w:p>
    <w:p w14:paraId="3938EA73" w14:textId="77777777" w:rsidR="006227CE" w:rsidRDefault="006C5E69">
      <w:pPr>
        <w:rPr>
          <w:b/>
          <w:bCs/>
        </w:rPr>
      </w:pPr>
      <w:r>
        <w:rPr>
          <w:b/>
          <w:bCs/>
        </w:rPr>
        <w:t>Strength</w:t>
      </w:r>
    </w:p>
    <w:p w14:paraId="3938EA74" w14:textId="77777777" w:rsidR="006227CE" w:rsidRDefault="006C5E69">
      <w:r>
        <w:t xml:space="preserve">Whitbread Plc enhanced its operational efficiency through reliable maintenance of cash, leading to enhanced restructuring. </w:t>
      </w:r>
    </w:p>
    <w:p w14:paraId="3938EA75" w14:textId="77777777" w:rsidR="006227CE" w:rsidRDefault="006C5E69">
      <w:pPr>
        <w:rPr>
          <w:b/>
          <w:bCs/>
        </w:rPr>
      </w:pPr>
      <w:r>
        <w:rPr>
          <w:b/>
          <w:bCs/>
        </w:rPr>
        <w:t>Threats</w:t>
      </w:r>
    </w:p>
    <w:p w14:paraId="3938EA76" w14:textId="77777777" w:rsidR="006227CE" w:rsidRDefault="006C5E69">
      <w:r>
        <w:t xml:space="preserve">Whitbread Plc distorted its capital due to surging with employment affecting the “Accelerating Growth Plan”. </w:t>
      </w:r>
    </w:p>
    <w:p w14:paraId="3938EA77" w14:textId="77777777" w:rsidR="006227CE" w:rsidRDefault="006C5E69">
      <w:pPr>
        <w:pStyle w:val="Heading2"/>
      </w:pPr>
      <w:bookmarkStart w:id="12" w:name="_Toc237448018"/>
      <w:r>
        <w:t>1.4 Profitability Ratios</w:t>
      </w:r>
      <w:bookmarkEnd w:id="12"/>
      <w:r>
        <w:t xml:space="preserve"> </w:t>
      </w:r>
    </w:p>
    <w:p w14:paraId="3938EA78" w14:textId="77777777" w:rsidR="006227CE" w:rsidRDefault="006C5E69">
      <w:r>
        <w:rPr>
          <w:noProof/>
          <w:lang w:val="en-US" w:eastAsia="en-US" w:bidi="gu-IN"/>
        </w:rPr>
        <w:drawing>
          <wp:inline distT="114300" distB="114300" distL="114300" distR="114300" wp14:anchorId="3938EE3F" wp14:editId="3938EE40">
            <wp:extent cx="5943600" cy="1295400"/>
            <wp:effectExtent l="0" t="0" r="0" b="0"/>
            <wp:docPr id="86" name="image43.png"/>
            <wp:cNvGraphicFramePr/>
            <a:graphic xmlns:a="http://schemas.openxmlformats.org/drawingml/2006/main">
              <a:graphicData uri="http://schemas.openxmlformats.org/drawingml/2006/picture">
                <pic:pic xmlns:pic="http://schemas.openxmlformats.org/drawingml/2006/picture">
                  <pic:nvPicPr>
                    <pic:cNvPr id="0" name="image43.png"/>
                    <pic:cNvPicPr preferRelativeResize="0"/>
                  </pic:nvPicPr>
                  <pic:blipFill>
                    <a:blip r:embed="rId17"/>
                    <a:srcRect/>
                    <a:stretch>
                      <a:fillRect/>
                    </a:stretch>
                  </pic:blipFill>
                  <pic:spPr>
                    <a:xfrm>
                      <a:off x="0" y="0"/>
                      <a:ext cx="5943600" cy="1295400"/>
                    </a:xfrm>
                    <a:prstGeom prst="rect">
                      <a:avLst/>
                    </a:prstGeom>
                    <a:ln/>
                  </pic:spPr>
                </pic:pic>
              </a:graphicData>
            </a:graphic>
          </wp:inline>
        </w:drawing>
      </w:r>
    </w:p>
    <w:p w14:paraId="3938EA79" w14:textId="77777777" w:rsidR="006227CE" w:rsidRDefault="006C5E69">
      <w:pPr>
        <w:jc w:val="center"/>
        <w:rPr>
          <w:b/>
          <w:bCs/>
        </w:rPr>
      </w:pPr>
      <w:r>
        <w:rPr>
          <w:b/>
          <w:bCs/>
        </w:rPr>
        <w:t xml:space="preserve">Table 5: Profitability Ratios </w:t>
      </w:r>
    </w:p>
    <w:p w14:paraId="3938EA7A" w14:textId="77777777" w:rsidR="006227CE" w:rsidRDefault="006C5E69">
      <w:pPr>
        <w:jc w:val="center"/>
      </w:pPr>
      <w:r>
        <w:rPr>
          <w:noProof/>
          <w:lang w:val="en-US" w:eastAsia="en-US" w:bidi="gu-IN"/>
        </w:rPr>
        <w:lastRenderedPageBreak/>
        <w:drawing>
          <wp:inline distT="114300" distB="114300" distL="114300" distR="114300" wp14:anchorId="3938EE41" wp14:editId="7925D535">
            <wp:extent cx="4483100" cy="2603500"/>
            <wp:effectExtent l="0" t="0" r="0" b="6350"/>
            <wp:docPr id="84"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18"/>
                    <a:srcRect/>
                    <a:stretch>
                      <a:fillRect/>
                    </a:stretch>
                  </pic:blipFill>
                  <pic:spPr>
                    <a:xfrm>
                      <a:off x="0" y="0"/>
                      <a:ext cx="4487770" cy="2606212"/>
                    </a:xfrm>
                    <a:prstGeom prst="rect">
                      <a:avLst/>
                    </a:prstGeom>
                    <a:ln/>
                  </pic:spPr>
                </pic:pic>
              </a:graphicData>
            </a:graphic>
          </wp:inline>
        </w:drawing>
      </w:r>
    </w:p>
    <w:p w14:paraId="3938EA7B" w14:textId="77777777" w:rsidR="006227CE" w:rsidRDefault="006C5E69">
      <w:pPr>
        <w:jc w:val="center"/>
        <w:rPr>
          <w:b/>
          <w:bCs/>
        </w:rPr>
      </w:pPr>
      <w:r>
        <w:rPr>
          <w:b/>
          <w:bCs/>
        </w:rPr>
        <w:t>Figure 5: Profitability ratios</w:t>
      </w:r>
    </w:p>
    <w:p w14:paraId="3938EA7C" w14:textId="77777777" w:rsidR="006227CE" w:rsidRDefault="006C5E69">
      <w:pPr>
        <w:jc w:val="center"/>
      </w:pPr>
      <w:r>
        <w:t>(Source: Whitbread Plc, 2021; Whitbread Plc, 2023; Whitbread PLC, 2025)</w:t>
      </w:r>
    </w:p>
    <w:p w14:paraId="3938EA7D" w14:textId="77777777" w:rsidR="006227CE" w:rsidRDefault="006C5E69">
      <w:pPr>
        <w:rPr>
          <w:b/>
          <w:bCs/>
        </w:rPr>
      </w:pPr>
      <w:r>
        <w:rPr>
          <w:b/>
          <w:bCs/>
        </w:rPr>
        <w:t>Market trend</w:t>
      </w:r>
    </w:p>
    <w:p w14:paraId="3938EA7E" w14:textId="77777777" w:rsidR="006227CE" w:rsidRDefault="006C5E69">
      <w:r>
        <w:t>The net profit marginal has increased as it is in peak 10.62% in 2023 from recovering key loss -153.80% in 2021. However, its slightly down 8.68% in 2025 indicated higher financial cost £188.5 million for adjusting profit after tax in 2025. ROCE was also to be increased from “-10.46% in 2021 to 5.93% in 2025” with its peak value of 6.38 in 2024 . However, it slightly declined in 2025 as capital employment reached £8,585.7 million indicating more stability and a long-term position creation of Whitbread Plc (Yahoo Finance, 2025).</w:t>
      </w:r>
    </w:p>
    <w:p w14:paraId="3938EA7F" w14:textId="77777777" w:rsidR="006227CE" w:rsidRDefault="006C5E69">
      <w:r>
        <w:t>Whitbread Plc has increased its ROE value to 7.51% due to improvement in its share premium income to £1038.7m in 2025 (Whitbread PLC, 2025). The decline of shareholders equity position “£5,854.1 million to £3,334.5 million” indicated losing shareholder confidence towards enabling long term investment creation in Whitbread Plc (Whitbread PLC, 2025).</w:t>
      </w:r>
    </w:p>
    <w:p w14:paraId="3938EA80" w14:textId="77777777" w:rsidR="006227CE" w:rsidRDefault="006C5E69">
      <w:pPr>
        <w:rPr>
          <w:b/>
          <w:bCs/>
        </w:rPr>
      </w:pPr>
      <w:r>
        <w:rPr>
          <w:b/>
          <w:bCs/>
        </w:rPr>
        <w:t>Strength</w:t>
      </w:r>
    </w:p>
    <w:p w14:paraId="3938EA81" w14:textId="77777777" w:rsidR="006227CE" w:rsidRDefault="006C5E69">
      <w:r>
        <w:t xml:space="preserve">Strong profitability recovery, improving ROCE and ROE demonstrate efficient operations, capital </w:t>
      </w:r>
      <w:proofErr w:type="spellStart"/>
      <w:r>
        <w:t>utilisation</w:t>
      </w:r>
      <w:proofErr w:type="spellEnd"/>
      <w:r>
        <w:t>, and sustainable shareholder value creation.</w:t>
      </w:r>
    </w:p>
    <w:p w14:paraId="3938EA82" w14:textId="77777777" w:rsidR="006227CE" w:rsidRDefault="006C5E69">
      <w:pPr>
        <w:rPr>
          <w:b/>
          <w:bCs/>
        </w:rPr>
      </w:pPr>
      <w:r>
        <w:rPr>
          <w:b/>
          <w:bCs/>
        </w:rPr>
        <w:t>Threats</w:t>
      </w:r>
    </w:p>
    <w:p w14:paraId="3938EA83" w14:textId="77777777" w:rsidR="006227CE" w:rsidRDefault="006C5E69">
      <w:r>
        <w:t>Declining 2025 margins, rising finance costs, and lower equity could weaken future profitability and investor confidence.</w:t>
      </w:r>
    </w:p>
    <w:p w14:paraId="3938EA84" w14:textId="77777777" w:rsidR="006227CE" w:rsidRDefault="006C5E69">
      <w:pPr>
        <w:pStyle w:val="Heading2"/>
      </w:pPr>
      <w:bookmarkStart w:id="13" w:name="_Toc237448019"/>
      <w:r>
        <w:lastRenderedPageBreak/>
        <w:t>1.5 Gearing Ratios</w:t>
      </w:r>
      <w:bookmarkEnd w:id="13"/>
      <w:r>
        <w:t xml:space="preserve"> </w:t>
      </w:r>
    </w:p>
    <w:p w14:paraId="3938EA85" w14:textId="77777777" w:rsidR="006227CE" w:rsidRDefault="006C5E69">
      <w:r>
        <w:rPr>
          <w:noProof/>
          <w:lang w:val="en-US" w:eastAsia="en-US" w:bidi="gu-IN"/>
        </w:rPr>
        <w:drawing>
          <wp:inline distT="114300" distB="114300" distL="114300" distR="114300" wp14:anchorId="3938EE43" wp14:editId="3938EE44">
            <wp:extent cx="5943600" cy="1358900"/>
            <wp:effectExtent l="0" t="0" r="0" b="0"/>
            <wp:docPr id="85" name="image42.png"/>
            <wp:cNvGraphicFramePr/>
            <a:graphic xmlns:a="http://schemas.openxmlformats.org/drawingml/2006/main">
              <a:graphicData uri="http://schemas.openxmlformats.org/drawingml/2006/picture">
                <pic:pic xmlns:pic="http://schemas.openxmlformats.org/drawingml/2006/picture">
                  <pic:nvPicPr>
                    <pic:cNvPr id="0" name="image42.png"/>
                    <pic:cNvPicPr preferRelativeResize="0"/>
                  </pic:nvPicPr>
                  <pic:blipFill>
                    <a:blip r:embed="rId19"/>
                    <a:srcRect/>
                    <a:stretch>
                      <a:fillRect/>
                    </a:stretch>
                  </pic:blipFill>
                  <pic:spPr>
                    <a:xfrm>
                      <a:off x="0" y="0"/>
                      <a:ext cx="5943600" cy="1358900"/>
                    </a:xfrm>
                    <a:prstGeom prst="rect">
                      <a:avLst/>
                    </a:prstGeom>
                    <a:ln/>
                  </pic:spPr>
                </pic:pic>
              </a:graphicData>
            </a:graphic>
          </wp:inline>
        </w:drawing>
      </w:r>
    </w:p>
    <w:p w14:paraId="3938EA86" w14:textId="77777777" w:rsidR="006227CE" w:rsidRDefault="006C5E69">
      <w:pPr>
        <w:jc w:val="center"/>
      </w:pPr>
      <w:r>
        <w:rPr>
          <w:b/>
          <w:bCs/>
        </w:rPr>
        <w:t>Table 6: Gearing Ratios</w:t>
      </w:r>
    </w:p>
    <w:p w14:paraId="3938EA87" w14:textId="77777777" w:rsidR="006227CE" w:rsidRDefault="006C5E69">
      <w:pPr>
        <w:jc w:val="center"/>
      </w:pPr>
      <w:r>
        <w:rPr>
          <w:noProof/>
          <w:lang w:val="en-US" w:eastAsia="en-US" w:bidi="gu-IN"/>
        </w:rPr>
        <w:drawing>
          <wp:inline distT="114300" distB="114300" distL="114300" distR="114300" wp14:anchorId="3938EE45" wp14:editId="3A9AAA32">
            <wp:extent cx="4279900" cy="2489200"/>
            <wp:effectExtent l="0" t="0" r="6350" b="6350"/>
            <wp:docPr id="87" name="image37.png"/>
            <wp:cNvGraphicFramePr/>
            <a:graphic xmlns:a="http://schemas.openxmlformats.org/drawingml/2006/main">
              <a:graphicData uri="http://schemas.openxmlformats.org/drawingml/2006/picture">
                <pic:pic xmlns:pic="http://schemas.openxmlformats.org/drawingml/2006/picture">
                  <pic:nvPicPr>
                    <pic:cNvPr id="0" name="image37.png"/>
                    <pic:cNvPicPr preferRelativeResize="0"/>
                  </pic:nvPicPr>
                  <pic:blipFill>
                    <a:blip r:embed="rId20"/>
                    <a:srcRect/>
                    <a:stretch>
                      <a:fillRect/>
                    </a:stretch>
                  </pic:blipFill>
                  <pic:spPr>
                    <a:xfrm>
                      <a:off x="0" y="0"/>
                      <a:ext cx="4275550" cy="2486670"/>
                    </a:xfrm>
                    <a:prstGeom prst="rect">
                      <a:avLst/>
                    </a:prstGeom>
                    <a:ln/>
                  </pic:spPr>
                </pic:pic>
              </a:graphicData>
            </a:graphic>
          </wp:inline>
        </w:drawing>
      </w:r>
    </w:p>
    <w:p w14:paraId="3938EA88" w14:textId="77777777" w:rsidR="006227CE" w:rsidRDefault="006C5E69">
      <w:pPr>
        <w:jc w:val="center"/>
        <w:rPr>
          <w:b/>
          <w:bCs/>
        </w:rPr>
      </w:pPr>
      <w:r>
        <w:rPr>
          <w:b/>
          <w:bCs/>
        </w:rPr>
        <w:t>Figure 6: Gearing ratios</w:t>
      </w:r>
    </w:p>
    <w:p w14:paraId="3938EA89" w14:textId="77777777" w:rsidR="006227CE" w:rsidRDefault="006C5E69">
      <w:pPr>
        <w:jc w:val="center"/>
      </w:pPr>
      <w:r>
        <w:t>(Source: Whitbread Plc, 2021; Whitbread Plc, 2023; Whitbread PLC, 2025)</w:t>
      </w:r>
    </w:p>
    <w:p w14:paraId="3938EA8A" w14:textId="77777777" w:rsidR="006227CE" w:rsidRDefault="006C5E69">
      <w:pPr>
        <w:rPr>
          <w:b/>
          <w:bCs/>
        </w:rPr>
      </w:pPr>
      <w:r>
        <w:rPr>
          <w:b/>
          <w:bCs/>
        </w:rPr>
        <w:t>Market Trends</w:t>
      </w:r>
    </w:p>
    <w:p w14:paraId="3938EA8B" w14:textId="77777777" w:rsidR="006227CE" w:rsidRDefault="006C5E69">
      <w:r>
        <w:t xml:space="preserve">Gearing ratio measures the company’s “debt to equity” by assessing financial stability in managing business operations. Debt/capital ratio is determined by increases 131.76% due to high rises of borrowing for the maturing of green bonds. The company manages its corporate debt in issuing £300m in green bonds that will mature by 2027 (Whitbread PLC, 2025). The company drives its stable income through </w:t>
      </w:r>
      <w:proofErr w:type="spellStart"/>
      <w:r>
        <w:t>improvemnet</w:t>
      </w:r>
      <w:proofErr w:type="spellEnd"/>
      <w:r>
        <w:t xml:space="preserve"> in brand amenities and adoption of unique ownership model to respond with challenging situation. Whitbread PLC have its ability to manage "share buyback </w:t>
      </w:r>
      <w:proofErr w:type="spellStart"/>
      <w:r>
        <w:t>programme</w:t>
      </w:r>
      <w:proofErr w:type="spellEnd"/>
      <w:r>
        <w:t xml:space="preserve">" by investing £250 million which </w:t>
      </w:r>
      <w:proofErr w:type="spellStart"/>
      <w:r>
        <w:t>leds</w:t>
      </w:r>
      <w:proofErr w:type="spellEnd"/>
      <w:r>
        <w:t xml:space="preserve"> to reduce earnings per share (Whitbread Plc , 2025) Debt/Equity ratio is decreased 55.07% by re-evaluation of assets, which enhances overall equity value. Interest coverage ratio (IC) is increased by 45.24% due to high rises in business earnings, enhancing overall sales of the business. </w:t>
      </w:r>
    </w:p>
    <w:p w14:paraId="3938EA8C" w14:textId="77777777" w:rsidR="006227CE" w:rsidRDefault="006C5E69">
      <w:pPr>
        <w:rPr>
          <w:b/>
          <w:bCs/>
        </w:rPr>
      </w:pPr>
      <w:r>
        <w:rPr>
          <w:b/>
          <w:bCs/>
        </w:rPr>
        <w:lastRenderedPageBreak/>
        <w:t>Strength</w:t>
      </w:r>
    </w:p>
    <w:p w14:paraId="3938EA8D" w14:textId="77777777" w:rsidR="006227CE" w:rsidRDefault="006C5E69">
      <w:r>
        <w:t xml:space="preserve">Whitbread Plc improves its borrowing along with adoption of green bonds, which leads to slowing down corporate debt. </w:t>
      </w:r>
    </w:p>
    <w:p w14:paraId="3938EA8E" w14:textId="77777777" w:rsidR="006227CE" w:rsidRDefault="006C5E69">
      <w:pPr>
        <w:rPr>
          <w:b/>
          <w:bCs/>
        </w:rPr>
      </w:pPr>
      <w:r>
        <w:rPr>
          <w:b/>
          <w:bCs/>
        </w:rPr>
        <w:t>Threats</w:t>
      </w:r>
    </w:p>
    <w:p w14:paraId="3938EA8F" w14:textId="77777777" w:rsidR="006227CE" w:rsidRDefault="006C5E69">
      <w:r>
        <w:t xml:space="preserve">Whitbread Plc faces high borrowing issues due to credit pressure which affects overall revenue of the business. </w:t>
      </w:r>
    </w:p>
    <w:p w14:paraId="3938EA90" w14:textId="77777777" w:rsidR="006227CE" w:rsidRDefault="006C5E69">
      <w:pPr>
        <w:pStyle w:val="Heading2"/>
      </w:pPr>
      <w:bookmarkStart w:id="14" w:name="_Toc237448020"/>
      <w:r>
        <w:t>1.6 Investment Ratios</w:t>
      </w:r>
      <w:bookmarkEnd w:id="14"/>
    </w:p>
    <w:p w14:paraId="3938EA91" w14:textId="77777777" w:rsidR="006227CE" w:rsidRDefault="006C5E69">
      <w:bookmarkStart w:id="15" w:name="_heading=h.t5rw4dokznwr" w:colFirst="0" w:colLast="0"/>
      <w:bookmarkEnd w:id="15"/>
      <w:r>
        <w:rPr>
          <w:noProof/>
          <w:lang w:val="en-US" w:eastAsia="en-US" w:bidi="gu-IN"/>
        </w:rPr>
        <w:drawing>
          <wp:inline distT="114300" distB="114300" distL="114300" distR="114300" wp14:anchorId="3938EE47" wp14:editId="3938EE48">
            <wp:extent cx="5943600" cy="584200"/>
            <wp:effectExtent l="0" t="0" r="0" b="0"/>
            <wp:docPr id="88" name="image36.png"/>
            <wp:cNvGraphicFramePr/>
            <a:graphic xmlns:a="http://schemas.openxmlformats.org/drawingml/2006/main">
              <a:graphicData uri="http://schemas.openxmlformats.org/drawingml/2006/picture">
                <pic:pic xmlns:pic="http://schemas.openxmlformats.org/drawingml/2006/picture">
                  <pic:nvPicPr>
                    <pic:cNvPr id="0" name="image36.png"/>
                    <pic:cNvPicPr preferRelativeResize="0"/>
                  </pic:nvPicPr>
                  <pic:blipFill>
                    <a:blip r:embed="rId21"/>
                    <a:srcRect/>
                    <a:stretch>
                      <a:fillRect/>
                    </a:stretch>
                  </pic:blipFill>
                  <pic:spPr>
                    <a:xfrm>
                      <a:off x="0" y="0"/>
                      <a:ext cx="5943600" cy="584200"/>
                    </a:xfrm>
                    <a:prstGeom prst="rect">
                      <a:avLst/>
                    </a:prstGeom>
                    <a:ln/>
                  </pic:spPr>
                </pic:pic>
              </a:graphicData>
            </a:graphic>
          </wp:inline>
        </w:drawing>
      </w:r>
      <w:r>
        <w:t xml:space="preserve"> </w:t>
      </w:r>
    </w:p>
    <w:p w14:paraId="3938EA92" w14:textId="77777777" w:rsidR="006227CE" w:rsidRDefault="006C5E69">
      <w:pPr>
        <w:jc w:val="center"/>
        <w:rPr>
          <w:b/>
          <w:bCs/>
        </w:rPr>
      </w:pPr>
      <w:r>
        <w:rPr>
          <w:b/>
          <w:bCs/>
        </w:rPr>
        <w:t>Table 7: Investment Ratios</w:t>
      </w:r>
    </w:p>
    <w:p w14:paraId="3938EA93" w14:textId="77777777" w:rsidR="006227CE" w:rsidRDefault="006C5E69">
      <w:pPr>
        <w:jc w:val="center"/>
      </w:pPr>
      <w:r>
        <w:rPr>
          <w:noProof/>
          <w:lang w:val="en-US" w:eastAsia="en-US" w:bidi="gu-IN"/>
        </w:rPr>
        <w:drawing>
          <wp:inline distT="114300" distB="114300" distL="114300" distR="114300" wp14:anchorId="3938EE49" wp14:editId="18B3BCC7">
            <wp:extent cx="4610100" cy="2476500"/>
            <wp:effectExtent l="0" t="0" r="0" b="0"/>
            <wp:docPr id="89" name="image41.png"/>
            <wp:cNvGraphicFramePr/>
            <a:graphic xmlns:a="http://schemas.openxmlformats.org/drawingml/2006/main">
              <a:graphicData uri="http://schemas.openxmlformats.org/drawingml/2006/picture">
                <pic:pic xmlns:pic="http://schemas.openxmlformats.org/drawingml/2006/picture">
                  <pic:nvPicPr>
                    <pic:cNvPr id="0" name="image41.png"/>
                    <pic:cNvPicPr preferRelativeResize="0"/>
                  </pic:nvPicPr>
                  <pic:blipFill>
                    <a:blip r:embed="rId22"/>
                    <a:srcRect/>
                    <a:stretch>
                      <a:fillRect/>
                    </a:stretch>
                  </pic:blipFill>
                  <pic:spPr>
                    <a:xfrm>
                      <a:off x="0" y="0"/>
                      <a:ext cx="4605416" cy="2473984"/>
                    </a:xfrm>
                    <a:prstGeom prst="rect">
                      <a:avLst/>
                    </a:prstGeom>
                    <a:ln/>
                  </pic:spPr>
                </pic:pic>
              </a:graphicData>
            </a:graphic>
          </wp:inline>
        </w:drawing>
      </w:r>
    </w:p>
    <w:p w14:paraId="3938EA94" w14:textId="77777777" w:rsidR="006227CE" w:rsidRDefault="006C5E69">
      <w:pPr>
        <w:jc w:val="center"/>
        <w:rPr>
          <w:b/>
          <w:bCs/>
        </w:rPr>
      </w:pPr>
      <w:r>
        <w:rPr>
          <w:b/>
          <w:bCs/>
        </w:rPr>
        <w:t>Figure 7: Investment Ratios</w:t>
      </w:r>
    </w:p>
    <w:p w14:paraId="3938EA95" w14:textId="77777777" w:rsidR="006227CE" w:rsidRDefault="006C5E69">
      <w:pPr>
        <w:jc w:val="center"/>
        <w:rPr>
          <w:b/>
          <w:bCs/>
        </w:rPr>
      </w:pPr>
      <w:r>
        <w:t>(Source: Whitbread Plc, 2021; Whitbread Plc, 2023; Whitbread PLC, 2025)</w:t>
      </w:r>
    </w:p>
    <w:p w14:paraId="3938EA96" w14:textId="77777777" w:rsidR="006227CE" w:rsidRDefault="006C5E69">
      <w:pPr>
        <w:rPr>
          <w:b/>
          <w:bCs/>
        </w:rPr>
      </w:pPr>
      <w:r>
        <w:rPr>
          <w:b/>
          <w:bCs/>
        </w:rPr>
        <w:t>Market Trends</w:t>
      </w:r>
    </w:p>
    <w:p w14:paraId="3938EA97" w14:textId="77777777" w:rsidR="006227CE" w:rsidRDefault="006C5E69">
      <w:r>
        <w:t>The investment ratio is a significant parameter that discloses the market performance of the company and strengthens the financial interests of its shareholders. Whitbread Plc has increased the value of its Earning Per Share Ratio by 577% due to higher net income of £401m achieved through enhancement in service demand in 2025 (Whitbread PLC, 2025). For instance, the company has increased its net income by £154m due to improvement in its service quality in 2025 (London Stock Exchange, 2025). Thus, the improvement in the revenue has provided opportunities for Whitbread Plc in providing strong returns to the investments of its shareholders.</w:t>
      </w:r>
    </w:p>
    <w:p w14:paraId="3938EA98" w14:textId="77777777" w:rsidR="006227CE" w:rsidRDefault="006C5E69">
      <w:pPr>
        <w:rPr>
          <w:b/>
          <w:bCs/>
        </w:rPr>
      </w:pPr>
      <w:r>
        <w:rPr>
          <w:b/>
          <w:bCs/>
        </w:rPr>
        <w:lastRenderedPageBreak/>
        <w:t>Strength</w:t>
      </w:r>
    </w:p>
    <w:p w14:paraId="3938EA99" w14:textId="77777777" w:rsidR="006227CE" w:rsidRDefault="006C5E69">
      <w:r>
        <w:t>The availability of a higher EPS value has also improved the market growth of Whitbread Plc.</w:t>
      </w:r>
    </w:p>
    <w:p w14:paraId="3938EA9A" w14:textId="77777777" w:rsidR="006227CE" w:rsidRDefault="006C5E69">
      <w:pPr>
        <w:rPr>
          <w:b/>
          <w:bCs/>
        </w:rPr>
      </w:pPr>
      <w:r>
        <w:rPr>
          <w:b/>
          <w:bCs/>
        </w:rPr>
        <w:t>Threat</w:t>
      </w:r>
    </w:p>
    <w:p w14:paraId="3938EA9B" w14:textId="77777777" w:rsidR="006227CE" w:rsidRDefault="006C5E69">
      <w:r>
        <w:t>The rapid valuation of the shareholder wealth of Whitbread Plc has caused overvaluation of its investments that has hampered the growth of the shares.</w:t>
      </w:r>
    </w:p>
    <w:p w14:paraId="3938EA9C" w14:textId="77777777" w:rsidR="006227CE" w:rsidRDefault="006C5E69">
      <w:pPr>
        <w:pStyle w:val="Heading2"/>
      </w:pPr>
      <w:bookmarkStart w:id="16" w:name="_Toc237448021"/>
      <w:r>
        <w:t>1.7 Cash Flow Ratios</w:t>
      </w:r>
      <w:bookmarkEnd w:id="16"/>
      <w:r>
        <w:t xml:space="preserve"> </w:t>
      </w:r>
    </w:p>
    <w:p w14:paraId="3938EA9D" w14:textId="77777777" w:rsidR="006227CE" w:rsidRDefault="006C5E69">
      <w:r>
        <w:rPr>
          <w:noProof/>
          <w:lang w:val="en-US" w:eastAsia="en-US" w:bidi="gu-IN"/>
        </w:rPr>
        <w:drawing>
          <wp:inline distT="114300" distB="114300" distL="114300" distR="114300" wp14:anchorId="3938EE4B" wp14:editId="3938EE4C">
            <wp:extent cx="5943600" cy="825500"/>
            <wp:effectExtent l="0" t="0" r="0" b="0"/>
            <wp:docPr id="90" name="image35.png"/>
            <wp:cNvGraphicFramePr/>
            <a:graphic xmlns:a="http://schemas.openxmlformats.org/drawingml/2006/main">
              <a:graphicData uri="http://schemas.openxmlformats.org/drawingml/2006/picture">
                <pic:pic xmlns:pic="http://schemas.openxmlformats.org/drawingml/2006/picture">
                  <pic:nvPicPr>
                    <pic:cNvPr id="0" name="image35.png"/>
                    <pic:cNvPicPr preferRelativeResize="0"/>
                  </pic:nvPicPr>
                  <pic:blipFill>
                    <a:blip r:embed="rId23"/>
                    <a:srcRect/>
                    <a:stretch>
                      <a:fillRect/>
                    </a:stretch>
                  </pic:blipFill>
                  <pic:spPr>
                    <a:xfrm>
                      <a:off x="0" y="0"/>
                      <a:ext cx="5943600" cy="825500"/>
                    </a:xfrm>
                    <a:prstGeom prst="rect">
                      <a:avLst/>
                    </a:prstGeom>
                    <a:ln/>
                  </pic:spPr>
                </pic:pic>
              </a:graphicData>
            </a:graphic>
          </wp:inline>
        </w:drawing>
      </w:r>
    </w:p>
    <w:p w14:paraId="3938EA9E" w14:textId="77777777" w:rsidR="006227CE" w:rsidRDefault="006C5E69">
      <w:pPr>
        <w:jc w:val="center"/>
        <w:rPr>
          <w:b/>
          <w:bCs/>
        </w:rPr>
      </w:pPr>
      <w:r>
        <w:rPr>
          <w:b/>
          <w:bCs/>
        </w:rPr>
        <w:t>Table 8: Cash Flow Ratios</w:t>
      </w:r>
    </w:p>
    <w:p w14:paraId="3938EA9F" w14:textId="77777777" w:rsidR="006227CE" w:rsidRDefault="006C5E69">
      <w:pPr>
        <w:jc w:val="center"/>
      </w:pPr>
      <w:r>
        <w:rPr>
          <w:noProof/>
          <w:lang w:val="en-US" w:eastAsia="en-US" w:bidi="gu-IN"/>
        </w:rPr>
        <w:drawing>
          <wp:inline distT="114300" distB="114300" distL="114300" distR="114300" wp14:anchorId="3938EE4D" wp14:editId="3938EE4E">
            <wp:extent cx="4700588" cy="2824872"/>
            <wp:effectExtent l="0" t="0" r="0" b="0"/>
            <wp:docPr id="91" name="image38.png"/>
            <wp:cNvGraphicFramePr/>
            <a:graphic xmlns:a="http://schemas.openxmlformats.org/drawingml/2006/main">
              <a:graphicData uri="http://schemas.openxmlformats.org/drawingml/2006/picture">
                <pic:pic xmlns:pic="http://schemas.openxmlformats.org/drawingml/2006/picture">
                  <pic:nvPicPr>
                    <pic:cNvPr id="0" name="image38.png"/>
                    <pic:cNvPicPr preferRelativeResize="0"/>
                  </pic:nvPicPr>
                  <pic:blipFill>
                    <a:blip r:embed="rId24"/>
                    <a:srcRect/>
                    <a:stretch>
                      <a:fillRect/>
                    </a:stretch>
                  </pic:blipFill>
                  <pic:spPr>
                    <a:xfrm>
                      <a:off x="0" y="0"/>
                      <a:ext cx="4700588" cy="2824872"/>
                    </a:xfrm>
                    <a:prstGeom prst="rect">
                      <a:avLst/>
                    </a:prstGeom>
                    <a:ln/>
                  </pic:spPr>
                </pic:pic>
              </a:graphicData>
            </a:graphic>
          </wp:inline>
        </w:drawing>
      </w:r>
    </w:p>
    <w:p w14:paraId="3938EAA0" w14:textId="77777777" w:rsidR="006227CE" w:rsidRDefault="006C5E69">
      <w:pPr>
        <w:jc w:val="center"/>
        <w:rPr>
          <w:b/>
          <w:bCs/>
        </w:rPr>
      </w:pPr>
      <w:r>
        <w:rPr>
          <w:b/>
          <w:bCs/>
        </w:rPr>
        <w:t>Figure 8: Cash Flow ratios</w:t>
      </w:r>
    </w:p>
    <w:p w14:paraId="3938EAA1" w14:textId="77777777" w:rsidR="006227CE" w:rsidRDefault="006C5E69">
      <w:pPr>
        <w:jc w:val="center"/>
      </w:pPr>
      <w:r>
        <w:t>(Source: Whitbread Plc, 2021; Whitbread Plc, 2023; Whitbread PLC, 2025)</w:t>
      </w:r>
    </w:p>
    <w:p w14:paraId="3938EAA2" w14:textId="77777777" w:rsidR="006227CE" w:rsidRDefault="006C5E69">
      <w:pPr>
        <w:rPr>
          <w:b/>
          <w:bCs/>
        </w:rPr>
      </w:pPr>
      <w:r>
        <w:rPr>
          <w:b/>
          <w:bCs/>
        </w:rPr>
        <w:t>Market trend</w:t>
      </w:r>
    </w:p>
    <w:p w14:paraId="3938EAA3" w14:textId="77777777" w:rsidR="006227CE" w:rsidRDefault="006C5E69">
      <w:r>
        <w:t xml:space="preserve">The operating position of cash flow also rose 216.0% as compared to -0.50 in 2021 with its peak value of more than industry benchmark 1 associated 2024. Thus, falling cash flow position 13.2% about £761.7 million is a key reason for instability in managing the positional value of Whitbread Plc (Whitbread PLC, 2025). </w:t>
      </w:r>
    </w:p>
    <w:p w14:paraId="3938EAA4" w14:textId="77777777" w:rsidR="006227CE" w:rsidRDefault="006C5E69">
      <w:r>
        <w:t xml:space="preserve">“Cash Return on Assets” is generally 300% improvement within a time period of five years, achieved through reliable capital recycling. The company has the ability to </w:t>
      </w:r>
      <w:r>
        <w:lastRenderedPageBreak/>
        <w:t xml:space="preserve">generate cash flow through network restructuring, which leads to enhanced overall profit margin. Hence, increased total asset value £9,904.7 million provides strong support for manage return position with diversifying operational cash needed for business progression. </w:t>
      </w:r>
    </w:p>
    <w:p w14:paraId="3938EAA5" w14:textId="77777777" w:rsidR="006227CE" w:rsidRDefault="006C5E69">
      <w:pPr>
        <w:rPr>
          <w:b/>
          <w:bCs/>
        </w:rPr>
      </w:pPr>
      <w:r>
        <w:rPr>
          <w:b/>
          <w:bCs/>
        </w:rPr>
        <w:t>Strength</w:t>
      </w:r>
    </w:p>
    <w:p w14:paraId="3938EAA6" w14:textId="77777777" w:rsidR="006227CE" w:rsidRDefault="006C5E69">
      <w:r>
        <w:t xml:space="preserve">Strong operating cash generation and efficient asset </w:t>
      </w:r>
      <w:proofErr w:type="spellStart"/>
      <w:r>
        <w:t>utilisation</w:t>
      </w:r>
      <w:proofErr w:type="spellEnd"/>
      <w:r>
        <w:t xml:space="preserve"> enhance liquidity, position for maintaining long-term financial stability.</w:t>
      </w:r>
    </w:p>
    <w:p w14:paraId="3938EAA7" w14:textId="77777777" w:rsidR="006227CE" w:rsidRDefault="006C5E69">
      <w:pPr>
        <w:rPr>
          <w:b/>
          <w:bCs/>
        </w:rPr>
      </w:pPr>
      <w:r>
        <w:rPr>
          <w:b/>
          <w:bCs/>
        </w:rPr>
        <w:t>Threats</w:t>
      </w:r>
    </w:p>
    <w:p w14:paraId="3938EAA8" w14:textId="77777777" w:rsidR="006227CE" w:rsidRDefault="006C5E69">
      <w:r>
        <w:t>Declining operating cash flow and rising current liabilities may weaken liquidity and short-term debt repayment capacity.</w:t>
      </w:r>
    </w:p>
    <w:p w14:paraId="3938EAA9" w14:textId="77777777" w:rsidR="006227CE" w:rsidRDefault="006C5E69">
      <w:pPr>
        <w:pStyle w:val="Heading2"/>
      </w:pPr>
      <w:bookmarkStart w:id="17" w:name="_Toc237448022"/>
      <w:r>
        <w:t>1.8 Liquidity ratio comparison</w:t>
      </w:r>
      <w:bookmarkEnd w:id="17"/>
      <w:r>
        <w:t xml:space="preserve"> </w:t>
      </w:r>
    </w:p>
    <w:p w14:paraId="3938EAAA" w14:textId="77777777" w:rsidR="006227CE" w:rsidRDefault="006C5E69">
      <w:pPr>
        <w:pStyle w:val="Heading3"/>
      </w:pPr>
      <w:bookmarkStart w:id="18" w:name="_Toc237448023"/>
      <w:r>
        <w:t>1.8.1 Evaluation of the liquidity ratio with industry benchmark</w:t>
      </w:r>
      <w:bookmarkEnd w:id="18"/>
      <w:r>
        <w:t xml:space="preserve"> </w:t>
      </w:r>
    </w:p>
    <w:p w14:paraId="3938EAAB" w14:textId="77777777" w:rsidR="006227CE" w:rsidRDefault="006C5E69">
      <w:r>
        <w:t xml:space="preserve">The liquidity performance of Whitbread Plc is a concern as it has not surpassed the industrial average of 2 adopted in the hospitality sector. In addition, the results have also hampered the business investment growth of the </w:t>
      </w:r>
      <w:proofErr w:type="spellStart"/>
      <w:r>
        <w:t>organisation</w:t>
      </w:r>
      <w:proofErr w:type="spellEnd"/>
      <w:r>
        <w:t xml:space="preserve">. Whitbread Plc has lowered its cash value to £5.4m due to enhancement in its prepaid taxes in 2025 (London Stock Exchange, 2025). The decline in monetary resources has also caused delays in the provision of proper service to the guests. Overall, the weakening of the customer relationship due to poor quality services has lowered the brand growth of the </w:t>
      </w:r>
      <w:proofErr w:type="spellStart"/>
      <w:r>
        <w:t>organisation</w:t>
      </w:r>
      <w:proofErr w:type="spellEnd"/>
      <w:r>
        <w:t>.</w:t>
      </w:r>
    </w:p>
    <w:p w14:paraId="3938EAAC" w14:textId="77777777" w:rsidR="006227CE" w:rsidRDefault="006C5E69">
      <w:pPr>
        <w:pStyle w:val="Heading3"/>
      </w:pPr>
      <w:bookmarkStart w:id="19" w:name="_Toc237448024"/>
      <w:r>
        <w:t>1.8.2 Impact of firm performance based on liquidity ratio</w:t>
      </w:r>
      <w:bookmarkEnd w:id="19"/>
      <w:r>
        <w:t xml:space="preserve"> </w:t>
      </w:r>
    </w:p>
    <w:p w14:paraId="3938EAAD" w14:textId="77777777" w:rsidR="006227CE" w:rsidRDefault="006C5E69">
      <w:r>
        <w:t xml:space="preserve">Whitbread PLC's current ratio decreases 53.45% due to reduction in cash reserves affecting the “Accelerating Growth Plan”. The company drained its cash reserves by investing in the growth of the business and its shift in Germany and the UK. In addition, the current ratio of UK hotels increased from 1.2 to 2.0, which indicates a lower rate due to rapid inventory turnover and “short-term debt” maintenance (Hospitality industry, 2024). Thus, increases in the current ratio in the hospitality industry are more reliable for adapting operational decisions and managing clients with payment discounts for accommodation to enhance business performance. </w:t>
      </w:r>
    </w:p>
    <w:p w14:paraId="3938EAAE" w14:textId="77777777" w:rsidR="006227CE" w:rsidRDefault="006C5E69">
      <w:pPr>
        <w:pStyle w:val="Heading1"/>
      </w:pPr>
      <w:bookmarkStart w:id="20" w:name="_heading=h.fri1lhqy1r1d" w:colFirst="0" w:colLast="0"/>
      <w:bookmarkEnd w:id="20"/>
      <w:r>
        <w:br w:type="page"/>
      </w:r>
    </w:p>
    <w:p w14:paraId="3938EAAF" w14:textId="77777777" w:rsidR="006227CE" w:rsidRDefault="006C5E69">
      <w:pPr>
        <w:pStyle w:val="Heading1"/>
      </w:pPr>
      <w:bookmarkStart w:id="21" w:name="_Toc237448025"/>
      <w:r>
        <w:lastRenderedPageBreak/>
        <w:t>2. Working Capital Management Analysis</w:t>
      </w:r>
      <w:bookmarkEnd w:id="21"/>
      <w:r>
        <w:t xml:space="preserve"> </w:t>
      </w:r>
    </w:p>
    <w:p w14:paraId="3938EAB0" w14:textId="77777777" w:rsidR="006227CE" w:rsidRDefault="006C5E69">
      <w:pPr>
        <w:pStyle w:val="Heading2"/>
      </w:pPr>
      <w:bookmarkStart w:id="22" w:name="_Toc237448026"/>
      <w:r>
        <w:t>2.1 Discussion of Cash Operating Cycle Performance</w:t>
      </w:r>
      <w:bookmarkEnd w:id="22"/>
      <w:r>
        <w:t xml:space="preserve"> </w:t>
      </w:r>
    </w:p>
    <w:p w14:paraId="3938EAB1" w14:textId="77777777" w:rsidR="006227CE" w:rsidRDefault="006C5E69">
      <w:pPr>
        <w:numPr>
          <w:ilvl w:val="0"/>
          <w:numId w:val="9"/>
        </w:numPr>
        <w:rPr>
          <w:b/>
          <w:bCs/>
        </w:rPr>
      </w:pPr>
      <w:r>
        <w:rPr>
          <w:b/>
          <w:bCs/>
        </w:rPr>
        <w:t>Receivable Collection Period</w:t>
      </w:r>
    </w:p>
    <w:p w14:paraId="3938EAB2" w14:textId="77777777" w:rsidR="006227CE" w:rsidRDefault="006C5E69">
      <w:pPr>
        <w:jc w:val="center"/>
        <w:rPr>
          <w:b/>
          <w:bCs/>
        </w:rPr>
      </w:pPr>
      <w:r>
        <w:rPr>
          <w:b/>
          <w:bCs/>
          <w:noProof/>
          <w:lang w:val="en-US" w:eastAsia="en-US" w:bidi="gu-IN"/>
        </w:rPr>
        <w:drawing>
          <wp:inline distT="114300" distB="114300" distL="114300" distR="114300" wp14:anchorId="3938EE4F" wp14:editId="3938EE50">
            <wp:extent cx="5772150" cy="1409700"/>
            <wp:effectExtent l="0" t="0" r="0" b="0"/>
            <wp:docPr id="92" name="image40.png"/>
            <wp:cNvGraphicFramePr/>
            <a:graphic xmlns:a="http://schemas.openxmlformats.org/drawingml/2006/main">
              <a:graphicData uri="http://schemas.openxmlformats.org/drawingml/2006/picture">
                <pic:pic xmlns:pic="http://schemas.openxmlformats.org/drawingml/2006/picture">
                  <pic:nvPicPr>
                    <pic:cNvPr id="0" name="image40.png"/>
                    <pic:cNvPicPr preferRelativeResize="0"/>
                  </pic:nvPicPr>
                  <pic:blipFill>
                    <a:blip r:embed="rId25"/>
                    <a:srcRect/>
                    <a:stretch>
                      <a:fillRect/>
                    </a:stretch>
                  </pic:blipFill>
                  <pic:spPr>
                    <a:xfrm>
                      <a:off x="0" y="0"/>
                      <a:ext cx="5772150" cy="1409700"/>
                    </a:xfrm>
                    <a:prstGeom prst="rect">
                      <a:avLst/>
                    </a:prstGeom>
                    <a:ln/>
                  </pic:spPr>
                </pic:pic>
              </a:graphicData>
            </a:graphic>
          </wp:inline>
        </w:drawing>
      </w:r>
    </w:p>
    <w:p w14:paraId="3938EAB3" w14:textId="77777777" w:rsidR="006227CE" w:rsidRDefault="006C5E69">
      <w:pPr>
        <w:jc w:val="center"/>
        <w:rPr>
          <w:b/>
          <w:bCs/>
        </w:rPr>
      </w:pPr>
      <w:r>
        <w:rPr>
          <w:b/>
          <w:bCs/>
        </w:rPr>
        <w:t>Table 9: Receivable Collection Period</w:t>
      </w:r>
    </w:p>
    <w:p w14:paraId="3938EAB4" w14:textId="77777777" w:rsidR="006227CE" w:rsidRDefault="006C5E69">
      <w:pPr>
        <w:jc w:val="center"/>
        <w:rPr>
          <w:b/>
          <w:bCs/>
        </w:rPr>
      </w:pPr>
      <w:r>
        <w:rPr>
          <w:b/>
          <w:bCs/>
          <w:noProof/>
          <w:lang w:val="en-US" w:eastAsia="en-US" w:bidi="gu-IN"/>
        </w:rPr>
        <w:drawing>
          <wp:inline distT="114300" distB="114300" distL="114300" distR="114300" wp14:anchorId="3938EE51" wp14:editId="3938EE52">
            <wp:extent cx="4652963" cy="2796252"/>
            <wp:effectExtent l="0" t="0" r="0" b="0"/>
            <wp:docPr id="93" name="image44.png"/>
            <wp:cNvGraphicFramePr/>
            <a:graphic xmlns:a="http://schemas.openxmlformats.org/drawingml/2006/main">
              <a:graphicData uri="http://schemas.openxmlformats.org/drawingml/2006/picture">
                <pic:pic xmlns:pic="http://schemas.openxmlformats.org/drawingml/2006/picture">
                  <pic:nvPicPr>
                    <pic:cNvPr id="0" name="image44.png"/>
                    <pic:cNvPicPr preferRelativeResize="0"/>
                  </pic:nvPicPr>
                  <pic:blipFill>
                    <a:blip r:embed="rId26"/>
                    <a:srcRect/>
                    <a:stretch>
                      <a:fillRect/>
                    </a:stretch>
                  </pic:blipFill>
                  <pic:spPr>
                    <a:xfrm>
                      <a:off x="0" y="0"/>
                      <a:ext cx="4652963" cy="2796252"/>
                    </a:xfrm>
                    <a:prstGeom prst="rect">
                      <a:avLst/>
                    </a:prstGeom>
                    <a:ln/>
                  </pic:spPr>
                </pic:pic>
              </a:graphicData>
            </a:graphic>
          </wp:inline>
        </w:drawing>
      </w:r>
    </w:p>
    <w:p w14:paraId="3938EAB5" w14:textId="77777777" w:rsidR="006227CE" w:rsidRDefault="006C5E69">
      <w:pPr>
        <w:jc w:val="center"/>
        <w:rPr>
          <w:b/>
          <w:bCs/>
        </w:rPr>
      </w:pPr>
      <w:r>
        <w:rPr>
          <w:b/>
          <w:bCs/>
        </w:rPr>
        <w:t xml:space="preserve">Figure 9: Receivable Collection Period </w:t>
      </w:r>
    </w:p>
    <w:p w14:paraId="3938EAB6" w14:textId="77777777" w:rsidR="006227CE" w:rsidRDefault="006C5E69">
      <w:pPr>
        <w:jc w:val="center"/>
      </w:pPr>
      <w:r>
        <w:t>(Source: Whitbread Plc, 2021; Whitbread Plc, 2023; Whitbread PLC, 2025)</w:t>
      </w:r>
    </w:p>
    <w:p w14:paraId="3938EAB7" w14:textId="77777777" w:rsidR="006227CE" w:rsidRDefault="006C5E69">
      <w:r>
        <w:t xml:space="preserve">Whitbread Plc has lowered the growth of its average “net receivable value” to £123.2m due to enhancement in consumer overdues in 2025. The decline in recovery efficiency has also hampered the fund enhancement initiatives of the </w:t>
      </w:r>
      <w:proofErr w:type="spellStart"/>
      <w:r>
        <w:t>organisation</w:t>
      </w:r>
      <w:proofErr w:type="spellEnd"/>
      <w:r>
        <w:t>. In addition, Whitbread Plc has also increased its customer dues to £300m in 2025 (Whitbread, 2026). Hence, the absence of effective recovery policies has lowered the growth of the company.</w:t>
      </w:r>
    </w:p>
    <w:p w14:paraId="425DCC39" w14:textId="77777777" w:rsidR="00413DB3" w:rsidRDefault="00413DB3"/>
    <w:p w14:paraId="23708DCF" w14:textId="77777777" w:rsidR="00413DB3" w:rsidRDefault="00413DB3"/>
    <w:p w14:paraId="3938EAB8" w14:textId="77777777" w:rsidR="006227CE" w:rsidRDefault="006C5E69">
      <w:pPr>
        <w:numPr>
          <w:ilvl w:val="0"/>
          <w:numId w:val="13"/>
        </w:numPr>
        <w:rPr>
          <w:b/>
          <w:bCs/>
        </w:rPr>
      </w:pPr>
      <w:r>
        <w:rPr>
          <w:b/>
          <w:bCs/>
        </w:rPr>
        <w:lastRenderedPageBreak/>
        <w:t>Payable Payment Period</w:t>
      </w:r>
    </w:p>
    <w:p w14:paraId="3938EAB9" w14:textId="77777777" w:rsidR="006227CE" w:rsidRDefault="006C5E69">
      <w:pPr>
        <w:jc w:val="center"/>
        <w:rPr>
          <w:b/>
          <w:bCs/>
        </w:rPr>
      </w:pPr>
      <w:r>
        <w:rPr>
          <w:b/>
          <w:bCs/>
          <w:noProof/>
          <w:lang w:val="en-US" w:eastAsia="en-US" w:bidi="gu-IN"/>
        </w:rPr>
        <w:drawing>
          <wp:inline distT="114300" distB="114300" distL="114300" distR="114300" wp14:anchorId="3938EE53" wp14:editId="3938EE54">
            <wp:extent cx="5791200" cy="1457325"/>
            <wp:effectExtent l="0" t="0" r="0" b="0"/>
            <wp:docPr id="94" name="image39.png"/>
            <wp:cNvGraphicFramePr/>
            <a:graphic xmlns:a="http://schemas.openxmlformats.org/drawingml/2006/main">
              <a:graphicData uri="http://schemas.openxmlformats.org/drawingml/2006/picture">
                <pic:pic xmlns:pic="http://schemas.openxmlformats.org/drawingml/2006/picture">
                  <pic:nvPicPr>
                    <pic:cNvPr id="0" name="image39.png"/>
                    <pic:cNvPicPr preferRelativeResize="0"/>
                  </pic:nvPicPr>
                  <pic:blipFill>
                    <a:blip r:embed="rId27"/>
                    <a:srcRect/>
                    <a:stretch>
                      <a:fillRect/>
                    </a:stretch>
                  </pic:blipFill>
                  <pic:spPr>
                    <a:xfrm>
                      <a:off x="0" y="0"/>
                      <a:ext cx="5791200" cy="1457325"/>
                    </a:xfrm>
                    <a:prstGeom prst="rect">
                      <a:avLst/>
                    </a:prstGeom>
                    <a:ln/>
                  </pic:spPr>
                </pic:pic>
              </a:graphicData>
            </a:graphic>
          </wp:inline>
        </w:drawing>
      </w:r>
    </w:p>
    <w:p w14:paraId="3938EABA" w14:textId="77777777" w:rsidR="006227CE" w:rsidRDefault="006C5E69">
      <w:pPr>
        <w:jc w:val="center"/>
        <w:rPr>
          <w:b/>
          <w:bCs/>
        </w:rPr>
      </w:pPr>
      <w:r>
        <w:rPr>
          <w:b/>
          <w:bCs/>
        </w:rPr>
        <w:t>Table 10: Payable Payment Period</w:t>
      </w:r>
    </w:p>
    <w:p w14:paraId="3938EABB" w14:textId="77777777" w:rsidR="006227CE" w:rsidRDefault="006C5E69">
      <w:pPr>
        <w:jc w:val="center"/>
        <w:rPr>
          <w:b/>
          <w:bCs/>
        </w:rPr>
      </w:pPr>
      <w:r>
        <w:rPr>
          <w:b/>
          <w:bCs/>
          <w:noProof/>
          <w:lang w:val="en-US" w:eastAsia="en-US" w:bidi="gu-IN"/>
        </w:rPr>
        <w:drawing>
          <wp:inline distT="114300" distB="114300" distL="114300" distR="114300" wp14:anchorId="3938EE55" wp14:editId="3938EE56">
            <wp:extent cx="4605338" cy="2767631"/>
            <wp:effectExtent l="0" t="0" r="0" b="0"/>
            <wp:docPr id="6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8"/>
                    <a:srcRect/>
                    <a:stretch>
                      <a:fillRect/>
                    </a:stretch>
                  </pic:blipFill>
                  <pic:spPr>
                    <a:xfrm>
                      <a:off x="0" y="0"/>
                      <a:ext cx="4605338" cy="2767631"/>
                    </a:xfrm>
                    <a:prstGeom prst="rect">
                      <a:avLst/>
                    </a:prstGeom>
                    <a:ln/>
                  </pic:spPr>
                </pic:pic>
              </a:graphicData>
            </a:graphic>
          </wp:inline>
        </w:drawing>
      </w:r>
    </w:p>
    <w:p w14:paraId="3938EABC" w14:textId="77777777" w:rsidR="006227CE" w:rsidRDefault="006C5E69">
      <w:pPr>
        <w:jc w:val="center"/>
        <w:rPr>
          <w:b/>
          <w:bCs/>
        </w:rPr>
      </w:pPr>
      <w:r>
        <w:rPr>
          <w:b/>
          <w:bCs/>
        </w:rPr>
        <w:t>Figure 10: Payment Deferral Period</w:t>
      </w:r>
    </w:p>
    <w:p w14:paraId="3938EABD" w14:textId="77777777" w:rsidR="006227CE" w:rsidRDefault="006C5E69">
      <w:pPr>
        <w:jc w:val="center"/>
      </w:pPr>
      <w:r>
        <w:t>(Source: Whitbread Plc, 2021; Whitbread Plc, 2023; Whitbread PLC, 2025)</w:t>
      </w:r>
    </w:p>
    <w:p w14:paraId="3938EABE" w14:textId="77777777" w:rsidR="006227CE" w:rsidRDefault="006C5E69">
      <w:r>
        <w:t xml:space="preserve">The enhancement of the “Payable Payment Period” to “100 days” has lowered the operational efficiency of Whitbread Plc and hampered its supply of raw materials. As an instance, the creditor value of the </w:t>
      </w:r>
      <w:proofErr w:type="spellStart"/>
      <w:r>
        <w:t>organisation</w:t>
      </w:r>
      <w:proofErr w:type="spellEnd"/>
      <w:r>
        <w:t xml:space="preserve"> has increased to £292m due to low earnings of its operating income (</w:t>
      </w:r>
      <w:proofErr w:type="spellStart"/>
      <w:r>
        <w:t>PayPoint</w:t>
      </w:r>
      <w:proofErr w:type="spellEnd"/>
      <w:r>
        <w:t xml:space="preserve">, 2025). Hence, the enhancement in the internal debts has caused financial instability to the </w:t>
      </w:r>
      <w:proofErr w:type="spellStart"/>
      <w:r>
        <w:t>organisation</w:t>
      </w:r>
      <w:proofErr w:type="spellEnd"/>
      <w:r>
        <w:t xml:space="preserve">. </w:t>
      </w:r>
    </w:p>
    <w:p w14:paraId="2FFD15A4" w14:textId="77777777" w:rsidR="00413DB3" w:rsidRDefault="00413DB3"/>
    <w:p w14:paraId="1B340D72" w14:textId="77777777" w:rsidR="00413DB3" w:rsidRDefault="00413DB3"/>
    <w:p w14:paraId="36F4923A" w14:textId="77777777" w:rsidR="00413DB3" w:rsidRDefault="00413DB3"/>
    <w:p w14:paraId="5F9A7D4E" w14:textId="77777777" w:rsidR="00413DB3" w:rsidRDefault="00413DB3"/>
    <w:p w14:paraId="44C6090E" w14:textId="77777777" w:rsidR="00413DB3" w:rsidRDefault="00413DB3"/>
    <w:p w14:paraId="3938EABF" w14:textId="77777777" w:rsidR="006227CE" w:rsidRDefault="006C5E69">
      <w:pPr>
        <w:numPr>
          <w:ilvl w:val="0"/>
          <w:numId w:val="14"/>
        </w:numPr>
        <w:rPr>
          <w:b/>
          <w:bCs/>
        </w:rPr>
      </w:pPr>
      <w:r>
        <w:rPr>
          <w:b/>
          <w:bCs/>
        </w:rPr>
        <w:lastRenderedPageBreak/>
        <w:t>Inventory Management Period</w:t>
      </w:r>
    </w:p>
    <w:p w14:paraId="3938EAC0" w14:textId="77777777" w:rsidR="006227CE" w:rsidRDefault="006C5E69">
      <w:pPr>
        <w:jc w:val="center"/>
        <w:rPr>
          <w:b/>
          <w:bCs/>
        </w:rPr>
      </w:pPr>
      <w:r>
        <w:rPr>
          <w:b/>
          <w:bCs/>
          <w:noProof/>
          <w:lang w:val="en-US" w:eastAsia="en-US" w:bidi="gu-IN"/>
        </w:rPr>
        <w:drawing>
          <wp:inline distT="114300" distB="114300" distL="114300" distR="114300" wp14:anchorId="3938EE57" wp14:editId="3938EE58">
            <wp:extent cx="5772150" cy="1419225"/>
            <wp:effectExtent l="0" t="0" r="0" b="0"/>
            <wp:docPr id="67"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9"/>
                    <a:srcRect/>
                    <a:stretch>
                      <a:fillRect/>
                    </a:stretch>
                  </pic:blipFill>
                  <pic:spPr>
                    <a:xfrm>
                      <a:off x="0" y="0"/>
                      <a:ext cx="5772150" cy="1419225"/>
                    </a:xfrm>
                    <a:prstGeom prst="rect">
                      <a:avLst/>
                    </a:prstGeom>
                    <a:ln/>
                  </pic:spPr>
                </pic:pic>
              </a:graphicData>
            </a:graphic>
          </wp:inline>
        </w:drawing>
      </w:r>
    </w:p>
    <w:p w14:paraId="3938EAC1" w14:textId="77777777" w:rsidR="006227CE" w:rsidRDefault="006C5E69">
      <w:pPr>
        <w:jc w:val="center"/>
        <w:rPr>
          <w:b/>
          <w:bCs/>
        </w:rPr>
      </w:pPr>
      <w:bookmarkStart w:id="23" w:name="_heading=h.4s93c37ytpbz" w:colFirst="0" w:colLast="0"/>
      <w:bookmarkEnd w:id="23"/>
      <w:r>
        <w:rPr>
          <w:b/>
          <w:bCs/>
        </w:rPr>
        <w:t>Table 11: Inventory Management Period</w:t>
      </w:r>
    </w:p>
    <w:p w14:paraId="3938EAC2" w14:textId="77777777" w:rsidR="006227CE" w:rsidRDefault="006C5E69">
      <w:pPr>
        <w:jc w:val="center"/>
        <w:rPr>
          <w:b/>
          <w:bCs/>
        </w:rPr>
      </w:pPr>
      <w:r>
        <w:rPr>
          <w:b/>
          <w:bCs/>
          <w:noProof/>
          <w:lang w:val="en-US" w:eastAsia="en-US" w:bidi="gu-IN"/>
        </w:rPr>
        <w:drawing>
          <wp:inline distT="114300" distB="114300" distL="114300" distR="114300" wp14:anchorId="3938EE59" wp14:editId="3938EE5A">
            <wp:extent cx="4624388" cy="2616040"/>
            <wp:effectExtent l="0" t="0" r="0" b="0"/>
            <wp:docPr id="68"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30"/>
                    <a:srcRect/>
                    <a:stretch>
                      <a:fillRect/>
                    </a:stretch>
                  </pic:blipFill>
                  <pic:spPr>
                    <a:xfrm>
                      <a:off x="0" y="0"/>
                      <a:ext cx="4624388" cy="2616040"/>
                    </a:xfrm>
                    <a:prstGeom prst="rect">
                      <a:avLst/>
                    </a:prstGeom>
                    <a:ln/>
                  </pic:spPr>
                </pic:pic>
              </a:graphicData>
            </a:graphic>
          </wp:inline>
        </w:drawing>
      </w:r>
    </w:p>
    <w:p w14:paraId="3938EAC3" w14:textId="77777777" w:rsidR="006227CE" w:rsidRDefault="006C5E69">
      <w:pPr>
        <w:jc w:val="center"/>
        <w:rPr>
          <w:b/>
          <w:bCs/>
        </w:rPr>
      </w:pPr>
      <w:r>
        <w:rPr>
          <w:b/>
          <w:bCs/>
        </w:rPr>
        <w:t>Figure 11: Inventory Holding Period</w:t>
      </w:r>
    </w:p>
    <w:p w14:paraId="3938EAC4" w14:textId="77777777" w:rsidR="006227CE" w:rsidRDefault="006C5E69">
      <w:pPr>
        <w:jc w:val="center"/>
        <w:rPr>
          <w:b/>
          <w:bCs/>
        </w:rPr>
      </w:pPr>
      <w:r>
        <w:t>(Source: Whitbread Plc, 2021; Whitbread Plc, 2023; Whitbread PLC, 2025)</w:t>
      </w:r>
    </w:p>
    <w:p w14:paraId="3938EAC5" w14:textId="77777777" w:rsidR="006227CE" w:rsidRDefault="006C5E69">
      <w:r>
        <w:t xml:space="preserve">The “Inventory Management Period” at Whitbread PLC is roughly 3 days due to reliable asset maintenance and checking of stocks of “Revenue Per Available Room”. The decrease in inventory days is due to the shifting of restaurant options and adoption of a unique ownership model for accessing competitive edge among its rivals (Whitbread PLC, 2025). Thus, streamline stock management by efficient control of stock and reduction of waste. </w:t>
      </w:r>
    </w:p>
    <w:p w14:paraId="7C563141" w14:textId="77777777" w:rsidR="00413DB3" w:rsidRDefault="00413DB3"/>
    <w:p w14:paraId="11AC7C48" w14:textId="77777777" w:rsidR="00413DB3" w:rsidRDefault="00413DB3"/>
    <w:p w14:paraId="21289EC4" w14:textId="77777777" w:rsidR="00413DB3" w:rsidRDefault="00413DB3"/>
    <w:p w14:paraId="2E5F790E" w14:textId="77777777" w:rsidR="00413DB3" w:rsidRDefault="00413DB3"/>
    <w:p w14:paraId="1FB3DC3D" w14:textId="77777777" w:rsidR="00413DB3" w:rsidRDefault="00413DB3">
      <w:pPr>
        <w:rPr>
          <w:b/>
          <w:bCs/>
        </w:rPr>
      </w:pPr>
    </w:p>
    <w:p w14:paraId="3938EAC6" w14:textId="77777777" w:rsidR="006227CE" w:rsidRDefault="006C5E69">
      <w:pPr>
        <w:numPr>
          <w:ilvl w:val="0"/>
          <w:numId w:val="12"/>
        </w:numPr>
        <w:rPr>
          <w:b/>
          <w:bCs/>
        </w:rPr>
      </w:pPr>
      <w:r>
        <w:rPr>
          <w:b/>
          <w:bCs/>
        </w:rPr>
        <w:lastRenderedPageBreak/>
        <w:t>Cash Conversion Period</w:t>
      </w:r>
    </w:p>
    <w:p w14:paraId="3938EAC7" w14:textId="77777777" w:rsidR="006227CE" w:rsidRDefault="006C5E69">
      <w:pPr>
        <w:rPr>
          <w:b/>
          <w:bCs/>
        </w:rPr>
      </w:pPr>
      <w:r>
        <w:rPr>
          <w:b/>
          <w:bCs/>
          <w:noProof/>
          <w:lang w:val="en-US" w:eastAsia="en-US" w:bidi="gu-IN"/>
        </w:rPr>
        <w:drawing>
          <wp:inline distT="114300" distB="114300" distL="114300" distR="114300" wp14:anchorId="3938EE5B" wp14:editId="3938EE5C">
            <wp:extent cx="5772150" cy="1638300"/>
            <wp:effectExtent l="0" t="0" r="0" b="0"/>
            <wp:docPr id="69"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31"/>
                    <a:srcRect/>
                    <a:stretch>
                      <a:fillRect/>
                    </a:stretch>
                  </pic:blipFill>
                  <pic:spPr>
                    <a:xfrm>
                      <a:off x="0" y="0"/>
                      <a:ext cx="5772150" cy="1638300"/>
                    </a:xfrm>
                    <a:prstGeom prst="rect">
                      <a:avLst/>
                    </a:prstGeom>
                    <a:ln/>
                  </pic:spPr>
                </pic:pic>
              </a:graphicData>
            </a:graphic>
          </wp:inline>
        </w:drawing>
      </w:r>
    </w:p>
    <w:p w14:paraId="3938EAC8" w14:textId="77777777" w:rsidR="006227CE" w:rsidRDefault="006C5E69">
      <w:pPr>
        <w:jc w:val="center"/>
        <w:rPr>
          <w:b/>
          <w:bCs/>
        </w:rPr>
      </w:pPr>
      <w:r>
        <w:rPr>
          <w:b/>
          <w:bCs/>
        </w:rPr>
        <w:t xml:space="preserve"> Table 12: Cash Operating Cycle Evaluation</w:t>
      </w:r>
    </w:p>
    <w:p w14:paraId="3938EAC9" w14:textId="77777777" w:rsidR="006227CE" w:rsidRDefault="006C5E69">
      <w:pPr>
        <w:jc w:val="center"/>
        <w:rPr>
          <w:b/>
          <w:bCs/>
        </w:rPr>
      </w:pPr>
      <w:r>
        <w:t>(Source: Whitbread Plc, 2021; Whitbread Plc, 2023; Whitbread PLC, 2025)</w:t>
      </w:r>
    </w:p>
    <w:p w14:paraId="3938EACA" w14:textId="77777777" w:rsidR="006227CE" w:rsidRDefault="006C5E69">
      <w:r>
        <w:t xml:space="preserve">In 2021, “Cash Operating Cycle” (COC) is about 30 days, which decreases 373.33% in 2025 due to faster selling of products from inventory in response to consumer demand. The company manages its capital strategy with guaranteed notes by issuing £400 million in 2025 by adoption of recycling (Whitbread PLC, 2025). Thus, a decrease in COC is beneficial for managing better efficiency in business to less requirement of loans. </w:t>
      </w:r>
    </w:p>
    <w:p w14:paraId="3938EACB" w14:textId="77777777" w:rsidR="006227CE" w:rsidRDefault="006C5E69">
      <w:pPr>
        <w:pStyle w:val="Heading2"/>
      </w:pPr>
      <w:bookmarkStart w:id="24" w:name="_Toc237448027"/>
      <w:r>
        <w:t>2.2 Working Capital Challenges</w:t>
      </w:r>
      <w:bookmarkEnd w:id="24"/>
      <w:r>
        <w:t xml:space="preserve"> </w:t>
      </w:r>
    </w:p>
    <w:p w14:paraId="3938EACC" w14:textId="77777777" w:rsidR="006227CE" w:rsidRDefault="006C5E69">
      <w:pPr>
        <w:rPr>
          <w:b/>
          <w:bCs/>
        </w:rPr>
      </w:pPr>
      <w:r>
        <w:rPr>
          <w:b/>
          <w:bCs/>
        </w:rPr>
        <w:t>Low Credit Value</w:t>
      </w:r>
    </w:p>
    <w:p w14:paraId="3938EACD" w14:textId="77777777" w:rsidR="006227CE" w:rsidRDefault="006C5E69">
      <w:r>
        <w:t xml:space="preserve">Whitbread Plc has a low credit value that has lowered the brand reputation of the company. The </w:t>
      </w:r>
      <w:proofErr w:type="spellStart"/>
      <w:r>
        <w:t>organisation</w:t>
      </w:r>
      <w:proofErr w:type="spellEnd"/>
      <w:r>
        <w:t xml:space="preserve"> has also achieved an inferior rating of “BBB-‌” due to the decline of its EBIT income to £110m in 2025 (Fitch Ratings, 2026). In addition, the </w:t>
      </w:r>
      <w:proofErr w:type="spellStart"/>
      <w:r>
        <w:t>organisation</w:t>
      </w:r>
      <w:proofErr w:type="spellEnd"/>
      <w:r>
        <w:t xml:space="preserve"> has also observed a decline in its revenue growth by 5% due to inflationary pressure. Hence, the decline in the profit value and low brand image has increased the financial concern level of the </w:t>
      </w:r>
      <w:proofErr w:type="spellStart"/>
      <w:r>
        <w:t>organisation</w:t>
      </w:r>
      <w:proofErr w:type="spellEnd"/>
      <w:r>
        <w:t xml:space="preserve">. </w:t>
      </w:r>
    </w:p>
    <w:p w14:paraId="3938EACE" w14:textId="77777777" w:rsidR="006227CE" w:rsidRDefault="006C5E69">
      <w:pPr>
        <w:pStyle w:val="Heading2"/>
      </w:pPr>
      <w:bookmarkStart w:id="25" w:name="_Toc237448028"/>
      <w:r>
        <w:t>2.3 Recommendation to improve liquidity of working capital</w:t>
      </w:r>
      <w:bookmarkEnd w:id="25"/>
      <w:r>
        <w:t xml:space="preserve"> </w:t>
      </w:r>
    </w:p>
    <w:p w14:paraId="3938EACF" w14:textId="77777777" w:rsidR="006227CE" w:rsidRDefault="006C5E69">
      <w:pPr>
        <w:pStyle w:val="Heading3"/>
      </w:pPr>
      <w:bookmarkStart w:id="26" w:name="_Toc237448029"/>
      <w:r>
        <w:t xml:space="preserve">2.3.1 </w:t>
      </w:r>
      <w:proofErr w:type="spellStart"/>
      <w:r>
        <w:t>Optimising</w:t>
      </w:r>
      <w:proofErr w:type="spellEnd"/>
      <w:r>
        <w:t xml:space="preserve"> inventory</w:t>
      </w:r>
      <w:bookmarkEnd w:id="26"/>
      <w:r>
        <w:t xml:space="preserve"> </w:t>
      </w:r>
    </w:p>
    <w:p w14:paraId="3938EAD0" w14:textId="77777777" w:rsidR="006227CE" w:rsidRDefault="006C5E69">
      <w:r>
        <w:t xml:space="preserve">Whitbread PLC enhanced its inventory management across strategic restructuring and involvement of the suppliers for its warehouse expansion in Germany. The company </w:t>
      </w:r>
      <w:proofErr w:type="spellStart"/>
      <w:r>
        <w:t>optimises</w:t>
      </w:r>
      <w:proofErr w:type="spellEnd"/>
      <w:r>
        <w:t xml:space="preserve"> its growth by improving its reach to about 125,000 rooms by highlighting its reliable expansion in Ireland and the UK (Whitbread, 2023). The capacity expansion of rooms leads to a rise of 96,000, which will be achieved by 2030 to 2031, accessing </w:t>
      </w:r>
      <w:r>
        <w:lastRenderedPageBreak/>
        <w:t xml:space="preserve">consumer preferences in the UK. That strategic opportunity of Whitbread PLC achieved its ambition in Germany with a rise of 18,000 room capability by 2030 to 2031, leading to enhanced overall brand revenue. </w:t>
      </w:r>
    </w:p>
    <w:p w14:paraId="3938EAD1" w14:textId="77777777" w:rsidR="006227CE" w:rsidRDefault="006C5E69">
      <w:pPr>
        <w:pStyle w:val="Heading3"/>
      </w:pPr>
      <w:r>
        <w:t xml:space="preserve"> </w:t>
      </w:r>
      <w:bookmarkStart w:id="27" w:name="_Toc237448030"/>
      <w:r>
        <w:t>2.3.2 Streamlining improvement in accounts receivable</w:t>
      </w:r>
      <w:bookmarkEnd w:id="27"/>
      <w:r>
        <w:t xml:space="preserve"> </w:t>
      </w:r>
    </w:p>
    <w:p w14:paraId="3938EAD2" w14:textId="77777777" w:rsidR="006227CE" w:rsidRDefault="006C5E69">
      <w:r>
        <w:t xml:space="preserve">Whitbread PLC enhances improvement in accounts receivable with "short-term payments” by reducing overall credit facilities. The company collaborated with “C2FO” for the “Whitbread Early Payment Program,” enhancing overall cash flow of the business (C2FO, 2026). This mechanism serves suppliers with cash discounts by analyzing cash invoices, which enhances overall liquidity maintenance. Apart from that, Whitbread PLC manages its bad debts by “Pre-booked revenue,” by the ability to remove credit exposure, enhancing overall sales of the business. </w:t>
      </w:r>
    </w:p>
    <w:p w14:paraId="3938EAD3" w14:textId="77777777" w:rsidR="006227CE" w:rsidRDefault="006C5E69">
      <w:pPr>
        <w:pStyle w:val="Heading2"/>
      </w:pPr>
      <w:bookmarkStart w:id="28" w:name="_Toc237448031"/>
      <w:r>
        <w:t>2.4 Comparison of financing option</w:t>
      </w:r>
      <w:bookmarkEnd w:id="28"/>
      <w:r>
        <w:t xml:space="preserve"> </w:t>
      </w:r>
    </w:p>
    <w:p w14:paraId="3938EAD4" w14:textId="77777777" w:rsidR="006227CE" w:rsidRDefault="006C5E69">
      <w:pPr>
        <w:pStyle w:val="Heading3"/>
      </w:pPr>
      <w:bookmarkStart w:id="29" w:name="_Toc237448032"/>
      <w:r>
        <w:t>2.4.1 Short-Term Financing Options</w:t>
      </w:r>
      <w:bookmarkEnd w:id="29"/>
      <w:r>
        <w:t xml:space="preserve"> </w:t>
      </w:r>
    </w:p>
    <w:p w14:paraId="3938EAD5" w14:textId="77777777" w:rsidR="006227CE" w:rsidRDefault="006C5E69">
      <w:pPr>
        <w:rPr>
          <w:b/>
          <w:bCs/>
        </w:rPr>
      </w:pPr>
      <w:r>
        <w:rPr>
          <w:b/>
          <w:bCs/>
        </w:rPr>
        <w:t>Trade Credit</w:t>
      </w:r>
    </w:p>
    <w:p w14:paraId="3938EAD6" w14:textId="77777777" w:rsidR="006227CE" w:rsidRDefault="006C5E69">
      <w:r>
        <w:t xml:space="preserve">The “Trade Credit” method provides emergency fund sources to companies in meeting the requirements of its business operations. Whitbread Plc has acquired credit notes worth £400m for financing its expansion operations till 2032 (Whitbread, 2026). Hence, the availability of proper monetary facilities has assisted the company in overcoming market uncertainties and meeting client requirements effectively. </w:t>
      </w:r>
    </w:p>
    <w:p w14:paraId="3938EAD7" w14:textId="77777777" w:rsidR="006227CE" w:rsidRDefault="006C5E69">
      <w:pPr>
        <w:rPr>
          <w:b/>
          <w:bCs/>
        </w:rPr>
      </w:pPr>
      <w:r>
        <w:rPr>
          <w:b/>
          <w:bCs/>
        </w:rPr>
        <w:t>Short-Term Loans</w:t>
      </w:r>
    </w:p>
    <w:p w14:paraId="3938EAD8" w14:textId="77777777" w:rsidR="006227CE" w:rsidRDefault="006C5E69">
      <w:r>
        <w:t xml:space="preserve">This technique looks after the day-to-day monetary requirements of the company for meeting the expenditure of its venture. Whitbread Plc has increased its cash flow value to £2.5bn due to improvement in its pre-tax profit in 2025 (Yahoo Finance, 2026). Thus, the improvement in the cash margin has provided financial support to the infrastructural projects of the </w:t>
      </w:r>
      <w:proofErr w:type="spellStart"/>
      <w:r>
        <w:t>organisation</w:t>
      </w:r>
      <w:proofErr w:type="spellEnd"/>
      <w:r>
        <w:t xml:space="preserve">. </w:t>
      </w:r>
    </w:p>
    <w:p w14:paraId="3938EAD9" w14:textId="77777777" w:rsidR="006227CE" w:rsidRDefault="006C5E69">
      <w:pPr>
        <w:pStyle w:val="Heading3"/>
      </w:pPr>
      <w:bookmarkStart w:id="30" w:name="_Toc237448033"/>
      <w:r>
        <w:t>2.4.2 Long-Term Financing Options</w:t>
      </w:r>
      <w:bookmarkEnd w:id="30"/>
      <w:r>
        <w:t xml:space="preserve"> </w:t>
      </w:r>
    </w:p>
    <w:p w14:paraId="3938EADA" w14:textId="77777777" w:rsidR="006227CE" w:rsidRDefault="006C5E69">
      <w:pPr>
        <w:rPr>
          <w:b/>
          <w:bCs/>
        </w:rPr>
      </w:pPr>
      <w:r>
        <w:rPr>
          <w:b/>
          <w:bCs/>
        </w:rPr>
        <w:t>Equity Capital</w:t>
      </w:r>
    </w:p>
    <w:p w14:paraId="3938EADB" w14:textId="77777777" w:rsidR="006227CE" w:rsidRDefault="006C5E69">
      <w:r>
        <w:t xml:space="preserve">Whitbread Plc has provided strength to its market </w:t>
      </w:r>
      <w:proofErr w:type="spellStart"/>
      <w:r>
        <w:t>capitalisation</w:t>
      </w:r>
      <w:proofErr w:type="spellEnd"/>
      <w:r>
        <w:t xml:space="preserve"> through fund diversification strategy and improved its value to £4.5bn in 2025 (AJ Bell, 2026). Hence, the existence of a flexible internal capital structure has assisted the </w:t>
      </w:r>
      <w:proofErr w:type="spellStart"/>
      <w:r>
        <w:t>organisation</w:t>
      </w:r>
      <w:proofErr w:type="spellEnd"/>
      <w:r>
        <w:t xml:space="preserve"> in reducing delays in the completion of its business operations. </w:t>
      </w:r>
    </w:p>
    <w:p w14:paraId="3938EADC" w14:textId="77777777" w:rsidR="006227CE" w:rsidRDefault="006C5E69">
      <w:pPr>
        <w:rPr>
          <w:b/>
          <w:bCs/>
        </w:rPr>
      </w:pPr>
      <w:r>
        <w:rPr>
          <w:b/>
          <w:bCs/>
        </w:rPr>
        <w:lastRenderedPageBreak/>
        <w:t>Debenture Bonds</w:t>
      </w:r>
    </w:p>
    <w:p w14:paraId="3938EADD" w14:textId="77777777" w:rsidR="006227CE" w:rsidRDefault="006C5E69">
      <w:r>
        <w:t>Whitbread Plc has also issued debenture bonds worth £400m for meeting its high debt value and recovering dues from the customers and suppliers in 2025 (</w:t>
      </w:r>
      <w:proofErr w:type="spellStart"/>
      <w:r>
        <w:t>Cbonds</w:t>
      </w:r>
      <w:proofErr w:type="spellEnd"/>
      <w:r>
        <w:t xml:space="preserve">, 2025). Hence, the strengthening of the resource recovery activities has assisted the </w:t>
      </w:r>
      <w:proofErr w:type="spellStart"/>
      <w:r>
        <w:t>organisation</w:t>
      </w:r>
      <w:proofErr w:type="spellEnd"/>
      <w:r>
        <w:t xml:space="preserve"> in reducing market competition. </w:t>
      </w:r>
    </w:p>
    <w:p w14:paraId="3938EADE" w14:textId="77777777" w:rsidR="006227CE" w:rsidRDefault="006C5E69">
      <w:pPr>
        <w:pStyle w:val="Heading3"/>
      </w:pPr>
      <w:bookmarkStart w:id="31" w:name="_Toc237448034"/>
      <w:r>
        <w:t>2.4.3 Comparative Analysis</w:t>
      </w:r>
      <w:bookmarkEnd w:id="31"/>
      <w:r>
        <w:t xml:space="preserve"> </w:t>
      </w:r>
    </w:p>
    <w:p w14:paraId="3938EADF" w14:textId="77777777" w:rsidR="006227CE" w:rsidRDefault="006C5E69">
      <w:r>
        <w:t xml:space="preserve">Whitbread Plc has acquired the opportunity of utilizing the short-term and long-term financial sources that will ensure smooth execution of its business operations. As an instance, the availability of equity and bond capital will strengthen the internal management activities of the company. On the other hand, trade credits will improve the brand reputation level. </w:t>
      </w:r>
      <w:r>
        <w:br w:type="page"/>
      </w:r>
    </w:p>
    <w:p w14:paraId="3938EAE0" w14:textId="77777777" w:rsidR="006227CE" w:rsidRDefault="006C5E69">
      <w:pPr>
        <w:pStyle w:val="Heading1"/>
      </w:pPr>
      <w:bookmarkStart w:id="32" w:name="_Toc237448035"/>
      <w:r>
        <w:lastRenderedPageBreak/>
        <w:t>3. Strategic Financial Restructuring Plan</w:t>
      </w:r>
      <w:bookmarkEnd w:id="32"/>
      <w:r>
        <w:t xml:space="preserve"> </w:t>
      </w:r>
    </w:p>
    <w:p w14:paraId="3938EAE1" w14:textId="77777777" w:rsidR="006227CE" w:rsidRDefault="006C5E69">
      <w:pPr>
        <w:pStyle w:val="Heading2"/>
      </w:pPr>
      <w:bookmarkStart w:id="33" w:name="_Toc237448036"/>
      <w:r>
        <w:t>3.1 Recommended Financial Restructuring Options</w:t>
      </w:r>
      <w:bookmarkEnd w:id="33"/>
      <w:r>
        <w:t xml:space="preserve"> </w:t>
      </w:r>
    </w:p>
    <w:p w14:paraId="3938EAE2" w14:textId="77777777" w:rsidR="006227CE" w:rsidRDefault="006C5E69">
      <w:pPr>
        <w:numPr>
          <w:ilvl w:val="0"/>
          <w:numId w:val="11"/>
        </w:numPr>
        <w:rPr>
          <w:b/>
          <w:bCs/>
        </w:rPr>
      </w:pPr>
      <w:r>
        <w:rPr>
          <w:b/>
          <w:bCs/>
        </w:rPr>
        <w:t xml:space="preserve">Divestiture </w:t>
      </w:r>
    </w:p>
    <w:p w14:paraId="3938EAE3" w14:textId="77777777" w:rsidR="006227CE" w:rsidRDefault="006C5E69">
      <w:r>
        <w:t>Divestiture helpful to closure of low value business units towards captivating new investors of higher growth pattern in future (Chen, 2026). Thus, Whitbread Plc also diversified non-core hotel assets towards enabling investment in high-performing Premier Inn locations to enhance ROCE from 5.93%.</w:t>
      </w:r>
    </w:p>
    <w:p w14:paraId="3938EAE4" w14:textId="77777777" w:rsidR="006227CE" w:rsidRDefault="006C5E69">
      <w:pPr>
        <w:numPr>
          <w:ilvl w:val="0"/>
          <w:numId w:val="5"/>
        </w:numPr>
        <w:rPr>
          <w:b/>
          <w:bCs/>
        </w:rPr>
      </w:pPr>
      <w:r>
        <w:rPr>
          <w:b/>
          <w:bCs/>
        </w:rPr>
        <w:t xml:space="preserve">Equity Injection Strategy </w:t>
      </w:r>
    </w:p>
    <w:p w14:paraId="3938EAE5" w14:textId="77777777" w:rsidR="006227CE" w:rsidRDefault="006C5E69">
      <w:r>
        <w:t xml:space="preserve">Equity injection ensures more recovering additional </w:t>
      </w:r>
      <w:proofErr w:type="spellStart"/>
      <w:r>
        <w:t>capitalised</w:t>
      </w:r>
      <w:proofErr w:type="spellEnd"/>
      <w:r>
        <w:t xml:space="preserve"> value from shareholders towards strengthening company position (Banton, 2026). Hence, issues of new shares also enable reduce risk decline equity value £3.33 billion in 2025 make additional equity beneficial for long term growth.</w:t>
      </w:r>
    </w:p>
    <w:p w14:paraId="3938EAE6" w14:textId="77777777" w:rsidR="006227CE" w:rsidRDefault="006C5E69">
      <w:pPr>
        <w:numPr>
          <w:ilvl w:val="0"/>
          <w:numId w:val="1"/>
        </w:numPr>
        <w:rPr>
          <w:b/>
          <w:bCs/>
        </w:rPr>
      </w:pPr>
      <w:r>
        <w:rPr>
          <w:b/>
          <w:bCs/>
        </w:rPr>
        <w:t xml:space="preserve">Merger and Acquisition </w:t>
      </w:r>
    </w:p>
    <w:p w14:paraId="3938EAE7" w14:textId="77777777" w:rsidR="006227CE" w:rsidRDefault="006C5E69">
      <w:r>
        <w:t xml:space="preserve">The merger and acquisition process enables the opportunity to expand, combining business segments to achieve growth, market expansion, and operational synergies. Hence, regional hotels located in Germany and the UK should be acquired by Whitbread Plc to improve European market share effectively. </w:t>
      </w:r>
    </w:p>
    <w:p w14:paraId="3938EAE8" w14:textId="77777777" w:rsidR="006227CE" w:rsidRDefault="006C5E69">
      <w:pPr>
        <w:pStyle w:val="Heading2"/>
      </w:pPr>
      <w:bookmarkStart w:id="34" w:name="_Toc237448037"/>
      <w:r>
        <w:t>3.2 Impact on Financial Restructuring</w:t>
      </w:r>
      <w:bookmarkEnd w:id="34"/>
      <w:r>
        <w:t xml:space="preserve"> </w:t>
      </w:r>
    </w:p>
    <w:p w14:paraId="3938EAE9" w14:textId="77777777" w:rsidR="006227CE" w:rsidRDefault="006C5E69">
      <w:pPr>
        <w:pStyle w:val="Heading3"/>
      </w:pPr>
      <w:bookmarkStart w:id="35" w:name="_Toc237448038"/>
      <w:r>
        <w:t>3.2.1 Significance on Shareholder Value</w:t>
      </w:r>
      <w:bookmarkEnd w:id="35"/>
      <w:r>
        <w:t xml:space="preserve"> </w:t>
      </w:r>
    </w:p>
    <w:p w14:paraId="3938EAEA" w14:textId="77777777" w:rsidR="006227CE" w:rsidRDefault="006C5E69">
      <w:r>
        <w:t xml:space="preserve">Financial restructuring has a reliable impact on shareholder value along with decline in capital cost and enhanced cash flow stability. Whitbread Plc eliminated its capital cost by selling £1.5 billion of property, accessing a shift towards a “pure-play hotel” led to the cut of 3,800 job roles (Reuters Staff, 2026). Thus, a reduction of capital cost is due to selling property, which reduces overall earnings of the business. </w:t>
      </w:r>
    </w:p>
    <w:p w14:paraId="3938EAEB" w14:textId="77777777" w:rsidR="006227CE" w:rsidRDefault="006C5E69">
      <w:pPr>
        <w:pStyle w:val="Heading3"/>
      </w:pPr>
      <w:bookmarkStart w:id="36" w:name="_Toc237448039"/>
      <w:r>
        <w:t>3.2.2 Significance of Debt Structure</w:t>
      </w:r>
      <w:bookmarkEnd w:id="36"/>
      <w:r>
        <w:t xml:space="preserve"> </w:t>
      </w:r>
    </w:p>
    <w:p w14:paraId="3938EAEC" w14:textId="77777777" w:rsidR="006227CE" w:rsidRDefault="006C5E69">
      <w:r>
        <w:t xml:space="preserve">The company reshapes its debt structure by financial restructuring, changes in repayment, and extension of loans. Whitbread Group Plc revolves around its credit of about £775 million that will mature by 2029, enhancing the liquidity profile (Fitch Rating, 2026). This investment </w:t>
      </w:r>
      <w:proofErr w:type="spellStart"/>
      <w:r>
        <w:t>optimises</w:t>
      </w:r>
      <w:proofErr w:type="spellEnd"/>
      <w:r>
        <w:t xml:space="preserve"> its cash flow by improving credit facilities by accessing strategic opportunities in business. Thus, maintaining debt structure reduces investors confidence by responding with shifts in the market. </w:t>
      </w:r>
    </w:p>
    <w:p w14:paraId="3938EAED" w14:textId="77777777" w:rsidR="006227CE" w:rsidRDefault="006C5E69">
      <w:pPr>
        <w:pStyle w:val="Heading3"/>
      </w:pPr>
      <w:bookmarkStart w:id="37" w:name="_Toc237448040"/>
      <w:r>
        <w:lastRenderedPageBreak/>
        <w:t>3.2.3 Significance of Operational Flexibility</w:t>
      </w:r>
      <w:bookmarkEnd w:id="37"/>
      <w:r>
        <w:t xml:space="preserve"> </w:t>
      </w:r>
    </w:p>
    <w:p w14:paraId="3938EAEE" w14:textId="77777777" w:rsidR="006227CE" w:rsidRDefault="006C5E69">
      <w:r>
        <w:t xml:space="preserve">Financial restructuring has a reliable effect on the operational flexibility of the business by reducing debt and quickly adjusting cash due to market changes. Whitbread Plc enhances its profitability in the German market with branded budget hotel preferences of about 11% and non-branded hotels is about 68% (Strategist and Architect, 2025). Reduction of the hotel room share accessed through property recycling leads to a slowdown of restaurants. Thus, unlocking profitability is due to RevPAR enhancing the overall financial performance of the business. </w:t>
      </w:r>
    </w:p>
    <w:p w14:paraId="3938EAEF" w14:textId="77777777" w:rsidR="006227CE" w:rsidRDefault="006C5E69">
      <w:pPr>
        <w:pStyle w:val="Heading2"/>
      </w:pPr>
      <w:bookmarkStart w:id="38" w:name="_Toc237448041"/>
      <w:r>
        <w:t>3.3 International Financial Considerations</w:t>
      </w:r>
      <w:bookmarkEnd w:id="38"/>
      <w:r>
        <w:t xml:space="preserve"> </w:t>
      </w:r>
    </w:p>
    <w:p w14:paraId="3938EAF0" w14:textId="77777777" w:rsidR="006227CE" w:rsidRDefault="006C5E69">
      <w:pPr>
        <w:pStyle w:val="Heading3"/>
      </w:pPr>
      <w:bookmarkStart w:id="39" w:name="_Toc237448042"/>
      <w:r>
        <w:t>3.3.1 Taxation Considerations</w:t>
      </w:r>
      <w:bookmarkEnd w:id="39"/>
      <w:r>
        <w:t xml:space="preserve"> </w:t>
      </w:r>
    </w:p>
    <w:p w14:paraId="3938EAF1" w14:textId="77777777" w:rsidR="006227CE" w:rsidRDefault="006C5E69">
      <w:r>
        <w:t xml:space="preserve">Taxation also refers to the key business tax paid by corporate authority to run business segments in an effective manner. Hence, the corporate rate is about 26.5% in the UK as compared to lower than 30% of Germany expansion (Bilal, 2026; Trading Economics, 2026). Hence, UK is becoming low risk adheres to expansion in premier Inn in Germany for long term. </w:t>
      </w:r>
    </w:p>
    <w:p w14:paraId="3938EAF2" w14:textId="77777777" w:rsidR="006227CE" w:rsidRDefault="006C5E69">
      <w:pPr>
        <w:jc w:val="center"/>
      </w:pPr>
      <w:r>
        <w:rPr>
          <w:noProof/>
          <w:lang w:val="en-US" w:eastAsia="en-US" w:bidi="gu-IN"/>
        </w:rPr>
        <w:drawing>
          <wp:inline distT="114300" distB="114300" distL="114300" distR="114300" wp14:anchorId="3938EE5D" wp14:editId="3938EE5E">
            <wp:extent cx="3386138" cy="3386138"/>
            <wp:effectExtent l="0" t="0" r="0" b="0"/>
            <wp:docPr id="70" name="image34.png"/>
            <wp:cNvGraphicFramePr/>
            <a:graphic xmlns:a="http://schemas.openxmlformats.org/drawingml/2006/main">
              <a:graphicData uri="http://schemas.openxmlformats.org/drawingml/2006/picture">
                <pic:pic xmlns:pic="http://schemas.openxmlformats.org/drawingml/2006/picture">
                  <pic:nvPicPr>
                    <pic:cNvPr id="0" name="image34.png"/>
                    <pic:cNvPicPr preferRelativeResize="0"/>
                  </pic:nvPicPr>
                  <pic:blipFill>
                    <a:blip r:embed="rId32"/>
                    <a:srcRect/>
                    <a:stretch>
                      <a:fillRect/>
                    </a:stretch>
                  </pic:blipFill>
                  <pic:spPr>
                    <a:xfrm>
                      <a:off x="0" y="0"/>
                      <a:ext cx="3386138" cy="3386138"/>
                    </a:xfrm>
                    <a:prstGeom prst="rect">
                      <a:avLst/>
                    </a:prstGeom>
                    <a:ln/>
                  </pic:spPr>
                </pic:pic>
              </a:graphicData>
            </a:graphic>
          </wp:inline>
        </w:drawing>
      </w:r>
    </w:p>
    <w:p w14:paraId="3938EAF3" w14:textId="77777777" w:rsidR="006227CE" w:rsidRDefault="006C5E69">
      <w:pPr>
        <w:jc w:val="center"/>
        <w:rPr>
          <w:b/>
          <w:bCs/>
        </w:rPr>
      </w:pPr>
      <w:r>
        <w:rPr>
          <w:b/>
          <w:bCs/>
        </w:rPr>
        <w:t>Figure 12: Corporate Tax Rate of UK</w:t>
      </w:r>
    </w:p>
    <w:p w14:paraId="3938EAF4" w14:textId="77777777" w:rsidR="006227CE" w:rsidRDefault="006C5E69">
      <w:pPr>
        <w:jc w:val="center"/>
      </w:pPr>
      <w:r>
        <w:t>(Source: Bilal, 2026)</w:t>
      </w:r>
    </w:p>
    <w:p w14:paraId="3938EAF5" w14:textId="77777777" w:rsidR="006227CE" w:rsidRDefault="006C5E69">
      <w:pPr>
        <w:pStyle w:val="Heading3"/>
      </w:pPr>
      <w:bookmarkStart w:id="40" w:name="_Toc237448043"/>
      <w:r>
        <w:lastRenderedPageBreak/>
        <w:t>3.3.2 Currency Risk</w:t>
      </w:r>
      <w:bookmarkEnd w:id="40"/>
      <w:r>
        <w:t xml:space="preserve"> </w:t>
      </w:r>
    </w:p>
    <w:p w14:paraId="3938EAF6" w14:textId="77777777" w:rsidR="006227CE" w:rsidRDefault="006C5E69">
      <w:r>
        <w:t>The fluctuation of exchange rates highly influences current risk exposure in business progression of Whitbread Plc. Hence, the GBP/EUR exchange rate also increased by 3.1% “€1.145 in February to €1.180 in July” also indicated the opportunity of forward contracts with expansion of Premier Inn opportunities towards reducing transaction risk.</w:t>
      </w:r>
    </w:p>
    <w:p w14:paraId="3938EAF7" w14:textId="77777777" w:rsidR="006227CE" w:rsidRDefault="006C5E69">
      <w:pPr>
        <w:jc w:val="center"/>
      </w:pPr>
      <w:r>
        <w:rPr>
          <w:noProof/>
          <w:lang w:val="en-US" w:eastAsia="en-US" w:bidi="gu-IN"/>
        </w:rPr>
        <w:drawing>
          <wp:inline distT="114300" distB="114300" distL="114300" distR="114300" wp14:anchorId="3938EE5F" wp14:editId="3938EE60">
            <wp:extent cx="5943600" cy="3238500"/>
            <wp:effectExtent l="0" t="0" r="0" b="0"/>
            <wp:docPr id="71"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33"/>
                    <a:srcRect/>
                    <a:stretch>
                      <a:fillRect/>
                    </a:stretch>
                  </pic:blipFill>
                  <pic:spPr>
                    <a:xfrm>
                      <a:off x="0" y="0"/>
                      <a:ext cx="5943600" cy="3238500"/>
                    </a:xfrm>
                    <a:prstGeom prst="rect">
                      <a:avLst/>
                    </a:prstGeom>
                    <a:ln/>
                  </pic:spPr>
                </pic:pic>
              </a:graphicData>
            </a:graphic>
          </wp:inline>
        </w:drawing>
      </w:r>
    </w:p>
    <w:p w14:paraId="3938EAF8" w14:textId="77777777" w:rsidR="006227CE" w:rsidRDefault="006C5E69">
      <w:pPr>
        <w:jc w:val="center"/>
        <w:rPr>
          <w:b/>
          <w:bCs/>
        </w:rPr>
      </w:pPr>
      <w:r>
        <w:rPr>
          <w:b/>
          <w:bCs/>
        </w:rPr>
        <w:t>Figure 13: Exchange rate</w:t>
      </w:r>
    </w:p>
    <w:p w14:paraId="3938EAF9" w14:textId="77777777" w:rsidR="006227CE" w:rsidRDefault="006C5E69">
      <w:pPr>
        <w:jc w:val="center"/>
      </w:pPr>
      <w:r>
        <w:t xml:space="preserve">(Source: </w:t>
      </w:r>
      <w:proofErr w:type="spellStart"/>
      <w:r>
        <w:t>TradingView</w:t>
      </w:r>
      <w:proofErr w:type="spellEnd"/>
      <w:r>
        <w:t>, 2026)</w:t>
      </w:r>
    </w:p>
    <w:p w14:paraId="3938EAFA" w14:textId="77777777" w:rsidR="006227CE" w:rsidRDefault="006C5E69">
      <w:pPr>
        <w:pStyle w:val="Heading3"/>
      </w:pPr>
      <w:bookmarkStart w:id="41" w:name="_Toc237448044"/>
      <w:r>
        <w:t>3.3.3 Inflation Risk</w:t>
      </w:r>
      <w:bookmarkEnd w:id="41"/>
      <w:r>
        <w:t xml:space="preserve"> </w:t>
      </w:r>
    </w:p>
    <w:p w14:paraId="3938EAFB" w14:textId="77777777" w:rsidR="006227CE" w:rsidRDefault="006C5E69">
      <w:r>
        <w:t xml:space="preserve">Inflation risk also indicates the rise of operational cost to improve premier occupancy rates and reduce consumer purchasing power directly impact business. For instance, reducing the inflation rate in the UK by about 2.6% in June as compared to Germany's 2.2% indicated more opportunity and less risk in UK operations associated with rising </w:t>
      </w:r>
      <w:proofErr w:type="spellStart"/>
      <w:r>
        <w:t>labour</w:t>
      </w:r>
      <w:proofErr w:type="spellEnd"/>
      <w:r>
        <w:t xml:space="preserve">, food, utility, and maintenance costs (Trading Economics, 2026). </w:t>
      </w:r>
    </w:p>
    <w:p w14:paraId="3938EAFC" w14:textId="77777777" w:rsidR="006227CE" w:rsidRDefault="006C5E69">
      <w:r>
        <w:rPr>
          <w:noProof/>
          <w:lang w:val="en-US" w:eastAsia="en-US" w:bidi="gu-IN"/>
        </w:rPr>
        <w:lastRenderedPageBreak/>
        <w:drawing>
          <wp:inline distT="114300" distB="114300" distL="114300" distR="114300" wp14:anchorId="3938EE61" wp14:editId="3938EE62">
            <wp:extent cx="5943600" cy="2565400"/>
            <wp:effectExtent l="0" t="0" r="0" b="0"/>
            <wp:docPr id="72"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34"/>
                    <a:srcRect/>
                    <a:stretch>
                      <a:fillRect/>
                    </a:stretch>
                  </pic:blipFill>
                  <pic:spPr>
                    <a:xfrm>
                      <a:off x="0" y="0"/>
                      <a:ext cx="5943600" cy="2565400"/>
                    </a:xfrm>
                    <a:prstGeom prst="rect">
                      <a:avLst/>
                    </a:prstGeom>
                    <a:ln/>
                  </pic:spPr>
                </pic:pic>
              </a:graphicData>
            </a:graphic>
          </wp:inline>
        </w:drawing>
      </w:r>
    </w:p>
    <w:p w14:paraId="3938EAFD" w14:textId="77777777" w:rsidR="006227CE" w:rsidRDefault="006C5E69">
      <w:pPr>
        <w:jc w:val="center"/>
        <w:rPr>
          <w:b/>
          <w:bCs/>
        </w:rPr>
      </w:pPr>
      <w:r>
        <w:rPr>
          <w:b/>
          <w:bCs/>
        </w:rPr>
        <w:t>Figure 14: CPI inflation rate UK</w:t>
      </w:r>
    </w:p>
    <w:p w14:paraId="3938EAFE" w14:textId="77777777" w:rsidR="006227CE" w:rsidRDefault="006C5E69">
      <w:pPr>
        <w:jc w:val="center"/>
      </w:pPr>
      <w:r>
        <w:t>(Source: Trading Economics, 2026)</w:t>
      </w:r>
    </w:p>
    <w:p w14:paraId="3938EAFF" w14:textId="77777777" w:rsidR="006227CE" w:rsidRDefault="006C5E69">
      <w:pPr>
        <w:pStyle w:val="Heading2"/>
      </w:pPr>
      <w:bookmarkStart w:id="42" w:name="_Toc237448045"/>
      <w:r>
        <w:t>3.4 Discussion on the Ethical and ESG Operations</w:t>
      </w:r>
      <w:bookmarkEnd w:id="42"/>
      <w:r>
        <w:t xml:space="preserve"> </w:t>
      </w:r>
    </w:p>
    <w:p w14:paraId="3938EB00" w14:textId="77777777" w:rsidR="006227CE" w:rsidRDefault="006C5E69">
      <w:pPr>
        <w:numPr>
          <w:ilvl w:val="0"/>
          <w:numId w:val="3"/>
        </w:numPr>
        <w:rPr>
          <w:b/>
          <w:bCs/>
        </w:rPr>
      </w:pPr>
      <w:r>
        <w:rPr>
          <w:b/>
          <w:bCs/>
        </w:rPr>
        <w:t xml:space="preserve">Corporate Social Responsibility </w:t>
      </w:r>
    </w:p>
    <w:p w14:paraId="3938EB01" w14:textId="77777777" w:rsidR="006227CE" w:rsidRDefault="006C5E69">
      <w:r>
        <w:t xml:space="preserve">Whitbread Plc has collaborated with “Great Ormond Street Hospital Children's Charity” worth £20m for promoting importance of health and hygiene to children and young adults in 2025 (Gosh Charity, 2025). In addition, the business tie-up has also provided opportunities for the company in providing employment to local skilled individuals. Thus, the adoption of the community development partnerships has improved the goodwill of Whitbread among its stakeholders. </w:t>
      </w:r>
    </w:p>
    <w:p w14:paraId="3938EB02" w14:textId="77777777" w:rsidR="006227CE" w:rsidRDefault="006C5E69">
      <w:pPr>
        <w:numPr>
          <w:ilvl w:val="0"/>
          <w:numId w:val="6"/>
        </w:numPr>
        <w:rPr>
          <w:b/>
          <w:bCs/>
        </w:rPr>
      </w:pPr>
      <w:r>
        <w:rPr>
          <w:b/>
          <w:bCs/>
        </w:rPr>
        <w:t xml:space="preserve">Environmental Sustainability </w:t>
      </w:r>
    </w:p>
    <w:p w14:paraId="3938EB03" w14:textId="77777777" w:rsidR="006227CE" w:rsidRDefault="006C5E69">
      <w:r>
        <w:t xml:space="preserve">Whitbread has executed an environmental </w:t>
      </w:r>
      <w:proofErr w:type="spellStart"/>
      <w:r>
        <w:t>programme</w:t>
      </w:r>
      <w:proofErr w:type="spellEnd"/>
      <w:r>
        <w:t xml:space="preserve"> worth £7bn that promotes the use of sustainable timber materials for developing hotel furniture (Whitbread, 2026). The investment has also reduced the carbon valuation of the business operations carried out by the </w:t>
      </w:r>
      <w:proofErr w:type="spellStart"/>
      <w:r>
        <w:t>organisation</w:t>
      </w:r>
      <w:proofErr w:type="spellEnd"/>
      <w:r>
        <w:t xml:space="preserve">. Hence, the adoption of organic wood has assisted the </w:t>
      </w:r>
      <w:proofErr w:type="spellStart"/>
      <w:r>
        <w:t>organisation</w:t>
      </w:r>
      <w:proofErr w:type="spellEnd"/>
      <w:r>
        <w:t xml:space="preserve"> in improving sustainability in its business operations. </w:t>
      </w:r>
    </w:p>
    <w:p w14:paraId="3938EB04" w14:textId="77777777" w:rsidR="006227CE" w:rsidRDefault="006C5E69">
      <w:pPr>
        <w:numPr>
          <w:ilvl w:val="0"/>
          <w:numId w:val="7"/>
        </w:numPr>
        <w:rPr>
          <w:b/>
          <w:bCs/>
        </w:rPr>
      </w:pPr>
      <w:r>
        <w:rPr>
          <w:b/>
          <w:bCs/>
        </w:rPr>
        <w:t xml:space="preserve">ESG Performance and Reporting </w:t>
      </w:r>
    </w:p>
    <w:p w14:paraId="3938EB05" w14:textId="77777777" w:rsidR="006227CE" w:rsidRDefault="006C5E69">
      <w:r>
        <w:t xml:space="preserve">Whitbread Plc has developed </w:t>
      </w:r>
      <w:proofErr w:type="spellStart"/>
      <w:r>
        <w:t>programmes</w:t>
      </w:r>
      <w:proofErr w:type="spellEnd"/>
      <w:r>
        <w:t xml:space="preserve"> such as “Winning Teams”, “Force For Good” with an intent to promote sustainability and teamwork within its work environment (Whitbread, 2024). Thus, the adoption of the initiatives has ensured smooth transmission of service information and improved its operational stability. </w:t>
      </w:r>
      <w:r>
        <w:br w:type="page"/>
      </w:r>
    </w:p>
    <w:p w14:paraId="3938EB06" w14:textId="77777777" w:rsidR="006227CE" w:rsidRDefault="006C5E69">
      <w:pPr>
        <w:pStyle w:val="Heading1"/>
      </w:pPr>
      <w:bookmarkStart w:id="43" w:name="_Toc237448046"/>
      <w:r>
        <w:lastRenderedPageBreak/>
        <w:t>4. Investment Appraisal and Capital Budgeting</w:t>
      </w:r>
      <w:bookmarkEnd w:id="43"/>
      <w:r>
        <w:t xml:space="preserve"> </w:t>
      </w:r>
    </w:p>
    <w:p w14:paraId="3938EB07" w14:textId="77777777" w:rsidR="006227CE" w:rsidRDefault="006C5E69">
      <w:pPr>
        <w:pStyle w:val="Heading2"/>
      </w:pPr>
      <w:bookmarkStart w:id="44" w:name="_Toc237448047"/>
      <w:r>
        <w:t>4.1 Project Overview</w:t>
      </w:r>
      <w:bookmarkEnd w:id="44"/>
      <w:r>
        <w:t xml:space="preserve"> </w:t>
      </w:r>
    </w:p>
    <w:p w14:paraId="3938EB08" w14:textId="77777777" w:rsidR="006227CE" w:rsidRDefault="006C5E69">
      <w:r>
        <w:t xml:space="preserve">Investment appraisal is a reliable process to develop a business by NPV, ARR, IRR, PBP, and PI to manage overall cash flow. As stated by Andon, Baxter and Chua (2023), the significance of investment appraisal highlights the overall viability of the project, </w:t>
      </w:r>
      <w:proofErr w:type="spellStart"/>
      <w:r>
        <w:t>analysing</w:t>
      </w:r>
      <w:proofErr w:type="spellEnd"/>
      <w:r>
        <w:t xml:space="preserve"> financial stability and reliable resource allocation to ensure strategic alignment. Initial investment of Project A is £50m, with its cash inflow of about £54m, with the annual depreciation of about £10m per year. However, Project B has a cash inflow of about £55m, with a PBP of about 4.55 years in Year 4 by maximizing its return to enhance profitability. Cash flow at Project C is about £60m, with its PBP of 3.6 years in Year 3 with reliable recovery of cash with shorter payback and operational adjustment. Project B serves faster liquidity, whereas Project C serves profitability by responding to operational delays and shifts in the market. Project A manages its cash flow in lowering cash flows compared to Project C. However, Project B has the ability to pay short bills and resolve credit lines with flexible loans. Project C achieves its nominal return of cash enhanced operational disruption enhance value creation in the project. </w:t>
      </w:r>
    </w:p>
    <w:p w14:paraId="3938EB09" w14:textId="77777777" w:rsidR="006227CE" w:rsidRDefault="006C5E69">
      <w:pPr>
        <w:pStyle w:val="Heading2"/>
      </w:pPr>
      <w:bookmarkStart w:id="45" w:name="_Toc237448048"/>
      <w:r>
        <w:t>4.2 Discuss Project Viability</w:t>
      </w:r>
      <w:bookmarkEnd w:id="45"/>
      <w:r>
        <w:t xml:space="preserve"> </w:t>
      </w:r>
    </w:p>
    <w:p w14:paraId="3938EB0A" w14:textId="77777777" w:rsidR="006227CE" w:rsidRDefault="006C5E69">
      <w:pPr>
        <w:pStyle w:val="Heading3"/>
      </w:pPr>
      <w:bookmarkStart w:id="46" w:name="_Toc237448049"/>
      <w:r>
        <w:t>4.2.1 Project A Appraisal</w:t>
      </w:r>
      <w:bookmarkEnd w:id="46"/>
      <w:r>
        <w:t xml:space="preserve"> </w:t>
      </w:r>
    </w:p>
    <w:p w14:paraId="3938EB0B" w14:textId="77777777" w:rsidR="006227CE" w:rsidRDefault="006C5E69">
      <w:pPr>
        <w:jc w:val="center"/>
      </w:pPr>
      <w:r>
        <w:rPr>
          <w:noProof/>
          <w:lang w:val="en-US" w:eastAsia="en-US" w:bidi="gu-IN"/>
        </w:rPr>
        <w:drawing>
          <wp:inline distT="114300" distB="114300" distL="114300" distR="114300" wp14:anchorId="3938EE63" wp14:editId="3938EE64">
            <wp:extent cx="5772150" cy="1847850"/>
            <wp:effectExtent l="0" t="0" r="0" b="0"/>
            <wp:docPr id="73"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35"/>
                    <a:srcRect/>
                    <a:stretch>
                      <a:fillRect/>
                    </a:stretch>
                  </pic:blipFill>
                  <pic:spPr>
                    <a:xfrm>
                      <a:off x="0" y="0"/>
                      <a:ext cx="5772150" cy="1847850"/>
                    </a:xfrm>
                    <a:prstGeom prst="rect">
                      <a:avLst/>
                    </a:prstGeom>
                    <a:ln/>
                  </pic:spPr>
                </pic:pic>
              </a:graphicData>
            </a:graphic>
          </wp:inline>
        </w:drawing>
      </w:r>
    </w:p>
    <w:p w14:paraId="3938EB0C" w14:textId="77777777" w:rsidR="006227CE" w:rsidRDefault="006C5E69">
      <w:pPr>
        <w:jc w:val="center"/>
        <w:rPr>
          <w:b/>
          <w:bCs/>
        </w:rPr>
      </w:pPr>
      <w:r>
        <w:rPr>
          <w:b/>
          <w:bCs/>
        </w:rPr>
        <w:t>Table 13: NPV</w:t>
      </w:r>
    </w:p>
    <w:p w14:paraId="3938EB0D" w14:textId="77777777" w:rsidR="006227CE" w:rsidRDefault="006C5E69">
      <w:pPr>
        <w:jc w:val="center"/>
        <w:rPr>
          <w:b/>
          <w:bCs/>
        </w:rPr>
      </w:pPr>
      <w:r>
        <w:t>(Source: Self-developed)</w:t>
      </w:r>
    </w:p>
    <w:p w14:paraId="3938EB0E" w14:textId="77777777" w:rsidR="006227CE" w:rsidRDefault="006C5E69">
      <w:r>
        <w:t xml:space="preserve">The use of NPV is reliable for analyzing the profitability position of an organization by linking its present value of investment (Fernando, 2026). Hence, this NPV analysis also assures unviable investment opportunity for project A within 8% discounting rate. </w:t>
      </w:r>
      <w:r>
        <w:lastRenderedPageBreak/>
        <w:t>Present value of cash flow generating negative NPV £6.54 million reduces shareholders returns.</w:t>
      </w:r>
    </w:p>
    <w:p w14:paraId="3938EB0F" w14:textId="77777777" w:rsidR="006227CE" w:rsidRDefault="006C5E69">
      <w:pPr>
        <w:jc w:val="center"/>
      </w:pPr>
      <w:r>
        <w:rPr>
          <w:noProof/>
          <w:lang w:val="en-US" w:eastAsia="en-US" w:bidi="gu-IN"/>
        </w:rPr>
        <w:drawing>
          <wp:inline distT="114300" distB="114300" distL="114300" distR="114300" wp14:anchorId="3938EE65" wp14:editId="3938EE66">
            <wp:extent cx="5772150" cy="2447925"/>
            <wp:effectExtent l="0" t="0" r="0" b="0"/>
            <wp:docPr id="74"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36"/>
                    <a:srcRect/>
                    <a:stretch>
                      <a:fillRect/>
                    </a:stretch>
                  </pic:blipFill>
                  <pic:spPr>
                    <a:xfrm>
                      <a:off x="0" y="0"/>
                      <a:ext cx="5772150" cy="2447925"/>
                    </a:xfrm>
                    <a:prstGeom prst="rect">
                      <a:avLst/>
                    </a:prstGeom>
                    <a:ln/>
                  </pic:spPr>
                </pic:pic>
              </a:graphicData>
            </a:graphic>
          </wp:inline>
        </w:drawing>
      </w:r>
    </w:p>
    <w:p w14:paraId="3938EB10" w14:textId="77777777" w:rsidR="006227CE" w:rsidRDefault="006C5E69">
      <w:pPr>
        <w:jc w:val="center"/>
        <w:rPr>
          <w:b/>
          <w:bCs/>
        </w:rPr>
      </w:pPr>
      <w:r>
        <w:rPr>
          <w:b/>
          <w:bCs/>
        </w:rPr>
        <w:t>Table 14: PBP</w:t>
      </w:r>
    </w:p>
    <w:p w14:paraId="3938EB11" w14:textId="77777777" w:rsidR="006227CE" w:rsidRDefault="006C5E69">
      <w:pPr>
        <w:jc w:val="center"/>
        <w:rPr>
          <w:b/>
          <w:bCs/>
        </w:rPr>
      </w:pPr>
      <w:r>
        <w:t>(Source: Self-developed)</w:t>
      </w:r>
    </w:p>
    <w:p w14:paraId="3938EB12" w14:textId="77777777" w:rsidR="006227CE" w:rsidRDefault="006C5E69">
      <w:r>
        <w:t>The PBP value also assures shareholders about the returning period of actual investment for generating positive cash flow through investment (Kagan, 2026). Hence, initial investor cover in 4.50 years indicated a long payback period and also to raise debenture value of investment for Whitbread Plc.</w:t>
      </w:r>
    </w:p>
    <w:p w14:paraId="3938EB13" w14:textId="77777777" w:rsidR="006227CE" w:rsidRDefault="006C5E69">
      <w:pPr>
        <w:jc w:val="center"/>
      </w:pPr>
      <w:r>
        <w:rPr>
          <w:noProof/>
          <w:lang w:val="en-US" w:eastAsia="en-US" w:bidi="gu-IN"/>
        </w:rPr>
        <w:drawing>
          <wp:inline distT="114300" distB="114300" distL="114300" distR="114300" wp14:anchorId="3938EE67" wp14:editId="3938EE68">
            <wp:extent cx="5791200" cy="1447800"/>
            <wp:effectExtent l="0" t="0" r="0" b="0"/>
            <wp:docPr id="5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7"/>
                    <a:srcRect/>
                    <a:stretch>
                      <a:fillRect/>
                    </a:stretch>
                  </pic:blipFill>
                  <pic:spPr>
                    <a:xfrm>
                      <a:off x="0" y="0"/>
                      <a:ext cx="5791200" cy="1447800"/>
                    </a:xfrm>
                    <a:prstGeom prst="rect">
                      <a:avLst/>
                    </a:prstGeom>
                    <a:ln/>
                  </pic:spPr>
                </pic:pic>
              </a:graphicData>
            </a:graphic>
          </wp:inline>
        </w:drawing>
      </w:r>
    </w:p>
    <w:p w14:paraId="3938EB14" w14:textId="77777777" w:rsidR="006227CE" w:rsidRDefault="006C5E69">
      <w:pPr>
        <w:jc w:val="center"/>
        <w:rPr>
          <w:b/>
          <w:bCs/>
        </w:rPr>
      </w:pPr>
      <w:r>
        <w:rPr>
          <w:b/>
          <w:bCs/>
        </w:rPr>
        <w:t>Table 15: ARR</w:t>
      </w:r>
    </w:p>
    <w:p w14:paraId="3938EB15" w14:textId="77777777" w:rsidR="006227CE" w:rsidRDefault="006C5E69">
      <w:pPr>
        <w:jc w:val="center"/>
        <w:rPr>
          <w:b/>
          <w:bCs/>
        </w:rPr>
      </w:pPr>
      <w:r>
        <w:t>(Source: Self-developed)</w:t>
      </w:r>
    </w:p>
    <w:p w14:paraId="3938EB16" w14:textId="77777777" w:rsidR="006227CE" w:rsidRDefault="006C5E69">
      <w:r>
        <w:t>The ARR value is significant for defining annual average return potentiality of a project within a particular time for investment period (Hargrave, 2025). Thus, an average invested value of £25 million also assured profit for Whitbread Plc about £0.8 million. Overall, ARR 3.2% indicated lower return capability falling below investment target.</w:t>
      </w:r>
    </w:p>
    <w:p w14:paraId="3938EB17" w14:textId="77777777" w:rsidR="006227CE" w:rsidRDefault="006C5E69">
      <w:pPr>
        <w:jc w:val="center"/>
      </w:pPr>
      <w:r>
        <w:rPr>
          <w:noProof/>
          <w:lang w:val="en-US" w:eastAsia="en-US" w:bidi="gu-IN"/>
        </w:rPr>
        <w:lastRenderedPageBreak/>
        <w:drawing>
          <wp:inline distT="114300" distB="114300" distL="114300" distR="114300" wp14:anchorId="3938EE69" wp14:editId="3938EE6A">
            <wp:extent cx="5772150" cy="4067175"/>
            <wp:effectExtent l="0" t="0" r="0" b="0"/>
            <wp:docPr id="5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38"/>
                    <a:srcRect/>
                    <a:stretch>
                      <a:fillRect/>
                    </a:stretch>
                  </pic:blipFill>
                  <pic:spPr>
                    <a:xfrm>
                      <a:off x="0" y="0"/>
                      <a:ext cx="5772150" cy="4067175"/>
                    </a:xfrm>
                    <a:prstGeom prst="rect">
                      <a:avLst/>
                    </a:prstGeom>
                    <a:ln/>
                  </pic:spPr>
                </pic:pic>
              </a:graphicData>
            </a:graphic>
          </wp:inline>
        </w:drawing>
      </w:r>
    </w:p>
    <w:p w14:paraId="3938EB18" w14:textId="77777777" w:rsidR="006227CE" w:rsidRDefault="006C5E69">
      <w:pPr>
        <w:jc w:val="center"/>
        <w:rPr>
          <w:b/>
          <w:bCs/>
        </w:rPr>
      </w:pPr>
      <w:r>
        <w:rPr>
          <w:b/>
          <w:bCs/>
        </w:rPr>
        <w:t>Table 16: IRR</w:t>
      </w:r>
    </w:p>
    <w:p w14:paraId="3938EB19" w14:textId="77777777" w:rsidR="006227CE" w:rsidRDefault="006C5E69">
      <w:pPr>
        <w:jc w:val="center"/>
      </w:pPr>
      <w:r>
        <w:t>(Source: Self-developed)</w:t>
      </w:r>
    </w:p>
    <w:p w14:paraId="3938EB1A" w14:textId="77777777" w:rsidR="006227CE" w:rsidRDefault="00000000">
      <w:sdt>
        <w:sdtPr>
          <w:tag w:val="goog_rdk_0"/>
          <w:id w:val="604447971"/>
        </w:sdtPr>
        <w:sdtContent>
          <w:r w:rsidR="006C5E69">
            <w:rPr>
              <w:rFonts w:ascii="Arial Unicode MS" w:eastAsia="Arial Unicode MS" w:hAnsi="Arial Unicode MS" w:cs="Arial Unicode MS"/>
            </w:rPr>
            <w:t>The IRR is a significant financial appraisal technique that approves discounting rates to maintain NPV position zero effectively (Fernando, 2026). Hence, in this case interpolation of 0% and 8% also raised NPV value £4 million and −£6.54 million respectively. Overall, IRR below 8% assure rejection from shareholders to fail minimum criteria of investment.</w:t>
          </w:r>
        </w:sdtContent>
      </w:sdt>
    </w:p>
    <w:p w14:paraId="3938EB1B" w14:textId="77777777" w:rsidR="006227CE" w:rsidRDefault="006C5E69">
      <w:pPr>
        <w:jc w:val="center"/>
      </w:pPr>
      <w:r>
        <w:rPr>
          <w:noProof/>
          <w:lang w:val="en-US" w:eastAsia="en-US" w:bidi="gu-IN"/>
        </w:rPr>
        <w:lastRenderedPageBreak/>
        <w:drawing>
          <wp:inline distT="114300" distB="114300" distL="114300" distR="114300" wp14:anchorId="3938EE6B" wp14:editId="3938EE6C">
            <wp:extent cx="5772150" cy="2276475"/>
            <wp:effectExtent l="0" t="0" r="0" b="0"/>
            <wp:docPr id="58"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39"/>
                    <a:srcRect/>
                    <a:stretch>
                      <a:fillRect/>
                    </a:stretch>
                  </pic:blipFill>
                  <pic:spPr>
                    <a:xfrm>
                      <a:off x="0" y="0"/>
                      <a:ext cx="5772150" cy="2276475"/>
                    </a:xfrm>
                    <a:prstGeom prst="rect">
                      <a:avLst/>
                    </a:prstGeom>
                    <a:ln/>
                  </pic:spPr>
                </pic:pic>
              </a:graphicData>
            </a:graphic>
          </wp:inline>
        </w:drawing>
      </w:r>
    </w:p>
    <w:p w14:paraId="3938EB1C" w14:textId="77777777" w:rsidR="006227CE" w:rsidRDefault="006C5E69">
      <w:pPr>
        <w:jc w:val="center"/>
        <w:rPr>
          <w:b/>
          <w:bCs/>
        </w:rPr>
      </w:pPr>
      <w:r>
        <w:rPr>
          <w:b/>
          <w:bCs/>
        </w:rPr>
        <w:t>Table 17: PI</w:t>
      </w:r>
    </w:p>
    <w:p w14:paraId="3938EB1D" w14:textId="77777777" w:rsidR="006227CE" w:rsidRDefault="006C5E69">
      <w:pPr>
        <w:jc w:val="center"/>
        <w:rPr>
          <w:b/>
          <w:bCs/>
        </w:rPr>
      </w:pPr>
      <w:r>
        <w:t>(Source: Self-developed)</w:t>
      </w:r>
    </w:p>
    <w:p w14:paraId="3938EB1E" w14:textId="77777777" w:rsidR="006227CE" w:rsidRDefault="006C5E69">
      <w:r>
        <w:t>The PI value most significant for investors for analysis key future cash flow generation against investment of per £1. Hence, in this case PI of 0.87 indicated “for every £1 invested return potentiality about £0.87 indicated loss for a longer time period.</w:t>
      </w:r>
    </w:p>
    <w:p w14:paraId="3938EB1F" w14:textId="77777777" w:rsidR="006227CE" w:rsidRDefault="006C5E69">
      <w:pPr>
        <w:pStyle w:val="Heading3"/>
      </w:pPr>
      <w:bookmarkStart w:id="47" w:name="_Toc237448050"/>
      <w:r>
        <w:t>4.2.2 Project B Appraisal</w:t>
      </w:r>
      <w:bookmarkEnd w:id="47"/>
      <w:r>
        <w:t xml:space="preserve"> </w:t>
      </w:r>
    </w:p>
    <w:p w14:paraId="3938EB20" w14:textId="77777777" w:rsidR="006227CE" w:rsidRDefault="006C5E69">
      <w:pPr>
        <w:jc w:val="center"/>
      </w:pPr>
      <w:r>
        <w:rPr>
          <w:noProof/>
          <w:lang w:val="en-US" w:eastAsia="en-US" w:bidi="gu-IN"/>
        </w:rPr>
        <w:drawing>
          <wp:inline distT="114300" distB="114300" distL="114300" distR="114300" wp14:anchorId="3938EE6D" wp14:editId="3938EE6E">
            <wp:extent cx="5772150" cy="1866900"/>
            <wp:effectExtent l="0" t="0" r="0" b="0"/>
            <wp:docPr id="5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40"/>
                    <a:srcRect/>
                    <a:stretch>
                      <a:fillRect/>
                    </a:stretch>
                  </pic:blipFill>
                  <pic:spPr>
                    <a:xfrm>
                      <a:off x="0" y="0"/>
                      <a:ext cx="5772150" cy="1866900"/>
                    </a:xfrm>
                    <a:prstGeom prst="rect">
                      <a:avLst/>
                    </a:prstGeom>
                    <a:ln/>
                  </pic:spPr>
                </pic:pic>
              </a:graphicData>
            </a:graphic>
          </wp:inline>
        </w:drawing>
      </w:r>
    </w:p>
    <w:p w14:paraId="3938EB21" w14:textId="77777777" w:rsidR="006227CE" w:rsidRDefault="006C5E69">
      <w:pPr>
        <w:jc w:val="center"/>
        <w:rPr>
          <w:b/>
          <w:bCs/>
        </w:rPr>
      </w:pPr>
      <w:r>
        <w:rPr>
          <w:b/>
          <w:bCs/>
        </w:rPr>
        <w:t>Table 18: NPV</w:t>
      </w:r>
    </w:p>
    <w:p w14:paraId="3938EB22" w14:textId="77777777" w:rsidR="006227CE" w:rsidRDefault="006C5E69">
      <w:pPr>
        <w:jc w:val="center"/>
      </w:pPr>
      <w:r>
        <w:t>(Source: Self-Developed)</w:t>
      </w:r>
    </w:p>
    <w:p w14:paraId="3938EB23" w14:textId="77777777" w:rsidR="006227CE" w:rsidRDefault="006C5E69">
      <w:r>
        <w:t xml:space="preserve">Project B has experienced a negative NPV of -£6.07m due to its low present value of £43.93m in 5 years. Hence, the decline in the income of the business plan has also reduced its feasibility of a viable funding option among the investors. </w:t>
      </w:r>
    </w:p>
    <w:p w14:paraId="3938EB24" w14:textId="77777777" w:rsidR="006227CE" w:rsidRDefault="006C5E69">
      <w:pPr>
        <w:jc w:val="center"/>
      </w:pPr>
      <w:r>
        <w:rPr>
          <w:noProof/>
          <w:lang w:val="en-US" w:eastAsia="en-US" w:bidi="gu-IN"/>
        </w:rPr>
        <w:lastRenderedPageBreak/>
        <w:drawing>
          <wp:inline distT="114300" distB="114300" distL="114300" distR="114300" wp14:anchorId="3938EE6F" wp14:editId="3938EE70">
            <wp:extent cx="5772150" cy="2466975"/>
            <wp:effectExtent l="0" t="0" r="0" b="0"/>
            <wp:docPr id="60"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41"/>
                    <a:srcRect/>
                    <a:stretch>
                      <a:fillRect/>
                    </a:stretch>
                  </pic:blipFill>
                  <pic:spPr>
                    <a:xfrm>
                      <a:off x="0" y="0"/>
                      <a:ext cx="5772150" cy="2466975"/>
                    </a:xfrm>
                    <a:prstGeom prst="rect">
                      <a:avLst/>
                    </a:prstGeom>
                    <a:ln/>
                  </pic:spPr>
                </pic:pic>
              </a:graphicData>
            </a:graphic>
          </wp:inline>
        </w:drawing>
      </w:r>
    </w:p>
    <w:p w14:paraId="3938EB25" w14:textId="77777777" w:rsidR="006227CE" w:rsidRDefault="006C5E69">
      <w:pPr>
        <w:jc w:val="center"/>
        <w:rPr>
          <w:b/>
          <w:bCs/>
        </w:rPr>
      </w:pPr>
      <w:r>
        <w:rPr>
          <w:b/>
          <w:bCs/>
        </w:rPr>
        <w:t>Table 19: PBP</w:t>
      </w:r>
    </w:p>
    <w:p w14:paraId="3938EB26" w14:textId="77777777" w:rsidR="006227CE" w:rsidRDefault="006C5E69">
      <w:pPr>
        <w:jc w:val="center"/>
      </w:pPr>
      <w:r>
        <w:t>(Source: Self-Developed)</w:t>
      </w:r>
    </w:p>
    <w:p w14:paraId="3938EB27" w14:textId="77777777" w:rsidR="006227CE" w:rsidRDefault="006C5E69">
      <w:r>
        <w:t>The project has witnessed the existence of an unrecovered investment of £6m that has increased its PBP value to 4.55 years. Overall, the occurrence of delay in acquiring proper returns to the funding amount has also lowered the credibility of the business plan among companies such as Whitbread Plc.</w:t>
      </w:r>
    </w:p>
    <w:p w14:paraId="3938EB28" w14:textId="77777777" w:rsidR="006227CE" w:rsidRDefault="006C5E69">
      <w:pPr>
        <w:jc w:val="center"/>
      </w:pPr>
      <w:r>
        <w:rPr>
          <w:noProof/>
          <w:lang w:val="en-US" w:eastAsia="en-US" w:bidi="gu-IN"/>
        </w:rPr>
        <w:drawing>
          <wp:inline distT="114300" distB="114300" distL="114300" distR="114300" wp14:anchorId="3938EE71" wp14:editId="3938EE72">
            <wp:extent cx="5781675" cy="1447800"/>
            <wp:effectExtent l="0" t="0" r="0" b="0"/>
            <wp:docPr id="61"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42"/>
                    <a:srcRect/>
                    <a:stretch>
                      <a:fillRect/>
                    </a:stretch>
                  </pic:blipFill>
                  <pic:spPr>
                    <a:xfrm>
                      <a:off x="0" y="0"/>
                      <a:ext cx="5781675" cy="1447800"/>
                    </a:xfrm>
                    <a:prstGeom prst="rect">
                      <a:avLst/>
                    </a:prstGeom>
                    <a:ln/>
                  </pic:spPr>
                </pic:pic>
              </a:graphicData>
            </a:graphic>
          </wp:inline>
        </w:drawing>
      </w:r>
    </w:p>
    <w:p w14:paraId="3938EB29" w14:textId="77777777" w:rsidR="006227CE" w:rsidRDefault="006C5E69">
      <w:pPr>
        <w:jc w:val="center"/>
        <w:rPr>
          <w:b/>
          <w:bCs/>
        </w:rPr>
      </w:pPr>
      <w:r>
        <w:rPr>
          <w:b/>
          <w:bCs/>
        </w:rPr>
        <w:t>Table 20: ARR</w:t>
      </w:r>
    </w:p>
    <w:p w14:paraId="3938EB2A" w14:textId="77777777" w:rsidR="006227CE" w:rsidRDefault="006C5E69">
      <w:pPr>
        <w:jc w:val="center"/>
      </w:pPr>
      <w:r>
        <w:t>(Source: Self-Developed)</w:t>
      </w:r>
    </w:p>
    <w:p w14:paraId="3938EB2B" w14:textId="77777777" w:rsidR="006227CE" w:rsidRDefault="006C5E69">
      <w:r>
        <w:t>Project B has also provided a low average return of £1m to the invested amount of £25% in the 5 years. In addition, it also has a lower ARR value of 4% in comparison to other business plans. Hence, the provision of low profits has reduced the investor engagement level of the project.</w:t>
      </w:r>
    </w:p>
    <w:p w14:paraId="3938EB2C" w14:textId="77777777" w:rsidR="006227CE" w:rsidRDefault="006C5E69">
      <w:pPr>
        <w:jc w:val="center"/>
      </w:pPr>
      <w:r>
        <w:rPr>
          <w:noProof/>
          <w:lang w:val="en-US" w:eastAsia="en-US" w:bidi="gu-IN"/>
        </w:rPr>
        <w:lastRenderedPageBreak/>
        <w:drawing>
          <wp:inline distT="114300" distB="114300" distL="114300" distR="114300" wp14:anchorId="3938EE73" wp14:editId="0700F204">
            <wp:extent cx="5765800" cy="3594100"/>
            <wp:effectExtent l="0" t="0" r="6350" b="6350"/>
            <wp:docPr id="62"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43"/>
                    <a:srcRect/>
                    <a:stretch>
                      <a:fillRect/>
                    </a:stretch>
                  </pic:blipFill>
                  <pic:spPr>
                    <a:xfrm>
                      <a:off x="0" y="0"/>
                      <a:ext cx="5765800" cy="3594100"/>
                    </a:xfrm>
                    <a:prstGeom prst="rect">
                      <a:avLst/>
                    </a:prstGeom>
                    <a:ln/>
                  </pic:spPr>
                </pic:pic>
              </a:graphicData>
            </a:graphic>
          </wp:inline>
        </w:drawing>
      </w:r>
    </w:p>
    <w:p w14:paraId="3938EB2D" w14:textId="77777777" w:rsidR="006227CE" w:rsidRDefault="006C5E69">
      <w:pPr>
        <w:jc w:val="center"/>
        <w:rPr>
          <w:b/>
          <w:bCs/>
        </w:rPr>
      </w:pPr>
      <w:r>
        <w:rPr>
          <w:b/>
          <w:bCs/>
        </w:rPr>
        <w:t>Table 21: IRR</w:t>
      </w:r>
    </w:p>
    <w:p w14:paraId="3938EB2E" w14:textId="77777777" w:rsidR="006227CE" w:rsidRDefault="006C5E69">
      <w:pPr>
        <w:jc w:val="center"/>
      </w:pPr>
      <w:r>
        <w:t>(Source: Self-Developed)</w:t>
      </w:r>
    </w:p>
    <w:p w14:paraId="3938EB2F" w14:textId="77777777" w:rsidR="006227CE" w:rsidRDefault="006C5E69">
      <w:r>
        <w:t>The PV value of Project B has declined from £10.19m in year 1 to £7.49m in year 5. On the other hand, the IRR growth of the business plan has also reduced to 3.61% due to low project value. Thus, the decline in investments has reduced the revenue enhancement of the business plan.</w:t>
      </w:r>
    </w:p>
    <w:p w14:paraId="3938EB30" w14:textId="77777777" w:rsidR="006227CE" w:rsidRDefault="006C5E69">
      <w:pPr>
        <w:jc w:val="center"/>
      </w:pPr>
      <w:r>
        <w:rPr>
          <w:noProof/>
          <w:lang w:val="en-US" w:eastAsia="en-US" w:bidi="gu-IN"/>
        </w:rPr>
        <w:drawing>
          <wp:inline distT="114300" distB="114300" distL="114300" distR="114300" wp14:anchorId="3938EE75" wp14:editId="3938EE76">
            <wp:extent cx="5772150" cy="2276475"/>
            <wp:effectExtent l="0" t="0" r="0" b="0"/>
            <wp:docPr id="63"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44"/>
                    <a:srcRect/>
                    <a:stretch>
                      <a:fillRect/>
                    </a:stretch>
                  </pic:blipFill>
                  <pic:spPr>
                    <a:xfrm>
                      <a:off x="0" y="0"/>
                      <a:ext cx="5772150" cy="2276475"/>
                    </a:xfrm>
                    <a:prstGeom prst="rect">
                      <a:avLst/>
                    </a:prstGeom>
                    <a:ln/>
                  </pic:spPr>
                </pic:pic>
              </a:graphicData>
            </a:graphic>
          </wp:inline>
        </w:drawing>
      </w:r>
    </w:p>
    <w:p w14:paraId="3938EB31" w14:textId="77777777" w:rsidR="006227CE" w:rsidRDefault="006C5E69">
      <w:pPr>
        <w:jc w:val="center"/>
        <w:rPr>
          <w:b/>
          <w:bCs/>
        </w:rPr>
      </w:pPr>
      <w:r>
        <w:rPr>
          <w:b/>
          <w:bCs/>
        </w:rPr>
        <w:t>Table 22: PI</w:t>
      </w:r>
    </w:p>
    <w:p w14:paraId="3938EB32" w14:textId="77777777" w:rsidR="006227CE" w:rsidRDefault="006C5E69">
      <w:pPr>
        <w:jc w:val="center"/>
      </w:pPr>
      <w:r>
        <w:t>(Source: Self-Developed)</w:t>
      </w:r>
    </w:p>
    <w:p w14:paraId="3938EB33" w14:textId="77777777" w:rsidR="006227CE" w:rsidRDefault="006C5E69">
      <w:r>
        <w:lastRenderedPageBreak/>
        <w:t xml:space="preserve">The "Profitability Index” score of Project B is 0.88 that signifies lower income growth of the investment operations. Thus, the decline in the profits will reduce the goodwill of the business plan among investors </w:t>
      </w:r>
    </w:p>
    <w:p w14:paraId="3938EB34" w14:textId="77777777" w:rsidR="006227CE" w:rsidRDefault="006C5E69">
      <w:pPr>
        <w:pStyle w:val="Heading3"/>
      </w:pPr>
      <w:bookmarkStart w:id="48" w:name="_Toc237448051"/>
      <w:r>
        <w:t>4.2.3 Project C Appraisal</w:t>
      </w:r>
      <w:bookmarkEnd w:id="48"/>
    </w:p>
    <w:p w14:paraId="3938EB35" w14:textId="77777777" w:rsidR="006227CE" w:rsidRDefault="006C5E69">
      <w:pPr>
        <w:jc w:val="center"/>
      </w:pPr>
      <w:r>
        <w:rPr>
          <w:noProof/>
          <w:lang w:val="en-US" w:eastAsia="en-US" w:bidi="gu-IN"/>
        </w:rPr>
        <w:drawing>
          <wp:inline distT="114300" distB="114300" distL="114300" distR="114300" wp14:anchorId="3938EE77" wp14:editId="3938EE78">
            <wp:extent cx="5772150" cy="1885950"/>
            <wp:effectExtent l="0" t="0" r="0" b="0"/>
            <wp:docPr id="64"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45"/>
                    <a:srcRect/>
                    <a:stretch>
                      <a:fillRect/>
                    </a:stretch>
                  </pic:blipFill>
                  <pic:spPr>
                    <a:xfrm>
                      <a:off x="0" y="0"/>
                      <a:ext cx="5772150" cy="1885950"/>
                    </a:xfrm>
                    <a:prstGeom prst="rect">
                      <a:avLst/>
                    </a:prstGeom>
                    <a:ln/>
                  </pic:spPr>
                </pic:pic>
              </a:graphicData>
            </a:graphic>
          </wp:inline>
        </w:drawing>
      </w:r>
    </w:p>
    <w:p w14:paraId="3938EB36" w14:textId="77777777" w:rsidR="006227CE" w:rsidRDefault="006C5E69">
      <w:pPr>
        <w:jc w:val="center"/>
        <w:rPr>
          <w:b/>
          <w:bCs/>
        </w:rPr>
      </w:pPr>
      <w:r>
        <w:rPr>
          <w:b/>
          <w:bCs/>
        </w:rPr>
        <w:t>Table 23: NPV</w:t>
      </w:r>
    </w:p>
    <w:p w14:paraId="3938EB37" w14:textId="77777777" w:rsidR="006227CE" w:rsidRDefault="006C5E69">
      <w:pPr>
        <w:jc w:val="center"/>
        <w:rPr>
          <w:b/>
          <w:bCs/>
        </w:rPr>
      </w:pPr>
      <w:r>
        <w:t>(Source: Self-Developed)</w:t>
      </w:r>
    </w:p>
    <w:p w14:paraId="3938EB38" w14:textId="77777777" w:rsidR="006227CE" w:rsidRDefault="006C5E69">
      <w:r>
        <w:t xml:space="preserve">Project C has a present value £-50m, with its total cash inflow about £65m and the total NPV is about £0.87m. The positive NPV lowers the initial cost by ability to raise its capital, which leads to a boost in overall sales volume of the business by refinancing of debt. </w:t>
      </w:r>
    </w:p>
    <w:p w14:paraId="3938EB39" w14:textId="77777777" w:rsidR="006227CE" w:rsidRDefault="006C5E69">
      <w:pPr>
        <w:jc w:val="center"/>
      </w:pPr>
      <w:r>
        <w:rPr>
          <w:noProof/>
          <w:lang w:val="en-US" w:eastAsia="en-US" w:bidi="gu-IN"/>
        </w:rPr>
        <w:drawing>
          <wp:inline distT="114300" distB="114300" distL="114300" distR="114300" wp14:anchorId="3938EE79" wp14:editId="3938EE7A">
            <wp:extent cx="5762625" cy="2228850"/>
            <wp:effectExtent l="0" t="0" r="0" b="0"/>
            <wp:docPr id="65"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46"/>
                    <a:srcRect/>
                    <a:stretch>
                      <a:fillRect/>
                    </a:stretch>
                  </pic:blipFill>
                  <pic:spPr>
                    <a:xfrm>
                      <a:off x="0" y="0"/>
                      <a:ext cx="5762625" cy="2228850"/>
                    </a:xfrm>
                    <a:prstGeom prst="rect">
                      <a:avLst/>
                    </a:prstGeom>
                    <a:ln/>
                  </pic:spPr>
                </pic:pic>
              </a:graphicData>
            </a:graphic>
          </wp:inline>
        </w:drawing>
      </w:r>
    </w:p>
    <w:p w14:paraId="3938EB3A" w14:textId="77777777" w:rsidR="006227CE" w:rsidRDefault="006C5E69">
      <w:pPr>
        <w:jc w:val="center"/>
        <w:rPr>
          <w:b/>
          <w:bCs/>
        </w:rPr>
      </w:pPr>
      <w:r>
        <w:rPr>
          <w:b/>
          <w:bCs/>
        </w:rPr>
        <w:t>Table 24: PBP</w:t>
      </w:r>
    </w:p>
    <w:p w14:paraId="3938EB3B" w14:textId="77777777" w:rsidR="006227CE" w:rsidRDefault="006C5E69">
      <w:pPr>
        <w:jc w:val="center"/>
        <w:rPr>
          <w:b/>
          <w:bCs/>
        </w:rPr>
      </w:pPr>
      <w:r>
        <w:t>(Source: Self-Developed)</w:t>
      </w:r>
    </w:p>
    <w:p w14:paraId="3938EB3C" w14:textId="77777777" w:rsidR="006227CE" w:rsidRDefault="006C5E69">
      <w:r>
        <w:t>The PBP for Project C is 3.60 years, managing its cash flow of about £25m in Year 4, which lowers the risk of addressing faster cash flow. Project C reduces its cash exposure by highlighting long-term shifts for value creation of the project.</w:t>
      </w:r>
    </w:p>
    <w:p w14:paraId="3938EB3D" w14:textId="77777777" w:rsidR="006227CE" w:rsidRDefault="006C5E69">
      <w:pPr>
        <w:jc w:val="center"/>
      </w:pPr>
      <w:r>
        <w:rPr>
          <w:noProof/>
          <w:lang w:val="en-US" w:eastAsia="en-US" w:bidi="gu-IN"/>
        </w:rPr>
        <w:lastRenderedPageBreak/>
        <w:drawing>
          <wp:inline distT="114300" distB="114300" distL="114300" distR="114300" wp14:anchorId="3938EE7B" wp14:editId="3938EE7C">
            <wp:extent cx="5781675" cy="1495425"/>
            <wp:effectExtent l="0" t="0" r="0" b="0"/>
            <wp:docPr id="50"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47"/>
                    <a:srcRect/>
                    <a:stretch>
                      <a:fillRect/>
                    </a:stretch>
                  </pic:blipFill>
                  <pic:spPr>
                    <a:xfrm>
                      <a:off x="0" y="0"/>
                      <a:ext cx="5781675" cy="1495425"/>
                    </a:xfrm>
                    <a:prstGeom prst="rect">
                      <a:avLst/>
                    </a:prstGeom>
                    <a:ln/>
                  </pic:spPr>
                </pic:pic>
              </a:graphicData>
            </a:graphic>
          </wp:inline>
        </w:drawing>
      </w:r>
    </w:p>
    <w:p w14:paraId="3938EB3E" w14:textId="77777777" w:rsidR="006227CE" w:rsidRDefault="006C5E69">
      <w:pPr>
        <w:jc w:val="center"/>
        <w:rPr>
          <w:b/>
          <w:bCs/>
        </w:rPr>
      </w:pPr>
      <w:r>
        <w:rPr>
          <w:b/>
          <w:bCs/>
        </w:rPr>
        <w:t>Table 25: ARR</w:t>
      </w:r>
    </w:p>
    <w:p w14:paraId="3938EB3F" w14:textId="77777777" w:rsidR="006227CE" w:rsidRDefault="006C5E69">
      <w:pPr>
        <w:jc w:val="center"/>
        <w:rPr>
          <w:b/>
          <w:bCs/>
        </w:rPr>
      </w:pPr>
      <w:r>
        <w:t>(Source: Self-Developed)</w:t>
      </w:r>
    </w:p>
    <w:p w14:paraId="3938EB40" w14:textId="77777777" w:rsidR="006227CE" w:rsidRDefault="006C5E69">
      <w:r>
        <w:t xml:space="preserve">Project C has an ARR of about 12.0%, with its annual profit of about £3m addressed by accessing the revenue of the project. This rise in ARR is achieved in acquiring new customers, highlighting stable progress to respond with failure in the market. </w:t>
      </w:r>
    </w:p>
    <w:p w14:paraId="3938EB41" w14:textId="77777777" w:rsidR="006227CE" w:rsidRDefault="006C5E69">
      <w:pPr>
        <w:jc w:val="center"/>
      </w:pPr>
      <w:r>
        <w:rPr>
          <w:noProof/>
          <w:lang w:val="en-US" w:eastAsia="en-US" w:bidi="gu-IN"/>
        </w:rPr>
        <w:drawing>
          <wp:inline distT="114300" distB="114300" distL="114300" distR="114300" wp14:anchorId="3938EE7D" wp14:editId="3938EE7E">
            <wp:extent cx="5781675" cy="4048125"/>
            <wp:effectExtent l="0" t="0" r="0" b="0"/>
            <wp:docPr id="51"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48"/>
                    <a:srcRect/>
                    <a:stretch>
                      <a:fillRect/>
                    </a:stretch>
                  </pic:blipFill>
                  <pic:spPr>
                    <a:xfrm>
                      <a:off x="0" y="0"/>
                      <a:ext cx="5781675" cy="4048125"/>
                    </a:xfrm>
                    <a:prstGeom prst="rect">
                      <a:avLst/>
                    </a:prstGeom>
                    <a:ln/>
                  </pic:spPr>
                </pic:pic>
              </a:graphicData>
            </a:graphic>
          </wp:inline>
        </w:drawing>
      </w:r>
    </w:p>
    <w:p w14:paraId="3938EB42" w14:textId="77777777" w:rsidR="006227CE" w:rsidRDefault="006C5E69">
      <w:pPr>
        <w:jc w:val="center"/>
        <w:rPr>
          <w:b/>
          <w:bCs/>
        </w:rPr>
      </w:pPr>
      <w:r>
        <w:rPr>
          <w:b/>
          <w:bCs/>
        </w:rPr>
        <w:t>Table 26: IRR</w:t>
      </w:r>
    </w:p>
    <w:p w14:paraId="3938EB43" w14:textId="77777777" w:rsidR="006227CE" w:rsidRDefault="006C5E69">
      <w:pPr>
        <w:jc w:val="center"/>
        <w:rPr>
          <w:b/>
          <w:bCs/>
        </w:rPr>
      </w:pPr>
      <w:r>
        <w:t>(Source: Self-Developed)</w:t>
      </w:r>
    </w:p>
    <w:p w14:paraId="3938EB44" w14:textId="77777777" w:rsidR="006227CE" w:rsidRDefault="006C5E69">
      <w:r>
        <w:lastRenderedPageBreak/>
        <w:t xml:space="preserve"> Project C has an IRR rate of about 8.61% with its PV of £0.87m at an 8% discount rate and £1.98m at 10% discount rate. 8.61% IRR is considered good, due to stable debt and the ability to invest on bonds to reduce debt which leads to low risk at the project. </w:t>
      </w:r>
    </w:p>
    <w:p w14:paraId="3938EB45" w14:textId="77777777" w:rsidR="006227CE" w:rsidRDefault="006C5E69">
      <w:pPr>
        <w:jc w:val="center"/>
      </w:pPr>
      <w:r>
        <w:rPr>
          <w:noProof/>
          <w:lang w:val="en-US" w:eastAsia="en-US" w:bidi="gu-IN"/>
        </w:rPr>
        <w:drawing>
          <wp:inline distT="114300" distB="114300" distL="114300" distR="114300" wp14:anchorId="3938EE7F" wp14:editId="3938EE80">
            <wp:extent cx="5791200" cy="2228850"/>
            <wp:effectExtent l="0" t="0" r="0" b="0"/>
            <wp:docPr id="52"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49"/>
                    <a:srcRect/>
                    <a:stretch>
                      <a:fillRect/>
                    </a:stretch>
                  </pic:blipFill>
                  <pic:spPr>
                    <a:xfrm>
                      <a:off x="0" y="0"/>
                      <a:ext cx="5791200" cy="2228850"/>
                    </a:xfrm>
                    <a:prstGeom prst="rect">
                      <a:avLst/>
                    </a:prstGeom>
                    <a:ln/>
                  </pic:spPr>
                </pic:pic>
              </a:graphicData>
            </a:graphic>
          </wp:inline>
        </w:drawing>
      </w:r>
    </w:p>
    <w:p w14:paraId="3938EB46" w14:textId="77777777" w:rsidR="006227CE" w:rsidRDefault="006C5E69">
      <w:pPr>
        <w:jc w:val="center"/>
        <w:rPr>
          <w:b/>
          <w:bCs/>
        </w:rPr>
      </w:pPr>
      <w:r>
        <w:rPr>
          <w:b/>
          <w:bCs/>
        </w:rPr>
        <w:t xml:space="preserve">Table 27: PI </w:t>
      </w:r>
    </w:p>
    <w:p w14:paraId="3938EB47" w14:textId="77777777" w:rsidR="006227CE" w:rsidRDefault="006C5E69">
      <w:pPr>
        <w:jc w:val="center"/>
      </w:pPr>
      <w:r>
        <w:t>(Source: Self-Developed)</w:t>
      </w:r>
    </w:p>
    <w:p w14:paraId="3938EB48" w14:textId="77777777" w:rsidR="006227CE" w:rsidRDefault="006C5E69">
      <w:r>
        <w:t xml:space="preserve">Project C has a PI of about £1.02m, with its profit volume about £50.87m, which is due to positive NPV with its initial investment in managing cash. This enhances the positive return by accessing errors in managing cash flow and significant investment in managing cash return. </w:t>
      </w:r>
    </w:p>
    <w:p w14:paraId="3938EB49" w14:textId="77777777" w:rsidR="006227CE" w:rsidRDefault="006C5E69">
      <w:pPr>
        <w:pStyle w:val="Heading2"/>
      </w:pPr>
      <w:bookmarkStart w:id="49" w:name="_Toc237448052"/>
      <w:r>
        <w:t>4.3 Recommendation based on the company financial performance</w:t>
      </w:r>
      <w:bookmarkEnd w:id="49"/>
      <w:r>
        <w:t xml:space="preserve"> </w:t>
      </w:r>
    </w:p>
    <w:p w14:paraId="3938EB4A" w14:textId="77777777" w:rsidR="006227CE" w:rsidRDefault="006C5E69">
      <w:pPr>
        <w:pStyle w:val="Heading3"/>
      </w:pPr>
      <w:bookmarkStart w:id="50" w:name="_Toc237448053"/>
      <w:r>
        <w:t>4.3.1 Selection of project</w:t>
      </w:r>
      <w:bookmarkEnd w:id="50"/>
      <w:r>
        <w:t xml:space="preserve"> </w:t>
      </w:r>
    </w:p>
    <w:p w14:paraId="3938EB4B" w14:textId="77777777" w:rsidR="006227CE" w:rsidRDefault="006C5E69">
      <w:r>
        <w:t xml:space="preserve">From the overall project, Project C is the reliable option with its positive NPV, which leads to enhanced wealth for the shareholders. This project has a high ARR, accessing overall profit along with initial investment. IRR rate is financially acceptable, as it manages cash flow by reinvestment process. </w:t>
      </w:r>
    </w:p>
    <w:p w14:paraId="3938EB4C" w14:textId="77777777" w:rsidR="006227CE" w:rsidRDefault="006C5E69">
      <w:pPr>
        <w:pStyle w:val="Heading3"/>
      </w:pPr>
      <w:bookmarkStart w:id="51" w:name="_Toc237448054"/>
      <w:r>
        <w:t>4.3.2 Financial performance</w:t>
      </w:r>
      <w:bookmarkEnd w:id="51"/>
      <w:r>
        <w:t xml:space="preserve"> </w:t>
      </w:r>
    </w:p>
    <w:p w14:paraId="3938EB4D" w14:textId="77777777" w:rsidR="006227CE" w:rsidRDefault="006C5E69">
      <w:pPr>
        <w:numPr>
          <w:ilvl w:val="0"/>
          <w:numId w:val="8"/>
        </w:numPr>
        <w:rPr>
          <w:b/>
          <w:bCs/>
        </w:rPr>
      </w:pPr>
      <w:r>
        <w:rPr>
          <w:b/>
          <w:bCs/>
        </w:rPr>
        <w:t>Liquidity</w:t>
      </w:r>
    </w:p>
    <w:p w14:paraId="3938EB4E" w14:textId="77777777" w:rsidR="006227CE" w:rsidRDefault="006C5E69">
      <w:r>
        <w:t xml:space="preserve">The adoption of Project C will provide opportunities for Whitbread in enhancing its cash flow value by £10m that will also strengthen its internal financial structure. As an example, the company has increased its property investments by £1.5bn for expanding its infrastructural units and catering the needs of a large consumer base (LSE, 2026). </w:t>
      </w:r>
      <w:r>
        <w:lastRenderedPageBreak/>
        <w:t>Thus, the strengthening of the cash flow position has assisted Whitbread in overcoming the financial crisis.</w:t>
      </w:r>
    </w:p>
    <w:p w14:paraId="3938EB4F" w14:textId="77777777" w:rsidR="006227CE" w:rsidRDefault="006C5E69">
      <w:pPr>
        <w:numPr>
          <w:ilvl w:val="0"/>
          <w:numId w:val="2"/>
        </w:numPr>
        <w:rPr>
          <w:b/>
          <w:bCs/>
        </w:rPr>
      </w:pPr>
      <w:r>
        <w:rPr>
          <w:b/>
          <w:bCs/>
        </w:rPr>
        <w:t xml:space="preserve">Profitability </w:t>
      </w:r>
    </w:p>
    <w:p w14:paraId="3938EB50" w14:textId="77777777" w:rsidR="006227CE" w:rsidRDefault="006C5E69">
      <w:r>
        <w:t xml:space="preserve">Project C will also provide a higher PI score of 1.03 to Whitbread Plc that will assist in improving the market position of the </w:t>
      </w:r>
      <w:proofErr w:type="spellStart"/>
      <w:r>
        <w:t>organisation</w:t>
      </w:r>
      <w:proofErr w:type="spellEnd"/>
      <w:r>
        <w:t>. The company will achieve a net income growth of 12% due to steady consumer demands in 2029. Thus, the adoption of the long-term project investment strategy will help Whitbread Plc in strengthening its brand image and acquire competitive advantage.</w:t>
      </w:r>
    </w:p>
    <w:p w14:paraId="3938EB51" w14:textId="77777777" w:rsidR="006227CE" w:rsidRDefault="006C5E69">
      <w:pPr>
        <w:jc w:val="center"/>
      </w:pPr>
      <w:r>
        <w:rPr>
          <w:noProof/>
          <w:lang w:val="en-US" w:eastAsia="en-US" w:bidi="gu-IN"/>
        </w:rPr>
        <w:drawing>
          <wp:inline distT="114300" distB="114300" distL="114300" distR="114300" wp14:anchorId="3938EE81" wp14:editId="3938EE82">
            <wp:extent cx="3371850" cy="2543175"/>
            <wp:effectExtent l="0" t="0" r="0" b="0"/>
            <wp:docPr id="53"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50"/>
                    <a:srcRect/>
                    <a:stretch>
                      <a:fillRect/>
                    </a:stretch>
                  </pic:blipFill>
                  <pic:spPr>
                    <a:xfrm>
                      <a:off x="0" y="0"/>
                      <a:ext cx="3371850" cy="2543175"/>
                    </a:xfrm>
                    <a:prstGeom prst="rect">
                      <a:avLst/>
                    </a:prstGeom>
                    <a:ln/>
                  </pic:spPr>
                </pic:pic>
              </a:graphicData>
            </a:graphic>
          </wp:inline>
        </w:drawing>
      </w:r>
    </w:p>
    <w:p w14:paraId="3938EB52" w14:textId="77777777" w:rsidR="006227CE" w:rsidRDefault="006C5E69">
      <w:pPr>
        <w:jc w:val="center"/>
        <w:rPr>
          <w:b/>
          <w:bCs/>
        </w:rPr>
      </w:pPr>
      <w:r>
        <w:rPr>
          <w:b/>
          <w:bCs/>
        </w:rPr>
        <w:t>Figure 15: Net Income Growth</w:t>
      </w:r>
    </w:p>
    <w:p w14:paraId="3938EB53" w14:textId="77777777" w:rsidR="006227CE" w:rsidRDefault="006C5E69">
      <w:pPr>
        <w:jc w:val="center"/>
      </w:pPr>
      <w:r>
        <w:t>(Source: Market Screener, 2026)</w:t>
      </w:r>
    </w:p>
    <w:p w14:paraId="3938EB54" w14:textId="77777777" w:rsidR="006227CE" w:rsidRDefault="006C5E69">
      <w:pPr>
        <w:pStyle w:val="Heading3"/>
      </w:pPr>
      <w:bookmarkStart w:id="52" w:name="_Toc237448055"/>
      <w:r>
        <w:t>4.3.3 Non-Financial Risk</w:t>
      </w:r>
      <w:bookmarkEnd w:id="52"/>
      <w:r>
        <w:t xml:space="preserve"> </w:t>
      </w:r>
    </w:p>
    <w:p w14:paraId="3938EB55" w14:textId="77777777" w:rsidR="006227CE" w:rsidRDefault="006C5E69">
      <w:pPr>
        <w:numPr>
          <w:ilvl w:val="0"/>
          <w:numId w:val="10"/>
        </w:numPr>
        <w:rPr>
          <w:b/>
          <w:bCs/>
        </w:rPr>
      </w:pPr>
      <w:r>
        <w:rPr>
          <w:b/>
          <w:bCs/>
        </w:rPr>
        <w:t xml:space="preserve">Customer loyalty </w:t>
      </w:r>
    </w:p>
    <w:p w14:paraId="3938EB56" w14:textId="77777777" w:rsidR="006227CE" w:rsidRDefault="006C5E69">
      <w:r>
        <w:t xml:space="preserve">Project C has a strong cash inflow to build a loyal customer base, which reduces borrowing risk. In UK hospitals, changes in consumer preferences are based on “digital booking", service quality and sustainability initiatives enhance the reputation of the brand. Whitbread Plc has 73% of loyal customers relying on the quality of the accommodation facilities, enhancing operational capability (Whitbread, 2024). This leads to high rates of guest retention and repeat customer leads to enhance overall profit of business. </w:t>
      </w:r>
    </w:p>
    <w:p w14:paraId="3938EB57" w14:textId="77777777" w:rsidR="006227CE" w:rsidRDefault="006C5E69">
      <w:pPr>
        <w:jc w:val="center"/>
      </w:pPr>
      <w:r>
        <w:rPr>
          <w:noProof/>
          <w:lang w:val="en-US" w:eastAsia="en-US" w:bidi="gu-IN"/>
        </w:rPr>
        <w:lastRenderedPageBreak/>
        <w:drawing>
          <wp:inline distT="114300" distB="114300" distL="114300" distR="114300" wp14:anchorId="3938EE83" wp14:editId="3938EE84">
            <wp:extent cx="5276850" cy="2400300"/>
            <wp:effectExtent l="0" t="0" r="0" b="0"/>
            <wp:docPr id="54"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51"/>
                    <a:srcRect/>
                    <a:stretch>
                      <a:fillRect/>
                    </a:stretch>
                  </pic:blipFill>
                  <pic:spPr>
                    <a:xfrm>
                      <a:off x="0" y="0"/>
                      <a:ext cx="5276850" cy="2400300"/>
                    </a:xfrm>
                    <a:prstGeom prst="rect">
                      <a:avLst/>
                    </a:prstGeom>
                    <a:ln/>
                  </pic:spPr>
                </pic:pic>
              </a:graphicData>
            </a:graphic>
          </wp:inline>
        </w:drawing>
      </w:r>
      <w:r>
        <w:t xml:space="preserve"> </w:t>
      </w:r>
    </w:p>
    <w:p w14:paraId="3938EB58" w14:textId="77777777" w:rsidR="006227CE" w:rsidRDefault="006C5E69">
      <w:pPr>
        <w:jc w:val="center"/>
        <w:rPr>
          <w:b/>
          <w:bCs/>
        </w:rPr>
      </w:pPr>
      <w:r>
        <w:rPr>
          <w:b/>
          <w:bCs/>
        </w:rPr>
        <w:t xml:space="preserve"> Figure 16: customer loyalty </w:t>
      </w:r>
    </w:p>
    <w:p w14:paraId="3938EB59" w14:textId="77777777" w:rsidR="006227CE" w:rsidRDefault="006C5E69">
      <w:pPr>
        <w:jc w:val="center"/>
      </w:pPr>
      <w:r>
        <w:t>(Source: Whitbread, 2024)</w:t>
      </w:r>
    </w:p>
    <w:p w14:paraId="3938EB5A" w14:textId="77777777" w:rsidR="006227CE" w:rsidRDefault="006C5E69">
      <w:pPr>
        <w:numPr>
          <w:ilvl w:val="0"/>
          <w:numId w:val="4"/>
        </w:numPr>
        <w:rPr>
          <w:b/>
          <w:bCs/>
        </w:rPr>
      </w:pPr>
      <w:r>
        <w:rPr>
          <w:b/>
          <w:bCs/>
        </w:rPr>
        <w:t xml:space="preserve">Political risk </w:t>
      </w:r>
    </w:p>
    <w:p w14:paraId="3938EB5B" w14:textId="77777777" w:rsidR="006227CE" w:rsidRDefault="006C5E69">
      <w:r>
        <w:t xml:space="preserve">Project C faced political risk due to rises in operational costs and changes in taxation affecting the overall reputation of the project. Whitbread Plc raised its business rate about £40–50 million due to changes in tax affecting overall cash flow of the business. This in turn leads to strategic changes in business planning due to weaker consumer spending. </w:t>
      </w:r>
    </w:p>
    <w:p w14:paraId="3938EB5C" w14:textId="77777777" w:rsidR="006227CE" w:rsidRDefault="006C5E69">
      <w:pPr>
        <w:pStyle w:val="Heading2"/>
      </w:pPr>
      <w:bookmarkStart w:id="53" w:name="_Toc237448056"/>
      <w:r>
        <w:t>4.4 Capital Rationing Analysis (£100 Million Limit)</w:t>
      </w:r>
      <w:bookmarkEnd w:id="53"/>
      <w:r>
        <w:t xml:space="preserve"> </w:t>
      </w:r>
    </w:p>
    <w:p w14:paraId="3938EB5D" w14:textId="77777777" w:rsidR="006227CE" w:rsidRDefault="006C5E69">
      <w:r>
        <w:t>The capital allocation of £100 Million Limit also makes project B and project C most suitable optimal investment while maintaining a combined NPV position -£5.20 million. It is also the highest NPV with PI value 0.95 and ARR value 8% ensuring smooth investment recovery through a five year time period. Overall, lesser payback with 4 years’ time period also indicated positive investment flow in project B and C combination.</w:t>
      </w:r>
    </w:p>
    <w:p w14:paraId="3938EB5E" w14:textId="77777777" w:rsidR="006227CE" w:rsidRDefault="006C5E69">
      <w:pPr>
        <w:jc w:val="center"/>
      </w:pPr>
      <w:r>
        <w:rPr>
          <w:noProof/>
          <w:lang w:val="en-US" w:eastAsia="en-US" w:bidi="gu-IN"/>
        </w:rPr>
        <w:lastRenderedPageBreak/>
        <w:drawing>
          <wp:inline distT="114300" distB="114300" distL="114300" distR="114300" wp14:anchorId="3938EE85" wp14:editId="3938EE86">
            <wp:extent cx="5781675" cy="1866900"/>
            <wp:effectExtent l="0" t="0" r="0" b="0"/>
            <wp:docPr id="55"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52"/>
                    <a:srcRect/>
                    <a:stretch>
                      <a:fillRect/>
                    </a:stretch>
                  </pic:blipFill>
                  <pic:spPr>
                    <a:xfrm>
                      <a:off x="0" y="0"/>
                      <a:ext cx="5781675" cy="1866900"/>
                    </a:xfrm>
                    <a:prstGeom prst="rect">
                      <a:avLst/>
                    </a:prstGeom>
                    <a:ln/>
                  </pic:spPr>
                </pic:pic>
              </a:graphicData>
            </a:graphic>
          </wp:inline>
        </w:drawing>
      </w:r>
    </w:p>
    <w:p w14:paraId="3938EB5F" w14:textId="77777777" w:rsidR="006227CE" w:rsidRDefault="006C5E69">
      <w:pPr>
        <w:jc w:val="center"/>
        <w:rPr>
          <w:b/>
          <w:bCs/>
        </w:rPr>
      </w:pPr>
      <w:r>
        <w:rPr>
          <w:b/>
          <w:bCs/>
        </w:rPr>
        <w:t>Table 28: Capital rationing</w:t>
      </w:r>
    </w:p>
    <w:p w14:paraId="3938EB60" w14:textId="77777777" w:rsidR="006227CE" w:rsidRDefault="006C5E69">
      <w:pPr>
        <w:jc w:val="center"/>
      </w:pPr>
      <w:r>
        <w:t>(Source: Self-developed)</w:t>
      </w:r>
    </w:p>
    <w:p w14:paraId="3938EB61" w14:textId="77777777" w:rsidR="006227CE" w:rsidRDefault="006C5E69">
      <w:r>
        <w:br w:type="page"/>
      </w:r>
    </w:p>
    <w:p w14:paraId="3938EB62" w14:textId="77777777" w:rsidR="006227CE" w:rsidRDefault="006C5E69">
      <w:pPr>
        <w:pStyle w:val="Heading1"/>
      </w:pPr>
      <w:bookmarkStart w:id="54" w:name="_Toc237448057"/>
      <w:r>
        <w:lastRenderedPageBreak/>
        <w:t>5. Critical Reflection on Artificial Intelligence Usage</w:t>
      </w:r>
      <w:bookmarkEnd w:id="54"/>
      <w:r>
        <w:t xml:space="preserve"> </w:t>
      </w:r>
    </w:p>
    <w:p w14:paraId="3938EB63" w14:textId="77777777" w:rsidR="006227CE" w:rsidRDefault="006C5E69">
      <w:pPr>
        <w:pStyle w:val="Heading2"/>
      </w:pPr>
      <w:bookmarkStart w:id="55" w:name="_Toc237448058"/>
      <w:r>
        <w:t>5.1 AI tools and Acknowledgement</w:t>
      </w:r>
      <w:bookmarkEnd w:id="55"/>
      <w:r>
        <w:t xml:space="preserve"> </w:t>
      </w:r>
    </w:p>
    <w:p w14:paraId="3938EB64" w14:textId="77777777" w:rsidR="006227CE" w:rsidRDefault="006C5E69">
      <w:r>
        <w:t xml:space="preserve">The adoption of ChatGPT, Gemini and Claude are more effective for completing this task by providing reliable financial reporting, making information and drawing conclusions in achieving project objectives (Wójcik et al., 2025). The uses of these tools serve reliable information regarding financial concepts, investment proposals, accounting procedures and financial formula of ratios for accessing trends of the business. However, this tool provides </w:t>
      </w:r>
      <w:proofErr w:type="spellStart"/>
      <w:r>
        <w:t>generalised</w:t>
      </w:r>
      <w:proofErr w:type="spellEnd"/>
      <w:r>
        <w:t xml:space="preserve"> help to assess the financial value of slightly differ that is addressed in analyzing the annual report of the company for reliable decision-making. Predictive forecasting of the company is accessed verifying past data and trends in highlighting cash flow and revenue (</w:t>
      </w:r>
      <w:proofErr w:type="spellStart"/>
      <w:r>
        <w:t>Jenčová</w:t>
      </w:r>
      <w:proofErr w:type="spellEnd"/>
      <w:r>
        <w:t xml:space="preserve"> et al., 2025). The financial instruction provided by the prompt serves structured results such as cash flow planning and variance analysis, and enhances professional integrity. In order to gather financial predictions, the use of Excel tools is more reliable to predict accurate results by ability to achieve reliable insights. </w:t>
      </w:r>
    </w:p>
    <w:p w14:paraId="3938EB65" w14:textId="77777777" w:rsidR="006227CE" w:rsidRDefault="006C5E69">
      <w:pPr>
        <w:pStyle w:val="Heading2"/>
      </w:pPr>
      <w:bookmarkStart w:id="56" w:name="_Toc237448059"/>
      <w:r>
        <w:t>5.2 Evaluation of AI Outputs</w:t>
      </w:r>
      <w:bookmarkEnd w:id="56"/>
      <w:r>
        <w:t xml:space="preserve"> </w:t>
      </w:r>
    </w:p>
    <w:p w14:paraId="3938EB66" w14:textId="77777777" w:rsidR="006227CE" w:rsidRDefault="006C5E69">
      <w:r>
        <w:t xml:space="preserve">“Cross-Document Verification” and “Retrieval-Augmented Generation” are methods used for accessing financial interpretation (Malali, 2025). Use of this method helps to carry out financial insights and cash flow statements of the business. Verifying accuracy in information is carried out by the use of annual reports by preventing hallucinations. AI-generated output gathered along with the use of ChatGPT, Gemini, and Claude enhances overall accuracy in describing reliable information. The financial information used for accomplishing this task includes liquidity, profitability, solvency, and investment ratios (Agusta and Hati, 2018). These calculations are supported by Excel analysis with manual putting data for preventing disparity provided in AI </w:t>
      </w:r>
      <w:proofErr w:type="spellStart"/>
      <w:r>
        <w:t>recognisation</w:t>
      </w:r>
      <w:proofErr w:type="spellEnd"/>
      <w:r>
        <w:t xml:space="preserve">. “Potential hallucinations” are identified by accessing AI-generated information throughout the research and use of original source checking by following potential integrity. </w:t>
      </w:r>
    </w:p>
    <w:p w14:paraId="3938EB67" w14:textId="77777777" w:rsidR="006227CE" w:rsidRDefault="006C5E69">
      <w:pPr>
        <w:pStyle w:val="Heading2"/>
      </w:pPr>
      <w:bookmarkStart w:id="57" w:name="_Toc237448060"/>
      <w:r>
        <w:t>5.3 Contribution Analysis</w:t>
      </w:r>
      <w:bookmarkEnd w:id="57"/>
      <w:r>
        <w:t xml:space="preserve"> </w:t>
      </w:r>
    </w:p>
    <w:p w14:paraId="3938EB68" w14:textId="77777777" w:rsidR="006227CE" w:rsidRDefault="006C5E69">
      <w:pPr>
        <w:pStyle w:val="Heading3"/>
      </w:pPr>
      <w:bookmarkStart w:id="58" w:name="_Toc237448061"/>
      <w:r>
        <w:t>5.3.1 AI-Generated Contributions</w:t>
      </w:r>
      <w:bookmarkEnd w:id="58"/>
      <w:r>
        <w:t xml:space="preserve"> </w:t>
      </w:r>
    </w:p>
    <w:p w14:paraId="3938EB69" w14:textId="77777777" w:rsidR="006227CE" w:rsidRDefault="006C5E69">
      <w:r>
        <w:t xml:space="preserve">The inclusion of the AI tools has assisted me in strengthening the authenticity of my calculations and research formulas that also improved my investigation outlook. </w:t>
      </w:r>
      <w:r>
        <w:lastRenderedPageBreak/>
        <w:t>Although, I had observed contradicting responses from the technology during the development of the project appraisals that has negligibly altered the values of my project. Overall, the AI tools have improved the structural and technical quality of my research regarding the financial performance of Whitbread Plc.</w:t>
      </w:r>
    </w:p>
    <w:p w14:paraId="3938EB6A" w14:textId="77777777" w:rsidR="006227CE" w:rsidRDefault="006C5E69">
      <w:pPr>
        <w:pStyle w:val="Heading3"/>
      </w:pPr>
      <w:bookmarkStart w:id="59" w:name="_Toc237448062"/>
      <w:r>
        <w:t>5.3.2 Independent Critical Analysis</w:t>
      </w:r>
      <w:bookmarkEnd w:id="59"/>
      <w:r>
        <w:t xml:space="preserve"> </w:t>
      </w:r>
    </w:p>
    <w:p w14:paraId="3938EB6B" w14:textId="77777777" w:rsidR="006227CE" w:rsidRDefault="006C5E69">
      <w:r>
        <w:t xml:space="preserve">My independent critical analysis aspect illustrates personal contributions towards the completion of the research project. As an instance, I utilized company accounts and annual reports for acquiring financial data of 5 years regarding Whitbread Plc. I also assembled the information and adopted ratio tools for understanding the growth trend of the company. In addition, I also carried out a detailed research regarding operational activities of the </w:t>
      </w:r>
      <w:proofErr w:type="spellStart"/>
      <w:r>
        <w:t>organisation</w:t>
      </w:r>
      <w:proofErr w:type="spellEnd"/>
      <w:r>
        <w:t xml:space="preserve"> by utilizing peer-reviewed journals and updated new articles. Thus, the adoption of the financial and non-financial tools has assisted me in improving my research capacity.</w:t>
      </w:r>
    </w:p>
    <w:p w14:paraId="3938EB6C" w14:textId="77777777" w:rsidR="006227CE" w:rsidRDefault="006C5E69">
      <w:pPr>
        <w:pStyle w:val="Heading2"/>
      </w:pPr>
      <w:bookmarkStart w:id="60" w:name="_Toc237448063"/>
      <w:r>
        <w:t>5.4 Ethical and Professional Reflection</w:t>
      </w:r>
      <w:bookmarkEnd w:id="60"/>
      <w:r>
        <w:t xml:space="preserve"> </w:t>
      </w:r>
    </w:p>
    <w:p w14:paraId="3938EB6D" w14:textId="77777777" w:rsidR="006227CE" w:rsidRDefault="006C5E69">
      <w:r>
        <w:t xml:space="preserve">In the research work, I have focused on executing the completion of the aspects through my own efforts that has also improved my professional confidence. The information included in the investigation process has been in alignment with the guidelines of the “Copyright and Patent Act (1988)” (Government of UK, 1988). This has also improved the ethical standard of my investigation process. I have also included the financial data from the annual report and authentic company websites for </w:t>
      </w:r>
      <w:proofErr w:type="spellStart"/>
      <w:r>
        <w:t>analysing</w:t>
      </w:r>
      <w:proofErr w:type="spellEnd"/>
      <w:r>
        <w:t xml:space="preserve"> its operational performance. According to Chen et al. (2024), the adoption of </w:t>
      </w:r>
      <w:proofErr w:type="spellStart"/>
      <w:r>
        <w:t>organisational</w:t>
      </w:r>
      <w:proofErr w:type="spellEnd"/>
      <w:r>
        <w:t xml:space="preserve"> information within the research work has improved the quality and authenticity of the investigation process. Hence, the strengthening of the ethical standards of the collected data has improved the quality of my project. </w:t>
      </w:r>
    </w:p>
    <w:p w14:paraId="3938EB6E" w14:textId="77777777" w:rsidR="006227CE" w:rsidRDefault="006C5E69">
      <w:pPr>
        <w:pStyle w:val="Heading1"/>
      </w:pPr>
      <w:bookmarkStart w:id="61" w:name="_heading=h.uw2q04tc6l41" w:colFirst="0" w:colLast="0"/>
      <w:bookmarkEnd w:id="61"/>
      <w:r>
        <w:br w:type="page"/>
      </w:r>
    </w:p>
    <w:p w14:paraId="3938EB6F" w14:textId="77777777" w:rsidR="006227CE" w:rsidRDefault="006C5E69">
      <w:pPr>
        <w:pStyle w:val="Heading1"/>
      </w:pPr>
      <w:bookmarkStart w:id="62" w:name="_heading=h.mtfcunm4qp51" w:colFirst="0" w:colLast="0"/>
      <w:bookmarkStart w:id="63" w:name="_Toc237448064"/>
      <w:bookmarkEnd w:id="62"/>
      <w:r>
        <w:lastRenderedPageBreak/>
        <w:t>Conclusion</w:t>
      </w:r>
      <w:bookmarkEnd w:id="63"/>
    </w:p>
    <w:p w14:paraId="3938EB70" w14:textId="77777777" w:rsidR="006227CE" w:rsidRDefault="006C5E69">
      <w:r>
        <w:t xml:space="preserve">Whitbread Plc has achieved market growth due to improvement in its share investments that has also strengthened its investor relationship. In addition, the </w:t>
      </w:r>
      <w:proofErr w:type="spellStart"/>
      <w:r>
        <w:t>organisation</w:t>
      </w:r>
      <w:proofErr w:type="spellEnd"/>
      <w:r>
        <w:t xml:space="preserve"> has observed liquidity and profitability issues that have hampered its financial stability. Overall, the variations in the market performance has also increased the business competition level of the company.</w:t>
      </w:r>
    </w:p>
    <w:p w14:paraId="3938EB71" w14:textId="77777777" w:rsidR="006227CE" w:rsidRDefault="006227CE"/>
    <w:p w14:paraId="3938EB72" w14:textId="77777777" w:rsidR="006227CE" w:rsidRDefault="006C5E69">
      <w:r>
        <w:br w:type="page"/>
      </w:r>
    </w:p>
    <w:p w14:paraId="3938EB73" w14:textId="77777777" w:rsidR="006227CE" w:rsidRDefault="006C5E69">
      <w:pPr>
        <w:pStyle w:val="Heading1"/>
        <w:rPr>
          <w:sz w:val="36"/>
          <w:szCs w:val="36"/>
        </w:rPr>
      </w:pPr>
      <w:bookmarkStart w:id="64" w:name="_Toc237448065"/>
      <w:r>
        <w:lastRenderedPageBreak/>
        <w:t>References</w:t>
      </w:r>
      <w:bookmarkEnd w:id="64"/>
    </w:p>
    <w:p w14:paraId="3938EB74" w14:textId="77777777" w:rsidR="006227CE" w:rsidRDefault="006C5E69">
      <w:pPr>
        <w:spacing w:after="240"/>
      </w:pPr>
      <w:r>
        <w:t xml:space="preserve">Agusta, R.F. and Hati, S.W. (2018). </w:t>
      </w:r>
      <w:r>
        <w:rPr>
          <w:i/>
          <w:iCs/>
        </w:rPr>
        <w:t>Calculation of Liquidity, Solvency and Profitability Ratio in Manufacturing Company</w:t>
      </w:r>
      <w:r>
        <w:t xml:space="preserve">. [online] </w:t>
      </w:r>
      <w:r>
        <w:rPr>
          <w:i/>
          <w:iCs/>
        </w:rPr>
        <w:t>ResearchGate</w:t>
      </w:r>
      <w:r>
        <w:t xml:space="preserve">. </w:t>
      </w:r>
      <w:proofErr w:type="spellStart"/>
      <w:r>
        <w:t>Politeknik</w:t>
      </w:r>
      <w:proofErr w:type="spellEnd"/>
      <w:r>
        <w:t xml:space="preserve"> Negeri Batam. Available at: https://www.researchgate.net/publication/344794916_Calculation_of_Liquidity_Solvency_and_Profitability_Ratio_in_Manufacturing_Compan</w:t>
      </w:r>
    </w:p>
    <w:p w14:paraId="3938EB75" w14:textId="77777777" w:rsidR="006227CE" w:rsidRDefault="006C5E69">
      <w:pPr>
        <w:spacing w:after="240"/>
      </w:pPr>
      <w:r>
        <w:t xml:space="preserve">AJ Bell (2026). </w:t>
      </w:r>
      <w:r>
        <w:rPr>
          <w:i/>
          <w:iCs/>
        </w:rPr>
        <w:t>Whitbread PLC share price (LSE:WTB) | AJ Bell</w:t>
      </w:r>
      <w:r>
        <w:t>. [online] Ajbell.co.uk. Available at: https://www.ajbell.co.uk/market-research/LSE:WTB.</w:t>
      </w:r>
    </w:p>
    <w:p w14:paraId="3938EB76" w14:textId="77777777" w:rsidR="006227CE" w:rsidRDefault="006C5E69">
      <w:pPr>
        <w:spacing w:after="240"/>
      </w:pPr>
      <w:r>
        <w:t>Andon, P., Baxter, J. and Chua, W.F. (2023). Affect and Reason in Uncertain Accounting Settings: The Case of Capital Investment Appraisal. doi:10.1111/acfi.13185.</w:t>
      </w:r>
    </w:p>
    <w:p w14:paraId="3938EB77" w14:textId="77777777" w:rsidR="006227CE" w:rsidRDefault="006C5E69">
      <w:pPr>
        <w:spacing w:after="240"/>
      </w:pPr>
      <w:r>
        <w:t xml:space="preserve">Banton, C. (2026). </w:t>
      </w:r>
      <w:r>
        <w:rPr>
          <w:i/>
          <w:iCs/>
        </w:rPr>
        <w:t>How Capital Injections Keep Companies Afloat</w:t>
      </w:r>
      <w:r>
        <w:t xml:space="preserve">. [online] </w:t>
      </w:r>
      <w:r>
        <w:rPr>
          <w:i/>
          <w:iCs/>
        </w:rPr>
        <w:t>Investopedia</w:t>
      </w:r>
      <w:r>
        <w:t xml:space="preserve">. Available at: https://www.investopedia.com/terms/c/capital-injection.asp </w:t>
      </w:r>
    </w:p>
    <w:p w14:paraId="3938EB78" w14:textId="77777777" w:rsidR="006227CE" w:rsidRDefault="006C5E69">
      <w:pPr>
        <w:spacing w:after="240"/>
      </w:pPr>
      <w:r>
        <w:t xml:space="preserve">Bilal, M. (2026). </w:t>
      </w:r>
      <w:r>
        <w:rPr>
          <w:i/>
          <w:iCs/>
        </w:rPr>
        <w:t xml:space="preserve">Corporation Tax UK 2026: Rates &amp; How to Reduce It | </w:t>
      </w:r>
      <w:proofErr w:type="spellStart"/>
      <w:r>
        <w:rPr>
          <w:i/>
          <w:iCs/>
        </w:rPr>
        <w:t>Protax</w:t>
      </w:r>
      <w:proofErr w:type="spellEnd"/>
      <w:r>
        <w:t xml:space="preserve">. [online] </w:t>
      </w:r>
      <w:proofErr w:type="spellStart"/>
      <w:r>
        <w:t>Protax</w:t>
      </w:r>
      <w:proofErr w:type="spellEnd"/>
      <w:r>
        <w:t xml:space="preserve"> Consultants. Available at: https://www.protax.org.uk/articles/corporation-tax-uk-2026-rates-deadlines/ </w:t>
      </w:r>
    </w:p>
    <w:p w14:paraId="3938EB79" w14:textId="77777777" w:rsidR="006227CE" w:rsidRDefault="006C5E69">
      <w:pPr>
        <w:spacing w:after="240"/>
      </w:pPr>
      <w:r>
        <w:t xml:space="preserve">C2FO (2026). </w:t>
      </w:r>
      <w:r>
        <w:rPr>
          <w:i/>
          <w:iCs/>
        </w:rPr>
        <w:t>Whitbread Early Payment Program | C2FO</w:t>
      </w:r>
      <w:r>
        <w:t xml:space="preserve">. [online] Whitbread Early Payment | C2FO. Available at: https://whitbread.c2fo.com/ </w:t>
      </w:r>
    </w:p>
    <w:p w14:paraId="3938EB7A" w14:textId="77777777" w:rsidR="006227CE" w:rsidRDefault="006C5E69">
      <w:pPr>
        <w:spacing w:after="240"/>
      </w:pPr>
      <w:proofErr w:type="spellStart"/>
      <w:r>
        <w:t>Cbonds</w:t>
      </w:r>
      <w:proofErr w:type="spellEnd"/>
      <w:r>
        <w:t xml:space="preserve"> (2025). </w:t>
      </w:r>
      <w:proofErr w:type="spellStart"/>
      <w:r>
        <w:rPr>
          <w:i/>
          <w:iCs/>
        </w:rPr>
        <w:t>Cbonds</w:t>
      </w:r>
      <w:proofErr w:type="spellEnd"/>
      <w:r>
        <w:t xml:space="preserve">. [online] </w:t>
      </w:r>
      <w:proofErr w:type="spellStart"/>
      <w:r>
        <w:t>Cbonds</w:t>
      </w:r>
      <w:proofErr w:type="spellEnd"/>
      <w:r>
        <w:t>. Available at: https://cbonds.com/bonds/146257/.</w:t>
      </w:r>
    </w:p>
    <w:p w14:paraId="3938EB7B" w14:textId="77777777" w:rsidR="006227CE" w:rsidRDefault="006C5E69">
      <w:pPr>
        <w:spacing w:after="240"/>
      </w:pPr>
      <w:r>
        <w:t xml:space="preserve">Chen, J. (2026). </w:t>
      </w:r>
      <w:r>
        <w:rPr>
          <w:i/>
          <w:iCs/>
        </w:rPr>
        <w:t>What happens in divestitures</w:t>
      </w:r>
      <w:r>
        <w:t xml:space="preserve">. [online] </w:t>
      </w:r>
      <w:r>
        <w:rPr>
          <w:i/>
          <w:iCs/>
        </w:rPr>
        <w:t>Investopedia</w:t>
      </w:r>
      <w:r>
        <w:t xml:space="preserve">. Available at: https://www.investopedia.com/terms/d/divestiture.asp </w:t>
      </w:r>
    </w:p>
    <w:p w14:paraId="3938EB7C" w14:textId="77777777" w:rsidR="006227CE" w:rsidRDefault="006C5E69">
      <w:pPr>
        <w:spacing w:after="240"/>
      </w:pPr>
      <w:r>
        <w:t>Whitbread Plc (2025). Whitbread launches £250 million share buyback[online] Available at: https://www.investing.com/news/company-news/whitbread-launches-250-million-share-buyback-93CH-4015497.</w:t>
      </w:r>
    </w:p>
    <w:p w14:paraId="3938EB7D" w14:textId="77777777" w:rsidR="006227CE" w:rsidRDefault="006C5E69">
      <w:pPr>
        <w:spacing w:after="240"/>
      </w:pPr>
      <w:r>
        <w:lastRenderedPageBreak/>
        <w:t xml:space="preserve">Chen, W., Wu, W., Ouyang, Z., Fu, Y., Li, M. and Huang, G.Q. (2024). Event-based data authenticity analytics for IoT and blockchain-enabled ESG disclosure. </w:t>
      </w:r>
      <w:r>
        <w:rPr>
          <w:i/>
          <w:iCs/>
        </w:rPr>
        <w:t>Computers &amp; Industrial Engineering</w:t>
      </w:r>
      <w:r>
        <w:t>, pp.109992–109992. doi:10.1016/j.cie.2024.109992.</w:t>
      </w:r>
    </w:p>
    <w:p w14:paraId="3938EB7E" w14:textId="77777777" w:rsidR="006227CE" w:rsidRDefault="006C5E69">
      <w:pPr>
        <w:spacing w:after="240"/>
      </w:pPr>
      <w:r>
        <w:t xml:space="preserve">Fernando, J. (2026a). </w:t>
      </w:r>
      <w:r>
        <w:rPr>
          <w:i/>
          <w:iCs/>
        </w:rPr>
        <w:t>Internal Rate of Return (IRR): Formula and Examples</w:t>
      </w:r>
      <w:r>
        <w:t xml:space="preserve">. [online] </w:t>
      </w:r>
      <w:r>
        <w:rPr>
          <w:i/>
          <w:iCs/>
        </w:rPr>
        <w:t>Investopedia</w:t>
      </w:r>
      <w:r>
        <w:t xml:space="preserve">. Available at: https://www.investopedia.com/terms/i/irr.asp </w:t>
      </w:r>
    </w:p>
    <w:p w14:paraId="3938EB7F" w14:textId="77777777" w:rsidR="006227CE" w:rsidRDefault="006C5E69">
      <w:pPr>
        <w:spacing w:after="240"/>
      </w:pPr>
      <w:r>
        <w:t xml:space="preserve">Fernando, J. (2026b). </w:t>
      </w:r>
      <w:r>
        <w:rPr>
          <w:i/>
          <w:iCs/>
        </w:rPr>
        <w:t>Net present value (NPV): What it Means and Steps to Calculate It</w:t>
      </w:r>
      <w:r>
        <w:t xml:space="preserve">. [online] </w:t>
      </w:r>
      <w:r>
        <w:rPr>
          <w:i/>
          <w:iCs/>
        </w:rPr>
        <w:t>Investopedia</w:t>
      </w:r>
      <w:r>
        <w:t xml:space="preserve">. Available at: https://www.investopedia.com/terms/n/npv.asp </w:t>
      </w:r>
    </w:p>
    <w:p w14:paraId="3938EB80" w14:textId="77777777" w:rsidR="006227CE" w:rsidRDefault="006C5E69">
      <w:pPr>
        <w:spacing w:after="240"/>
      </w:pPr>
      <w:r>
        <w:t xml:space="preserve">Fitch Rating (2026). </w:t>
      </w:r>
      <w:r>
        <w:rPr>
          <w:i/>
          <w:iCs/>
        </w:rPr>
        <w:t xml:space="preserve">Fitch Downgrades Whitbread to “BBB-”; Outlook Stable </w:t>
      </w:r>
      <w:r>
        <w:t>. [online] Fitchratings.com. Available at: https://www.fitchratings.com/research/corporate-finance/fitch-downgrades-whitbread-to-bbb-outlook-stable-19-05-2026</w:t>
      </w:r>
    </w:p>
    <w:p w14:paraId="3938EB81" w14:textId="77777777" w:rsidR="006227CE" w:rsidRDefault="006C5E69">
      <w:pPr>
        <w:spacing w:after="240"/>
      </w:pPr>
      <w:r>
        <w:t>Fitch Ratings (2026). [online] Fitchratings.com. Available at: https://www.fitchratings.com/research/corporate-finance/fitch-downgrades-whitbread-to-bbb-outlook-stable-19-05-2026.</w:t>
      </w:r>
    </w:p>
    <w:p w14:paraId="3938EB82" w14:textId="77777777" w:rsidR="006227CE" w:rsidRDefault="006C5E69">
      <w:pPr>
        <w:spacing w:after="240"/>
      </w:pPr>
      <w:r>
        <w:t xml:space="preserve">Gosh Charity (2025). </w:t>
      </w:r>
      <w:r>
        <w:rPr>
          <w:i/>
          <w:iCs/>
        </w:rPr>
        <w:t>Meet Our Partners</w:t>
      </w:r>
      <w:r>
        <w:t xml:space="preserve">. [online] </w:t>
      </w:r>
      <w:r>
        <w:rPr>
          <w:i/>
          <w:iCs/>
        </w:rPr>
        <w:t>GOSH Charity</w:t>
      </w:r>
      <w:r>
        <w:t>. Available at: https://www.gosh.org/get-involved/corporate-fundraising/meet-our-supporters/.</w:t>
      </w:r>
    </w:p>
    <w:p w14:paraId="3938EB83" w14:textId="77777777" w:rsidR="006227CE" w:rsidRDefault="006C5E69">
      <w:pPr>
        <w:spacing w:after="240"/>
      </w:pPr>
      <w:r>
        <w:t xml:space="preserve">Government of UK (1988). </w:t>
      </w:r>
      <w:r>
        <w:rPr>
          <w:i/>
          <w:iCs/>
        </w:rPr>
        <w:t>Copyright, Designs and Patents Act 1988</w:t>
      </w:r>
      <w:r>
        <w:t xml:space="preserve">. [online] </w:t>
      </w:r>
      <w:r>
        <w:rPr>
          <w:i/>
          <w:iCs/>
        </w:rPr>
        <w:t>Legislation.gov.uk</w:t>
      </w:r>
      <w:r>
        <w:t>. www.legislation.gov.uk. Available at: https://www.legislation.gov.uk/ukpga/1988/48/contents.</w:t>
      </w:r>
    </w:p>
    <w:p w14:paraId="3938EB84" w14:textId="77777777" w:rsidR="006227CE" w:rsidRDefault="006C5E69">
      <w:pPr>
        <w:spacing w:after="240"/>
      </w:pPr>
      <w:r>
        <w:t xml:space="preserve">Hargrave, M. (2025). </w:t>
      </w:r>
      <w:r>
        <w:rPr>
          <w:i/>
          <w:iCs/>
        </w:rPr>
        <w:t>Should You Be Using Average Return or Geometric Mean?</w:t>
      </w:r>
      <w:r>
        <w:t xml:space="preserve"> [online] </w:t>
      </w:r>
      <w:r>
        <w:rPr>
          <w:i/>
          <w:iCs/>
        </w:rPr>
        <w:t>Investopedia</w:t>
      </w:r>
      <w:r>
        <w:t>. Available at: https://www.investopedia.com/terms/a/averagereturn.asp</w:t>
      </w:r>
    </w:p>
    <w:p w14:paraId="3938EB85" w14:textId="77777777" w:rsidR="006227CE" w:rsidRDefault="006C5E69">
      <w:pPr>
        <w:spacing w:after="240"/>
      </w:pPr>
      <w:r>
        <w:t xml:space="preserve">Hospitality industry (2024). </w:t>
      </w:r>
      <w:r>
        <w:rPr>
          <w:i/>
          <w:iCs/>
        </w:rPr>
        <w:t xml:space="preserve">Key liquidity ratios for hotel financial health | </w:t>
      </w:r>
      <w:proofErr w:type="spellStart"/>
      <w:r>
        <w:rPr>
          <w:i/>
          <w:iCs/>
        </w:rPr>
        <w:t>Hospitality.Institute</w:t>
      </w:r>
      <w:proofErr w:type="spellEnd"/>
      <w:r>
        <w:t xml:space="preserve">. [online] </w:t>
      </w:r>
      <w:proofErr w:type="spellStart"/>
      <w:r>
        <w:rPr>
          <w:i/>
          <w:iCs/>
        </w:rPr>
        <w:t>Hospitality.Institute</w:t>
      </w:r>
      <w:proofErr w:type="spellEnd"/>
      <w:r>
        <w:t xml:space="preserve">. Available at: https://hospitality.institute/mha805/key-liquidity-ratios-hotel-financial-health/ </w:t>
      </w:r>
    </w:p>
    <w:p w14:paraId="3938EB86" w14:textId="77777777" w:rsidR="006227CE" w:rsidRDefault="006C5E69">
      <w:pPr>
        <w:spacing w:after="240"/>
      </w:pPr>
      <w:r>
        <w:lastRenderedPageBreak/>
        <w:t xml:space="preserve">Jenčová, S., </w:t>
      </w:r>
      <w:proofErr w:type="spellStart"/>
      <w:r>
        <w:t>Vašaničová</w:t>
      </w:r>
      <w:proofErr w:type="spellEnd"/>
      <w:r>
        <w:t xml:space="preserve">, P., Košíková, M. and </w:t>
      </w:r>
      <w:proofErr w:type="spellStart"/>
      <w:r>
        <w:t>Miškufová</w:t>
      </w:r>
      <w:proofErr w:type="spellEnd"/>
      <w:r>
        <w:t xml:space="preserve">, M. (2025). A Time Series Approach to Forecasting Financial Indicators in the Wholesale and Retail Trade. </w:t>
      </w:r>
      <w:r>
        <w:rPr>
          <w:i/>
          <w:iCs/>
        </w:rPr>
        <w:t>World</w:t>
      </w:r>
      <w:r>
        <w:t>, 6(1), pp.5–5. doi:10.3390/world6010005.</w:t>
      </w:r>
    </w:p>
    <w:p w14:paraId="3938EB87" w14:textId="77777777" w:rsidR="006227CE" w:rsidRDefault="006C5E69">
      <w:pPr>
        <w:spacing w:after="240"/>
      </w:pPr>
      <w:r>
        <w:t xml:space="preserve">Kagan, J. (2026). </w:t>
      </w:r>
      <w:r>
        <w:rPr>
          <w:i/>
          <w:iCs/>
        </w:rPr>
        <w:t>Payback period: Definition, formula, and calculation</w:t>
      </w:r>
      <w:r>
        <w:t xml:space="preserve">. [online] </w:t>
      </w:r>
      <w:r>
        <w:rPr>
          <w:i/>
          <w:iCs/>
        </w:rPr>
        <w:t>Investopedia</w:t>
      </w:r>
      <w:r>
        <w:t xml:space="preserve">. Available at: https://www.investopedia.com/terms/p/paybackperiod.asp </w:t>
      </w:r>
    </w:p>
    <w:p w14:paraId="3938EB88" w14:textId="77777777" w:rsidR="006227CE" w:rsidRDefault="006C5E69">
      <w:pPr>
        <w:spacing w:after="240"/>
      </w:pPr>
      <w:r>
        <w:t xml:space="preserve">London Stock Exchange (2025). </w:t>
      </w:r>
      <w:r>
        <w:rPr>
          <w:i/>
          <w:iCs/>
        </w:rPr>
        <w:t>London Stock Exchange | London Stock Exchange</w:t>
      </w:r>
      <w:r>
        <w:t xml:space="preserve">. [online] </w:t>
      </w:r>
      <w:r>
        <w:rPr>
          <w:i/>
          <w:iCs/>
        </w:rPr>
        <w:t>Londonstockexchange.com</w:t>
      </w:r>
      <w:r>
        <w:t>. Available at: https://www.londonstockexchange.com/news-article/WTB/whitbread-interim-results/17280887.</w:t>
      </w:r>
    </w:p>
    <w:p w14:paraId="3938EB89" w14:textId="77777777" w:rsidR="006227CE" w:rsidRDefault="006C5E69">
      <w:pPr>
        <w:spacing w:after="240"/>
      </w:pPr>
      <w:r>
        <w:t xml:space="preserve">LSE (2026). </w:t>
      </w:r>
      <w:r>
        <w:rPr>
          <w:i/>
          <w:iCs/>
        </w:rPr>
        <w:t>London Stock Exchange | London Stock Exchange</w:t>
      </w:r>
      <w:r>
        <w:t>. [online] Londonstockexchange.com. Available at: https://www.londonstockexchange.com/news-article/wtb/outcome-of-business-review/17570770.</w:t>
      </w:r>
    </w:p>
    <w:p w14:paraId="3938EB8A" w14:textId="77777777" w:rsidR="006227CE" w:rsidRDefault="006C5E69">
      <w:pPr>
        <w:spacing w:after="240"/>
      </w:pPr>
      <w:r>
        <w:t xml:space="preserve">Malali, N. (2025). The role of retrieval-augmented generation (RAG) in financial document processing: Automating compliance and reporting. </w:t>
      </w:r>
      <w:r>
        <w:rPr>
          <w:i/>
          <w:iCs/>
        </w:rPr>
        <w:t>International Journal of Management Technology</w:t>
      </w:r>
      <w:r>
        <w:t>, 12(3), pp.26–46. doi:10.37745/ijmt.2013/vol12n32646.</w:t>
      </w:r>
    </w:p>
    <w:p w14:paraId="3938EB8B" w14:textId="77777777" w:rsidR="006227CE" w:rsidRDefault="006C5E69">
      <w:pPr>
        <w:spacing w:after="240"/>
      </w:pPr>
      <w:r>
        <w:t xml:space="preserve">Market Screener (2026). </w:t>
      </w:r>
      <w:r>
        <w:rPr>
          <w:i/>
          <w:iCs/>
        </w:rPr>
        <w:t>Whitbread Plc</w:t>
      </w:r>
      <w:r>
        <w:t xml:space="preserve">. [online] </w:t>
      </w:r>
      <w:proofErr w:type="spellStart"/>
      <w:r>
        <w:rPr>
          <w:i/>
          <w:iCs/>
        </w:rPr>
        <w:t>MarketScreener</w:t>
      </w:r>
      <w:proofErr w:type="spellEnd"/>
      <w:r>
        <w:rPr>
          <w:i/>
          <w:iCs/>
        </w:rPr>
        <w:t xml:space="preserve"> India</w:t>
      </w:r>
      <w:r>
        <w:t>. Available at: https://in.marketscreener.com/quote/stock/WHITBREAD-PLC-4006657/.</w:t>
      </w:r>
    </w:p>
    <w:p w14:paraId="3938EB8C" w14:textId="77777777" w:rsidR="006227CE" w:rsidRDefault="006C5E69">
      <w:pPr>
        <w:spacing w:after="240"/>
      </w:pPr>
      <w:r>
        <w:t xml:space="preserve">Martin, L. (2026). </w:t>
      </w:r>
      <w:r>
        <w:rPr>
          <w:i/>
          <w:iCs/>
        </w:rPr>
        <w:t>Whitbread to Sell $2 Billion in Hotels and Cut 3,800 Jobs in Strategic Overhaul</w:t>
      </w:r>
      <w:r>
        <w:t xml:space="preserve">. [online] </w:t>
      </w:r>
      <w:r>
        <w:rPr>
          <w:i/>
          <w:iCs/>
        </w:rPr>
        <w:t>Skift</w:t>
      </w:r>
      <w:r>
        <w:t>. Available at: https://skift.com/2026/04/30/whitbread-sell-hotels-cut-jobs-strategic-overhaul/.</w:t>
      </w:r>
    </w:p>
    <w:p w14:paraId="3938EB8D" w14:textId="77777777" w:rsidR="006227CE" w:rsidRDefault="006C5E69">
      <w:pPr>
        <w:spacing w:after="240"/>
      </w:pPr>
      <w:proofErr w:type="spellStart"/>
      <w:r>
        <w:t>PayPoint</w:t>
      </w:r>
      <w:proofErr w:type="spellEnd"/>
      <w:r>
        <w:t xml:space="preserve"> (2025). [online] Available at: https://www.investegate.co.uk/announcement/rns/whitbread--</w:t>
      </w:r>
      <w:proofErr w:type="spellStart"/>
      <w:r>
        <w:t>wtb</w:t>
      </w:r>
      <w:proofErr w:type="spellEnd"/>
      <w:r>
        <w:t>/preliminary-results-announcement/9545332.</w:t>
      </w:r>
    </w:p>
    <w:p w14:paraId="3938EB8E" w14:textId="77777777" w:rsidR="006227CE" w:rsidRDefault="006C5E69">
      <w:pPr>
        <w:spacing w:after="240"/>
      </w:pPr>
      <w:r>
        <w:t xml:space="preserve">Reuters Staff (2026). Premier Inn owner Whitbread to cut up to 3,800 jobs in strategy shift. </w:t>
      </w:r>
      <w:r>
        <w:rPr>
          <w:i/>
          <w:iCs/>
        </w:rPr>
        <w:t>Reuters</w:t>
      </w:r>
      <w:r>
        <w:t xml:space="preserve">. [online] 30 Apr. Available at: https://www.reuters.com/sustainability/sustainable-finance-reporting/premier-inn-owner-whitbread-extends-restaurant-overhaul-all-sites-cut-3800-jobs-2026-04-30/ </w:t>
      </w:r>
    </w:p>
    <w:p w14:paraId="3938EB8F" w14:textId="77777777" w:rsidR="006227CE" w:rsidRDefault="006C5E69">
      <w:pPr>
        <w:spacing w:after="240"/>
      </w:pPr>
      <w:r>
        <w:lastRenderedPageBreak/>
        <w:t xml:space="preserve">Strategist, S. and Architect (2025). </w:t>
      </w:r>
      <w:r>
        <w:rPr>
          <w:i/>
          <w:iCs/>
        </w:rPr>
        <w:t>Whitbread PLC - Overview &amp; Highlights</w:t>
      </w:r>
      <w:r>
        <w:t xml:space="preserve">. [online] </w:t>
      </w:r>
      <w:r>
        <w:rPr>
          <w:i/>
          <w:iCs/>
        </w:rPr>
        <w:t>Substack.com</w:t>
      </w:r>
      <w:r>
        <w:t>. The Small Cap Strategist. Available at: https://tscsw.substack.com/p/whitbread-plc-overview-and-highlights .</w:t>
      </w:r>
    </w:p>
    <w:p w14:paraId="3938EB90" w14:textId="77777777" w:rsidR="006227CE" w:rsidRDefault="006C5E69">
      <w:pPr>
        <w:spacing w:after="240"/>
      </w:pPr>
      <w:r>
        <w:t xml:space="preserve">Trading Economics (2026). </w:t>
      </w:r>
      <w:r>
        <w:rPr>
          <w:i/>
          <w:iCs/>
        </w:rPr>
        <w:t>United Kingdom Inflation Rate</w:t>
      </w:r>
      <w:r>
        <w:t xml:space="preserve">. [online] </w:t>
      </w:r>
      <w:r>
        <w:rPr>
          <w:i/>
          <w:iCs/>
        </w:rPr>
        <w:t>Trading Economics</w:t>
      </w:r>
      <w:r>
        <w:t xml:space="preserve">. Available at: https://tradingeconomics.com/united-kingdom/inflation-cpi </w:t>
      </w:r>
    </w:p>
    <w:p w14:paraId="3938EB91" w14:textId="77777777" w:rsidR="006227CE" w:rsidRDefault="006C5E69">
      <w:pPr>
        <w:spacing w:after="240"/>
      </w:pPr>
      <w:r>
        <w:t xml:space="preserve">Trading Economics (2026a). </w:t>
      </w:r>
      <w:r>
        <w:rPr>
          <w:i/>
          <w:iCs/>
        </w:rPr>
        <w:t>Germany corporate tax rate</w:t>
      </w:r>
      <w:r>
        <w:t xml:space="preserve">. [online] </w:t>
      </w:r>
      <w:r>
        <w:rPr>
          <w:i/>
          <w:iCs/>
        </w:rPr>
        <w:t>Tradingeconomics.com</w:t>
      </w:r>
      <w:r>
        <w:t>. TRADING ECONOMICS. Available at: https://tradingeconomics.com/germany/corporate-tax-rate.</w:t>
      </w:r>
    </w:p>
    <w:p w14:paraId="3938EB92" w14:textId="77777777" w:rsidR="006227CE" w:rsidRDefault="006C5E69">
      <w:pPr>
        <w:spacing w:after="240"/>
      </w:pPr>
      <w:proofErr w:type="spellStart"/>
      <w:r>
        <w:t>TradingView</w:t>
      </w:r>
      <w:proofErr w:type="spellEnd"/>
      <w:r>
        <w:t xml:space="preserve"> (2026). [online] </w:t>
      </w:r>
      <w:proofErr w:type="spellStart"/>
      <w:r>
        <w:t>TradingView</w:t>
      </w:r>
      <w:proofErr w:type="spellEnd"/>
      <w:r>
        <w:t xml:space="preserve">. Available at: https://in.tradingview.com/chart/?symbol=FX_IDC%3AGBPEUR </w:t>
      </w:r>
    </w:p>
    <w:p w14:paraId="3938EB93" w14:textId="77777777" w:rsidR="006227CE" w:rsidRDefault="006C5E69">
      <w:pPr>
        <w:spacing w:after="240"/>
      </w:pPr>
      <w:r>
        <w:t xml:space="preserve">Whitbread (2023). </w:t>
      </w:r>
      <w:r>
        <w:rPr>
          <w:i/>
          <w:iCs/>
        </w:rPr>
        <w:t>Why Invest?</w:t>
      </w:r>
      <w:r>
        <w:t xml:space="preserve"> [online] </w:t>
      </w:r>
      <w:r>
        <w:rPr>
          <w:i/>
          <w:iCs/>
        </w:rPr>
        <w:t>Whitbread PLC</w:t>
      </w:r>
      <w:r>
        <w:t xml:space="preserve">. Available at: https://www.whitbread.co.uk/investors/why-invest/ </w:t>
      </w:r>
    </w:p>
    <w:p w14:paraId="3938EB94" w14:textId="77777777" w:rsidR="006227CE" w:rsidRDefault="006C5E69">
      <w:pPr>
        <w:spacing w:after="240"/>
      </w:pPr>
      <w:r>
        <w:t>Whitbread (2024). [online] Available at: https://cdn.whitbread.co.uk/media/2023/05/Corporate-Governance-Statement.pdf.</w:t>
      </w:r>
    </w:p>
    <w:p w14:paraId="3938EB95" w14:textId="77777777" w:rsidR="006227CE" w:rsidRDefault="006C5E69">
      <w:pPr>
        <w:spacing w:after="240"/>
      </w:pPr>
      <w:r>
        <w:t xml:space="preserve">Whitbread (2024). </w:t>
      </w:r>
      <w:r>
        <w:rPr>
          <w:i/>
          <w:iCs/>
        </w:rPr>
        <w:t>Whitbread NPS &amp; Customer Reviews</w:t>
      </w:r>
      <w:r>
        <w:t xml:space="preserve">. [online] </w:t>
      </w:r>
      <w:r>
        <w:rPr>
          <w:i/>
          <w:iCs/>
        </w:rPr>
        <w:t>Comparably</w:t>
      </w:r>
      <w:r>
        <w:t xml:space="preserve">. Available at: https://www.comparably.com/brands/whitbread-22458 </w:t>
      </w:r>
    </w:p>
    <w:p w14:paraId="3938EB96" w14:textId="77777777" w:rsidR="006227CE" w:rsidRDefault="006C5E69">
      <w:pPr>
        <w:spacing w:after="240"/>
      </w:pPr>
      <w:r>
        <w:t xml:space="preserve">Whitbread (2026). </w:t>
      </w:r>
      <w:r>
        <w:rPr>
          <w:i/>
          <w:iCs/>
        </w:rPr>
        <w:t>Corporate debt</w:t>
      </w:r>
      <w:r>
        <w:t xml:space="preserve">. [online] </w:t>
      </w:r>
      <w:r>
        <w:rPr>
          <w:i/>
          <w:iCs/>
        </w:rPr>
        <w:t>Whitbread PLC</w:t>
      </w:r>
      <w:r>
        <w:t>. Available at: https://www.whitbread.co.uk/investors/corporate-debt/.</w:t>
      </w:r>
    </w:p>
    <w:p w14:paraId="3938EB97" w14:textId="77777777" w:rsidR="006227CE" w:rsidRDefault="006C5E69">
      <w:pPr>
        <w:spacing w:after="240"/>
      </w:pPr>
      <w:r>
        <w:t>Whitbread Plc (2021). Premier Inn Annual Report and Accounts 2021/22. [online] Available at: https://cdn.whitbread.co.uk/media/2022/05/Whitbread_AR21-1.pdf.</w:t>
      </w:r>
    </w:p>
    <w:p w14:paraId="3938EB98" w14:textId="77777777" w:rsidR="006227CE" w:rsidRDefault="006C5E69">
      <w:pPr>
        <w:spacing w:after="240"/>
      </w:pPr>
      <w:r>
        <w:t xml:space="preserve">Whitbread Plc (2023). Building advantage on </w:t>
      </w:r>
      <w:proofErr w:type="spellStart"/>
      <w:r>
        <w:t>our</w:t>
      </w:r>
      <w:proofErr w:type="spellEnd"/>
      <w:r>
        <w:t>. [online] Available at: https://cdn.whitbread.co.uk/media/2024/05/Whitbread-PLC-Annual-Report-and-Accounts-2023_Single_pages-1.pdf.</w:t>
      </w:r>
    </w:p>
    <w:p w14:paraId="3938EB99" w14:textId="77777777" w:rsidR="006227CE" w:rsidRDefault="006C5E69">
      <w:pPr>
        <w:spacing w:after="240"/>
      </w:pPr>
      <w:r>
        <w:t xml:space="preserve">Whitbread PLC (2025). </w:t>
      </w:r>
      <w:r>
        <w:rPr>
          <w:i/>
          <w:iCs/>
        </w:rPr>
        <w:t xml:space="preserve">FY25 Results </w:t>
      </w:r>
      <w:r>
        <w:t>. [online] Available at: https://cdn.whitbread.co.uk/media/2025/05/Whitbread-FY25-RNS.pdf.</w:t>
      </w:r>
    </w:p>
    <w:p w14:paraId="3938EB9A" w14:textId="77777777" w:rsidR="006227CE" w:rsidRDefault="006C5E69">
      <w:pPr>
        <w:spacing w:after="240"/>
      </w:pPr>
      <w:r>
        <w:lastRenderedPageBreak/>
        <w:t>Whitbread Plc (2025). Investing in growth Annual Report and Accounts 2024/25. [online] Available at: https://cdn.whitbread.co.uk/media/2025/05/Whitbread-PLC-Annual-Report-and-Accounts-2024-25.pdf.</w:t>
      </w:r>
    </w:p>
    <w:p w14:paraId="3938EB9B" w14:textId="77777777" w:rsidR="006227CE" w:rsidRDefault="006C5E69">
      <w:pPr>
        <w:spacing w:after="240"/>
      </w:pPr>
      <w:r>
        <w:t xml:space="preserve">Whitbread PLC (2025). </w:t>
      </w:r>
      <w:r>
        <w:rPr>
          <w:i/>
          <w:iCs/>
        </w:rPr>
        <w:t>Our Business Model and Strategy</w:t>
      </w:r>
      <w:r>
        <w:t xml:space="preserve">. [online] </w:t>
      </w:r>
      <w:r>
        <w:rPr>
          <w:i/>
          <w:iCs/>
        </w:rPr>
        <w:t>Whitbread PLC</w:t>
      </w:r>
      <w:r>
        <w:t xml:space="preserve">. Available at: https://www.whitbread.co.uk/about-us/our-business-model/ </w:t>
      </w:r>
    </w:p>
    <w:p w14:paraId="3938EB9C" w14:textId="77777777" w:rsidR="006227CE" w:rsidRDefault="006C5E69">
      <w:pPr>
        <w:spacing w:after="240"/>
      </w:pPr>
      <w:r>
        <w:t xml:space="preserve">Whitbread, S. (2026). </w:t>
      </w:r>
      <w:r>
        <w:rPr>
          <w:i/>
          <w:iCs/>
        </w:rPr>
        <w:t>Supporting the use of timber grown in suitable locations in Britain also contributes to our natural capital, ecosystem service benefits, nature recovery, environmental improvement and climate resilience too.</w:t>
      </w:r>
      <w:r>
        <w:t xml:space="preserve"> [online] LinkedIn. Available at: https://www.linkedin.com/posts/steve-whitbread-771a1766_supporting-the-use-of-timber-grown-in-suitable-activity-7453684025447333888-LkwL/.</w:t>
      </w:r>
    </w:p>
    <w:p w14:paraId="3938EB9D" w14:textId="77777777" w:rsidR="006227CE" w:rsidRDefault="006C5E69">
      <w:pPr>
        <w:spacing w:after="240"/>
      </w:pPr>
      <w:r>
        <w:t xml:space="preserve">Withers, P. (2025). </w:t>
      </w:r>
      <w:r>
        <w:rPr>
          <w:i/>
          <w:iCs/>
        </w:rPr>
        <w:t>Whitbread opens 1,000 new Premier Inn rooms since March 2024 - Whitbread Plc</w:t>
      </w:r>
      <w:r>
        <w:t xml:space="preserve">. [online] </w:t>
      </w:r>
      <w:r>
        <w:rPr>
          <w:i/>
          <w:iCs/>
        </w:rPr>
        <w:t>Whitbread PLC</w:t>
      </w:r>
      <w:r>
        <w:t xml:space="preserve">. Available at: https://www.whitbread.co.uk/whitbread-opens-1000-new-premier-inn-rooms-since-march-2024/ </w:t>
      </w:r>
    </w:p>
    <w:p w14:paraId="3938EB9E" w14:textId="77777777" w:rsidR="006227CE" w:rsidRDefault="006C5E69">
      <w:pPr>
        <w:spacing w:after="240"/>
      </w:pPr>
      <w:r>
        <w:t xml:space="preserve">Wójcik, D., Adamiak, O., Czerepak, G., Tokarczuk, O. and Szalewski, L. (2025). A bi-linguistic comparative analysis of ChatGPT-4, Gemini, and Claude performance on polish medical–dental final examinations. </w:t>
      </w:r>
      <w:r>
        <w:rPr>
          <w:i/>
          <w:iCs/>
        </w:rPr>
        <w:t>Scientific Reports</w:t>
      </w:r>
      <w:r>
        <w:t>, [online] 15(1). doi:10.1038/s41598-025-17030-0.</w:t>
      </w:r>
    </w:p>
    <w:p w14:paraId="3938EB9F" w14:textId="77777777" w:rsidR="006227CE" w:rsidRDefault="006C5E69">
      <w:pPr>
        <w:spacing w:after="240"/>
      </w:pPr>
      <w:r>
        <w:t xml:space="preserve">Yahoo Finance (2025). </w:t>
      </w:r>
      <w:r>
        <w:rPr>
          <w:i/>
          <w:iCs/>
        </w:rPr>
        <w:t>Whitbread plc (WTB.L) Income Statement - Yahoo Finance</w:t>
      </w:r>
      <w:r>
        <w:t xml:space="preserve">. [online] </w:t>
      </w:r>
      <w:r>
        <w:rPr>
          <w:i/>
          <w:iCs/>
        </w:rPr>
        <w:t>Yahoo Finance</w:t>
      </w:r>
      <w:r>
        <w:t xml:space="preserve">. Available at: https://finance.yahoo.com/quote/WTB.L/financials/ </w:t>
      </w:r>
    </w:p>
    <w:p w14:paraId="3938EBA0" w14:textId="77777777" w:rsidR="006227CE" w:rsidRDefault="006C5E69">
      <w:pPr>
        <w:spacing w:after="240"/>
        <w:rPr>
          <w:sz w:val="36"/>
          <w:szCs w:val="36"/>
        </w:rPr>
      </w:pPr>
      <w:r>
        <w:t xml:space="preserve">Yahoo Finance (2026). </w:t>
      </w:r>
      <w:r>
        <w:rPr>
          <w:i/>
          <w:iCs/>
        </w:rPr>
        <w:t>Whitbread H2 Earnings Call Highlights</w:t>
      </w:r>
      <w:r>
        <w:t xml:space="preserve">. [online] Yahoo Finance. Available at: </w:t>
      </w:r>
      <w:hyperlink r:id="rId53">
        <w:r>
          <w:t>https://finance.yahoo.com/markets/stocks/articles/whitbread-h2-earnings-call-highlights-132014600.html</w:t>
        </w:r>
      </w:hyperlink>
    </w:p>
    <w:p w14:paraId="64C5FCBB" w14:textId="77777777" w:rsidR="006C5E69" w:rsidRDefault="006C5E69">
      <w:pPr>
        <w:rPr>
          <w:b/>
          <w:bCs/>
          <w:sz w:val="28"/>
          <w:szCs w:val="28"/>
        </w:rPr>
      </w:pPr>
      <w:bookmarkStart w:id="65" w:name="_Toc237448066"/>
      <w:r>
        <w:br w:type="page"/>
      </w:r>
    </w:p>
    <w:p w14:paraId="3938EBA1" w14:textId="2CC03535" w:rsidR="006227CE" w:rsidRDefault="006C5E69">
      <w:pPr>
        <w:pStyle w:val="Heading1"/>
      </w:pPr>
      <w:r>
        <w:lastRenderedPageBreak/>
        <w:t>Appendices</w:t>
      </w:r>
      <w:bookmarkEnd w:id="65"/>
    </w:p>
    <w:p w14:paraId="3938EBA2" w14:textId="77777777" w:rsidR="006227CE" w:rsidRDefault="006C5E69">
      <w:pPr>
        <w:pStyle w:val="Heading2"/>
      </w:pPr>
      <w:bookmarkStart w:id="66" w:name="_Toc237448067"/>
      <w:r>
        <w:t>Appendix 1: Ratio Analysis</w:t>
      </w:r>
      <w:bookmarkEnd w:id="66"/>
    </w:p>
    <w:tbl>
      <w:tblPr>
        <w:tblStyle w:val="a1"/>
        <w:tblW w:w="9360" w:type="dxa"/>
        <w:tblBorders>
          <w:top w:val="nil"/>
          <w:left w:val="nil"/>
          <w:bottom w:val="nil"/>
          <w:right w:val="nil"/>
          <w:insideH w:val="nil"/>
          <w:insideV w:val="nil"/>
        </w:tblBorders>
        <w:tblLayout w:type="fixed"/>
        <w:tblLook w:val="0600" w:firstRow="0" w:lastRow="0" w:firstColumn="0" w:lastColumn="0" w:noHBand="1" w:noVBand="1"/>
      </w:tblPr>
      <w:tblGrid>
        <w:gridCol w:w="2793"/>
        <w:gridCol w:w="816"/>
        <w:gridCol w:w="1120"/>
        <w:gridCol w:w="1120"/>
        <w:gridCol w:w="1120"/>
        <w:gridCol w:w="1271"/>
        <w:gridCol w:w="1120"/>
      </w:tblGrid>
      <w:tr w:rsidR="006227CE" w14:paraId="3938EBA4" w14:textId="77777777">
        <w:trPr>
          <w:trHeight w:val="300"/>
        </w:trPr>
        <w:tc>
          <w:tcPr>
            <w:tcW w:w="9360" w:type="dxa"/>
            <w:gridSpan w:val="7"/>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center"/>
          </w:tcPr>
          <w:p w14:paraId="3938EBA3" w14:textId="77777777" w:rsidR="006227CE" w:rsidRDefault="006C5E69">
            <w:pPr>
              <w:jc w:val="center"/>
              <w:rPr>
                <w:rFonts w:ascii="Calibri" w:eastAsia="Calibri" w:hAnsi="Calibri" w:cs="Calibri"/>
                <w:sz w:val="22"/>
                <w:szCs w:val="22"/>
              </w:rPr>
            </w:pPr>
            <w:r>
              <w:rPr>
                <w:b/>
                <w:bCs/>
              </w:rPr>
              <w:t>Profitability Ratios:</w:t>
            </w:r>
          </w:p>
        </w:tc>
      </w:tr>
      <w:tr w:rsidR="006227CE" w14:paraId="3938EBAC" w14:textId="77777777">
        <w:trPr>
          <w:trHeight w:val="300"/>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938EBA5" w14:textId="77777777" w:rsidR="006227CE" w:rsidRDefault="006C5E69">
            <w:pPr>
              <w:jc w:val="center"/>
              <w:rPr>
                <w:rFonts w:ascii="Calibri" w:eastAsia="Calibri" w:hAnsi="Calibri" w:cs="Calibri"/>
                <w:sz w:val="22"/>
                <w:szCs w:val="22"/>
              </w:rPr>
            </w:pPr>
            <w:r>
              <w:rPr>
                <w:b/>
                <w:bCs/>
              </w:rPr>
              <w:t>Particulars</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38EBA6" w14:textId="77777777" w:rsidR="006227CE" w:rsidRDefault="006C5E69">
            <w:pPr>
              <w:jc w:val="center"/>
              <w:rPr>
                <w:rFonts w:ascii="Calibri" w:eastAsia="Calibri" w:hAnsi="Calibri" w:cs="Calibri"/>
                <w:sz w:val="22"/>
                <w:szCs w:val="22"/>
              </w:rPr>
            </w:pPr>
            <w:r>
              <w:rPr>
                <w:b/>
                <w:bCs/>
              </w:rPr>
              <w:t>Details</w:t>
            </w:r>
          </w:p>
        </w:tc>
        <w:tc>
          <w:tcPr>
            <w:tcW w:w="1120" w:type="dxa"/>
            <w:tcBorders>
              <w:top w:val="single" w:sz="6" w:space="0" w:color="CCCCCC"/>
              <w:left w:val="single" w:sz="6" w:space="0" w:color="CCCCCC"/>
              <w:bottom w:val="single" w:sz="6" w:space="0" w:color="000000"/>
              <w:right w:val="single" w:sz="6" w:space="0" w:color="000000"/>
            </w:tcBorders>
            <w:shd w:val="clear" w:color="auto" w:fill="E5F3EB"/>
            <w:tcMar>
              <w:top w:w="0" w:type="dxa"/>
              <w:left w:w="40" w:type="dxa"/>
              <w:bottom w:w="0" w:type="dxa"/>
              <w:right w:w="40" w:type="dxa"/>
            </w:tcMar>
            <w:vAlign w:val="center"/>
          </w:tcPr>
          <w:p w14:paraId="3938EBA7" w14:textId="77777777" w:rsidR="006227CE" w:rsidRDefault="006C5E69">
            <w:pPr>
              <w:jc w:val="center"/>
              <w:rPr>
                <w:rFonts w:ascii="Calibri" w:eastAsia="Calibri" w:hAnsi="Calibri" w:cs="Calibri"/>
                <w:sz w:val="22"/>
                <w:szCs w:val="22"/>
              </w:rPr>
            </w:pPr>
            <w:r>
              <w:rPr>
                <w:b/>
                <w:bCs/>
              </w:rPr>
              <w:t>2021</w:t>
            </w:r>
          </w:p>
        </w:tc>
        <w:tc>
          <w:tcPr>
            <w:tcW w:w="1120" w:type="dxa"/>
            <w:tcBorders>
              <w:top w:val="single" w:sz="6" w:space="0" w:color="CCCCCC"/>
              <w:left w:val="single" w:sz="6" w:space="0" w:color="CCCCCC"/>
              <w:bottom w:val="single" w:sz="6" w:space="0" w:color="000000"/>
              <w:right w:val="single" w:sz="6" w:space="0" w:color="000000"/>
            </w:tcBorders>
            <w:shd w:val="clear" w:color="auto" w:fill="E5F3EB"/>
            <w:tcMar>
              <w:top w:w="0" w:type="dxa"/>
              <w:left w:w="40" w:type="dxa"/>
              <w:bottom w:w="0" w:type="dxa"/>
              <w:right w:w="40" w:type="dxa"/>
            </w:tcMar>
            <w:vAlign w:val="center"/>
          </w:tcPr>
          <w:p w14:paraId="3938EBA8" w14:textId="77777777" w:rsidR="006227CE" w:rsidRDefault="006C5E69">
            <w:pPr>
              <w:jc w:val="center"/>
              <w:rPr>
                <w:rFonts w:ascii="Calibri" w:eastAsia="Calibri" w:hAnsi="Calibri" w:cs="Calibri"/>
                <w:sz w:val="22"/>
                <w:szCs w:val="22"/>
              </w:rPr>
            </w:pPr>
            <w:r>
              <w:rPr>
                <w:b/>
                <w:bCs/>
              </w:rPr>
              <w:t>2022</w:t>
            </w:r>
          </w:p>
        </w:tc>
        <w:tc>
          <w:tcPr>
            <w:tcW w:w="1120" w:type="dxa"/>
            <w:tcBorders>
              <w:top w:val="single" w:sz="6" w:space="0" w:color="CCCCCC"/>
              <w:left w:val="single" w:sz="6" w:space="0" w:color="CCCCCC"/>
              <w:bottom w:val="single" w:sz="6" w:space="0" w:color="000000"/>
              <w:right w:val="single" w:sz="6" w:space="0" w:color="000000"/>
            </w:tcBorders>
            <w:shd w:val="clear" w:color="auto" w:fill="E5F3EB"/>
            <w:tcMar>
              <w:top w:w="0" w:type="dxa"/>
              <w:left w:w="40" w:type="dxa"/>
              <w:bottom w:w="0" w:type="dxa"/>
              <w:right w:w="40" w:type="dxa"/>
            </w:tcMar>
            <w:vAlign w:val="center"/>
          </w:tcPr>
          <w:p w14:paraId="3938EBA9" w14:textId="77777777" w:rsidR="006227CE" w:rsidRDefault="006C5E69">
            <w:pPr>
              <w:jc w:val="center"/>
              <w:rPr>
                <w:rFonts w:ascii="Calibri" w:eastAsia="Calibri" w:hAnsi="Calibri" w:cs="Calibri"/>
                <w:sz w:val="22"/>
                <w:szCs w:val="22"/>
              </w:rPr>
            </w:pPr>
            <w:r>
              <w:rPr>
                <w:b/>
                <w:bCs/>
              </w:rPr>
              <w:t>2023</w:t>
            </w:r>
          </w:p>
        </w:tc>
        <w:tc>
          <w:tcPr>
            <w:tcW w:w="1271" w:type="dxa"/>
            <w:tcBorders>
              <w:top w:val="single" w:sz="6" w:space="0" w:color="CCCCCC"/>
              <w:left w:val="single" w:sz="6" w:space="0" w:color="CCCCCC"/>
              <w:bottom w:val="single" w:sz="6" w:space="0" w:color="000000"/>
              <w:right w:val="single" w:sz="6" w:space="0" w:color="000000"/>
            </w:tcBorders>
            <w:shd w:val="clear" w:color="auto" w:fill="E5F3EB"/>
            <w:tcMar>
              <w:top w:w="0" w:type="dxa"/>
              <w:left w:w="40" w:type="dxa"/>
              <w:bottom w:w="0" w:type="dxa"/>
              <w:right w:w="40" w:type="dxa"/>
            </w:tcMar>
            <w:vAlign w:val="center"/>
          </w:tcPr>
          <w:p w14:paraId="3938EBAA" w14:textId="77777777" w:rsidR="006227CE" w:rsidRDefault="006C5E69">
            <w:pPr>
              <w:jc w:val="center"/>
              <w:rPr>
                <w:rFonts w:ascii="Calibri" w:eastAsia="Calibri" w:hAnsi="Calibri" w:cs="Calibri"/>
                <w:sz w:val="22"/>
                <w:szCs w:val="22"/>
              </w:rPr>
            </w:pPr>
            <w:r>
              <w:rPr>
                <w:b/>
                <w:bCs/>
              </w:rPr>
              <w:t>2024</w:t>
            </w:r>
          </w:p>
        </w:tc>
        <w:tc>
          <w:tcPr>
            <w:tcW w:w="1120" w:type="dxa"/>
            <w:tcBorders>
              <w:top w:val="single" w:sz="6" w:space="0" w:color="CCCCCC"/>
              <w:left w:val="single" w:sz="6" w:space="0" w:color="CCCCCC"/>
              <w:bottom w:val="single" w:sz="6" w:space="0" w:color="000000"/>
              <w:right w:val="single" w:sz="6" w:space="0" w:color="000000"/>
            </w:tcBorders>
            <w:shd w:val="clear" w:color="auto" w:fill="E5F3EB"/>
            <w:tcMar>
              <w:top w:w="0" w:type="dxa"/>
              <w:left w:w="40" w:type="dxa"/>
              <w:bottom w:w="0" w:type="dxa"/>
              <w:right w:w="40" w:type="dxa"/>
            </w:tcMar>
            <w:vAlign w:val="center"/>
          </w:tcPr>
          <w:p w14:paraId="3938EBAB" w14:textId="77777777" w:rsidR="006227CE" w:rsidRDefault="006C5E69">
            <w:pPr>
              <w:jc w:val="center"/>
              <w:rPr>
                <w:rFonts w:ascii="Calibri" w:eastAsia="Calibri" w:hAnsi="Calibri" w:cs="Calibri"/>
                <w:sz w:val="22"/>
                <w:szCs w:val="22"/>
              </w:rPr>
            </w:pPr>
            <w:r>
              <w:rPr>
                <w:b/>
                <w:bCs/>
              </w:rPr>
              <w:t>2025</w:t>
            </w:r>
          </w:p>
        </w:tc>
      </w:tr>
      <w:tr w:rsidR="006227CE" w14:paraId="3938EBB4" w14:textId="77777777">
        <w:trPr>
          <w:trHeight w:val="300"/>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938EBAD" w14:textId="77777777" w:rsidR="006227CE" w:rsidRDefault="006C5E69">
            <w:pPr>
              <w:jc w:val="center"/>
              <w:rPr>
                <w:rFonts w:ascii="Calibri" w:eastAsia="Calibri" w:hAnsi="Calibri" w:cs="Calibri"/>
                <w:sz w:val="22"/>
                <w:szCs w:val="22"/>
              </w:rPr>
            </w:pPr>
            <w:r>
              <w:t>Revenue (£m)</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38EBAE" w14:textId="77777777" w:rsidR="006227CE" w:rsidRDefault="006C5E69">
            <w:pPr>
              <w:jc w:val="center"/>
              <w:rPr>
                <w:rFonts w:ascii="Calibri" w:eastAsia="Calibri" w:hAnsi="Calibri" w:cs="Calibri"/>
                <w:sz w:val="22"/>
                <w:szCs w:val="22"/>
              </w:rPr>
            </w:pPr>
            <w:r>
              <w:t>A</w:t>
            </w:r>
          </w:p>
        </w:tc>
        <w:tc>
          <w:tcPr>
            <w:tcW w:w="1120" w:type="dxa"/>
            <w:tcBorders>
              <w:top w:val="single" w:sz="6" w:space="0" w:color="CCCCCC"/>
              <w:left w:val="single" w:sz="6" w:space="0" w:color="CCCCCC"/>
              <w:bottom w:val="single" w:sz="6" w:space="0" w:color="000000"/>
              <w:right w:val="single" w:sz="6" w:space="0" w:color="000000"/>
            </w:tcBorders>
            <w:shd w:val="clear" w:color="auto" w:fill="FCFCFF"/>
            <w:tcMar>
              <w:top w:w="0" w:type="dxa"/>
              <w:left w:w="40" w:type="dxa"/>
              <w:bottom w:w="0" w:type="dxa"/>
              <w:right w:w="40" w:type="dxa"/>
            </w:tcMar>
            <w:vAlign w:val="center"/>
          </w:tcPr>
          <w:p w14:paraId="3938EBAF" w14:textId="77777777" w:rsidR="006227CE" w:rsidRDefault="006C5E69">
            <w:pPr>
              <w:jc w:val="center"/>
              <w:rPr>
                <w:rFonts w:ascii="Calibri" w:eastAsia="Calibri" w:hAnsi="Calibri" w:cs="Calibri"/>
                <w:sz w:val="22"/>
                <w:szCs w:val="22"/>
              </w:rPr>
            </w:pPr>
            <w:r>
              <w:t>589.40</w:t>
            </w:r>
          </w:p>
        </w:tc>
        <w:tc>
          <w:tcPr>
            <w:tcW w:w="1120" w:type="dxa"/>
            <w:tcBorders>
              <w:top w:val="single" w:sz="6" w:space="0" w:color="CCCCCC"/>
              <w:left w:val="single" w:sz="6" w:space="0" w:color="CCCCCC"/>
              <w:bottom w:val="single" w:sz="6" w:space="0" w:color="000000"/>
              <w:right w:val="single" w:sz="6" w:space="0" w:color="000000"/>
            </w:tcBorders>
            <w:shd w:val="clear" w:color="auto" w:fill="EAF5F0"/>
            <w:tcMar>
              <w:top w:w="0" w:type="dxa"/>
              <w:left w:w="40" w:type="dxa"/>
              <w:bottom w:w="0" w:type="dxa"/>
              <w:right w:w="40" w:type="dxa"/>
            </w:tcMar>
            <w:vAlign w:val="center"/>
          </w:tcPr>
          <w:p w14:paraId="3938EBB0" w14:textId="77777777" w:rsidR="006227CE" w:rsidRDefault="006C5E69">
            <w:pPr>
              <w:jc w:val="center"/>
              <w:rPr>
                <w:rFonts w:ascii="Calibri" w:eastAsia="Calibri" w:hAnsi="Calibri" w:cs="Calibri"/>
                <w:sz w:val="22"/>
                <w:szCs w:val="22"/>
              </w:rPr>
            </w:pPr>
            <w:r>
              <w:t>1,703.40</w:t>
            </w:r>
          </w:p>
        </w:tc>
        <w:tc>
          <w:tcPr>
            <w:tcW w:w="1120" w:type="dxa"/>
            <w:tcBorders>
              <w:top w:val="single" w:sz="6" w:space="0" w:color="CCCCCC"/>
              <w:left w:val="single" w:sz="6" w:space="0" w:color="CCCCCC"/>
              <w:bottom w:val="single" w:sz="6" w:space="0" w:color="000000"/>
              <w:right w:val="single" w:sz="6" w:space="0" w:color="000000"/>
            </w:tcBorders>
            <w:shd w:val="clear" w:color="auto" w:fill="DBEFE3"/>
            <w:tcMar>
              <w:top w:w="0" w:type="dxa"/>
              <w:left w:w="40" w:type="dxa"/>
              <w:bottom w:w="0" w:type="dxa"/>
              <w:right w:w="40" w:type="dxa"/>
            </w:tcMar>
            <w:vAlign w:val="center"/>
          </w:tcPr>
          <w:p w14:paraId="3938EBB1" w14:textId="77777777" w:rsidR="006227CE" w:rsidRDefault="006C5E69">
            <w:pPr>
              <w:jc w:val="center"/>
              <w:rPr>
                <w:rFonts w:ascii="Calibri" w:eastAsia="Calibri" w:hAnsi="Calibri" w:cs="Calibri"/>
                <w:sz w:val="22"/>
                <w:szCs w:val="22"/>
              </w:rPr>
            </w:pPr>
            <w:r>
              <w:t>2,625.20</w:t>
            </w:r>
          </w:p>
        </w:tc>
        <w:tc>
          <w:tcPr>
            <w:tcW w:w="1271" w:type="dxa"/>
            <w:tcBorders>
              <w:top w:val="single" w:sz="6" w:space="0" w:color="CCCCCC"/>
              <w:left w:val="single" w:sz="6" w:space="0" w:color="CCCCCC"/>
              <w:bottom w:val="single" w:sz="6" w:space="0" w:color="000000"/>
              <w:right w:val="single" w:sz="6" w:space="0" w:color="000000"/>
            </w:tcBorders>
            <w:shd w:val="clear" w:color="auto" w:fill="D5EDDE"/>
            <w:tcMar>
              <w:top w:w="0" w:type="dxa"/>
              <w:left w:w="40" w:type="dxa"/>
              <w:bottom w:w="0" w:type="dxa"/>
              <w:right w:w="40" w:type="dxa"/>
            </w:tcMar>
            <w:vAlign w:val="center"/>
          </w:tcPr>
          <w:p w14:paraId="3938EBB2" w14:textId="77777777" w:rsidR="006227CE" w:rsidRDefault="006C5E69">
            <w:pPr>
              <w:jc w:val="center"/>
              <w:rPr>
                <w:rFonts w:ascii="Calibri" w:eastAsia="Calibri" w:hAnsi="Calibri" w:cs="Calibri"/>
                <w:sz w:val="22"/>
                <w:szCs w:val="22"/>
              </w:rPr>
            </w:pPr>
            <w:r>
              <w:t>2,959.90</w:t>
            </w:r>
          </w:p>
        </w:tc>
        <w:tc>
          <w:tcPr>
            <w:tcW w:w="1120" w:type="dxa"/>
            <w:tcBorders>
              <w:top w:val="single" w:sz="6" w:space="0" w:color="CCCCCC"/>
              <w:left w:val="single" w:sz="6" w:space="0" w:color="CCCCCC"/>
              <w:bottom w:val="single" w:sz="6" w:space="0" w:color="000000"/>
              <w:right w:val="single" w:sz="6" w:space="0" w:color="000000"/>
            </w:tcBorders>
            <w:shd w:val="clear" w:color="auto" w:fill="D6EDDE"/>
            <w:tcMar>
              <w:top w:w="0" w:type="dxa"/>
              <w:left w:w="40" w:type="dxa"/>
              <w:bottom w:w="0" w:type="dxa"/>
              <w:right w:w="40" w:type="dxa"/>
            </w:tcMar>
            <w:vAlign w:val="center"/>
          </w:tcPr>
          <w:p w14:paraId="3938EBB3" w14:textId="77777777" w:rsidR="006227CE" w:rsidRDefault="006C5E69">
            <w:pPr>
              <w:jc w:val="center"/>
              <w:rPr>
                <w:rFonts w:ascii="Calibri" w:eastAsia="Calibri" w:hAnsi="Calibri" w:cs="Calibri"/>
                <w:sz w:val="22"/>
                <w:szCs w:val="22"/>
              </w:rPr>
            </w:pPr>
            <w:r>
              <w:t>2,921.90</w:t>
            </w:r>
          </w:p>
        </w:tc>
      </w:tr>
      <w:tr w:rsidR="006227CE" w14:paraId="3938EBBC" w14:textId="77777777">
        <w:trPr>
          <w:trHeight w:val="300"/>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938EBB5" w14:textId="77777777" w:rsidR="006227CE" w:rsidRDefault="006C5E69">
            <w:pPr>
              <w:jc w:val="center"/>
              <w:rPr>
                <w:rFonts w:ascii="Calibri" w:eastAsia="Calibri" w:hAnsi="Calibri" w:cs="Calibri"/>
                <w:sz w:val="22"/>
                <w:szCs w:val="22"/>
              </w:rPr>
            </w:pPr>
            <w:r>
              <w:t>Operating Profit/(Loss) (£m)</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38EBB6" w14:textId="77777777" w:rsidR="006227CE" w:rsidRDefault="006C5E69">
            <w:pPr>
              <w:jc w:val="center"/>
              <w:rPr>
                <w:rFonts w:ascii="Calibri" w:eastAsia="Calibri" w:hAnsi="Calibri" w:cs="Calibri"/>
                <w:sz w:val="22"/>
                <w:szCs w:val="22"/>
              </w:rPr>
            </w:pPr>
            <w:r>
              <w:t>B</w:t>
            </w:r>
          </w:p>
        </w:tc>
        <w:tc>
          <w:tcPr>
            <w:tcW w:w="1120" w:type="dxa"/>
            <w:tcBorders>
              <w:top w:val="single" w:sz="6" w:space="0" w:color="CCCCCC"/>
              <w:left w:val="single" w:sz="6" w:space="0" w:color="CCCCCC"/>
              <w:bottom w:val="single" w:sz="6" w:space="0" w:color="000000"/>
              <w:right w:val="single" w:sz="6" w:space="0" w:color="000000"/>
            </w:tcBorders>
            <w:shd w:val="clear" w:color="auto" w:fill="F86F71"/>
            <w:tcMar>
              <w:top w:w="0" w:type="dxa"/>
              <w:left w:w="40" w:type="dxa"/>
              <w:bottom w:w="0" w:type="dxa"/>
              <w:right w:w="40" w:type="dxa"/>
            </w:tcMar>
            <w:vAlign w:val="center"/>
          </w:tcPr>
          <w:p w14:paraId="3938EBB7" w14:textId="77777777" w:rsidR="006227CE" w:rsidRDefault="006C5E69">
            <w:pPr>
              <w:jc w:val="center"/>
              <w:rPr>
                <w:rFonts w:ascii="Calibri" w:eastAsia="Calibri" w:hAnsi="Calibri" w:cs="Calibri"/>
                <w:sz w:val="22"/>
                <w:szCs w:val="22"/>
              </w:rPr>
            </w:pPr>
            <w:r>
              <w:t>(839.10)</w:t>
            </w:r>
          </w:p>
        </w:tc>
        <w:tc>
          <w:tcPr>
            <w:tcW w:w="1120" w:type="dxa"/>
            <w:tcBorders>
              <w:top w:val="single" w:sz="6" w:space="0" w:color="CCCCCC"/>
              <w:left w:val="single" w:sz="6" w:space="0" w:color="CCCCCC"/>
              <w:bottom w:val="single" w:sz="6" w:space="0" w:color="000000"/>
              <w:right w:val="single" w:sz="6" w:space="0" w:color="000000"/>
            </w:tcBorders>
            <w:shd w:val="clear" w:color="auto" w:fill="FBD9DC"/>
            <w:tcMar>
              <w:top w:w="0" w:type="dxa"/>
              <w:left w:w="40" w:type="dxa"/>
              <w:bottom w:w="0" w:type="dxa"/>
              <w:right w:w="40" w:type="dxa"/>
            </w:tcMar>
            <w:vAlign w:val="center"/>
          </w:tcPr>
          <w:p w14:paraId="3938EBB8" w14:textId="77777777" w:rsidR="006227CE" w:rsidRDefault="006C5E69">
            <w:pPr>
              <w:jc w:val="center"/>
              <w:rPr>
                <w:rFonts w:ascii="Calibri" w:eastAsia="Calibri" w:hAnsi="Calibri" w:cs="Calibri"/>
                <w:sz w:val="22"/>
                <w:szCs w:val="22"/>
              </w:rPr>
            </w:pPr>
            <w:r>
              <w:t>227.30</w:t>
            </w:r>
          </w:p>
        </w:tc>
        <w:tc>
          <w:tcPr>
            <w:tcW w:w="1120" w:type="dxa"/>
            <w:tcBorders>
              <w:top w:val="single" w:sz="6" w:space="0" w:color="CCCCCC"/>
              <w:left w:val="single" w:sz="6" w:space="0" w:color="CCCCCC"/>
              <w:bottom w:val="single" w:sz="6" w:space="0" w:color="000000"/>
              <w:right w:val="single" w:sz="6" w:space="0" w:color="000000"/>
            </w:tcBorders>
            <w:shd w:val="clear" w:color="auto" w:fill="FBF5F8"/>
            <w:tcMar>
              <w:top w:w="0" w:type="dxa"/>
              <w:left w:w="40" w:type="dxa"/>
              <w:bottom w:w="0" w:type="dxa"/>
              <w:right w:w="40" w:type="dxa"/>
            </w:tcMar>
            <w:vAlign w:val="center"/>
          </w:tcPr>
          <w:p w14:paraId="3938EBB9" w14:textId="77777777" w:rsidR="006227CE" w:rsidRDefault="006C5E69">
            <w:pPr>
              <w:jc w:val="center"/>
              <w:rPr>
                <w:rFonts w:ascii="Calibri" w:eastAsia="Calibri" w:hAnsi="Calibri" w:cs="Calibri"/>
                <w:sz w:val="22"/>
                <w:szCs w:val="22"/>
              </w:rPr>
            </w:pPr>
            <w:r>
              <w:t>502.70</w:t>
            </w:r>
          </w:p>
        </w:tc>
        <w:tc>
          <w:tcPr>
            <w:tcW w:w="1271" w:type="dxa"/>
            <w:tcBorders>
              <w:top w:val="single" w:sz="6" w:space="0" w:color="CCCCCC"/>
              <w:left w:val="single" w:sz="6" w:space="0" w:color="CCCCCC"/>
              <w:bottom w:val="single" w:sz="6" w:space="0" w:color="000000"/>
              <w:right w:val="single" w:sz="6" w:space="0" w:color="000000"/>
            </w:tcBorders>
            <w:shd w:val="clear" w:color="auto" w:fill="FBFAFD"/>
            <w:tcMar>
              <w:top w:w="0" w:type="dxa"/>
              <w:left w:w="40" w:type="dxa"/>
              <w:bottom w:w="0" w:type="dxa"/>
              <w:right w:w="40" w:type="dxa"/>
            </w:tcMar>
            <w:vAlign w:val="center"/>
          </w:tcPr>
          <w:p w14:paraId="3938EBBA" w14:textId="77777777" w:rsidR="006227CE" w:rsidRDefault="006C5E69">
            <w:pPr>
              <w:jc w:val="center"/>
              <w:rPr>
                <w:rFonts w:ascii="Calibri" w:eastAsia="Calibri" w:hAnsi="Calibri" w:cs="Calibri"/>
                <w:sz w:val="22"/>
                <w:szCs w:val="22"/>
              </w:rPr>
            </w:pPr>
            <w:r>
              <w:t>551.80</w:t>
            </w:r>
          </w:p>
        </w:tc>
        <w:tc>
          <w:tcPr>
            <w:tcW w:w="1120" w:type="dxa"/>
            <w:tcBorders>
              <w:top w:val="single" w:sz="6" w:space="0" w:color="CCCCCC"/>
              <w:left w:val="single" w:sz="6" w:space="0" w:color="CCCCCC"/>
              <w:bottom w:val="single" w:sz="6" w:space="0" w:color="000000"/>
              <w:right w:val="single" w:sz="6" w:space="0" w:color="000000"/>
            </w:tcBorders>
            <w:shd w:val="clear" w:color="auto" w:fill="FBF5F8"/>
            <w:tcMar>
              <w:top w:w="0" w:type="dxa"/>
              <w:left w:w="40" w:type="dxa"/>
              <w:bottom w:w="0" w:type="dxa"/>
              <w:right w:w="40" w:type="dxa"/>
            </w:tcMar>
            <w:vAlign w:val="center"/>
          </w:tcPr>
          <w:p w14:paraId="3938EBBB" w14:textId="77777777" w:rsidR="006227CE" w:rsidRDefault="006C5E69">
            <w:pPr>
              <w:jc w:val="center"/>
              <w:rPr>
                <w:rFonts w:ascii="Calibri" w:eastAsia="Calibri" w:hAnsi="Calibri" w:cs="Calibri"/>
                <w:sz w:val="22"/>
                <w:szCs w:val="22"/>
              </w:rPr>
            </w:pPr>
            <w:r>
              <w:t>509.30</w:t>
            </w:r>
          </w:p>
        </w:tc>
      </w:tr>
      <w:tr w:rsidR="006227CE" w14:paraId="3938EBC4" w14:textId="77777777">
        <w:trPr>
          <w:trHeight w:val="300"/>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938EBBD" w14:textId="77777777" w:rsidR="006227CE" w:rsidRDefault="006C5E69">
            <w:pPr>
              <w:jc w:val="center"/>
              <w:rPr>
                <w:rFonts w:ascii="Calibri" w:eastAsia="Calibri" w:hAnsi="Calibri" w:cs="Calibri"/>
                <w:sz w:val="22"/>
                <w:szCs w:val="22"/>
              </w:rPr>
            </w:pPr>
            <w:r>
              <w:t>Net Profit/(Loss) (£m)</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38EBBE" w14:textId="77777777" w:rsidR="006227CE" w:rsidRDefault="006C5E69">
            <w:pPr>
              <w:jc w:val="center"/>
              <w:rPr>
                <w:rFonts w:ascii="Calibri" w:eastAsia="Calibri" w:hAnsi="Calibri" w:cs="Calibri"/>
                <w:sz w:val="22"/>
                <w:szCs w:val="22"/>
              </w:rPr>
            </w:pPr>
            <w:r>
              <w:t>C</w:t>
            </w:r>
          </w:p>
        </w:tc>
        <w:tc>
          <w:tcPr>
            <w:tcW w:w="1120" w:type="dxa"/>
            <w:tcBorders>
              <w:top w:val="single" w:sz="6" w:space="0" w:color="CCCCCC"/>
              <w:left w:val="single" w:sz="6" w:space="0" w:color="CCCCCC"/>
              <w:bottom w:val="single" w:sz="6" w:space="0" w:color="000000"/>
              <w:right w:val="single" w:sz="6" w:space="0" w:color="000000"/>
            </w:tcBorders>
            <w:shd w:val="clear" w:color="auto" w:fill="F8696B"/>
            <w:tcMar>
              <w:top w:w="0" w:type="dxa"/>
              <w:left w:w="40" w:type="dxa"/>
              <w:bottom w:w="0" w:type="dxa"/>
              <w:right w:w="40" w:type="dxa"/>
            </w:tcMar>
            <w:vAlign w:val="center"/>
          </w:tcPr>
          <w:p w14:paraId="3938EBBF" w14:textId="77777777" w:rsidR="006227CE" w:rsidRDefault="006C5E69">
            <w:pPr>
              <w:jc w:val="center"/>
              <w:rPr>
                <w:rFonts w:ascii="Calibri" w:eastAsia="Calibri" w:hAnsi="Calibri" w:cs="Calibri"/>
                <w:sz w:val="22"/>
                <w:szCs w:val="22"/>
              </w:rPr>
            </w:pPr>
            <w:r>
              <w:t>(906.50)</w:t>
            </w:r>
          </w:p>
        </w:tc>
        <w:tc>
          <w:tcPr>
            <w:tcW w:w="1120" w:type="dxa"/>
            <w:tcBorders>
              <w:top w:val="single" w:sz="6" w:space="0" w:color="CCCCCC"/>
              <w:left w:val="single" w:sz="6" w:space="0" w:color="CCCCCC"/>
              <w:bottom w:val="single" w:sz="6" w:space="0" w:color="000000"/>
              <w:right w:val="single" w:sz="6" w:space="0" w:color="000000"/>
            </w:tcBorders>
            <w:shd w:val="clear" w:color="auto" w:fill="FAC7CA"/>
            <w:tcMar>
              <w:top w:w="0" w:type="dxa"/>
              <w:left w:w="40" w:type="dxa"/>
              <w:bottom w:w="0" w:type="dxa"/>
              <w:right w:w="40" w:type="dxa"/>
            </w:tcMar>
            <w:vAlign w:val="center"/>
          </w:tcPr>
          <w:p w14:paraId="3938EBC0" w14:textId="77777777" w:rsidR="006227CE" w:rsidRDefault="006C5E69">
            <w:pPr>
              <w:jc w:val="center"/>
              <w:rPr>
                <w:rFonts w:ascii="Calibri" w:eastAsia="Calibri" w:hAnsi="Calibri" w:cs="Calibri"/>
                <w:sz w:val="22"/>
                <w:szCs w:val="22"/>
              </w:rPr>
            </w:pPr>
            <w:r>
              <w:t>42.50</w:t>
            </w:r>
          </w:p>
        </w:tc>
        <w:tc>
          <w:tcPr>
            <w:tcW w:w="1120" w:type="dxa"/>
            <w:tcBorders>
              <w:top w:val="single" w:sz="6" w:space="0" w:color="CCCCCC"/>
              <w:left w:val="single" w:sz="6" w:space="0" w:color="CCCCCC"/>
              <w:bottom w:val="single" w:sz="6" w:space="0" w:color="000000"/>
              <w:right w:val="single" w:sz="6" w:space="0" w:color="000000"/>
            </w:tcBorders>
            <w:shd w:val="clear" w:color="auto" w:fill="FBDEE1"/>
            <w:tcMar>
              <w:top w:w="0" w:type="dxa"/>
              <w:left w:w="40" w:type="dxa"/>
              <w:bottom w:w="0" w:type="dxa"/>
              <w:right w:w="40" w:type="dxa"/>
            </w:tcMar>
            <w:vAlign w:val="center"/>
          </w:tcPr>
          <w:p w14:paraId="3938EBC1" w14:textId="77777777" w:rsidR="006227CE" w:rsidRDefault="006C5E69">
            <w:pPr>
              <w:jc w:val="center"/>
              <w:rPr>
                <w:rFonts w:ascii="Calibri" w:eastAsia="Calibri" w:hAnsi="Calibri" w:cs="Calibri"/>
                <w:sz w:val="22"/>
                <w:szCs w:val="22"/>
              </w:rPr>
            </w:pPr>
            <w:r>
              <w:t>278.80</w:t>
            </w:r>
          </w:p>
        </w:tc>
        <w:tc>
          <w:tcPr>
            <w:tcW w:w="1271" w:type="dxa"/>
            <w:tcBorders>
              <w:top w:val="single" w:sz="6" w:space="0" w:color="CCCCCC"/>
              <w:left w:val="single" w:sz="6" w:space="0" w:color="CCCCCC"/>
              <w:bottom w:val="single" w:sz="6" w:space="0" w:color="000000"/>
              <w:right w:val="single" w:sz="6" w:space="0" w:color="000000"/>
            </w:tcBorders>
            <w:shd w:val="clear" w:color="auto" w:fill="FBE2E5"/>
            <w:tcMar>
              <w:top w:w="0" w:type="dxa"/>
              <w:left w:w="40" w:type="dxa"/>
              <w:bottom w:w="0" w:type="dxa"/>
              <w:right w:w="40" w:type="dxa"/>
            </w:tcMar>
            <w:vAlign w:val="center"/>
          </w:tcPr>
          <w:p w14:paraId="3938EBC2" w14:textId="77777777" w:rsidR="006227CE" w:rsidRDefault="006C5E69">
            <w:pPr>
              <w:jc w:val="center"/>
              <w:rPr>
                <w:rFonts w:ascii="Calibri" w:eastAsia="Calibri" w:hAnsi="Calibri" w:cs="Calibri"/>
                <w:sz w:val="22"/>
                <w:szCs w:val="22"/>
              </w:rPr>
            </w:pPr>
            <w:r>
              <w:t>312.10</w:t>
            </w:r>
          </w:p>
        </w:tc>
        <w:tc>
          <w:tcPr>
            <w:tcW w:w="1120" w:type="dxa"/>
            <w:tcBorders>
              <w:top w:val="single" w:sz="6" w:space="0" w:color="CCCCCC"/>
              <w:left w:val="single" w:sz="6" w:space="0" w:color="CCCCCC"/>
              <w:bottom w:val="single" w:sz="6" w:space="0" w:color="000000"/>
              <w:right w:val="single" w:sz="6" w:space="0" w:color="000000"/>
            </w:tcBorders>
            <w:shd w:val="clear" w:color="auto" w:fill="FBDCDF"/>
            <w:tcMar>
              <w:top w:w="0" w:type="dxa"/>
              <w:left w:w="40" w:type="dxa"/>
              <w:bottom w:w="0" w:type="dxa"/>
              <w:right w:w="40" w:type="dxa"/>
            </w:tcMar>
            <w:vAlign w:val="center"/>
          </w:tcPr>
          <w:p w14:paraId="3938EBC3" w14:textId="77777777" w:rsidR="006227CE" w:rsidRDefault="006C5E69">
            <w:pPr>
              <w:jc w:val="center"/>
              <w:rPr>
                <w:rFonts w:ascii="Calibri" w:eastAsia="Calibri" w:hAnsi="Calibri" w:cs="Calibri"/>
                <w:sz w:val="22"/>
                <w:szCs w:val="22"/>
              </w:rPr>
            </w:pPr>
            <w:r>
              <w:t>253.70</w:t>
            </w:r>
          </w:p>
        </w:tc>
      </w:tr>
      <w:tr w:rsidR="006227CE" w14:paraId="3938EBCC" w14:textId="77777777">
        <w:trPr>
          <w:trHeight w:val="300"/>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938EBC5" w14:textId="77777777" w:rsidR="006227CE" w:rsidRDefault="006C5E69">
            <w:pPr>
              <w:jc w:val="center"/>
              <w:rPr>
                <w:rFonts w:ascii="Calibri" w:eastAsia="Calibri" w:hAnsi="Calibri" w:cs="Calibri"/>
                <w:sz w:val="22"/>
                <w:szCs w:val="22"/>
              </w:rPr>
            </w:pPr>
            <w:r>
              <w:t>Total Assets (£m)</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38EBC6" w14:textId="77777777" w:rsidR="006227CE" w:rsidRDefault="006C5E69">
            <w:pPr>
              <w:jc w:val="center"/>
              <w:rPr>
                <w:rFonts w:ascii="Calibri" w:eastAsia="Calibri" w:hAnsi="Calibri" w:cs="Calibri"/>
                <w:sz w:val="22"/>
                <w:szCs w:val="22"/>
              </w:rPr>
            </w:pPr>
            <w:r>
              <w:t>D</w:t>
            </w:r>
          </w:p>
        </w:tc>
        <w:tc>
          <w:tcPr>
            <w:tcW w:w="1120" w:type="dxa"/>
            <w:tcBorders>
              <w:top w:val="single" w:sz="6" w:space="0" w:color="CCCCCC"/>
              <w:left w:val="single" w:sz="6" w:space="0" w:color="CCCCCC"/>
              <w:bottom w:val="single" w:sz="6" w:space="0" w:color="000000"/>
              <w:right w:val="single" w:sz="6" w:space="0" w:color="000000"/>
            </w:tcBorders>
            <w:shd w:val="clear" w:color="auto" w:fill="76C68C"/>
            <w:tcMar>
              <w:top w:w="0" w:type="dxa"/>
              <w:left w:w="40" w:type="dxa"/>
              <w:bottom w:w="0" w:type="dxa"/>
              <w:right w:w="40" w:type="dxa"/>
            </w:tcMar>
            <w:vAlign w:val="center"/>
          </w:tcPr>
          <w:p w14:paraId="3938EBC7" w14:textId="77777777" w:rsidR="006227CE" w:rsidRDefault="006C5E69">
            <w:pPr>
              <w:jc w:val="center"/>
              <w:rPr>
                <w:rFonts w:ascii="Calibri" w:eastAsia="Calibri" w:hAnsi="Calibri" w:cs="Calibri"/>
                <w:sz w:val="22"/>
                <w:szCs w:val="22"/>
              </w:rPr>
            </w:pPr>
            <w:r>
              <w:t>8,798.60</w:t>
            </w:r>
          </w:p>
        </w:tc>
        <w:tc>
          <w:tcPr>
            <w:tcW w:w="1120" w:type="dxa"/>
            <w:tcBorders>
              <w:top w:val="single" w:sz="6" w:space="0" w:color="CCCCCC"/>
              <w:left w:val="single" w:sz="6" w:space="0" w:color="CCCCCC"/>
              <w:bottom w:val="single" w:sz="6" w:space="0" w:color="000000"/>
              <w:right w:val="single" w:sz="6" w:space="0" w:color="000000"/>
            </w:tcBorders>
            <w:shd w:val="clear" w:color="auto" w:fill="6AC181"/>
            <w:tcMar>
              <w:top w:w="0" w:type="dxa"/>
              <w:left w:w="40" w:type="dxa"/>
              <w:bottom w:w="0" w:type="dxa"/>
              <w:right w:w="40" w:type="dxa"/>
            </w:tcMar>
            <w:vAlign w:val="center"/>
          </w:tcPr>
          <w:p w14:paraId="3938EBC8" w14:textId="77777777" w:rsidR="006227CE" w:rsidRDefault="006C5E69">
            <w:pPr>
              <w:jc w:val="center"/>
              <w:rPr>
                <w:rFonts w:ascii="Calibri" w:eastAsia="Calibri" w:hAnsi="Calibri" w:cs="Calibri"/>
                <w:sz w:val="22"/>
                <w:szCs w:val="22"/>
              </w:rPr>
            </w:pPr>
            <w:r>
              <w:t>9,566.50</w:t>
            </w:r>
          </w:p>
        </w:tc>
        <w:tc>
          <w:tcPr>
            <w:tcW w:w="1120" w:type="dxa"/>
            <w:tcBorders>
              <w:top w:val="single" w:sz="6" w:space="0" w:color="CCCCCC"/>
              <w:left w:val="single" w:sz="6" w:space="0" w:color="CCCCCC"/>
              <w:bottom w:val="single" w:sz="6" w:space="0" w:color="000000"/>
              <w:right w:val="single" w:sz="6" w:space="0" w:color="000000"/>
            </w:tcBorders>
            <w:shd w:val="clear" w:color="auto" w:fill="63BE7B"/>
            <w:tcMar>
              <w:top w:w="0" w:type="dxa"/>
              <w:left w:w="40" w:type="dxa"/>
              <w:bottom w:w="0" w:type="dxa"/>
              <w:right w:w="40" w:type="dxa"/>
            </w:tcMar>
            <w:vAlign w:val="center"/>
          </w:tcPr>
          <w:p w14:paraId="3938EBC9" w14:textId="77777777" w:rsidR="006227CE" w:rsidRDefault="006C5E69">
            <w:pPr>
              <w:jc w:val="center"/>
              <w:rPr>
                <w:rFonts w:ascii="Calibri" w:eastAsia="Calibri" w:hAnsi="Calibri" w:cs="Calibri"/>
                <w:sz w:val="22"/>
                <w:szCs w:val="22"/>
              </w:rPr>
            </w:pPr>
            <w:r>
              <w:t>9,942.80</w:t>
            </w:r>
          </w:p>
        </w:tc>
        <w:tc>
          <w:tcPr>
            <w:tcW w:w="1271" w:type="dxa"/>
            <w:tcBorders>
              <w:top w:val="single" w:sz="6" w:space="0" w:color="CCCCCC"/>
              <w:left w:val="single" w:sz="6" w:space="0" w:color="CCCCCC"/>
              <w:bottom w:val="single" w:sz="6" w:space="0" w:color="000000"/>
              <w:right w:val="single" w:sz="6" w:space="0" w:color="000000"/>
            </w:tcBorders>
            <w:shd w:val="clear" w:color="auto" w:fill="6AC181"/>
            <w:tcMar>
              <w:top w:w="0" w:type="dxa"/>
              <w:left w:w="40" w:type="dxa"/>
              <w:bottom w:w="0" w:type="dxa"/>
              <w:right w:w="40" w:type="dxa"/>
            </w:tcMar>
            <w:vAlign w:val="center"/>
          </w:tcPr>
          <w:p w14:paraId="3938EBCA" w14:textId="77777777" w:rsidR="006227CE" w:rsidRDefault="006C5E69">
            <w:pPr>
              <w:jc w:val="center"/>
              <w:rPr>
                <w:rFonts w:ascii="Calibri" w:eastAsia="Calibri" w:hAnsi="Calibri" w:cs="Calibri"/>
                <w:sz w:val="22"/>
                <w:szCs w:val="22"/>
              </w:rPr>
            </w:pPr>
            <w:r>
              <w:t>9,521.30</w:t>
            </w:r>
          </w:p>
        </w:tc>
        <w:tc>
          <w:tcPr>
            <w:tcW w:w="1120" w:type="dxa"/>
            <w:tcBorders>
              <w:top w:val="single" w:sz="6" w:space="0" w:color="CCCCCC"/>
              <w:left w:val="single" w:sz="6" w:space="0" w:color="CCCCCC"/>
              <w:bottom w:val="single" w:sz="6" w:space="0" w:color="000000"/>
              <w:right w:val="single" w:sz="6" w:space="0" w:color="000000"/>
            </w:tcBorders>
            <w:shd w:val="clear" w:color="auto" w:fill="64BF7C"/>
            <w:tcMar>
              <w:top w:w="0" w:type="dxa"/>
              <w:left w:w="40" w:type="dxa"/>
              <w:bottom w:w="0" w:type="dxa"/>
              <w:right w:w="40" w:type="dxa"/>
            </w:tcMar>
            <w:vAlign w:val="center"/>
          </w:tcPr>
          <w:p w14:paraId="3938EBCB" w14:textId="77777777" w:rsidR="006227CE" w:rsidRDefault="006C5E69">
            <w:pPr>
              <w:jc w:val="center"/>
              <w:rPr>
                <w:rFonts w:ascii="Calibri" w:eastAsia="Calibri" w:hAnsi="Calibri" w:cs="Calibri"/>
                <w:sz w:val="22"/>
                <w:szCs w:val="22"/>
              </w:rPr>
            </w:pPr>
            <w:r>
              <w:t>9,904.70</w:t>
            </w:r>
          </w:p>
        </w:tc>
      </w:tr>
      <w:tr w:rsidR="006227CE" w14:paraId="3938EBD4" w14:textId="77777777">
        <w:trPr>
          <w:trHeight w:val="300"/>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938EBCD" w14:textId="77777777" w:rsidR="006227CE" w:rsidRDefault="006C5E69">
            <w:pPr>
              <w:jc w:val="center"/>
              <w:rPr>
                <w:rFonts w:ascii="Calibri" w:eastAsia="Calibri" w:hAnsi="Calibri" w:cs="Calibri"/>
                <w:sz w:val="22"/>
                <w:szCs w:val="22"/>
              </w:rPr>
            </w:pPr>
            <w:r>
              <w:t>Current Liabilities (£m)</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38EBCE" w14:textId="77777777" w:rsidR="006227CE" w:rsidRDefault="006C5E69">
            <w:pPr>
              <w:jc w:val="center"/>
              <w:rPr>
                <w:rFonts w:ascii="Calibri" w:eastAsia="Calibri" w:hAnsi="Calibri" w:cs="Calibri"/>
                <w:sz w:val="22"/>
                <w:szCs w:val="22"/>
              </w:rPr>
            </w:pPr>
            <w:r>
              <w:t>E</w:t>
            </w:r>
          </w:p>
        </w:tc>
        <w:tc>
          <w:tcPr>
            <w:tcW w:w="1120" w:type="dxa"/>
            <w:tcBorders>
              <w:top w:val="single" w:sz="6" w:space="0" w:color="CCCCCC"/>
              <w:left w:val="single" w:sz="6" w:space="0" w:color="CCCCCC"/>
              <w:bottom w:val="single" w:sz="6" w:space="0" w:color="000000"/>
              <w:right w:val="single" w:sz="6" w:space="0" w:color="000000"/>
            </w:tcBorders>
            <w:shd w:val="clear" w:color="auto" w:fill="F9FBFD"/>
            <w:tcMar>
              <w:top w:w="0" w:type="dxa"/>
              <w:left w:w="40" w:type="dxa"/>
              <w:bottom w:w="0" w:type="dxa"/>
              <w:right w:w="40" w:type="dxa"/>
            </w:tcMar>
            <w:vAlign w:val="center"/>
          </w:tcPr>
          <w:p w14:paraId="3938EBCF" w14:textId="77777777" w:rsidR="006227CE" w:rsidRDefault="006C5E69">
            <w:pPr>
              <w:jc w:val="center"/>
              <w:rPr>
                <w:rFonts w:ascii="Calibri" w:eastAsia="Calibri" w:hAnsi="Calibri" w:cs="Calibri"/>
                <w:sz w:val="22"/>
                <w:szCs w:val="22"/>
              </w:rPr>
            </w:pPr>
            <w:r>
              <w:t>775.30</w:t>
            </w:r>
          </w:p>
        </w:tc>
        <w:tc>
          <w:tcPr>
            <w:tcW w:w="1120" w:type="dxa"/>
            <w:tcBorders>
              <w:top w:val="single" w:sz="6" w:space="0" w:color="CCCCCC"/>
              <w:left w:val="single" w:sz="6" w:space="0" w:color="CCCCCC"/>
              <w:bottom w:val="single" w:sz="6" w:space="0" w:color="000000"/>
              <w:right w:val="single" w:sz="6" w:space="0" w:color="000000"/>
            </w:tcBorders>
            <w:shd w:val="clear" w:color="auto" w:fill="FAFCFD"/>
            <w:tcMar>
              <w:top w:w="0" w:type="dxa"/>
              <w:left w:w="40" w:type="dxa"/>
              <w:bottom w:w="0" w:type="dxa"/>
              <w:right w:w="40" w:type="dxa"/>
            </w:tcMar>
            <w:vAlign w:val="center"/>
          </w:tcPr>
          <w:p w14:paraId="3938EBD0" w14:textId="77777777" w:rsidR="006227CE" w:rsidRDefault="006C5E69">
            <w:pPr>
              <w:jc w:val="center"/>
              <w:rPr>
                <w:rFonts w:ascii="Calibri" w:eastAsia="Calibri" w:hAnsi="Calibri" w:cs="Calibri"/>
                <w:sz w:val="22"/>
                <w:szCs w:val="22"/>
              </w:rPr>
            </w:pPr>
            <w:r>
              <w:t>719.60</w:t>
            </w:r>
          </w:p>
        </w:tc>
        <w:tc>
          <w:tcPr>
            <w:tcW w:w="1120" w:type="dxa"/>
            <w:tcBorders>
              <w:top w:val="single" w:sz="6" w:space="0" w:color="CCCCCC"/>
              <w:left w:val="single" w:sz="6" w:space="0" w:color="CCCCCC"/>
              <w:bottom w:val="single" w:sz="6" w:space="0" w:color="000000"/>
              <w:right w:val="single" w:sz="6" w:space="0" w:color="000000"/>
            </w:tcBorders>
            <w:shd w:val="clear" w:color="auto" w:fill="F8FBFC"/>
            <w:tcMar>
              <w:top w:w="0" w:type="dxa"/>
              <w:left w:w="40" w:type="dxa"/>
              <w:bottom w:w="0" w:type="dxa"/>
              <w:right w:w="40" w:type="dxa"/>
            </w:tcMar>
            <w:vAlign w:val="center"/>
          </w:tcPr>
          <w:p w14:paraId="3938EBD1" w14:textId="77777777" w:rsidR="006227CE" w:rsidRDefault="006C5E69">
            <w:pPr>
              <w:jc w:val="center"/>
              <w:rPr>
                <w:rFonts w:ascii="Calibri" w:eastAsia="Calibri" w:hAnsi="Calibri" w:cs="Calibri"/>
                <w:sz w:val="22"/>
                <w:szCs w:val="22"/>
              </w:rPr>
            </w:pPr>
            <w:r>
              <w:t>845.60</w:t>
            </w:r>
          </w:p>
        </w:tc>
        <w:tc>
          <w:tcPr>
            <w:tcW w:w="1271" w:type="dxa"/>
            <w:tcBorders>
              <w:top w:val="single" w:sz="6" w:space="0" w:color="CCCCCC"/>
              <w:left w:val="single" w:sz="6" w:space="0" w:color="CCCCCC"/>
              <w:bottom w:val="single" w:sz="6" w:space="0" w:color="000000"/>
              <w:right w:val="single" w:sz="6" w:space="0" w:color="000000"/>
            </w:tcBorders>
            <w:shd w:val="clear" w:color="auto" w:fill="F8FBFB"/>
            <w:tcMar>
              <w:top w:w="0" w:type="dxa"/>
              <w:left w:w="40" w:type="dxa"/>
              <w:bottom w:w="0" w:type="dxa"/>
              <w:right w:w="40" w:type="dxa"/>
            </w:tcMar>
            <w:vAlign w:val="center"/>
          </w:tcPr>
          <w:p w14:paraId="3938EBD2" w14:textId="77777777" w:rsidR="006227CE" w:rsidRDefault="006C5E69">
            <w:pPr>
              <w:jc w:val="center"/>
              <w:rPr>
                <w:rFonts w:ascii="Calibri" w:eastAsia="Calibri" w:hAnsi="Calibri" w:cs="Calibri"/>
                <w:sz w:val="22"/>
                <w:szCs w:val="22"/>
              </w:rPr>
            </w:pPr>
            <w:r>
              <w:t>870.40</w:t>
            </w:r>
          </w:p>
        </w:tc>
        <w:tc>
          <w:tcPr>
            <w:tcW w:w="1120" w:type="dxa"/>
            <w:tcBorders>
              <w:top w:val="single" w:sz="6" w:space="0" w:color="CCCCCC"/>
              <w:left w:val="single" w:sz="6" w:space="0" w:color="CCCCCC"/>
              <w:bottom w:val="single" w:sz="6" w:space="0" w:color="000000"/>
              <w:right w:val="single" w:sz="6" w:space="0" w:color="000000"/>
            </w:tcBorders>
            <w:shd w:val="clear" w:color="auto" w:fill="F0F8F5"/>
            <w:tcMar>
              <w:top w:w="0" w:type="dxa"/>
              <w:left w:w="40" w:type="dxa"/>
              <w:bottom w:w="0" w:type="dxa"/>
              <w:right w:w="40" w:type="dxa"/>
            </w:tcMar>
            <w:vAlign w:val="center"/>
          </w:tcPr>
          <w:p w14:paraId="3938EBD3" w14:textId="77777777" w:rsidR="006227CE" w:rsidRDefault="006C5E69">
            <w:pPr>
              <w:jc w:val="center"/>
              <w:rPr>
                <w:rFonts w:ascii="Calibri" w:eastAsia="Calibri" w:hAnsi="Calibri" w:cs="Calibri"/>
                <w:sz w:val="22"/>
                <w:szCs w:val="22"/>
              </w:rPr>
            </w:pPr>
            <w:r>
              <w:t>1,319.00</w:t>
            </w:r>
          </w:p>
        </w:tc>
      </w:tr>
      <w:tr w:rsidR="006227CE" w14:paraId="3938EBDC" w14:textId="77777777">
        <w:trPr>
          <w:trHeight w:val="300"/>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938EBD5" w14:textId="77777777" w:rsidR="006227CE" w:rsidRDefault="006C5E69">
            <w:pPr>
              <w:jc w:val="center"/>
              <w:rPr>
                <w:rFonts w:ascii="Calibri" w:eastAsia="Calibri" w:hAnsi="Calibri" w:cs="Calibri"/>
                <w:sz w:val="22"/>
                <w:szCs w:val="22"/>
              </w:rPr>
            </w:pPr>
            <w:r>
              <w:t>Equity (£m)</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38EBD6" w14:textId="77777777" w:rsidR="006227CE" w:rsidRDefault="006C5E69">
            <w:pPr>
              <w:jc w:val="center"/>
              <w:rPr>
                <w:rFonts w:ascii="Calibri" w:eastAsia="Calibri" w:hAnsi="Calibri" w:cs="Calibri"/>
                <w:sz w:val="22"/>
                <w:szCs w:val="22"/>
              </w:rPr>
            </w:pPr>
            <w:r>
              <w:t>F</w:t>
            </w:r>
          </w:p>
        </w:tc>
        <w:tc>
          <w:tcPr>
            <w:tcW w:w="1120" w:type="dxa"/>
            <w:tcBorders>
              <w:top w:val="single" w:sz="6" w:space="0" w:color="CCCCCC"/>
              <w:left w:val="single" w:sz="6" w:space="0" w:color="CCCCCC"/>
              <w:bottom w:val="single" w:sz="6" w:space="0" w:color="000000"/>
              <w:right w:val="single" w:sz="6" w:space="0" w:color="000000"/>
            </w:tcBorders>
            <w:shd w:val="clear" w:color="auto" w:fill="A6DAB5"/>
            <w:tcMar>
              <w:top w:w="0" w:type="dxa"/>
              <w:left w:w="40" w:type="dxa"/>
              <w:bottom w:w="0" w:type="dxa"/>
              <w:right w:w="40" w:type="dxa"/>
            </w:tcMar>
            <w:vAlign w:val="center"/>
          </w:tcPr>
          <w:p w14:paraId="3938EBD7" w14:textId="77777777" w:rsidR="006227CE" w:rsidRDefault="006C5E69">
            <w:pPr>
              <w:jc w:val="center"/>
              <w:rPr>
                <w:rFonts w:ascii="Calibri" w:eastAsia="Calibri" w:hAnsi="Calibri" w:cs="Calibri"/>
                <w:sz w:val="22"/>
                <w:szCs w:val="22"/>
              </w:rPr>
            </w:pPr>
            <w:r>
              <w:t>5,854.10</w:t>
            </w:r>
          </w:p>
        </w:tc>
        <w:tc>
          <w:tcPr>
            <w:tcW w:w="1120" w:type="dxa"/>
            <w:tcBorders>
              <w:top w:val="single" w:sz="6" w:space="0" w:color="CCCCCC"/>
              <w:left w:val="single" w:sz="6" w:space="0" w:color="CCCCCC"/>
              <w:bottom w:val="single" w:sz="6" w:space="0" w:color="000000"/>
              <w:right w:val="single" w:sz="6" w:space="0" w:color="000000"/>
            </w:tcBorders>
            <w:shd w:val="clear" w:color="auto" w:fill="C3E5CE"/>
            <w:tcMar>
              <w:top w:w="0" w:type="dxa"/>
              <w:left w:w="40" w:type="dxa"/>
              <w:bottom w:w="0" w:type="dxa"/>
              <w:right w:w="40" w:type="dxa"/>
            </w:tcMar>
            <w:vAlign w:val="center"/>
          </w:tcPr>
          <w:p w14:paraId="3938EBD8" w14:textId="77777777" w:rsidR="006227CE" w:rsidRDefault="006C5E69">
            <w:pPr>
              <w:jc w:val="center"/>
              <w:rPr>
                <w:rFonts w:ascii="Calibri" w:eastAsia="Calibri" w:hAnsi="Calibri" w:cs="Calibri"/>
                <w:sz w:val="22"/>
                <w:szCs w:val="22"/>
              </w:rPr>
            </w:pPr>
            <w:r>
              <w:t>4,119.00</w:t>
            </w:r>
          </w:p>
        </w:tc>
        <w:tc>
          <w:tcPr>
            <w:tcW w:w="1120" w:type="dxa"/>
            <w:tcBorders>
              <w:top w:val="single" w:sz="6" w:space="0" w:color="CCCCCC"/>
              <w:left w:val="single" w:sz="6" w:space="0" w:color="CCCCCC"/>
              <w:bottom w:val="single" w:sz="6" w:space="0" w:color="000000"/>
              <w:right w:val="single" w:sz="6" w:space="0" w:color="000000"/>
            </w:tcBorders>
            <w:shd w:val="clear" w:color="auto" w:fill="C3E5CE"/>
            <w:tcMar>
              <w:top w:w="0" w:type="dxa"/>
              <w:left w:w="40" w:type="dxa"/>
              <w:bottom w:w="0" w:type="dxa"/>
              <w:right w:w="40" w:type="dxa"/>
            </w:tcMar>
            <w:vAlign w:val="center"/>
          </w:tcPr>
          <w:p w14:paraId="3938EBD9" w14:textId="77777777" w:rsidR="006227CE" w:rsidRDefault="006C5E69">
            <w:pPr>
              <w:jc w:val="center"/>
              <w:rPr>
                <w:rFonts w:ascii="Calibri" w:eastAsia="Calibri" w:hAnsi="Calibri" w:cs="Calibri"/>
                <w:sz w:val="22"/>
                <w:szCs w:val="22"/>
              </w:rPr>
            </w:pPr>
            <w:r>
              <w:t>4,111.40</w:t>
            </w:r>
          </w:p>
        </w:tc>
        <w:tc>
          <w:tcPr>
            <w:tcW w:w="1271" w:type="dxa"/>
            <w:tcBorders>
              <w:top w:val="single" w:sz="6" w:space="0" w:color="CCCCCC"/>
              <w:left w:val="single" w:sz="6" w:space="0" w:color="CCCCCC"/>
              <w:bottom w:val="single" w:sz="6" w:space="0" w:color="000000"/>
              <w:right w:val="single" w:sz="6" w:space="0" w:color="000000"/>
            </w:tcBorders>
            <w:shd w:val="clear" w:color="auto" w:fill="CCE9D6"/>
            <w:tcMar>
              <w:top w:w="0" w:type="dxa"/>
              <w:left w:w="40" w:type="dxa"/>
              <w:bottom w:w="0" w:type="dxa"/>
              <w:right w:w="40" w:type="dxa"/>
            </w:tcMar>
            <w:vAlign w:val="center"/>
          </w:tcPr>
          <w:p w14:paraId="3938EBDA" w14:textId="77777777" w:rsidR="006227CE" w:rsidRDefault="006C5E69">
            <w:pPr>
              <w:jc w:val="center"/>
              <w:rPr>
                <w:rFonts w:ascii="Calibri" w:eastAsia="Calibri" w:hAnsi="Calibri" w:cs="Calibri"/>
                <w:sz w:val="22"/>
                <w:szCs w:val="22"/>
              </w:rPr>
            </w:pPr>
            <w:r>
              <w:t>3,519.40</w:t>
            </w:r>
          </w:p>
        </w:tc>
        <w:tc>
          <w:tcPr>
            <w:tcW w:w="1120" w:type="dxa"/>
            <w:tcBorders>
              <w:top w:val="single" w:sz="6" w:space="0" w:color="CCCCCC"/>
              <w:left w:val="single" w:sz="6" w:space="0" w:color="CCCCCC"/>
              <w:bottom w:val="single" w:sz="6" w:space="0" w:color="000000"/>
              <w:right w:val="single" w:sz="6" w:space="0" w:color="000000"/>
            </w:tcBorders>
            <w:shd w:val="clear" w:color="auto" w:fill="CFEAD9"/>
            <w:tcMar>
              <w:top w:w="0" w:type="dxa"/>
              <w:left w:w="40" w:type="dxa"/>
              <w:bottom w:w="0" w:type="dxa"/>
              <w:right w:w="40" w:type="dxa"/>
            </w:tcMar>
            <w:vAlign w:val="center"/>
          </w:tcPr>
          <w:p w14:paraId="3938EBDB" w14:textId="77777777" w:rsidR="006227CE" w:rsidRDefault="006C5E69">
            <w:pPr>
              <w:jc w:val="center"/>
              <w:rPr>
                <w:rFonts w:ascii="Calibri" w:eastAsia="Calibri" w:hAnsi="Calibri" w:cs="Calibri"/>
                <w:sz w:val="22"/>
                <w:szCs w:val="22"/>
              </w:rPr>
            </w:pPr>
            <w:r>
              <w:t>3,334.50</w:t>
            </w:r>
          </w:p>
        </w:tc>
      </w:tr>
      <w:tr w:rsidR="006227CE" w14:paraId="3938EBE4" w14:textId="77777777">
        <w:trPr>
          <w:trHeight w:val="300"/>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938EBDD" w14:textId="77777777" w:rsidR="006227CE" w:rsidRDefault="006C5E69">
            <w:pPr>
              <w:jc w:val="center"/>
              <w:rPr>
                <w:rFonts w:ascii="Calibri" w:eastAsia="Calibri" w:hAnsi="Calibri" w:cs="Calibri"/>
                <w:sz w:val="22"/>
                <w:szCs w:val="22"/>
              </w:rPr>
            </w:pPr>
            <w:r>
              <w:rPr>
                <w:b/>
                <w:bCs/>
              </w:rPr>
              <w:t>Net Margin</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38EBDE" w14:textId="77777777" w:rsidR="006227CE" w:rsidRDefault="006C5E69">
            <w:pPr>
              <w:jc w:val="center"/>
              <w:rPr>
                <w:rFonts w:ascii="Calibri" w:eastAsia="Calibri" w:hAnsi="Calibri" w:cs="Calibri"/>
                <w:sz w:val="22"/>
                <w:szCs w:val="22"/>
              </w:rPr>
            </w:pPr>
            <w:r>
              <w:rPr>
                <w:b/>
                <w:bCs/>
              </w:rPr>
              <w:t>C/A</w:t>
            </w:r>
          </w:p>
        </w:tc>
        <w:tc>
          <w:tcPr>
            <w:tcW w:w="1120" w:type="dxa"/>
            <w:tcBorders>
              <w:top w:val="single" w:sz="6" w:space="0" w:color="CCCCCC"/>
              <w:left w:val="single" w:sz="6" w:space="0" w:color="CCCCCC"/>
              <w:bottom w:val="single" w:sz="6" w:space="0" w:color="000000"/>
              <w:right w:val="single" w:sz="6" w:space="0" w:color="000000"/>
            </w:tcBorders>
            <w:shd w:val="clear" w:color="auto" w:fill="FAC3C5"/>
            <w:tcMar>
              <w:top w:w="0" w:type="dxa"/>
              <w:left w:w="40" w:type="dxa"/>
              <w:bottom w:w="0" w:type="dxa"/>
              <w:right w:w="40" w:type="dxa"/>
            </w:tcMar>
            <w:vAlign w:val="center"/>
          </w:tcPr>
          <w:p w14:paraId="3938EBDF" w14:textId="77777777" w:rsidR="006227CE" w:rsidRDefault="006C5E69">
            <w:pPr>
              <w:jc w:val="center"/>
              <w:rPr>
                <w:rFonts w:ascii="Calibri" w:eastAsia="Calibri" w:hAnsi="Calibri" w:cs="Calibri"/>
                <w:sz w:val="22"/>
                <w:szCs w:val="22"/>
              </w:rPr>
            </w:pPr>
            <w:r>
              <w:rPr>
                <w:b/>
                <w:bCs/>
              </w:rPr>
              <w:t>-153.80%</w:t>
            </w:r>
          </w:p>
        </w:tc>
        <w:tc>
          <w:tcPr>
            <w:tcW w:w="1120" w:type="dxa"/>
            <w:tcBorders>
              <w:top w:val="single" w:sz="6" w:space="0" w:color="CCCCCC"/>
              <w:left w:val="single" w:sz="6" w:space="0" w:color="CCCCCC"/>
              <w:bottom w:val="single" w:sz="6" w:space="0" w:color="000000"/>
              <w:right w:val="single" w:sz="6" w:space="0" w:color="000000"/>
            </w:tcBorders>
            <w:shd w:val="clear" w:color="auto" w:fill="FAC3C5"/>
            <w:tcMar>
              <w:top w:w="0" w:type="dxa"/>
              <w:left w:w="40" w:type="dxa"/>
              <w:bottom w:w="0" w:type="dxa"/>
              <w:right w:w="40" w:type="dxa"/>
            </w:tcMar>
            <w:vAlign w:val="center"/>
          </w:tcPr>
          <w:p w14:paraId="3938EBE0" w14:textId="77777777" w:rsidR="006227CE" w:rsidRDefault="006C5E69">
            <w:pPr>
              <w:jc w:val="center"/>
              <w:rPr>
                <w:rFonts w:ascii="Calibri" w:eastAsia="Calibri" w:hAnsi="Calibri" w:cs="Calibri"/>
                <w:sz w:val="22"/>
                <w:szCs w:val="22"/>
              </w:rPr>
            </w:pPr>
            <w:r>
              <w:rPr>
                <w:b/>
                <w:bCs/>
              </w:rPr>
              <w:t>2.50%</w:t>
            </w:r>
          </w:p>
        </w:tc>
        <w:tc>
          <w:tcPr>
            <w:tcW w:w="1120" w:type="dxa"/>
            <w:tcBorders>
              <w:top w:val="single" w:sz="6" w:space="0" w:color="CCCCCC"/>
              <w:left w:val="single" w:sz="6" w:space="0" w:color="CCCCCC"/>
              <w:bottom w:val="single" w:sz="6" w:space="0" w:color="000000"/>
              <w:right w:val="single" w:sz="6" w:space="0" w:color="000000"/>
            </w:tcBorders>
            <w:shd w:val="clear" w:color="auto" w:fill="FAC3C5"/>
            <w:tcMar>
              <w:top w:w="0" w:type="dxa"/>
              <w:left w:w="40" w:type="dxa"/>
              <w:bottom w:w="0" w:type="dxa"/>
              <w:right w:w="40" w:type="dxa"/>
            </w:tcMar>
            <w:vAlign w:val="center"/>
          </w:tcPr>
          <w:p w14:paraId="3938EBE1" w14:textId="77777777" w:rsidR="006227CE" w:rsidRDefault="006C5E69">
            <w:pPr>
              <w:jc w:val="center"/>
              <w:rPr>
                <w:rFonts w:ascii="Calibri" w:eastAsia="Calibri" w:hAnsi="Calibri" w:cs="Calibri"/>
                <w:sz w:val="22"/>
                <w:szCs w:val="22"/>
              </w:rPr>
            </w:pPr>
            <w:r>
              <w:rPr>
                <w:b/>
                <w:bCs/>
              </w:rPr>
              <w:t>10.62%</w:t>
            </w:r>
          </w:p>
        </w:tc>
        <w:tc>
          <w:tcPr>
            <w:tcW w:w="1271" w:type="dxa"/>
            <w:tcBorders>
              <w:top w:val="single" w:sz="6" w:space="0" w:color="CCCCCC"/>
              <w:left w:val="single" w:sz="6" w:space="0" w:color="CCCCCC"/>
              <w:bottom w:val="single" w:sz="6" w:space="0" w:color="000000"/>
              <w:right w:val="single" w:sz="6" w:space="0" w:color="000000"/>
            </w:tcBorders>
            <w:shd w:val="clear" w:color="auto" w:fill="FAC3C5"/>
            <w:tcMar>
              <w:top w:w="0" w:type="dxa"/>
              <w:left w:w="40" w:type="dxa"/>
              <w:bottom w:w="0" w:type="dxa"/>
              <w:right w:w="40" w:type="dxa"/>
            </w:tcMar>
            <w:vAlign w:val="center"/>
          </w:tcPr>
          <w:p w14:paraId="3938EBE2" w14:textId="77777777" w:rsidR="006227CE" w:rsidRDefault="006C5E69">
            <w:pPr>
              <w:jc w:val="center"/>
              <w:rPr>
                <w:rFonts w:ascii="Calibri" w:eastAsia="Calibri" w:hAnsi="Calibri" w:cs="Calibri"/>
                <w:sz w:val="22"/>
                <w:szCs w:val="22"/>
              </w:rPr>
            </w:pPr>
            <w:r>
              <w:rPr>
                <w:b/>
                <w:bCs/>
              </w:rPr>
              <w:t>10.54%</w:t>
            </w:r>
          </w:p>
        </w:tc>
        <w:tc>
          <w:tcPr>
            <w:tcW w:w="1120" w:type="dxa"/>
            <w:tcBorders>
              <w:top w:val="single" w:sz="6" w:space="0" w:color="CCCCCC"/>
              <w:left w:val="single" w:sz="6" w:space="0" w:color="CCCCCC"/>
              <w:bottom w:val="single" w:sz="6" w:space="0" w:color="000000"/>
              <w:right w:val="single" w:sz="6" w:space="0" w:color="000000"/>
            </w:tcBorders>
            <w:shd w:val="clear" w:color="auto" w:fill="FAC3C5"/>
            <w:tcMar>
              <w:top w:w="0" w:type="dxa"/>
              <w:left w:w="40" w:type="dxa"/>
              <w:bottom w:w="0" w:type="dxa"/>
              <w:right w:w="40" w:type="dxa"/>
            </w:tcMar>
            <w:vAlign w:val="center"/>
          </w:tcPr>
          <w:p w14:paraId="3938EBE3" w14:textId="77777777" w:rsidR="006227CE" w:rsidRDefault="006C5E69">
            <w:pPr>
              <w:jc w:val="center"/>
              <w:rPr>
                <w:rFonts w:ascii="Calibri" w:eastAsia="Calibri" w:hAnsi="Calibri" w:cs="Calibri"/>
                <w:sz w:val="22"/>
                <w:szCs w:val="22"/>
              </w:rPr>
            </w:pPr>
            <w:r>
              <w:rPr>
                <w:b/>
                <w:bCs/>
              </w:rPr>
              <w:t>8.68%</w:t>
            </w:r>
          </w:p>
        </w:tc>
      </w:tr>
      <w:tr w:rsidR="006227CE" w14:paraId="3938EBEC" w14:textId="77777777">
        <w:trPr>
          <w:trHeight w:val="555"/>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938EBE5" w14:textId="77777777" w:rsidR="006227CE" w:rsidRDefault="006C5E69">
            <w:pPr>
              <w:jc w:val="center"/>
              <w:rPr>
                <w:rFonts w:ascii="Calibri" w:eastAsia="Calibri" w:hAnsi="Calibri" w:cs="Calibri"/>
                <w:sz w:val="22"/>
                <w:szCs w:val="22"/>
              </w:rPr>
            </w:pPr>
            <w:r>
              <w:rPr>
                <w:b/>
                <w:bCs/>
              </w:rPr>
              <w:t>Return on Capital Employed (ROCE)</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38EBE6" w14:textId="77777777" w:rsidR="006227CE" w:rsidRDefault="006C5E69">
            <w:pPr>
              <w:jc w:val="center"/>
              <w:rPr>
                <w:rFonts w:ascii="Calibri" w:eastAsia="Calibri" w:hAnsi="Calibri" w:cs="Calibri"/>
                <w:sz w:val="22"/>
                <w:szCs w:val="22"/>
              </w:rPr>
            </w:pPr>
            <w:r>
              <w:rPr>
                <w:b/>
                <w:bCs/>
              </w:rPr>
              <w:t>B/(D-E)</w:t>
            </w:r>
          </w:p>
        </w:tc>
        <w:tc>
          <w:tcPr>
            <w:tcW w:w="1120" w:type="dxa"/>
            <w:tcBorders>
              <w:top w:val="single" w:sz="6" w:space="0" w:color="CCCCCC"/>
              <w:left w:val="single" w:sz="6" w:space="0" w:color="CCCCCC"/>
              <w:bottom w:val="single" w:sz="6" w:space="0" w:color="000000"/>
              <w:right w:val="single" w:sz="6" w:space="0" w:color="000000"/>
            </w:tcBorders>
            <w:shd w:val="clear" w:color="auto" w:fill="FAC3C5"/>
            <w:tcMar>
              <w:top w:w="0" w:type="dxa"/>
              <w:left w:w="40" w:type="dxa"/>
              <w:bottom w:w="0" w:type="dxa"/>
              <w:right w:w="40" w:type="dxa"/>
            </w:tcMar>
            <w:vAlign w:val="center"/>
          </w:tcPr>
          <w:p w14:paraId="3938EBE7" w14:textId="77777777" w:rsidR="006227CE" w:rsidRDefault="006C5E69">
            <w:pPr>
              <w:jc w:val="center"/>
              <w:rPr>
                <w:rFonts w:ascii="Calibri" w:eastAsia="Calibri" w:hAnsi="Calibri" w:cs="Calibri"/>
                <w:sz w:val="22"/>
                <w:szCs w:val="22"/>
              </w:rPr>
            </w:pPr>
            <w:r>
              <w:rPr>
                <w:b/>
                <w:bCs/>
              </w:rPr>
              <w:t>-10.46%</w:t>
            </w:r>
          </w:p>
        </w:tc>
        <w:tc>
          <w:tcPr>
            <w:tcW w:w="1120" w:type="dxa"/>
            <w:tcBorders>
              <w:top w:val="single" w:sz="6" w:space="0" w:color="CCCCCC"/>
              <w:left w:val="single" w:sz="6" w:space="0" w:color="CCCCCC"/>
              <w:bottom w:val="single" w:sz="6" w:space="0" w:color="000000"/>
              <w:right w:val="single" w:sz="6" w:space="0" w:color="000000"/>
            </w:tcBorders>
            <w:shd w:val="clear" w:color="auto" w:fill="FAC3C5"/>
            <w:tcMar>
              <w:top w:w="0" w:type="dxa"/>
              <w:left w:w="40" w:type="dxa"/>
              <w:bottom w:w="0" w:type="dxa"/>
              <w:right w:w="40" w:type="dxa"/>
            </w:tcMar>
            <w:vAlign w:val="center"/>
          </w:tcPr>
          <w:p w14:paraId="3938EBE8" w14:textId="77777777" w:rsidR="006227CE" w:rsidRDefault="006C5E69">
            <w:pPr>
              <w:jc w:val="center"/>
              <w:rPr>
                <w:rFonts w:ascii="Calibri" w:eastAsia="Calibri" w:hAnsi="Calibri" w:cs="Calibri"/>
                <w:sz w:val="22"/>
                <w:szCs w:val="22"/>
              </w:rPr>
            </w:pPr>
            <w:r>
              <w:rPr>
                <w:b/>
                <w:bCs/>
              </w:rPr>
              <w:t>2.57%</w:t>
            </w:r>
          </w:p>
        </w:tc>
        <w:tc>
          <w:tcPr>
            <w:tcW w:w="1120" w:type="dxa"/>
            <w:tcBorders>
              <w:top w:val="single" w:sz="6" w:space="0" w:color="CCCCCC"/>
              <w:left w:val="single" w:sz="6" w:space="0" w:color="CCCCCC"/>
              <w:bottom w:val="single" w:sz="6" w:space="0" w:color="000000"/>
              <w:right w:val="single" w:sz="6" w:space="0" w:color="000000"/>
            </w:tcBorders>
            <w:shd w:val="clear" w:color="auto" w:fill="FAC3C5"/>
            <w:tcMar>
              <w:top w:w="0" w:type="dxa"/>
              <w:left w:w="40" w:type="dxa"/>
              <w:bottom w:w="0" w:type="dxa"/>
              <w:right w:w="40" w:type="dxa"/>
            </w:tcMar>
            <w:vAlign w:val="center"/>
          </w:tcPr>
          <w:p w14:paraId="3938EBE9" w14:textId="77777777" w:rsidR="006227CE" w:rsidRDefault="006C5E69">
            <w:pPr>
              <w:jc w:val="center"/>
              <w:rPr>
                <w:rFonts w:ascii="Calibri" w:eastAsia="Calibri" w:hAnsi="Calibri" w:cs="Calibri"/>
                <w:sz w:val="22"/>
                <w:szCs w:val="22"/>
              </w:rPr>
            </w:pPr>
            <w:r>
              <w:rPr>
                <w:b/>
                <w:bCs/>
              </w:rPr>
              <w:t>5.53%</w:t>
            </w:r>
          </w:p>
        </w:tc>
        <w:tc>
          <w:tcPr>
            <w:tcW w:w="1271" w:type="dxa"/>
            <w:tcBorders>
              <w:top w:val="single" w:sz="6" w:space="0" w:color="CCCCCC"/>
              <w:left w:val="single" w:sz="6" w:space="0" w:color="CCCCCC"/>
              <w:bottom w:val="single" w:sz="6" w:space="0" w:color="000000"/>
              <w:right w:val="single" w:sz="6" w:space="0" w:color="000000"/>
            </w:tcBorders>
            <w:shd w:val="clear" w:color="auto" w:fill="FAC3C5"/>
            <w:tcMar>
              <w:top w:w="0" w:type="dxa"/>
              <w:left w:w="40" w:type="dxa"/>
              <w:bottom w:w="0" w:type="dxa"/>
              <w:right w:w="40" w:type="dxa"/>
            </w:tcMar>
            <w:vAlign w:val="center"/>
          </w:tcPr>
          <w:p w14:paraId="3938EBEA" w14:textId="77777777" w:rsidR="006227CE" w:rsidRDefault="006C5E69">
            <w:pPr>
              <w:jc w:val="center"/>
              <w:rPr>
                <w:rFonts w:ascii="Calibri" w:eastAsia="Calibri" w:hAnsi="Calibri" w:cs="Calibri"/>
                <w:sz w:val="22"/>
                <w:szCs w:val="22"/>
              </w:rPr>
            </w:pPr>
            <w:r>
              <w:rPr>
                <w:b/>
                <w:bCs/>
              </w:rPr>
              <w:t>6.38%</w:t>
            </w:r>
          </w:p>
        </w:tc>
        <w:tc>
          <w:tcPr>
            <w:tcW w:w="1120" w:type="dxa"/>
            <w:tcBorders>
              <w:top w:val="single" w:sz="6" w:space="0" w:color="CCCCCC"/>
              <w:left w:val="single" w:sz="6" w:space="0" w:color="CCCCCC"/>
              <w:bottom w:val="single" w:sz="6" w:space="0" w:color="000000"/>
              <w:right w:val="single" w:sz="6" w:space="0" w:color="000000"/>
            </w:tcBorders>
            <w:shd w:val="clear" w:color="auto" w:fill="FAC3C5"/>
            <w:tcMar>
              <w:top w:w="0" w:type="dxa"/>
              <w:left w:w="40" w:type="dxa"/>
              <w:bottom w:w="0" w:type="dxa"/>
              <w:right w:w="40" w:type="dxa"/>
            </w:tcMar>
            <w:vAlign w:val="center"/>
          </w:tcPr>
          <w:p w14:paraId="3938EBEB" w14:textId="77777777" w:rsidR="006227CE" w:rsidRDefault="006C5E69">
            <w:pPr>
              <w:jc w:val="center"/>
              <w:rPr>
                <w:rFonts w:ascii="Calibri" w:eastAsia="Calibri" w:hAnsi="Calibri" w:cs="Calibri"/>
                <w:sz w:val="22"/>
                <w:szCs w:val="22"/>
              </w:rPr>
            </w:pPr>
            <w:r>
              <w:rPr>
                <w:b/>
                <w:bCs/>
              </w:rPr>
              <w:t>5.93%</w:t>
            </w:r>
          </w:p>
        </w:tc>
      </w:tr>
      <w:tr w:rsidR="006227CE" w14:paraId="3938EBF4" w14:textId="77777777">
        <w:trPr>
          <w:trHeight w:val="300"/>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938EBED" w14:textId="77777777" w:rsidR="006227CE" w:rsidRDefault="006C5E69">
            <w:pPr>
              <w:jc w:val="center"/>
              <w:rPr>
                <w:rFonts w:ascii="Calibri" w:eastAsia="Calibri" w:hAnsi="Calibri" w:cs="Calibri"/>
                <w:sz w:val="22"/>
                <w:szCs w:val="22"/>
              </w:rPr>
            </w:pPr>
            <w:r>
              <w:rPr>
                <w:b/>
                <w:bCs/>
              </w:rPr>
              <w:t>Return on Equity (ROE)</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38EBEE" w14:textId="77777777" w:rsidR="006227CE" w:rsidRDefault="006C5E69">
            <w:pPr>
              <w:jc w:val="center"/>
              <w:rPr>
                <w:rFonts w:ascii="Calibri" w:eastAsia="Calibri" w:hAnsi="Calibri" w:cs="Calibri"/>
                <w:sz w:val="22"/>
                <w:szCs w:val="22"/>
              </w:rPr>
            </w:pPr>
            <w:r>
              <w:rPr>
                <w:b/>
                <w:bCs/>
              </w:rPr>
              <w:t>C/F</w:t>
            </w:r>
          </w:p>
        </w:tc>
        <w:tc>
          <w:tcPr>
            <w:tcW w:w="1120" w:type="dxa"/>
            <w:tcBorders>
              <w:top w:val="single" w:sz="6" w:space="0" w:color="CCCCCC"/>
              <w:left w:val="single" w:sz="6" w:space="0" w:color="CCCCCC"/>
              <w:bottom w:val="single" w:sz="6" w:space="0" w:color="000000"/>
              <w:right w:val="single" w:sz="6" w:space="0" w:color="000000"/>
            </w:tcBorders>
            <w:shd w:val="clear" w:color="auto" w:fill="FAC3C5"/>
            <w:tcMar>
              <w:top w:w="0" w:type="dxa"/>
              <w:left w:w="40" w:type="dxa"/>
              <w:bottom w:w="0" w:type="dxa"/>
              <w:right w:w="40" w:type="dxa"/>
            </w:tcMar>
            <w:vAlign w:val="center"/>
          </w:tcPr>
          <w:p w14:paraId="3938EBEF" w14:textId="77777777" w:rsidR="006227CE" w:rsidRDefault="006C5E69">
            <w:pPr>
              <w:jc w:val="center"/>
              <w:rPr>
                <w:rFonts w:ascii="Calibri" w:eastAsia="Calibri" w:hAnsi="Calibri" w:cs="Calibri"/>
                <w:sz w:val="22"/>
                <w:szCs w:val="22"/>
              </w:rPr>
            </w:pPr>
            <w:r>
              <w:rPr>
                <w:b/>
                <w:bCs/>
              </w:rPr>
              <w:t>-15.48%</w:t>
            </w:r>
          </w:p>
        </w:tc>
        <w:tc>
          <w:tcPr>
            <w:tcW w:w="1120" w:type="dxa"/>
            <w:tcBorders>
              <w:top w:val="single" w:sz="6" w:space="0" w:color="CCCCCC"/>
              <w:left w:val="single" w:sz="6" w:space="0" w:color="CCCCCC"/>
              <w:bottom w:val="single" w:sz="6" w:space="0" w:color="000000"/>
              <w:right w:val="single" w:sz="6" w:space="0" w:color="000000"/>
            </w:tcBorders>
            <w:shd w:val="clear" w:color="auto" w:fill="FAC3C5"/>
            <w:tcMar>
              <w:top w:w="0" w:type="dxa"/>
              <w:left w:w="40" w:type="dxa"/>
              <w:bottom w:w="0" w:type="dxa"/>
              <w:right w:w="40" w:type="dxa"/>
            </w:tcMar>
            <w:vAlign w:val="center"/>
          </w:tcPr>
          <w:p w14:paraId="3938EBF0" w14:textId="77777777" w:rsidR="006227CE" w:rsidRDefault="006C5E69">
            <w:pPr>
              <w:jc w:val="center"/>
              <w:rPr>
                <w:rFonts w:ascii="Calibri" w:eastAsia="Calibri" w:hAnsi="Calibri" w:cs="Calibri"/>
                <w:sz w:val="22"/>
                <w:szCs w:val="22"/>
              </w:rPr>
            </w:pPr>
            <w:r>
              <w:rPr>
                <w:b/>
                <w:bCs/>
              </w:rPr>
              <w:t>1.03%</w:t>
            </w:r>
          </w:p>
        </w:tc>
        <w:tc>
          <w:tcPr>
            <w:tcW w:w="1120" w:type="dxa"/>
            <w:tcBorders>
              <w:top w:val="single" w:sz="6" w:space="0" w:color="CCCCCC"/>
              <w:left w:val="single" w:sz="6" w:space="0" w:color="CCCCCC"/>
              <w:bottom w:val="single" w:sz="6" w:space="0" w:color="000000"/>
              <w:right w:val="single" w:sz="6" w:space="0" w:color="000000"/>
            </w:tcBorders>
            <w:shd w:val="clear" w:color="auto" w:fill="FAC3C5"/>
            <w:tcMar>
              <w:top w:w="0" w:type="dxa"/>
              <w:left w:w="40" w:type="dxa"/>
              <w:bottom w:w="0" w:type="dxa"/>
              <w:right w:w="40" w:type="dxa"/>
            </w:tcMar>
            <w:vAlign w:val="center"/>
          </w:tcPr>
          <w:p w14:paraId="3938EBF1" w14:textId="77777777" w:rsidR="006227CE" w:rsidRDefault="006C5E69">
            <w:pPr>
              <w:jc w:val="center"/>
              <w:rPr>
                <w:rFonts w:ascii="Calibri" w:eastAsia="Calibri" w:hAnsi="Calibri" w:cs="Calibri"/>
                <w:sz w:val="22"/>
                <w:szCs w:val="22"/>
              </w:rPr>
            </w:pPr>
            <w:r>
              <w:rPr>
                <w:b/>
                <w:bCs/>
              </w:rPr>
              <w:t>6.78%</w:t>
            </w:r>
          </w:p>
        </w:tc>
        <w:tc>
          <w:tcPr>
            <w:tcW w:w="1271" w:type="dxa"/>
            <w:tcBorders>
              <w:top w:val="single" w:sz="6" w:space="0" w:color="CCCCCC"/>
              <w:left w:val="single" w:sz="6" w:space="0" w:color="CCCCCC"/>
              <w:bottom w:val="single" w:sz="6" w:space="0" w:color="000000"/>
              <w:right w:val="single" w:sz="6" w:space="0" w:color="000000"/>
            </w:tcBorders>
            <w:shd w:val="clear" w:color="auto" w:fill="FAC3C5"/>
            <w:tcMar>
              <w:top w:w="0" w:type="dxa"/>
              <w:left w:w="40" w:type="dxa"/>
              <w:bottom w:w="0" w:type="dxa"/>
              <w:right w:w="40" w:type="dxa"/>
            </w:tcMar>
            <w:vAlign w:val="center"/>
          </w:tcPr>
          <w:p w14:paraId="3938EBF2" w14:textId="77777777" w:rsidR="006227CE" w:rsidRDefault="006C5E69">
            <w:pPr>
              <w:jc w:val="center"/>
              <w:rPr>
                <w:rFonts w:ascii="Calibri" w:eastAsia="Calibri" w:hAnsi="Calibri" w:cs="Calibri"/>
                <w:sz w:val="22"/>
                <w:szCs w:val="22"/>
              </w:rPr>
            </w:pPr>
            <w:r>
              <w:rPr>
                <w:b/>
                <w:bCs/>
              </w:rPr>
              <w:t>8.87%</w:t>
            </w:r>
          </w:p>
        </w:tc>
        <w:tc>
          <w:tcPr>
            <w:tcW w:w="1120" w:type="dxa"/>
            <w:tcBorders>
              <w:top w:val="single" w:sz="6" w:space="0" w:color="CCCCCC"/>
              <w:left w:val="single" w:sz="6" w:space="0" w:color="CCCCCC"/>
              <w:bottom w:val="single" w:sz="6" w:space="0" w:color="000000"/>
              <w:right w:val="single" w:sz="6" w:space="0" w:color="000000"/>
            </w:tcBorders>
            <w:shd w:val="clear" w:color="auto" w:fill="FAC3C5"/>
            <w:tcMar>
              <w:top w:w="0" w:type="dxa"/>
              <w:left w:w="40" w:type="dxa"/>
              <w:bottom w:w="0" w:type="dxa"/>
              <w:right w:w="40" w:type="dxa"/>
            </w:tcMar>
            <w:vAlign w:val="center"/>
          </w:tcPr>
          <w:p w14:paraId="3938EBF3" w14:textId="77777777" w:rsidR="006227CE" w:rsidRDefault="006C5E69">
            <w:pPr>
              <w:jc w:val="center"/>
              <w:rPr>
                <w:rFonts w:ascii="Calibri" w:eastAsia="Calibri" w:hAnsi="Calibri" w:cs="Calibri"/>
                <w:sz w:val="22"/>
                <w:szCs w:val="22"/>
              </w:rPr>
            </w:pPr>
            <w:r>
              <w:rPr>
                <w:b/>
                <w:bCs/>
              </w:rPr>
              <w:t>7.61%</w:t>
            </w:r>
          </w:p>
        </w:tc>
      </w:tr>
      <w:tr w:rsidR="006227CE" w14:paraId="3938EC06" w14:textId="77777777">
        <w:trPr>
          <w:trHeight w:val="300"/>
        </w:trPr>
        <w:tc>
          <w:tcPr>
            <w:tcW w:w="9360" w:type="dxa"/>
            <w:gridSpan w:val="7"/>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center"/>
          </w:tcPr>
          <w:p w14:paraId="3938EC05" w14:textId="77777777" w:rsidR="006227CE" w:rsidRDefault="006C5E69">
            <w:pPr>
              <w:jc w:val="center"/>
              <w:rPr>
                <w:rFonts w:ascii="Calibri" w:eastAsia="Calibri" w:hAnsi="Calibri" w:cs="Calibri"/>
                <w:sz w:val="22"/>
                <w:szCs w:val="22"/>
              </w:rPr>
            </w:pPr>
            <w:r>
              <w:rPr>
                <w:b/>
                <w:bCs/>
              </w:rPr>
              <w:t>Liquidity Ratios:-</w:t>
            </w:r>
          </w:p>
        </w:tc>
      </w:tr>
      <w:tr w:rsidR="006227CE" w14:paraId="3938EC0E" w14:textId="77777777">
        <w:trPr>
          <w:trHeight w:val="300"/>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938EC07" w14:textId="77777777" w:rsidR="006227CE" w:rsidRDefault="006C5E69">
            <w:pPr>
              <w:jc w:val="center"/>
              <w:rPr>
                <w:rFonts w:ascii="Calibri" w:eastAsia="Calibri" w:hAnsi="Calibri" w:cs="Calibri"/>
                <w:sz w:val="22"/>
                <w:szCs w:val="22"/>
              </w:rPr>
            </w:pPr>
            <w:r>
              <w:rPr>
                <w:b/>
                <w:bCs/>
              </w:rPr>
              <w:t>Particulars</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38EC08" w14:textId="77777777" w:rsidR="006227CE" w:rsidRDefault="006C5E69">
            <w:pPr>
              <w:jc w:val="center"/>
              <w:rPr>
                <w:rFonts w:ascii="Calibri" w:eastAsia="Calibri" w:hAnsi="Calibri" w:cs="Calibri"/>
                <w:sz w:val="22"/>
                <w:szCs w:val="22"/>
              </w:rPr>
            </w:pPr>
            <w:r>
              <w:rPr>
                <w:b/>
                <w:bCs/>
              </w:rPr>
              <w:t>Details</w:t>
            </w:r>
          </w:p>
        </w:tc>
        <w:tc>
          <w:tcPr>
            <w:tcW w:w="1120" w:type="dxa"/>
            <w:tcBorders>
              <w:top w:val="single" w:sz="6" w:space="0" w:color="CCCCCC"/>
              <w:left w:val="single" w:sz="6" w:space="0" w:color="CCCCCC"/>
              <w:bottom w:val="single" w:sz="6" w:space="0" w:color="000000"/>
              <w:right w:val="single" w:sz="6" w:space="0" w:color="000000"/>
            </w:tcBorders>
            <w:shd w:val="clear" w:color="auto" w:fill="64BF7C"/>
            <w:tcMar>
              <w:top w:w="0" w:type="dxa"/>
              <w:left w:w="40" w:type="dxa"/>
              <w:bottom w:w="0" w:type="dxa"/>
              <w:right w:w="40" w:type="dxa"/>
            </w:tcMar>
            <w:vAlign w:val="center"/>
          </w:tcPr>
          <w:p w14:paraId="3938EC09" w14:textId="77777777" w:rsidR="006227CE" w:rsidRDefault="006C5E69">
            <w:pPr>
              <w:jc w:val="center"/>
              <w:rPr>
                <w:rFonts w:ascii="Calibri" w:eastAsia="Calibri" w:hAnsi="Calibri" w:cs="Calibri"/>
                <w:sz w:val="22"/>
                <w:szCs w:val="22"/>
              </w:rPr>
            </w:pPr>
            <w:r>
              <w:rPr>
                <w:b/>
                <w:bCs/>
              </w:rPr>
              <w:t>2021</w:t>
            </w:r>
          </w:p>
        </w:tc>
        <w:tc>
          <w:tcPr>
            <w:tcW w:w="1120" w:type="dxa"/>
            <w:tcBorders>
              <w:top w:val="single" w:sz="6" w:space="0" w:color="CCCCCC"/>
              <w:left w:val="single" w:sz="6" w:space="0" w:color="CCCCCC"/>
              <w:bottom w:val="single" w:sz="6" w:space="0" w:color="000000"/>
              <w:right w:val="single" w:sz="6" w:space="0" w:color="000000"/>
            </w:tcBorders>
            <w:shd w:val="clear" w:color="auto" w:fill="64BF7C"/>
            <w:tcMar>
              <w:top w:w="0" w:type="dxa"/>
              <w:left w:w="40" w:type="dxa"/>
              <w:bottom w:w="0" w:type="dxa"/>
              <w:right w:w="40" w:type="dxa"/>
            </w:tcMar>
            <w:vAlign w:val="center"/>
          </w:tcPr>
          <w:p w14:paraId="3938EC0A" w14:textId="77777777" w:rsidR="006227CE" w:rsidRDefault="006C5E69">
            <w:pPr>
              <w:jc w:val="center"/>
              <w:rPr>
                <w:rFonts w:ascii="Calibri" w:eastAsia="Calibri" w:hAnsi="Calibri" w:cs="Calibri"/>
                <w:sz w:val="22"/>
                <w:szCs w:val="22"/>
              </w:rPr>
            </w:pPr>
            <w:r>
              <w:rPr>
                <w:b/>
                <w:bCs/>
              </w:rPr>
              <w:t>2022</w:t>
            </w:r>
          </w:p>
        </w:tc>
        <w:tc>
          <w:tcPr>
            <w:tcW w:w="1120" w:type="dxa"/>
            <w:tcBorders>
              <w:top w:val="single" w:sz="6" w:space="0" w:color="CCCCCC"/>
              <w:left w:val="single" w:sz="6" w:space="0" w:color="CCCCCC"/>
              <w:bottom w:val="single" w:sz="6" w:space="0" w:color="000000"/>
              <w:right w:val="single" w:sz="6" w:space="0" w:color="000000"/>
            </w:tcBorders>
            <w:shd w:val="clear" w:color="auto" w:fill="64BF7C"/>
            <w:tcMar>
              <w:top w:w="0" w:type="dxa"/>
              <w:left w:w="40" w:type="dxa"/>
              <w:bottom w:w="0" w:type="dxa"/>
              <w:right w:w="40" w:type="dxa"/>
            </w:tcMar>
            <w:vAlign w:val="center"/>
          </w:tcPr>
          <w:p w14:paraId="3938EC0B" w14:textId="77777777" w:rsidR="006227CE" w:rsidRDefault="006C5E69">
            <w:pPr>
              <w:jc w:val="center"/>
              <w:rPr>
                <w:rFonts w:ascii="Calibri" w:eastAsia="Calibri" w:hAnsi="Calibri" w:cs="Calibri"/>
                <w:sz w:val="22"/>
                <w:szCs w:val="22"/>
              </w:rPr>
            </w:pPr>
            <w:r>
              <w:rPr>
                <w:b/>
                <w:bCs/>
              </w:rPr>
              <w:t>2023</w:t>
            </w:r>
          </w:p>
        </w:tc>
        <w:tc>
          <w:tcPr>
            <w:tcW w:w="1271" w:type="dxa"/>
            <w:tcBorders>
              <w:top w:val="single" w:sz="6" w:space="0" w:color="CCCCCC"/>
              <w:left w:val="single" w:sz="6" w:space="0" w:color="CCCCCC"/>
              <w:bottom w:val="single" w:sz="6" w:space="0" w:color="000000"/>
              <w:right w:val="single" w:sz="6" w:space="0" w:color="000000"/>
            </w:tcBorders>
            <w:shd w:val="clear" w:color="auto" w:fill="64BF7C"/>
            <w:tcMar>
              <w:top w:w="0" w:type="dxa"/>
              <w:left w:w="40" w:type="dxa"/>
              <w:bottom w:w="0" w:type="dxa"/>
              <w:right w:w="40" w:type="dxa"/>
            </w:tcMar>
            <w:vAlign w:val="center"/>
          </w:tcPr>
          <w:p w14:paraId="3938EC0C" w14:textId="77777777" w:rsidR="006227CE" w:rsidRDefault="006C5E69">
            <w:pPr>
              <w:jc w:val="center"/>
              <w:rPr>
                <w:rFonts w:ascii="Calibri" w:eastAsia="Calibri" w:hAnsi="Calibri" w:cs="Calibri"/>
                <w:sz w:val="22"/>
                <w:szCs w:val="22"/>
              </w:rPr>
            </w:pPr>
            <w:r>
              <w:rPr>
                <w:b/>
                <w:bCs/>
              </w:rPr>
              <w:t>2024</w:t>
            </w:r>
          </w:p>
        </w:tc>
        <w:tc>
          <w:tcPr>
            <w:tcW w:w="1120" w:type="dxa"/>
            <w:tcBorders>
              <w:top w:val="single" w:sz="6" w:space="0" w:color="CCCCCC"/>
              <w:left w:val="single" w:sz="6" w:space="0" w:color="CCCCCC"/>
              <w:bottom w:val="single" w:sz="6" w:space="0" w:color="000000"/>
              <w:right w:val="single" w:sz="6" w:space="0" w:color="000000"/>
            </w:tcBorders>
            <w:shd w:val="clear" w:color="auto" w:fill="63BE7B"/>
            <w:tcMar>
              <w:top w:w="0" w:type="dxa"/>
              <w:left w:w="40" w:type="dxa"/>
              <w:bottom w:w="0" w:type="dxa"/>
              <w:right w:w="40" w:type="dxa"/>
            </w:tcMar>
            <w:vAlign w:val="center"/>
          </w:tcPr>
          <w:p w14:paraId="3938EC0D" w14:textId="77777777" w:rsidR="006227CE" w:rsidRDefault="006C5E69">
            <w:pPr>
              <w:jc w:val="center"/>
              <w:rPr>
                <w:rFonts w:ascii="Calibri" w:eastAsia="Calibri" w:hAnsi="Calibri" w:cs="Calibri"/>
                <w:sz w:val="22"/>
                <w:szCs w:val="22"/>
              </w:rPr>
            </w:pPr>
            <w:r>
              <w:rPr>
                <w:b/>
                <w:bCs/>
              </w:rPr>
              <w:t>2025</w:t>
            </w:r>
          </w:p>
        </w:tc>
      </w:tr>
      <w:tr w:rsidR="006227CE" w14:paraId="3938EC16" w14:textId="77777777">
        <w:trPr>
          <w:trHeight w:val="300"/>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938EC0F" w14:textId="77777777" w:rsidR="006227CE" w:rsidRDefault="006C5E69">
            <w:pPr>
              <w:jc w:val="center"/>
              <w:rPr>
                <w:rFonts w:ascii="Calibri" w:eastAsia="Calibri" w:hAnsi="Calibri" w:cs="Calibri"/>
                <w:sz w:val="22"/>
                <w:szCs w:val="22"/>
              </w:rPr>
            </w:pPr>
            <w:r>
              <w:t>Current Assets (£m)</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38EC10" w14:textId="77777777" w:rsidR="006227CE" w:rsidRDefault="006C5E69">
            <w:pPr>
              <w:jc w:val="center"/>
              <w:rPr>
                <w:rFonts w:ascii="Calibri" w:eastAsia="Calibri" w:hAnsi="Calibri" w:cs="Calibri"/>
                <w:sz w:val="22"/>
                <w:szCs w:val="22"/>
              </w:rPr>
            </w:pPr>
            <w:r>
              <w:t>A</w:t>
            </w:r>
          </w:p>
        </w:tc>
        <w:tc>
          <w:tcPr>
            <w:tcW w:w="1120" w:type="dxa"/>
            <w:tcBorders>
              <w:top w:val="single" w:sz="6" w:space="0" w:color="CCCCCC"/>
              <w:left w:val="single" w:sz="6" w:space="0" w:color="CCCCCC"/>
              <w:bottom w:val="single" w:sz="6" w:space="0" w:color="000000"/>
              <w:right w:val="single" w:sz="6" w:space="0" w:color="000000"/>
            </w:tcBorders>
            <w:shd w:val="clear" w:color="auto" w:fill="A1D8B1"/>
            <w:tcMar>
              <w:top w:w="0" w:type="dxa"/>
              <w:left w:w="40" w:type="dxa"/>
              <w:bottom w:w="0" w:type="dxa"/>
              <w:right w:w="40" w:type="dxa"/>
            </w:tcMar>
            <w:vAlign w:val="center"/>
          </w:tcPr>
          <w:p w14:paraId="3938EC11" w14:textId="77777777" w:rsidR="006227CE" w:rsidRDefault="006C5E69">
            <w:pPr>
              <w:jc w:val="center"/>
              <w:rPr>
                <w:rFonts w:ascii="Calibri" w:eastAsia="Calibri" w:hAnsi="Calibri" w:cs="Calibri"/>
                <w:sz w:val="22"/>
                <w:szCs w:val="22"/>
              </w:rPr>
            </w:pPr>
            <w:r>
              <w:t>1,350.50</w:t>
            </w:r>
          </w:p>
        </w:tc>
        <w:tc>
          <w:tcPr>
            <w:tcW w:w="1120" w:type="dxa"/>
            <w:tcBorders>
              <w:top w:val="single" w:sz="6" w:space="0" w:color="CCCCCC"/>
              <w:left w:val="single" w:sz="6" w:space="0" w:color="CCCCCC"/>
              <w:bottom w:val="single" w:sz="6" w:space="0" w:color="000000"/>
              <w:right w:val="single" w:sz="6" w:space="0" w:color="000000"/>
            </w:tcBorders>
            <w:shd w:val="clear" w:color="auto" w:fill="A9DBB7"/>
            <w:tcMar>
              <w:top w:w="0" w:type="dxa"/>
              <w:left w:w="40" w:type="dxa"/>
              <w:bottom w:w="0" w:type="dxa"/>
              <w:right w:w="40" w:type="dxa"/>
            </w:tcMar>
            <w:vAlign w:val="center"/>
          </w:tcPr>
          <w:p w14:paraId="3938EC12" w14:textId="77777777" w:rsidR="006227CE" w:rsidRDefault="006C5E69">
            <w:pPr>
              <w:jc w:val="center"/>
              <w:rPr>
                <w:rFonts w:ascii="Calibri" w:eastAsia="Calibri" w:hAnsi="Calibri" w:cs="Calibri"/>
                <w:sz w:val="22"/>
                <w:szCs w:val="22"/>
              </w:rPr>
            </w:pPr>
            <w:r>
              <w:t>1,268.20</w:t>
            </w:r>
          </w:p>
        </w:tc>
        <w:tc>
          <w:tcPr>
            <w:tcW w:w="1120" w:type="dxa"/>
            <w:tcBorders>
              <w:top w:val="single" w:sz="6" w:space="0" w:color="CCCCCC"/>
              <w:left w:val="single" w:sz="6" w:space="0" w:color="CCCCCC"/>
              <w:bottom w:val="single" w:sz="6" w:space="0" w:color="000000"/>
              <w:right w:val="single" w:sz="6" w:space="0" w:color="000000"/>
            </w:tcBorders>
            <w:shd w:val="clear" w:color="auto" w:fill="A3D8B3"/>
            <w:tcMar>
              <w:top w:w="0" w:type="dxa"/>
              <w:left w:w="40" w:type="dxa"/>
              <w:bottom w:w="0" w:type="dxa"/>
              <w:right w:w="40" w:type="dxa"/>
            </w:tcMar>
            <w:vAlign w:val="center"/>
          </w:tcPr>
          <w:p w14:paraId="3938EC13" w14:textId="77777777" w:rsidR="006227CE" w:rsidRDefault="006C5E69">
            <w:pPr>
              <w:jc w:val="center"/>
              <w:rPr>
                <w:rFonts w:ascii="Calibri" w:eastAsia="Calibri" w:hAnsi="Calibri" w:cs="Calibri"/>
                <w:sz w:val="22"/>
                <w:szCs w:val="22"/>
              </w:rPr>
            </w:pPr>
            <w:r>
              <w:t>1,328.30</w:t>
            </w:r>
          </w:p>
        </w:tc>
        <w:tc>
          <w:tcPr>
            <w:tcW w:w="1271" w:type="dxa"/>
            <w:tcBorders>
              <w:top w:val="single" w:sz="6" w:space="0" w:color="CCCCCC"/>
              <w:left w:val="single" w:sz="6" w:space="0" w:color="CCCCCC"/>
              <w:bottom w:val="single" w:sz="6" w:space="0" w:color="000000"/>
              <w:right w:val="single" w:sz="6" w:space="0" w:color="000000"/>
            </w:tcBorders>
            <w:shd w:val="clear" w:color="auto" w:fill="D1EBDA"/>
            <w:tcMar>
              <w:top w:w="0" w:type="dxa"/>
              <w:left w:w="40" w:type="dxa"/>
              <w:bottom w:w="0" w:type="dxa"/>
              <w:right w:w="40" w:type="dxa"/>
            </w:tcMar>
            <w:vAlign w:val="center"/>
          </w:tcPr>
          <w:p w14:paraId="3938EC14" w14:textId="77777777" w:rsidR="006227CE" w:rsidRDefault="006C5E69">
            <w:pPr>
              <w:jc w:val="center"/>
              <w:rPr>
                <w:rFonts w:ascii="Calibri" w:eastAsia="Calibri" w:hAnsi="Calibri" w:cs="Calibri"/>
                <w:sz w:val="22"/>
                <w:szCs w:val="22"/>
              </w:rPr>
            </w:pPr>
            <w:r>
              <w:t>837.20</w:t>
            </w:r>
          </w:p>
        </w:tc>
        <w:tc>
          <w:tcPr>
            <w:tcW w:w="1120" w:type="dxa"/>
            <w:tcBorders>
              <w:top w:val="single" w:sz="6" w:space="0" w:color="CCCCCC"/>
              <w:left w:val="single" w:sz="6" w:space="0" w:color="CCCCCC"/>
              <w:bottom w:val="single" w:sz="6" w:space="0" w:color="000000"/>
              <w:right w:val="single" w:sz="6" w:space="0" w:color="000000"/>
            </w:tcBorders>
            <w:shd w:val="clear" w:color="auto" w:fill="BBE2C7"/>
            <w:tcMar>
              <w:top w:w="0" w:type="dxa"/>
              <w:left w:w="40" w:type="dxa"/>
              <w:bottom w:w="0" w:type="dxa"/>
              <w:right w:w="40" w:type="dxa"/>
            </w:tcMar>
            <w:vAlign w:val="center"/>
          </w:tcPr>
          <w:p w14:paraId="3938EC15" w14:textId="77777777" w:rsidR="006227CE" w:rsidRDefault="006C5E69">
            <w:pPr>
              <w:jc w:val="center"/>
              <w:rPr>
                <w:rFonts w:ascii="Calibri" w:eastAsia="Calibri" w:hAnsi="Calibri" w:cs="Calibri"/>
                <w:sz w:val="22"/>
                <w:szCs w:val="22"/>
              </w:rPr>
            </w:pPr>
            <w:r>
              <w:t>1,073.10</w:t>
            </w:r>
          </w:p>
        </w:tc>
      </w:tr>
      <w:tr w:rsidR="006227CE" w14:paraId="3938EC1E" w14:textId="77777777">
        <w:trPr>
          <w:trHeight w:val="300"/>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938EC17" w14:textId="77777777" w:rsidR="006227CE" w:rsidRDefault="006C5E69">
            <w:pPr>
              <w:jc w:val="center"/>
              <w:rPr>
                <w:rFonts w:ascii="Calibri" w:eastAsia="Calibri" w:hAnsi="Calibri" w:cs="Calibri"/>
                <w:sz w:val="22"/>
                <w:szCs w:val="22"/>
              </w:rPr>
            </w:pPr>
            <w:r>
              <w:t>Inventories (£m)</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38EC18" w14:textId="77777777" w:rsidR="006227CE" w:rsidRDefault="006C5E69">
            <w:pPr>
              <w:jc w:val="center"/>
              <w:rPr>
                <w:rFonts w:ascii="Calibri" w:eastAsia="Calibri" w:hAnsi="Calibri" w:cs="Calibri"/>
                <w:sz w:val="22"/>
                <w:szCs w:val="22"/>
              </w:rPr>
            </w:pPr>
            <w:r>
              <w:t>B</w:t>
            </w:r>
          </w:p>
        </w:tc>
        <w:tc>
          <w:tcPr>
            <w:tcW w:w="1120" w:type="dxa"/>
            <w:tcBorders>
              <w:top w:val="single" w:sz="6" w:space="0" w:color="CCCCCC"/>
              <w:left w:val="single" w:sz="6" w:space="0" w:color="CCCCCC"/>
              <w:bottom w:val="single" w:sz="6" w:space="0" w:color="000000"/>
              <w:right w:val="single" w:sz="6" w:space="0" w:color="000000"/>
            </w:tcBorders>
            <w:shd w:val="clear" w:color="auto" w:fill="F86D6F"/>
            <w:tcMar>
              <w:top w:w="0" w:type="dxa"/>
              <w:left w:w="40" w:type="dxa"/>
              <w:bottom w:w="0" w:type="dxa"/>
              <w:right w:w="40" w:type="dxa"/>
            </w:tcMar>
            <w:vAlign w:val="center"/>
          </w:tcPr>
          <w:p w14:paraId="3938EC19" w14:textId="77777777" w:rsidR="006227CE" w:rsidRDefault="006C5E69">
            <w:pPr>
              <w:jc w:val="center"/>
              <w:rPr>
                <w:rFonts w:ascii="Calibri" w:eastAsia="Calibri" w:hAnsi="Calibri" w:cs="Calibri"/>
                <w:sz w:val="22"/>
                <w:szCs w:val="22"/>
              </w:rPr>
            </w:pPr>
            <w:r>
              <w:t>12.10</w:t>
            </w:r>
          </w:p>
        </w:tc>
        <w:tc>
          <w:tcPr>
            <w:tcW w:w="1120" w:type="dxa"/>
            <w:tcBorders>
              <w:top w:val="single" w:sz="6" w:space="0" w:color="CCCCCC"/>
              <w:left w:val="single" w:sz="6" w:space="0" w:color="CCCCCC"/>
              <w:bottom w:val="single" w:sz="6" w:space="0" w:color="000000"/>
              <w:right w:val="single" w:sz="6" w:space="0" w:color="000000"/>
            </w:tcBorders>
            <w:shd w:val="clear" w:color="auto" w:fill="F87072"/>
            <w:tcMar>
              <w:top w:w="0" w:type="dxa"/>
              <w:left w:w="40" w:type="dxa"/>
              <w:bottom w:w="0" w:type="dxa"/>
              <w:right w:w="40" w:type="dxa"/>
            </w:tcMar>
            <w:vAlign w:val="center"/>
          </w:tcPr>
          <w:p w14:paraId="3938EC1A" w14:textId="77777777" w:rsidR="006227CE" w:rsidRDefault="006C5E69">
            <w:pPr>
              <w:jc w:val="center"/>
              <w:rPr>
                <w:rFonts w:ascii="Calibri" w:eastAsia="Calibri" w:hAnsi="Calibri" w:cs="Calibri"/>
                <w:sz w:val="22"/>
                <w:szCs w:val="22"/>
              </w:rPr>
            </w:pPr>
            <w:r>
              <w:t>19.40</w:t>
            </w:r>
          </w:p>
        </w:tc>
        <w:tc>
          <w:tcPr>
            <w:tcW w:w="1120" w:type="dxa"/>
            <w:tcBorders>
              <w:top w:val="single" w:sz="6" w:space="0" w:color="CCCCCC"/>
              <w:left w:val="single" w:sz="6" w:space="0" w:color="CCCCCC"/>
              <w:bottom w:val="single" w:sz="6" w:space="0" w:color="000000"/>
              <w:right w:val="single" w:sz="6" w:space="0" w:color="000000"/>
            </w:tcBorders>
            <w:shd w:val="clear" w:color="auto" w:fill="F87173"/>
            <w:tcMar>
              <w:top w:w="0" w:type="dxa"/>
              <w:left w:w="40" w:type="dxa"/>
              <w:bottom w:w="0" w:type="dxa"/>
              <w:right w:w="40" w:type="dxa"/>
            </w:tcMar>
            <w:vAlign w:val="center"/>
          </w:tcPr>
          <w:p w14:paraId="3938EC1B" w14:textId="77777777" w:rsidR="006227CE" w:rsidRDefault="006C5E69">
            <w:pPr>
              <w:jc w:val="center"/>
              <w:rPr>
                <w:rFonts w:ascii="Calibri" w:eastAsia="Calibri" w:hAnsi="Calibri" w:cs="Calibri"/>
                <w:sz w:val="22"/>
                <w:szCs w:val="22"/>
              </w:rPr>
            </w:pPr>
            <w:r>
              <w:t>21.70</w:t>
            </w:r>
          </w:p>
        </w:tc>
        <w:tc>
          <w:tcPr>
            <w:tcW w:w="1271" w:type="dxa"/>
            <w:tcBorders>
              <w:top w:val="single" w:sz="6" w:space="0" w:color="CCCCCC"/>
              <w:left w:val="single" w:sz="6" w:space="0" w:color="CCCCCC"/>
              <w:bottom w:val="single" w:sz="6" w:space="0" w:color="000000"/>
              <w:right w:val="single" w:sz="6" w:space="0" w:color="000000"/>
            </w:tcBorders>
            <w:shd w:val="clear" w:color="auto" w:fill="F87173"/>
            <w:tcMar>
              <w:top w:w="0" w:type="dxa"/>
              <w:left w:w="40" w:type="dxa"/>
              <w:bottom w:w="0" w:type="dxa"/>
              <w:right w:w="40" w:type="dxa"/>
            </w:tcMar>
            <w:vAlign w:val="center"/>
          </w:tcPr>
          <w:p w14:paraId="3938EC1C" w14:textId="77777777" w:rsidR="006227CE" w:rsidRDefault="006C5E69">
            <w:pPr>
              <w:jc w:val="center"/>
              <w:rPr>
                <w:rFonts w:ascii="Calibri" w:eastAsia="Calibri" w:hAnsi="Calibri" w:cs="Calibri"/>
                <w:sz w:val="22"/>
                <w:szCs w:val="22"/>
              </w:rPr>
            </w:pPr>
            <w:r>
              <w:t>21.20</w:t>
            </w:r>
          </w:p>
        </w:tc>
        <w:tc>
          <w:tcPr>
            <w:tcW w:w="1120" w:type="dxa"/>
            <w:tcBorders>
              <w:top w:val="single" w:sz="6" w:space="0" w:color="CCCCCC"/>
              <w:left w:val="single" w:sz="6" w:space="0" w:color="CCCCCC"/>
              <w:bottom w:val="single" w:sz="6" w:space="0" w:color="000000"/>
              <w:right w:val="single" w:sz="6" w:space="0" w:color="000000"/>
            </w:tcBorders>
            <w:shd w:val="clear" w:color="auto" w:fill="F86F71"/>
            <w:tcMar>
              <w:top w:w="0" w:type="dxa"/>
              <w:left w:w="40" w:type="dxa"/>
              <w:bottom w:w="0" w:type="dxa"/>
              <w:right w:w="40" w:type="dxa"/>
            </w:tcMar>
            <w:vAlign w:val="center"/>
          </w:tcPr>
          <w:p w14:paraId="3938EC1D" w14:textId="77777777" w:rsidR="006227CE" w:rsidRDefault="006C5E69">
            <w:pPr>
              <w:jc w:val="center"/>
              <w:rPr>
                <w:rFonts w:ascii="Calibri" w:eastAsia="Calibri" w:hAnsi="Calibri" w:cs="Calibri"/>
                <w:sz w:val="22"/>
                <w:szCs w:val="22"/>
              </w:rPr>
            </w:pPr>
            <w:r>
              <w:t>17.10</w:t>
            </w:r>
          </w:p>
        </w:tc>
      </w:tr>
      <w:tr w:rsidR="006227CE" w14:paraId="3938EC26" w14:textId="77777777">
        <w:trPr>
          <w:trHeight w:val="300"/>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938EC1F" w14:textId="77777777" w:rsidR="006227CE" w:rsidRDefault="006C5E69">
            <w:pPr>
              <w:jc w:val="center"/>
              <w:rPr>
                <w:rFonts w:ascii="Calibri" w:eastAsia="Calibri" w:hAnsi="Calibri" w:cs="Calibri"/>
                <w:sz w:val="22"/>
                <w:szCs w:val="22"/>
              </w:rPr>
            </w:pPr>
            <w:r>
              <w:t>Current Liabilities (£m)</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38EC20" w14:textId="77777777" w:rsidR="006227CE" w:rsidRDefault="006C5E69">
            <w:pPr>
              <w:jc w:val="center"/>
              <w:rPr>
                <w:rFonts w:ascii="Calibri" w:eastAsia="Calibri" w:hAnsi="Calibri" w:cs="Calibri"/>
                <w:sz w:val="22"/>
                <w:szCs w:val="22"/>
              </w:rPr>
            </w:pPr>
            <w:r>
              <w:t>C</w:t>
            </w:r>
          </w:p>
        </w:tc>
        <w:tc>
          <w:tcPr>
            <w:tcW w:w="1120" w:type="dxa"/>
            <w:tcBorders>
              <w:top w:val="single" w:sz="6" w:space="0" w:color="CCCCCC"/>
              <w:left w:val="single" w:sz="6" w:space="0" w:color="CCCCCC"/>
              <w:bottom w:val="single" w:sz="6" w:space="0" w:color="000000"/>
              <w:right w:val="single" w:sz="6" w:space="0" w:color="000000"/>
            </w:tcBorders>
            <w:shd w:val="clear" w:color="auto" w:fill="D6EDDF"/>
            <w:tcMar>
              <w:top w:w="0" w:type="dxa"/>
              <w:left w:w="40" w:type="dxa"/>
              <w:bottom w:w="0" w:type="dxa"/>
              <w:right w:w="40" w:type="dxa"/>
            </w:tcMar>
            <w:vAlign w:val="center"/>
          </w:tcPr>
          <w:p w14:paraId="3938EC21" w14:textId="77777777" w:rsidR="006227CE" w:rsidRDefault="006C5E69">
            <w:pPr>
              <w:jc w:val="center"/>
              <w:rPr>
                <w:rFonts w:ascii="Calibri" w:eastAsia="Calibri" w:hAnsi="Calibri" w:cs="Calibri"/>
                <w:sz w:val="22"/>
                <w:szCs w:val="22"/>
              </w:rPr>
            </w:pPr>
            <w:r>
              <w:t>775.30</w:t>
            </w:r>
          </w:p>
        </w:tc>
        <w:tc>
          <w:tcPr>
            <w:tcW w:w="1120" w:type="dxa"/>
            <w:tcBorders>
              <w:top w:val="single" w:sz="6" w:space="0" w:color="CCCCCC"/>
              <w:left w:val="single" w:sz="6" w:space="0" w:color="CCCCCC"/>
              <w:bottom w:val="single" w:sz="6" w:space="0" w:color="000000"/>
              <w:right w:val="single" w:sz="6" w:space="0" w:color="000000"/>
            </w:tcBorders>
            <w:shd w:val="clear" w:color="auto" w:fill="DBEFE3"/>
            <w:tcMar>
              <w:top w:w="0" w:type="dxa"/>
              <w:left w:w="40" w:type="dxa"/>
              <w:bottom w:w="0" w:type="dxa"/>
              <w:right w:w="40" w:type="dxa"/>
            </w:tcMar>
            <w:vAlign w:val="center"/>
          </w:tcPr>
          <w:p w14:paraId="3938EC22" w14:textId="77777777" w:rsidR="006227CE" w:rsidRDefault="006C5E69">
            <w:pPr>
              <w:jc w:val="center"/>
              <w:rPr>
                <w:rFonts w:ascii="Calibri" w:eastAsia="Calibri" w:hAnsi="Calibri" w:cs="Calibri"/>
                <w:sz w:val="22"/>
                <w:szCs w:val="22"/>
              </w:rPr>
            </w:pPr>
            <w:r>
              <w:t>719.60</w:t>
            </w:r>
          </w:p>
        </w:tc>
        <w:tc>
          <w:tcPr>
            <w:tcW w:w="1120" w:type="dxa"/>
            <w:tcBorders>
              <w:top w:val="single" w:sz="6" w:space="0" w:color="CCCCCC"/>
              <w:left w:val="single" w:sz="6" w:space="0" w:color="CCCCCC"/>
              <w:bottom w:val="single" w:sz="6" w:space="0" w:color="000000"/>
              <w:right w:val="single" w:sz="6" w:space="0" w:color="000000"/>
            </w:tcBorders>
            <w:shd w:val="clear" w:color="auto" w:fill="D0EAD9"/>
            <w:tcMar>
              <w:top w:w="0" w:type="dxa"/>
              <w:left w:w="40" w:type="dxa"/>
              <w:bottom w:w="0" w:type="dxa"/>
              <w:right w:w="40" w:type="dxa"/>
            </w:tcMar>
            <w:vAlign w:val="center"/>
          </w:tcPr>
          <w:p w14:paraId="3938EC23" w14:textId="77777777" w:rsidR="006227CE" w:rsidRDefault="006C5E69">
            <w:pPr>
              <w:jc w:val="center"/>
              <w:rPr>
                <w:rFonts w:ascii="Calibri" w:eastAsia="Calibri" w:hAnsi="Calibri" w:cs="Calibri"/>
                <w:sz w:val="22"/>
                <w:szCs w:val="22"/>
              </w:rPr>
            </w:pPr>
            <w:r>
              <w:t>845.60</w:t>
            </w:r>
          </w:p>
        </w:tc>
        <w:tc>
          <w:tcPr>
            <w:tcW w:w="1271" w:type="dxa"/>
            <w:tcBorders>
              <w:top w:val="single" w:sz="6" w:space="0" w:color="CCCCCC"/>
              <w:left w:val="single" w:sz="6" w:space="0" w:color="CCCCCC"/>
              <w:bottom w:val="single" w:sz="6" w:space="0" w:color="000000"/>
              <w:right w:val="single" w:sz="6" w:space="0" w:color="000000"/>
            </w:tcBorders>
            <w:shd w:val="clear" w:color="auto" w:fill="CEE9D7"/>
            <w:tcMar>
              <w:top w:w="0" w:type="dxa"/>
              <w:left w:w="40" w:type="dxa"/>
              <w:bottom w:w="0" w:type="dxa"/>
              <w:right w:w="40" w:type="dxa"/>
            </w:tcMar>
            <w:vAlign w:val="center"/>
          </w:tcPr>
          <w:p w14:paraId="3938EC24" w14:textId="77777777" w:rsidR="006227CE" w:rsidRDefault="006C5E69">
            <w:pPr>
              <w:jc w:val="center"/>
              <w:rPr>
                <w:rFonts w:ascii="Calibri" w:eastAsia="Calibri" w:hAnsi="Calibri" w:cs="Calibri"/>
                <w:sz w:val="22"/>
                <w:szCs w:val="22"/>
              </w:rPr>
            </w:pPr>
            <w:r>
              <w:t>870.40</w:t>
            </w:r>
          </w:p>
        </w:tc>
        <w:tc>
          <w:tcPr>
            <w:tcW w:w="1120" w:type="dxa"/>
            <w:tcBorders>
              <w:top w:val="single" w:sz="6" w:space="0" w:color="CCCCCC"/>
              <w:left w:val="single" w:sz="6" w:space="0" w:color="CCCCCC"/>
              <w:bottom w:val="single" w:sz="6" w:space="0" w:color="000000"/>
              <w:right w:val="single" w:sz="6" w:space="0" w:color="000000"/>
            </w:tcBorders>
            <w:shd w:val="clear" w:color="auto" w:fill="A4D9B3"/>
            <w:tcMar>
              <w:top w:w="0" w:type="dxa"/>
              <w:left w:w="40" w:type="dxa"/>
              <w:bottom w:w="0" w:type="dxa"/>
              <w:right w:w="40" w:type="dxa"/>
            </w:tcMar>
            <w:vAlign w:val="center"/>
          </w:tcPr>
          <w:p w14:paraId="3938EC25" w14:textId="77777777" w:rsidR="006227CE" w:rsidRDefault="006C5E69">
            <w:pPr>
              <w:jc w:val="center"/>
              <w:rPr>
                <w:rFonts w:ascii="Calibri" w:eastAsia="Calibri" w:hAnsi="Calibri" w:cs="Calibri"/>
                <w:sz w:val="22"/>
                <w:szCs w:val="22"/>
              </w:rPr>
            </w:pPr>
            <w:r>
              <w:t>1,319.00</w:t>
            </w:r>
          </w:p>
        </w:tc>
      </w:tr>
      <w:tr w:rsidR="006227CE" w14:paraId="3938EC2E" w14:textId="77777777">
        <w:trPr>
          <w:trHeight w:val="300"/>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938EC27" w14:textId="77777777" w:rsidR="006227CE" w:rsidRDefault="006C5E69">
            <w:pPr>
              <w:jc w:val="center"/>
              <w:rPr>
                <w:rFonts w:ascii="Calibri" w:eastAsia="Calibri" w:hAnsi="Calibri" w:cs="Calibri"/>
                <w:sz w:val="22"/>
                <w:szCs w:val="22"/>
              </w:rPr>
            </w:pPr>
            <w:r>
              <w:t>Cash (£m)</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38EC28" w14:textId="77777777" w:rsidR="006227CE" w:rsidRDefault="006C5E69">
            <w:pPr>
              <w:jc w:val="center"/>
              <w:rPr>
                <w:rFonts w:ascii="Calibri" w:eastAsia="Calibri" w:hAnsi="Calibri" w:cs="Calibri"/>
                <w:sz w:val="22"/>
                <w:szCs w:val="22"/>
              </w:rPr>
            </w:pPr>
            <w:r>
              <w:t>D</w:t>
            </w:r>
          </w:p>
        </w:tc>
        <w:tc>
          <w:tcPr>
            <w:tcW w:w="1120" w:type="dxa"/>
            <w:tcBorders>
              <w:top w:val="single" w:sz="6" w:space="0" w:color="CCCCCC"/>
              <w:left w:val="single" w:sz="6" w:space="0" w:color="CCCCCC"/>
              <w:bottom w:val="single" w:sz="6" w:space="0" w:color="000000"/>
              <w:right w:val="single" w:sz="6" w:space="0" w:color="000000"/>
            </w:tcBorders>
            <w:shd w:val="clear" w:color="auto" w:fill="AADBB8"/>
            <w:tcMar>
              <w:top w:w="0" w:type="dxa"/>
              <w:left w:w="40" w:type="dxa"/>
              <w:bottom w:w="0" w:type="dxa"/>
              <w:right w:w="40" w:type="dxa"/>
            </w:tcMar>
            <w:vAlign w:val="center"/>
          </w:tcPr>
          <w:p w14:paraId="3938EC29" w14:textId="77777777" w:rsidR="006227CE" w:rsidRDefault="006C5E69">
            <w:pPr>
              <w:jc w:val="center"/>
              <w:rPr>
                <w:rFonts w:ascii="Calibri" w:eastAsia="Calibri" w:hAnsi="Calibri" w:cs="Calibri"/>
                <w:sz w:val="22"/>
                <w:szCs w:val="22"/>
              </w:rPr>
            </w:pPr>
            <w:r>
              <w:t>1,256.00</w:t>
            </w:r>
          </w:p>
        </w:tc>
        <w:tc>
          <w:tcPr>
            <w:tcW w:w="1120" w:type="dxa"/>
            <w:tcBorders>
              <w:top w:val="single" w:sz="6" w:space="0" w:color="CCCCCC"/>
              <w:left w:val="single" w:sz="6" w:space="0" w:color="CCCCCC"/>
              <w:bottom w:val="single" w:sz="6" w:space="0" w:color="000000"/>
              <w:right w:val="single" w:sz="6" w:space="0" w:color="000000"/>
            </w:tcBorders>
            <w:shd w:val="clear" w:color="auto" w:fill="B5E0C2"/>
            <w:tcMar>
              <w:top w:w="0" w:type="dxa"/>
              <w:left w:w="40" w:type="dxa"/>
              <w:bottom w:w="0" w:type="dxa"/>
              <w:right w:w="40" w:type="dxa"/>
            </w:tcMar>
            <w:vAlign w:val="center"/>
          </w:tcPr>
          <w:p w14:paraId="3938EC2A" w14:textId="77777777" w:rsidR="006227CE" w:rsidRDefault="006C5E69">
            <w:pPr>
              <w:jc w:val="center"/>
              <w:rPr>
                <w:rFonts w:ascii="Calibri" w:eastAsia="Calibri" w:hAnsi="Calibri" w:cs="Calibri"/>
                <w:sz w:val="22"/>
                <w:szCs w:val="22"/>
              </w:rPr>
            </w:pPr>
            <w:r>
              <w:t>1,132.40</w:t>
            </w:r>
          </w:p>
        </w:tc>
        <w:tc>
          <w:tcPr>
            <w:tcW w:w="1120" w:type="dxa"/>
            <w:tcBorders>
              <w:top w:val="single" w:sz="6" w:space="0" w:color="CCCCCC"/>
              <w:left w:val="single" w:sz="6" w:space="0" w:color="CCCCCC"/>
              <w:bottom w:val="single" w:sz="6" w:space="0" w:color="000000"/>
              <w:right w:val="single" w:sz="6" w:space="0" w:color="000000"/>
            </w:tcBorders>
            <w:shd w:val="clear" w:color="auto" w:fill="B3DFC0"/>
            <w:tcMar>
              <w:top w:w="0" w:type="dxa"/>
              <w:left w:w="40" w:type="dxa"/>
              <w:bottom w:w="0" w:type="dxa"/>
              <w:right w:w="40" w:type="dxa"/>
            </w:tcMar>
            <w:vAlign w:val="center"/>
          </w:tcPr>
          <w:p w14:paraId="3938EC2B" w14:textId="77777777" w:rsidR="006227CE" w:rsidRDefault="006C5E69">
            <w:pPr>
              <w:jc w:val="center"/>
              <w:rPr>
                <w:rFonts w:ascii="Calibri" w:eastAsia="Calibri" w:hAnsi="Calibri" w:cs="Calibri"/>
                <w:sz w:val="22"/>
                <w:szCs w:val="22"/>
              </w:rPr>
            </w:pPr>
            <w:r>
              <w:t>1,164.80</w:t>
            </w:r>
          </w:p>
        </w:tc>
        <w:tc>
          <w:tcPr>
            <w:tcW w:w="1271" w:type="dxa"/>
            <w:tcBorders>
              <w:top w:val="single" w:sz="6" w:space="0" w:color="CCCCCC"/>
              <w:left w:val="single" w:sz="6" w:space="0" w:color="CCCCCC"/>
              <w:bottom w:val="single" w:sz="6" w:space="0" w:color="000000"/>
              <w:right w:val="single" w:sz="6" w:space="0" w:color="000000"/>
            </w:tcBorders>
            <w:shd w:val="clear" w:color="auto" w:fill="DEF0E5"/>
            <w:tcMar>
              <w:top w:w="0" w:type="dxa"/>
              <w:left w:w="40" w:type="dxa"/>
              <w:bottom w:w="0" w:type="dxa"/>
              <w:right w:w="40" w:type="dxa"/>
            </w:tcMar>
            <w:vAlign w:val="center"/>
          </w:tcPr>
          <w:p w14:paraId="3938EC2C" w14:textId="77777777" w:rsidR="006227CE" w:rsidRDefault="006C5E69">
            <w:pPr>
              <w:jc w:val="center"/>
              <w:rPr>
                <w:rFonts w:ascii="Calibri" w:eastAsia="Calibri" w:hAnsi="Calibri" w:cs="Calibri"/>
                <w:sz w:val="22"/>
                <w:szCs w:val="22"/>
              </w:rPr>
            </w:pPr>
            <w:r>
              <w:t>696.70</w:t>
            </w:r>
          </w:p>
        </w:tc>
        <w:tc>
          <w:tcPr>
            <w:tcW w:w="1120" w:type="dxa"/>
            <w:tcBorders>
              <w:top w:val="single" w:sz="6" w:space="0" w:color="CCCCCC"/>
              <w:left w:val="single" w:sz="6" w:space="0" w:color="CCCCCC"/>
              <w:bottom w:val="single" w:sz="6" w:space="0" w:color="000000"/>
              <w:right w:val="single" w:sz="6" w:space="0" w:color="000000"/>
            </w:tcBorders>
            <w:shd w:val="clear" w:color="auto" w:fill="CAE8D4"/>
            <w:tcMar>
              <w:top w:w="0" w:type="dxa"/>
              <w:left w:w="40" w:type="dxa"/>
              <w:bottom w:w="0" w:type="dxa"/>
              <w:right w:w="40" w:type="dxa"/>
            </w:tcMar>
            <w:vAlign w:val="center"/>
          </w:tcPr>
          <w:p w14:paraId="3938EC2D" w14:textId="77777777" w:rsidR="006227CE" w:rsidRDefault="006C5E69">
            <w:pPr>
              <w:jc w:val="center"/>
              <w:rPr>
                <w:rFonts w:ascii="Calibri" w:eastAsia="Calibri" w:hAnsi="Calibri" w:cs="Calibri"/>
                <w:sz w:val="22"/>
                <w:szCs w:val="22"/>
              </w:rPr>
            </w:pPr>
            <w:r>
              <w:t>909.00</w:t>
            </w:r>
          </w:p>
        </w:tc>
      </w:tr>
      <w:tr w:rsidR="006227CE" w14:paraId="3938EC36" w14:textId="77777777">
        <w:trPr>
          <w:trHeight w:val="315"/>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938EC2F" w14:textId="77777777" w:rsidR="006227CE" w:rsidRDefault="006C5E69">
            <w:pPr>
              <w:jc w:val="center"/>
              <w:rPr>
                <w:rFonts w:ascii="Calibri" w:eastAsia="Calibri" w:hAnsi="Calibri" w:cs="Calibri"/>
                <w:sz w:val="22"/>
                <w:szCs w:val="22"/>
              </w:rPr>
            </w:pPr>
            <w:r>
              <w:rPr>
                <w:b/>
                <w:bCs/>
              </w:rPr>
              <w:t>Current Ratio</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38EC30" w14:textId="77777777" w:rsidR="006227CE" w:rsidRDefault="006C5E69">
            <w:pPr>
              <w:jc w:val="center"/>
              <w:rPr>
                <w:rFonts w:ascii="Calibri" w:eastAsia="Calibri" w:hAnsi="Calibri" w:cs="Calibri"/>
                <w:sz w:val="22"/>
                <w:szCs w:val="22"/>
              </w:rPr>
            </w:pPr>
            <w:r>
              <w:rPr>
                <w:b/>
                <w:bCs/>
              </w:rPr>
              <w:t>A/C</w:t>
            </w:r>
          </w:p>
        </w:tc>
        <w:tc>
          <w:tcPr>
            <w:tcW w:w="1120" w:type="dxa"/>
            <w:tcBorders>
              <w:top w:val="single" w:sz="6" w:space="0" w:color="CCCCCC"/>
              <w:left w:val="single" w:sz="6" w:space="0" w:color="CCCCCC"/>
              <w:bottom w:val="single" w:sz="6" w:space="0" w:color="000000"/>
              <w:right w:val="single" w:sz="6" w:space="0" w:color="000000"/>
            </w:tcBorders>
            <w:shd w:val="clear" w:color="auto" w:fill="F8696B"/>
            <w:tcMar>
              <w:top w:w="0" w:type="dxa"/>
              <w:left w:w="40" w:type="dxa"/>
              <w:bottom w:w="0" w:type="dxa"/>
              <w:right w:w="40" w:type="dxa"/>
            </w:tcMar>
            <w:vAlign w:val="center"/>
          </w:tcPr>
          <w:p w14:paraId="3938EC31" w14:textId="77777777" w:rsidR="006227CE" w:rsidRDefault="006C5E69">
            <w:pPr>
              <w:jc w:val="center"/>
              <w:rPr>
                <w:rFonts w:ascii="Calibri" w:eastAsia="Calibri" w:hAnsi="Calibri" w:cs="Calibri"/>
                <w:sz w:val="22"/>
                <w:szCs w:val="22"/>
              </w:rPr>
            </w:pPr>
            <w:r>
              <w:rPr>
                <w:b/>
                <w:bCs/>
              </w:rPr>
              <w:t>1.74</w:t>
            </w:r>
          </w:p>
        </w:tc>
        <w:tc>
          <w:tcPr>
            <w:tcW w:w="1120" w:type="dxa"/>
            <w:tcBorders>
              <w:top w:val="single" w:sz="6" w:space="0" w:color="CCCCCC"/>
              <w:left w:val="single" w:sz="6" w:space="0" w:color="CCCCCC"/>
              <w:bottom w:val="single" w:sz="6" w:space="0" w:color="000000"/>
              <w:right w:val="single" w:sz="6" w:space="0" w:color="000000"/>
            </w:tcBorders>
            <w:shd w:val="clear" w:color="auto" w:fill="F8696B"/>
            <w:tcMar>
              <w:top w:w="0" w:type="dxa"/>
              <w:left w:w="40" w:type="dxa"/>
              <w:bottom w:w="0" w:type="dxa"/>
              <w:right w:w="40" w:type="dxa"/>
            </w:tcMar>
            <w:vAlign w:val="center"/>
          </w:tcPr>
          <w:p w14:paraId="3938EC32" w14:textId="77777777" w:rsidR="006227CE" w:rsidRDefault="006C5E69">
            <w:pPr>
              <w:jc w:val="center"/>
              <w:rPr>
                <w:rFonts w:ascii="Calibri" w:eastAsia="Calibri" w:hAnsi="Calibri" w:cs="Calibri"/>
                <w:sz w:val="22"/>
                <w:szCs w:val="22"/>
              </w:rPr>
            </w:pPr>
            <w:r>
              <w:rPr>
                <w:b/>
                <w:bCs/>
              </w:rPr>
              <w:t>1.76</w:t>
            </w:r>
          </w:p>
        </w:tc>
        <w:tc>
          <w:tcPr>
            <w:tcW w:w="1120" w:type="dxa"/>
            <w:tcBorders>
              <w:top w:val="single" w:sz="6" w:space="0" w:color="CCCCCC"/>
              <w:left w:val="single" w:sz="6" w:space="0" w:color="CCCCCC"/>
              <w:bottom w:val="single" w:sz="6" w:space="0" w:color="000000"/>
              <w:right w:val="single" w:sz="6" w:space="0" w:color="000000"/>
            </w:tcBorders>
            <w:shd w:val="clear" w:color="auto" w:fill="F8696B"/>
            <w:tcMar>
              <w:top w:w="0" w:type="dxa"/>
              <w:left w:w="40" w:type="dxa"/>
              <w:bottom w:w="0" w:type="dxa"/>
              <w:right w:w="40" w:type="dxa"/>
            </w:tcMar>
            <w:vAlign w:val="center"/>
          </w:tcPr>
          <w:p w14:paraId="3938EC33" w14:textId="77777777" w:rsidR="006227CE" w:rsidRDefault="006C5E69">
            <w:pPr>
              <w:jc w:val="center"/>
              <w:rPr>
                <w:rFonts w:ascii="Calibri" w:eastAsia="Calibri" w:hAnsi="Calibri" w:cs="Calibri"/>
                <w:sz w:val="22"/>
                <w:szCs w:val="22"/>
              </w:rPr>
            </w:pPr>
            <w:r>
              <w:rPr>
                <w:b/>
                <w:bCs/>
              </w:rPr>
              <w:t>1.57</w:t>
            </w:r>
          </w:p>
        </w:tc>
        <w:tc>
          <w:tcPr>
            <w:tcW w:w="1271" w:type="dxa"/>
            <w:tcBorders>
              <w:top w:val="single" w:sz="6" w:space="0" w:color="CCCCCC"/>
              <w:left w:val="single" w:sz="6" w:space="0" w:color="CCCCCC"/>
              <w:bottom w:val="single" w:sz="6" w:space="0" w:color="000000"/>
              <w:right w:val="single" w:sz="6" w:space="0" w:color="000000"/>
            </w:tcBorders>
            <w:shd w:val="clear" w:color="auto" w:fill="F8696B"/>
            <w:tcMar>
              <w:top w:w="0" w:type="dxa"/>
              <w:left w:w="40" w:type="dxa"/>
              <w:bottom w:w="0" w:type="dxa"/>
              <w:right w:w="40" w:type="dxa"/>
            </w:tcMar>
            <w:vAlign w:val="center"/>
          </w:tcPr>
          <w:p w14:paraId="3938EC34" w14:textId="77777777" w:rsidR="006227CE" w:rsidRDefault="006C5E69">
            <w:pPr>
              <w:jc w:val="center"/>
              <w:rPr>
                <w:rFonts w:ascii="Calibri" w:eastAsia="Calibri" w:hAnsi="Calibri" w:cs="Calibri"/>
                <w:sz w:val="22"/>
                <w:szCs w:val="22"/>
              </w:rPr>
            </w:pPr>
            <w:r>
              <w:rPr>
                <w:b/>
                <w:bCs/>
              </w:rPr>
              <w:t>0.96</w:t>
            </w:r>
          </w:p>
        </w:tc>
        <w:tc>
          <w:tcPr>
            <w:tcW w:w="1120" w:type="dxa"/>
            <w:tcBorders>
              <w:top w:val="single" w:sz="6" w:space="0" w:color="CCCCCC"/>
              <w:left w:val="single" w:sz="6" w:space="0" w:color="CCCCCC"/>
              <w:bottom w:val="single" w:sz="6" w:space="0" w:color="000000"/>
              <w:right w:val="single" w:sz="6" w:space="0" w:color="000000"/>
            </w:tcBorders>
            <w:shd w:val="clear" w:color="auto" w:fill="F8696B"/>
            <w:tcMar>
              <w:top w:w="0" w:type="dxa"/>
              <w:left w:w="40" w:type="dxa"/>
              <w:bottom w:w="0" w:type="dxa"/>
              <w:right w:w="40" w:type="dxa"/>
            </w:tcMar>
            <w:vAlign w:val="center"/>
          </w:tcPr>
          <w:p w14:paraId="3938EC35" w14:textId="77777777" w:rsidR="006227CE" w:rsidRDefault="006C5E69">
            <w:pPr>
              <w:jc w:val="center"/>
              <w:rPr>
                <w:rFonts w:ascii="Calibri" w:eastAsia="Calibri" w:hAnsi="Calibri" w:cs="Calibri"/>
                <w:sz w:val="22"/>
                <w:szCs w:val="22"/>
              </w:rPr>
            </w:pPr>
            <w:r>
              <w:rPr>
                <w:b/>
                <w:bCs/>
              </w:rPr>
              <w:t>0.81</w:t>
            </w:r>
          </w:p>
        </w:tc>
      </w:tr>
      <w:tr w:rsidR="006227CE" w14:paraId="3938EC3E" w14:textId="77777777">
        <w:trPr>
          <w:trHeight w:val="315"/>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938EC37" w14:textId="77777777" w:rsidR="006227CE" w:rsidRDefault="006C5E69">
            <w:pPr>
              <w:jc w:val="center"/>
              <w:rPr>
                <w:rFonts w:ascii="Calibri" w:eastAsia="Calibri" w:hAnsi="Calibri" w:cs="Calibri"/>
                <w:sz w:val="22"/>
                <w:szCs w:val="22"/>
              </w:rPr>
            </w:pPr>
            <w:r>
              <w:rPr>
                <w:b/>
                <w:bCs/>
              </w:rPr>
              <w:t>Quick Ratio</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38EC38" w14:textId="77777777" w:rsidR="006227CE" w:rsidRDefault="006C5E69">
            <w:pPr>
              <w:jc w:val="center"/>
              <w:rPr>
                <w:rFonts w:ascii="Calibri" w:eastAsia="Calibri" w:hAnsi="Calibri" w:cs="Calibri"/>
                <w:sz w:val="22"/>
                <w:szCs w:val="22"/>
              </w:rPr>
            </w:pPr>
            <w:r>
              <w:rPr>
                <w:b/>
                <w:bCs/>
              </w:rPr>
              <w:t>(A-B)/C</w:t>
            </w:r>
          </w:p>
        </w:tc>
        <w:tc>
          <w:tcPr>
            <w:tcW w:w="1120" w:type="dxa"/>
            <w:tcBorders>
              <w:top w:val="single" w:sz="6" w:space="0" w:color="CCCCCC"/>
              <w:left w:val="single" w:sz="6" w:space="0" w:color="CCCCCC"/>
              <w:bottom w:val="single" w:sz="6" w:space="0" w:color="000000"/>
              <w:right w:val="single" w:sz="6" w:space="0" w:color="000000"/>
            </w:tcBorders>
            <w:shd w:val="clear" w:color="auto" w:fill="F8696B"/>
            <w:tcMar>
              <w:top w:w="0" w:type="dxa"/>
              <w:left w:w="40" w:type="dxa"/>
              <w:bottom w:w="0" w:type="dxa"/>
              <w:right w:w="40" w:type="dxa"/>
            </w:tcMar>
            <w:vAlign w:val="center"/>
          </w:tcPr>
          <w:p w14:paraId="3938EC39" w14:textId="77777777" w:rsidR="006227CE" w:rsidRDefault="006C5E69">
            <w:pPr>
              <w:jc w:val="center"/>
              <w:rPr>
                <w:rFonts w:ascii="Calibri" w:eastAsia="Calibri" w:hAnsi="Calibri" w:cs="Calibri"/>
                <w:sz w:val="22"/>
                <w:szCs w:val="22"/>
              </w:rPr>
            </w:pPr>
            <w:r>
              <w:rPr>
                <w:b/>
                <w:bCs/>
              </w:rPr>
              <w:t>1.73</w:t>
            </w:r>
          </w:p>
        </w:tc>
        <w:tc>
          <w:tcPr>
            <w:tcW w:w="1120" w:type="dxa"/>
            <w:tcBorders>
              <w:top w:val="single" w:sz="6" w:space="0" w:color="CCCCCC"/>
              <w:left w:val="single" w:sz="6" w:space="0" w:color="CCCCCC"/>
              <w:bottom w:val="single" w:sz="6" w:space="0" w:color="000000"/>
              <w:right w:val="single" w:sz="6" w:space="0" w:color="000000"/>
            </w:tcBorders>
            <w:shd w:val="clear" w:color="auto" w:fill="F8696B"/>
            <w:tcMar>
              <w:top w:w="0" w:type="dxa"/>
              <w:left w:w="40" w:type="dxa"/>
              <w:bottom w:w="0" w:type="dxa"/>
              <w:right w:w="40" w:type="dxa"/>
            </w:tcMar>
            <w:vAlign w:val="center"/>
          </w:tcPr>
          <w:p w14:paraId="3938EC3A" w14:textId="77777777" w:rsidR="006227CE" w:rsidRDefault="006C5E69">
            <w:pPr>
              <w:jc w:val="center"/>
              <w:rPr>
                <w:rFonts w:ascii="Calibri" w:eastAsia="Calibri" w:hAnsi="Calibri" w:cs="Calibri"/>
                <w:sz w:val="22"/>
                <w:szCs w:val="22"/>
              </w:rPr>
            </w:pPr>
            <w:r>
              <w:rPr>
                <w:b/>
                <w:bCs/>
              </w:rPr>
              <w:t>1.74</w:t>
            </w:r>
          </w:p>
        </w:tc>
        <w:tc>
          <w:tcPr>
            <w:tcW w:w="1120" w:type="dxa"/>
            <w:tcBorders>
              <w:top w:val="single" w:sz="6" w:space="0" w:color="CCCCCC"/>
              <w:left w:val="single" w:sz="6" w:space="0" w:color="CCCCCC"/>
              <w:bottom w:val="single" w:sz="6" w:space="0" w:color="000000"/>
              <w:right w:val="single" w:sz="6" w:space="0" w:color="000000"/>
            </w:tcBorders>
            <w:shd w:val="clear" w:color="auto" w:fill="F8696B"/>
            <w:tcMar>
              <w:top w:w="0" w:type="dxa"/>
              <w:left w:w="40" w:type="dxa"/>
              <w:bottom w:w="0" w:type="dxa"/>
              <w:right w:w="40" w:type="dxa"/>
            </w:tcMar>
            <w:vAlign w:val="center"/>
          </w:tcPr>
          <w:p w14:paraId="3938EC3B" w14:textId="77777777" w:rsidR="006227CE" w:rsidRDefault="006C5E69">
            <w:pPr>
              <w:jc w:val="center"/>
              <w:rPr>
                <w:rFonts w:ascii="Calibri" w:eastAsia="Calibri" w:hAnsi="Calibri" w:cs="Calibri"/>
                <w:sz w:val="22"/>
                <w:szCs w:val="22"/>
              </w:rPr>
            </w:pPr>
            <w:r>
              <w:rPr>
                <w:b/>
                <w:bCs/>
              </w:rPr>
              <w:t>1.55</w:t>
            </w:r>
          </w:p>
        </w:tc>
        <w:tc>
          <w:tcPr>
            <w:tcW w:w="1271" w:type="dxa"/>
            <w:tcBorders>
              <w:top w:val="single" w:sz="6" w:space="0" w:color="CCCCCC"/>
              <w:left w:val="single" w:sz="6" w:space="0" w:color="CCCCCC"/>
              <w:bottom w:val="single" w:sz="6" w:space="0" w:color="000000"/>
              <w:right w:val="single" w:sz="6" w:space="0" w:color="000000"/>
            </w:tcBorders>
            <w:shd w:val="clear" w:color="auto" w:fill="F8696B"/>
            <w:tcMar>
              <w:top w:w="0" w:type="dxa"/>
              <w:left w:w="40" w:type="dxa"/>
              <w:bottom w:w="0" w:type="dxa"/>
              <w:right w:w="40" w:type="dxa"/>
            </w:tcMar>
            <w:vAlign w:val="center"/>
          </w:tcPr>
          <w:p w14:paraId="3938EC3C" w14:textId="77777777" w:rsidR="006227CE" w:rsidRDefault="006C5E69">
            <w:pPr>
              <w:jc w:val="center"/>
              <w:rPr>
                <w:rFonts w:ascii="Calibri" w:eastAsia="Calibri" w:hAnsi="Calibri" w:cs="Calibri"/>
                <w:sz w:val="22"/>
                <w:szCs w:val="22"/>
              </w:rPr>
            </w:pPr>
            <w:r>
              <w:rPr>
                <w:b/>
                <w:bCs/>
              </w:rPr>
              <w:t>0.94</w:t>
            </w:r>
          </w:p>
        </w:tc>
        <w:tc>
          <w:tcPr>
            <w:tcW w:w="1120" w:type="dxa"/>
            <w:tcBorders>
              <w:top w:val="single" w:sz="6" w:space="0" w:color="CCCCCC"/>
              <w:left w:val="single" w:sz="6" w:space="0" w:color="CCCCCC"/>
              <w:bottom w:val="single" w:sz="6" w:space="0" w:color="000000"/>
              <w:right w:val="single" w:sz="6" w:space="0" w:color="000000"/>
            </w:tcBorders>
            <w:shd w:val="clear" w:color="auto" w:fill="F8696B"/>
            <w:tcMar>
              <w:top w:w="0" w:type="dxa"/>
              <w:left w:w="40" w:type="dxa"/>
              <w:bottom w:w="0" w:type="dxa"/>
              <w:right w:w="40" w:type="dxa"/>
            </w:tcMar>
            <w:vAlign w:val="center"/>
          </w:tcPr>
          <w:p w14:paraId="3938EC3D" w14:textId="77777777" w:rsidR="006227CE" w:rsidRDefault="006C5E69">
            <w:pPr>
              <w:jc w:val="center"/>
              <w:rPr>
                <w:rFonts w:ascii="Calibri" w:eastAsia="Calibri" w:hAnsi="Calibri" w:cs="Calibri"/>
                <w:sz w:val="22"/>
                <w:szCs w:val="22"/>
              </w:rPr>
            </w:pPr>
            <w:r>
              <w:rPr>
                <w:b/>
                <w:bCs/>
              </w:rPr>
              <w:t>0.80</w:t>
            </w:r>
          </w:p>
        </w:tc>
      </w:tr>
      <w:tr w:rsidR="006227CE" w14:paraId="3938EC46" w14:textId="77777777">
        <w:trPr>
          <w:trHeight w:val="315"/>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938EC3F" w14:textId="77777777" w:rsidR="006227CE" w:rsidRDefault="006C5E69">
            <w:pPr>
              <w:jc w:val="center"/>
              <w:rPr>
                <w:rFonts w:ascii="Calibri" w:eastAsia="Calibri" w:hAnsi="Calibri" w:cs="Calibri"/>
                <w:sz w:val="22"/>
                <w:szCs w:val="22"/>
              </w:rPr>
            </w:pPr>
            <w:r>
              <w:rPr>
                <w:b/>
                <w:bCs/>
              </w:rPr>
              <w:t>Cash Ratio</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38EC40" w14:textId="77777777" w:rsidR="006227CE" w:rsidRDefault="006C5E69">
            <w:pPr>
              <w:jc w:val="center"/>
              <w:rPr>
                <w:rFonts w:ascii="Calibri" w:eastAsia="Calibri" w:hAnsi="Calibri" w:cs="Calibri"/>
                <w:sz w:val="22"/>
                <w:szCs w:val="22"/>
              </w:rPr>
            </w:pPr>
            <w:r>
              <w:rPr>
                <w:b/>
                <w:bCs/>
              </w:rPr>
              <w:t>D/C</w:t>
            </w:r>
          </w:p>
        </w:tc>
        <w:tc>
          <w:tcPr>
            <w:tcW w:w="1120" w:type="dxa"/>
            <w:tcBorders>
              <w:top w:val="single" w:sz="6" w:space="0" w:color="CCCCCC"/>
              <w:left w:val="single" w:sz="6" w:space="0" w:color="CCCCCC"/>
              <w:bottom w:val="single" w:sz="6" w:space="0" w:color="000000"/>
              <w:right w:val="single" w:sz="6" w:space="0" w:color="000000"/>
            </w:tcBorders>
            <w:shd w:val="clear" w:color="auto" w:fill="F8696B"/>
            <w:tcMar>
              <w:top w:w="0" w:type="dxa"/>
              <w:left w:w="40" w:type="dxa"/>
              <w:bottom w:w="0" w:type="dxa"/>
              <w:right w:w="40" w:type="dxa"/>
            </w:tcMar>
            <w:vAlign w:val="center"/>
          </w:tcPr>
          <w:p w14:paraId="3938EC41" w14:textId="77777777" w:rsidR="006227CE" w:rsidRDefault="006C5E69">
            <w:pPr>
              <w:jc w:val="center"/>
              <w:rPr>
                <w:rFonts w:ascii="Calibri" w:eastAsia="Calibri" w:hAnsi="Calibri" w:cs="Calibri"/>
                <w:sz w:val="22"/>
                <w:szCs w:val="22"/>
              </w:rPr>
            </w:pPr>
            <w:r>
              <w:rPr>
                <w:b/>
                <w:bCs/>
              </w:rPr>
              <w:t>1.62</w:t>
            </w:r>
          </w:p>
        </w:tc>
        <w:tc>
          <w:tcPr>
            <w:tcW w:w="1120" w:type="dxa"/>
            <w:tcBorders>
              <w:top w:val="single" w:sz="6" w:space="0" w:color="CCCCCC"/>
              <w:left w:val="single" w:sz="6" w:space="0" w:color="CCCCCC"/>
              <w:bottom w:val="single" w:sz="6" w:space="0" w:color="000000"/>
              <w:right w:val="single" w:sz="6" w:space="0" w:color="000000"/>
            </w:tcBorders>
            <w:shd w:val="clear" w:color="auto" w:fill="F8696B"/>
            <w:tcMar>
              <w:top w:w="0" w:type="dxa"/>
              <w:left w:w="40" w:type="dxa"/>
              <w:bottom w:w="0" w:type="dxa"/>
              <w:right w:w="40" w:type="dxa"/>
            </w:tcMar>
            <w:vAlign w:val="center"/>
          </w:tcPr>
          <w:p w14:paraId="3938EC42" w14:textId="77777777" w:rsidR="006227CE" w:rsidRDefault="006C5E69">
            <w:pPr>
              <w:jc w:val="center"/>
              <w:rPr>
                <w:rFonts w:ascii="Calibri" w:eastAsia="Calibri" w:hAnsi="Calibri" w:cs="Calibri"/>
                <w:sz w:val="22"/>
                <w:szCs w:val="22"/>
              </w:rPr>
            </w:pPr>
            <w:r>
              <w:rPr>
                <w:b/>
                <w:bCs/>
              </w:rPr>
              <w:t>1.57</w:t>
            </w:r>
          </w:p>
        </w:tc>
        <w:tc>
          <w:tcPr>
            <w:tcW w:w="1120" w:type="dxa"/>
            <w:tcBorders>
              <w:top w:val="single" w:sz="6" w:space="0" w:color="CCCCCC"/>
              <w:left w:val="single" w:sz="6" w:space="0" w:color="CCCCCC"/>
              <w:bottom w:val="single" w:sz="6" w:space="0" w:color="000000"/>
              <w:right w:val="single" w:sz="6" w:space="0" w:color="000000"/>
            </w:tcBorders>
            <w:shd w:val="clear" w:color="auto" w:fill="F8696B"/>
            <w:tcMar>
              <w:top w:w="0" w:type="dxa"/>
              <w:left w:w="40" w:type="dxa"/>
              <w:bottom w:w="0" w:type="dxa"/>
              <w:right w:w="40" w:type="dxa"/>
            </w:tcMar>
            <w:vAlign w:val="center"/>
          </w:tcPr>
          <w:p w14:paraId="3938EC43" w14:textId="77777777" w:rsidR="006227CE" w:rsidRDefault="006C5E69">
            <w:pPr>
              <w:jc w:val="center"/>
              <w:rPr>
                <w:rFonts w:ascii="Calibri" w:eastAsia="Calibri" w:hAnsi="Calibri" w:cs="Calibri"/>
                <w:sz w:val="22"/>
                <w:szCs w:val="22"/>
              </w:rPr>
            </w:pPr>
            <w:r>
              <w:rPr>
                <w:b/>
                <w:bCs/>
              </w:rPr>
              <w:t>1.38</w:t>
            </w:r>
          </w:p>
        </w:tc>
        <w:tc>
          <w:tcPr>
            <w:tcW w:w="1271" w:type="dxa"/>
            <w:tcBorders>
              <w:top w:val="single" w:sz="6" w:space="0" w:color="CCCCCC"/>
              <w:left w:val="single" w:sz="6" w:space="0" w:color="CCCCCC"/>
              <w:bottom w:val="single" w:sz="6" w:space="0" w:color="000000"/>
              <w:right w:val="single" w:sz="6" w:space="0" w:color="000000"/>
            </w:tcBorders>
            <w:shd w:val="clear" w:color="auto" w:fill="F8696B"/>
            <w:tcMar>
              <w:top w:w="0" w:type="dxa"/>
              <w:left w:w="40" w:type="dxa"/>
              <w:bottom w:w="0" w:type="dxa"/>
              <w:right w:w="40" w:type="dxa"/>
            </w:tcMar>
            <w:vAlign w:val="center"/>
          </w:tcPr>
          <w:p w14:paraId="3938EC44" w14:textId="77777777" w:rsidR="006227CE" w:rsidRDefault="006C5E69">
            <w:pPr>
              <w:jc w:val="center"/>
              <w:rPr>
                <w:rFonts w:ascii="Calibri" w:eastAsia="Calibri" w:hAnsi="Calibri" w:cs="Calibri"/>
                <w:sz w:val="22"/>
                <w:szCs w:val="22"/>
              </w:rPr>
            </w:pPr>
            <w:r>
              <w:rPr>
                <w:b/>
                <w:bCs/>
              </w:rPr>
              <w:t>0.80</w:t>
            </w:r>
          </w:p>
        </w:tc>
        <w:tc>
          <w:tcPr>
            <w:tcW w:w="1120" w:type="dxa"/>
            <w:tcBorders>
              <w:top w:val="single" w:sz="6" w:space="0" w:color="CCCCCC"/>
              <w:left w:val="single" w:sz="6" w:space="0" w:color="CCCCCC"/>
              <w:bottom w:val="single" w:sz="6" w:space="0" w:color="000000"/>
              <w:right w:val="single" w:sz="6" w:space="0" w:color="000000"/>
            </w:tcBorders>
            <w:shd w:val="clear" w:color="auto" w:fill="F8696B"/>
            <w:tcMar>
              <w:top w:w="0" w:type="dxa"/>
              <w:left w:w="40" w:type="dxa"/>
              <w:bottom w:w="0" w:type="dxa"/>
              <w:right w:w="40" w:type="dxa"/>
            </w:tcMar>
            <w:vAlign w:val="center"/>
          </w:tcPr>
          <w:p w14:paraId="3938EC45" w14:textId="77777777" w:rsidR="006227CE" w:rsidRDefault="006C5E69">
            <w:pPr>
              <w:jc w:val="center"/>
              <w:rPr>
                <w:rFonts w:ascii="Calibri" w:eastAsia="Calibri" w:hAnsi="Calibri" w:cs="Calibri"/>
                <w:sz w:val="22"/>
                <w:szCs w:val="22"/>
              </w:rPr>
            </w:pPr>
            <w:r>
              <w:rPr>
                <w:b/>
                <w:bCs/>
              </w:rPr>
              <w:t>0.69</w:t>
            </w:r>
          </w:p>
        </w:tc>
      </w:tr>
      <w:tr w:rsidR="006227CE" w14:paraId="3938EC4E" w14:textId="77777777">
        <w:trPr>
          <w:trHeight w:val="315"/>
        </w:trPr>
        <w:tc>
          <w:tcPr>
            <w:tcW w:w="2793"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3938EC47" w14:textId="77777777" w:rsidR="006227CE" w:rsidRDefault="006227CE">
            <w:pPr>
              <w:rPr>
                <w:rFonts w:ascii="Calibri" w:eastAsia="Calibri" w:hAnsi="Calibri" w:cs="Calibri"/>
                <w:sz w:val="22"/>
                <w:szCs w:val="22"/>
              </w:rPr>
            </w:pPr>
          </w:p>
        </w:tc>
        <w:tc>
          <w:tcPr>
            <w:tcW w:w="816"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3938EC48" w14:textId="77777777" w:rsidR="006227CE" w:rsidRDefault="006227CE">
            <w:pPr>
              <w:rPr>
                <w:rFonts w:ascii="Calibri" w:eastAsia="Calibri" w:hAnsi="Calibri" w:cs="Calibri"/>
                <w:sz w:val="22"/>
                <w:szCs w:val="22"/>
              </w:rPr>
            </w:pPr>
          </w:p>
        </w:tc>
        <w:tc>
          <w:tcPr>
            <w:tcW w:w="11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3938EC49" w14:textId="77777777" w:rsidR="006227CE" w:rsidRDefault="006227CE">
            <w:pPr>
              <w:rPr>
                <w:rFonts w:ascii="Calibri" w:eastAsia="Calibri" w:hAnsi="Calibri" w:cs="Calibri"/>
                <w:sz w:val="22"/>
                <w:szCs w:val="22"/>
              </w:rPr>
            </w:pPr>
          </w:p>
        </w:tc>
        <w:tc>
          <w:tcPr>
            <w:tcW w:w="11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3938EC4A" w14:textId="77777777" w:rsidR="006227CE" w:rsidRDefault="006227CE">
            <w:pPr>
              <w:rPr>
                <w:rFonts w:ascii="Calibri" w:eastAsia="Calibri" w:hAnsi="Calibri" w:cs="Calibri"/>
                <w:sz w:val="22"/>
                <w:szCs w:val="22"/>
              </w:rPr>
            </w:pPr>
          </w:p>
        </w:tc>
        <w:tc>
          <w:tcPr>
            <w:tcW w:w="11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3938EC4B" w14:textId="77777777" w:rsidR="006227CE" w:rsidRDefault="006227CE">
            <w:pPr>
              <w:rPr>
                <w:rFonts w:ascii="Calibri" w:eastAsia="Calibri" w:hAnsi="Calibri" w:cs="Calibri"/>
                <w:sz w:val="22"/>
                <w:szCs w:val="22"/>
              </w:rPr>
            </w:pPr>
          </w:p>
        </w:tc>
        <w:tc>
          <w:tcPr>
            <w:tcW w:w="1271"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3938EC4C" w14:textId="77777777" w:rsidR="006227CE" w:rsidRDefault="006227CE">
            <w:pPr>
              <w:rPr>
                <w:rFonts w:ascii="Calibri" w:eastAsia="Calibri" w:hAnsi="Calibri" w:cs="Calibri"/>
                <w:sz w:val="22"/>
                <w:szCs w:val="22"/>
              </w:rPr>
            </w:pPr>
          </w:p>
        </w:tc>
        <w:tc>
          <w:tcPr>
            <w:tcW w:w="11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3938EC4D" w14:textId="77777777" w:rsidR="006227CE" w:rsidRDefault="006227CE">
            <w:pPr>
              <w:rPr>
                <w:rFonts w:ascii="Calibri" w:eastAsia="Calibri" w:hAnsi="Calibri" w:cs="Calibri"/>
                <w:sz w:val="22"/>
                <w:szCs w:val="22"/>
              </w:rPr>
            </w:pPr>
          </w:p>
        </w:tc>
      </w:tr>
      <w:tr w:rsidR="006227CE" w14:paraId="3938EC50" w14:textId="77777777">
        <w:trPr>
          <w:trHeight w:val="315"/>
        </w:trPr>
        <w:tc>
          <w:tcPr>
            <w:tcW w:w="9360" w:type="dxa"/>
            <w:gridSpan w:val="7"/>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center"/>
          </w:tcPr>
          <w:p w14:paraId="3938EC4F" w14:textId="77777777" w:rsidR="006227CE" w:rsidRDefault="006C5E69">
            <w:pPr>
              <w:jc w:val="center"/>
              <w:rPr>
                <w:rFonts w:ascii="Calibri" w:eastAsia="Calibri" w:hAnsi="Calibri" w:cs="Calibri"/>
                <w:sz w:val="22"/>
                <w:szCs w:val="22"/>
              </w:rPr>
            </w:pPr>
            <w:r>
              <w:rPr>
                <w:b/>
                <w:bCs/>
              </w:rPr>
              <w:t>Gearing Ratios:-</w:t>
            </w:r>
          </w:p>
        </w:tc>
      </w:tr>
      <w:tr w:rsidR="006227CE" w14:paraId="3938EC58" w14:textId="77777777">
        <w:trPr>
          <w:trHeight w:val="315"/>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938EC51" w14:textId="77777777" w:rsidR="006227CE" w:rsidRDefault="006C5E69">
            <w:pPr>
              <w:jc w:val="center"/>
              <w:rPr>
                <w:rFonts w:ascii="Calibri" w:eastAsia="Calibri" w:hAnsi="Calibri" w:cs="Calibri"/>
                <w:sz w:val="22"/>
                <w:szCs w:val="22"/>
              </w:rPr>
            </w:pPr>
            <w:r>
              <w:rPr>
                <w:b/>
                <w:bCs/>
              </w:rPr>
              <w:t>Particulars</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38EC52" w14:textId="77777777" w:rsidR="006227CE" w:rsidRDefault="006C5E69">
            <w:pPr>
              <w:jc w:val="center"/>
              <w:rPr>
                <w:rFonts w:ascii="Calibri" w:eastAsia="Calibri" w:hAnsi="Calibri" w:cs="Calibri"/>
                <w:sz w:val="22"/>
                <w:szCs w:val="22"/>
              </w:rPr>
            </w:pPr>
            <w:r>
              <w:rPr>
                <w:b/>
                <w:bCs/>
              </w:rPr>
              <w:t>Detail</w:t>
            </w:r>
            <w:r>
              <w:rPr>
                <w:b/>
                <w:bCs/>
              </w:rPr>
              <w:lastRenderedPageBreak/>
              <w:t>s</w:t>
            </w:r>
          </w:p>
        </w:tc>
        <w:tc>
          <w:tcPr>
            <w:tcW w:w="1120" w:type="dxa"/>
            <w:tcBorders>
              <w:top w:val="single" w:sz="6" w:space="0" w:color="CCCCCC"/>
              <w:left w:val="single" w:sz="6" w:space="0" w:color="CCCCCC"/>
              <w:bottom w:val="single" w:sz="6" w:space="0" w:color="000000"/>
              <w:right w:val="single" w:sz="6" w:space="0" w:color="000000"/>
            </w:tcBorders>
            <w:shd w:val="clear" w:color="auto" w:fill="E7F4ED"/>
            <w:tcMar>
              <w:top w:w="0" w:type="dxa"/>
              <w:left w:w="40" w:type="dxa"/>
              <w:bottom w:w="0" w:type="dxa"/>
              <w:right w:w="40" w:type="dxa"/>
            </w:tcMar>
            <w:vAlign w:val="center"/>
          </w:tcPr>
          <w:p w14:paraId="3938EC53" w14:textId="77777777" w:rsidR="006227CE" w:rsidRDefault="006C5E69">
            <w:pPr>
              <w:jc w:val="center"/>
              <w:rPr>
                <w:rFonts w:ascii="Calibri" w:eastAsia="Calibri" w:hAnsi="Calibri" w:cs="Calibri"/>
                <w:sz w:val="22"/>
                <w:szCs w:val="22"/>
              </w:rPr>
            </w:pPr>
            <w:r>
              <w:rPr>
                <w:b/>
                <w:bCs/>
              </w:rPr>
              <w:lastRenderedPageBreak/>
              <w:t>2021</w:t>
            </w:r>
          </w:p>
        </w:tc>
        <w:tc>
          <w:tcPr>
            <w:tcW w:w="1120" w:type="dxa"/>
            <w:tcBorders>
              <w:top w:val="single" w:sz="6" w:space="0" w:color="CCCCCC"/>
              <w:left w:val="single" w:sz="6" w:space="0" w:color="CCCCCC"/>
              <w:bottom w:val="single" w:sz="6" w:space="0" w:color="000000"/>
              <w:right w:val="single" w:sz="6" w:space="0" w:color="000000"/>
            </w:tcBorders>
            <w:shd w:val="clear" w:color="auto" w:fill="E7F4ED"/>
            <w:tcMar>
              <w:top w:w="0" w:type="dxa"/>
              <w:left w:w="40" w:type="dxa"/>
              <w:bottom w:w="0" w:type="dxa"/>
              <w:right w:w="40" w:type="dxa"/>
            </w:tcMar>
            <w:vAlign w:val="center"/>
          </w:tcPr>
          <w:p w14:paraId="3938EC54" w14:textId="77777777" w:rsidR="006227CE" w:rsidRDefault="006C5E69">
            <w:pPr>
              <w:jc w:val="center"/>
              <w:rPr>
                <w:rFonts w:ascii="Calibri" w:eastAsia="Calibri" w:hAnsi="Calibri" w:cs="Calibri"/>
                <w:sz w:val="22"/>
                <w:szCs w:val="22"/>
              </w:rPr>
            </w:pPr>
            <w:r>
              <w:rPr>
                <w:b/>
                <w:bCs/>
              </w:rPr>
              <w:t>2022</w:t>
            </w:r>
          </w:p>
        </w:tc>
        <w:tc>
          <w:tcPr>
            <w:tcW w:w="1120" w:type="dxa"/>
            <w:tcBorders>
              <w:top w:val="single" w:sz="6" w:space="0" w:color="CCCCCC"/>
              <w:left w:val="single" w:sz="6" w:space="0" w:color="CCCCCC"/>
              <w:bottom w:val="single" w:sz="6" w:space="0" w:color="000000"/>
              <w:right w:val="single" w:sz="6" w:space="0" w:color="000000"/>
            </w:tcBorders>
            <w:shd w:val="clear" w:color="auto" w:fill="E7F4ED"/>
            <w:tcMar>
              <w:top w:w="0" w:type="dxa"/>
              <w:left w:w="40" w:type="dxa"/>
              <w:bottom w:w="0" w:type="dxa"/>
              <w:right w:w="40" w:type="dxa"/>
            </w:tcMar>
            <w:vAlign w:val="center"/>
          </w:tcPr>
          <w:p w14:paraId="3938EC55" w14:textId="77777777" w:rsidR="006227CE" w:rsidRDefault="006C5E69">
            <w:pPr>
              <w:jc w:val="center"/>
              <w:rPr>
                <w:rFonts w:ascii="Calibri" w:eastAsia="Calibri" w:hAnsi="Calibri" w:cs="Calibri"/>
                <w:sz w:val="22"/>
                <w:szCs w:val="22"/>
              </w:rPr>
            </w:pPr>
            <w:r>
              <w:rPr>
                <w:b/>
                <w:bCs/>
              </w:rPr>
              <w:t>2023</w:t>
            </w:r>
          </w:p>
        </w:tc>
        <w:tc>
          <w:tcPr>
            <w:tcW w:w="1271" w:type="dxa"/>
            <w:tcBorders>
              <w:top w:val="single" w:sz="6" w:space="0" w:color="CCCCCC"/>
              <w:left w:val="single" w:sz="6" w:space="0" w:color="CCCCCC"/>
              <w:bottom w:val="single" w:sz="6" w:space="0" w:color="000000"/>
              <w:right w:val="single" w:sz="6" w:space="0" w:color="000000"/>
            </w:tcBorders>
            <w:shd w:val="clear" w:color="auto" w:fill="E7F4ED"/>
            <w:tcMar>
              <w:top w:w="0" w:type="dxa"/>
              <w:left w:w="40" w:type="dxa"/>
              <w:bottom w:w="0" w:type="dxa"/>
              <w:right w:w="40" w:type="dxa"/>
            </w:tcMar>
            <w:vAlign w:val="center"/>
          </w:tcPr>
          <w:p w14:paraId="3938EC56" w14:textId="77777777" w:rsidR="006227CE" w:rsidRDefault="006C5E69">
            <w:pPr>
              <w:jc w:val="center"/>
              <w:rPr>
                <w:rFonts w:ascii="Calibri" w:eastAsia="Calibri" w:hAnsi="Calibri" w:cs="Calibri"/>
                <w:sz w:val="22"/>
                <w:szCs w:val="22"/>
              </w:rPr>
            </w:pPr>
            <w:r>
              <w:rPr>
                <w:b/>
                <w:bCs/>
              </w:rPr>
              <w:t>2024</w:t>
            </w:r>
          </w:p>
        </w:tc>
        <w:tc>
          <w:tcPr>
            <w:tcW w:w="1120" w:type="dxa"/>
            <w:tcBorders>
              <w:top w:val="single" w:sz="6" w:space="0" w:color="CCCCCC"/>
              <w:left w:val="single" w:sz="6" w:space="0" w:color="CCCCCC"/>
              <w:bottom w:val="single" w:sz="6" w:space="0" w:color="000000"/>
              <w:right w:val="single" w:sz="6" w:space="0" w:color="000000"/>
            </w:tcBorders>
            <w:shd w:val="clear" w:color="auto" w:fill="E7F4ED"/>
            <w:tcMar>
              <w:top w:w="0" w:type="dxa"/>
              <w:left w:w="40" w:type="dxa"/>
              <w:bottom w:w="0" w:type="dxa"/>
              <w:right w:w="40" w:type="dxa"/>
            </w:tcMar>
            <w:vAlign w:val="center"/>
          </w:tcPr>
          <w:p w14:paraId="3938EC57" w14:textId="77777777" w:rsidR="006227CE" w:rsidRDefault="006C5E69">
            <w:pPr>
              <w:jc w:val="center"/>
              <w:rPr>
                <w:rFonts w:ascii="Calibri" w:eastAsia="Calibri" w:hAnsi="Calibri" w:cs="Calibri"/>
                <w:sz w:val="22"/>
                <w:szCs w:val="22"/>
              </w:rPr>
            </w:pPr>
            <w:r>
              <w:rPr>
                <w:b/>
                <w:bCs/>
              </w:rPr>
              <w:t>2025</w:t>
            </w:r>
          </w:p>
        </w:tc>
      </w:tr>
      <w:tr w:rsidR="006227CE" w14:paraId="3938EC60" w14:textId="77777777">
        <w:trPr>
          <w:trHeight w:val="315"/>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938EC59" w14:textId="77777777" w:rsidR="006227CE" w:rsidRDefault="006C5E69">
            <w:pPr>
              <w:jc w:val="center"/>
              <w:rPr>
                <w:rFonts w:ascii="Calibri" w:eastAsia="Calibri" w:hAnsi="Calibri" w:cs="Calibri"/>
                <w:sz w:val="22"/>
                <w:szCs w:val="22"/>
              </w:rPr>
            </w:pPr>
            <w:r>
              <w:t>Total Liabilities (£m)</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38EC5A" w14:textId="77777777" w:rsidR="006227CE" w:rsidRDefault="006C5E69">
            <w:pPr>
              <w:jc w:val="center"/>
              <w:rPr>
                <w:rFonts w:ascii="Calibri" w:eastAsia="Calibri" w:hAnsi="Calibri" w:cs="Calibri"/>
                <w:sz w:val="22"/>
                <w:szCs w:val="22"/>
              </w:rPr>
            </w:pPr>
            <w:r>
              <w:t>A</w:t>
            </w:r>
          </w:p>
        </w:tc>
        <w:tc>
          <w:tcPr>
            <w:tcW w:w="1120" w:type="dxa"/>
            <w:tcBorders>
              <w:top w:val="single" w:sz="6" w:space="0" w:color="CCCCCC"/>
              <w:left w:val="single" w:sz="6" w:space="0" w:color="CCCCCC"/>
              <w:bottom w:val="single" w:sz="6" w:space="0" w:color="000000"/>
              <w:right w:val="single" w:sz="6" w:space="0" w:color="000000"/>
            </w:tcBorders>
            <w:shd w:val="clear" w:color="auto" w:fill="92D1A4"/>
            <w:tcMar>
              <w:top w:w="0" w:type="dxa"/>
              <w:left w:w="40" w:type="dxa"/>
              <w:bottom w:w="0" w:type="dxa"/>
              <w:right w:w="40" w:type="dxa"/>
            </w:tcMar>
            <w:vAlign w:val="center"/>
          </w:tcPr>
          <w:p w14:paraId="3938EC5B" w14:textId="77777777" w:rsidR="006227CE" w:rsidRDefault="006C5E69">
            <w:pPr>
              <w:jc w:val="center"/>
              <w:rPr>
                <w:rFonts w:ascii="Calibri" w:eastAsia="Calibri" w:hAnsi="Calibri" w:cs="Calibri"/>
                <w:sz w:val="22"/>
                <w:szCs w:val="22"/>
              </w:rPr>
            </w:pPr>
            <w:r>
              <w:t>4,964.50</w:t>
            </w:r>
          </w:p>
        </w:tc>
        <w:tc>
          <w:tcPr>
            <w:tcW w:w="1120" w:type="dxa"/>
            <w:tcBorders>
              <w:top w:val="single" w:sz="6" w:space="0" w:color="CCCCCC"/>
              <w:left w:val="single" w:sz="6" w:space="0" w:color="CCCCCC"/>
              <w:bottom w:val="single" w:sz="6" w:space="0" w:color="000000"/>
              <w:right w:val="single" w:sz="6" w:space="0" w:color="000000"/>
            </w:tcBorders>
            <w:shd w:val="clear" w:color="auto" w:fill="84CC98"/>
            <w:tcMar>
              <w:top w:w="0" w:type="dxa"/>
              <w:left w:w="40" w:type="dxa"/>
              <w:bottom w:w="0" w:type="dxa"/>
              <w:right w:w="40" w:type="dxa"/>
            </w:tcMar>
            <w:vAlign w:val="center"/>
          </w:tcPr>
          <w:p w14:paraId="3938EC5C" w14:textId="77777777" w:rsidR="006227CE" w:rsidRDefault="006C5E69">
            <w:pPr>
              <w:jc w:val="center"/>
              <w:rPr>
                <w:rFonts w:ascii="Calibri" w:eastAsia="Calibri" w:hAnsi="Calibri" w:cs="Calibri"/>
                <w:sz w:val="22"/>
                <w:szCs w:val="22"/>
              </w:rPr>
            </w:pPr>
            <w:r>
              <w:t>5,447.50</w:t>
            </w:r>
          </w:p>
        </w:tc>
        <w:tc>
          <w:tcPr>
            <w:tcW w:w="1120" w:type="dxa"/>
            <w:tcBorders>
              <w:top w:val="single" w:sz="6" w:space="0" w:color="CCCCCC"/>
              <w:left w:val="single" w:sz="6" w:space="0" w:color="CCCCCC"/>
              <w:bottom w:val="single" w:sz="6" w:space="0" w:color="000000"/>
              <w:right w:val="single" w:sz="6" w:space="0" w:color="000000"/>
            </w:tcBorders>
            <w:shd w:val="clear" w:color="auto" w:fill="79C78E"/>
            <w:tcMar>
              <w:top w:w="0" w:type="dxa"/>
              <w:left w:w="40" w:type="dxa"/>
              <w:bottom w:w="0" w:type="dxa"/>
              <w:right w:w="40" w:type="dxa"/>
            </w:tcMar>
            <w:vAlign w:val="center"/>
          </w:tcPr>
          <w:p w14:paraId="3938EC5D" w14:textId="77777777" w:rsidR="006227CE" w:rsidRDefault="006C5E69">
            <w:pPr>
              <w:jc w:val="center"/>
              <w:rPr>
                <w:rFonts w:ascii="Calibri" w:eastAsia="Calibri" w:hAnsi="Calibri" w:cs="Calibri"/>
                <w:sz w:val="22"/>
                <w:szCs w:val="22"/>
              </w:rPr>
            </w:pPr>
            <w:r>
              <w:t>5,831.40</w:t>
            </w:r>
          </w:p>
        </w:tc>
        <w:tc>
          <w:tcPr>
            <w:tcW w:w="1271" w:type="dxa"/>
            <w:tcBorders>
              <w:top w:val="single" w:sz="6" w:space="0" w:color="CCCCCC"/>
              <w:left w:val="single" w:sz="6" w:space="0" w:color="CCCCCC"/>
              <w:bottom w:val="single" w:sz="6" w:space="0" w:color="000000"/>
              <w:right w:val="single" w:sz="6" w:space="0" w:color="000000"/>
            </w:tcBorders>
            <w:shd w:val="clear" w:color="auto" w:fill="74C58A"/>
            <w:tcMar>
              <w:top w:w="0" w:type="dxa"/>
              <w:left w:w="40" w:type="dxa"/>
              <w:bottom w:w="0" w:type="dxa"/>
              <w:right w:w="40" w:type="dxa"/>
            </w:tcMar>
            <w:vAlign w:val="center"/>
          </w:tcPr>
          <w:p w14:paraId="3938EC5E" w14:textId="77777777" w:rsidR="006227CE" w:rsidRDefault="006C5E69">
            <w:pPr>
              <w:jc w:val="center"/>
              <w:rPr>
                <w:rFonts w:ascii="Calibri" w:eastAsia="Calibri" w:hAnsi="Calibri" w:cs="Calibri"/>
                <w:sz w:val="22"/>
                <w:szCs w:val="22"/>
              </w:rPr>
            </w:pPr>
            <w:r>
              <w:t>6,001.90</w:t>
            </w:r>
          </w:p>
        </w:tc>
        <w:tc>
          <w:tcPr>
            <w:tcW w:w="1120" w:type="dxa"/>
            <w:tcBorders>
              <w:top w:val="single" w:sz="6" w:space="0" w:color="CCCCCC"/>
              <w:left w:val="single" w:sz="6" w:space="0" w:color="CCCCCC"/>
              <w:bottom w:val="single" w:sz="6" w:space="0" w:color="000000"/>
              <w:right w:val="single" w:sz="6" w:space="0" w:color="000000"/>
            </w:tcBorders>
            <w:shd w:val="clear" w:color="auto" w:fill="63BE7B"/>
            <w:tcMar>
              <w:top w:w="0" w:type="dxa"/>
              <w:left w:w="40" w:type="dxa"/>
              <w:bottom w:w="0" w:type="dxa"/>
              <w:right w:w="40" w:type="dxa"/>
            </w:tcMar>
            <w:vAlign w:val="center"/>
          </w:tcPr>
          <w:p w14:paraId="3938EC5F" w14:textId="77777777" w:rsidR="006227CE" w:rsidRDefault="006C5E69">
            <w:pPr>
              <w:jc w:val="center"/>
              <w:rPr>
                <w:rFonts w:ascii="Calibri" w:eastAsia="Calibri" w:hAnsi="Calibri" w:cs="Calibri"/>
                <w:sz w:val="22"/>
                <w:szCs w:val="22"/>
              </w:rPr>
            </w:pPr>
            <w:r>
              <w:t>6,570.20</w:t>
            </w:r>
          </w:p>
        </w:tc>
      </w:tr>
      <w:tr w:rsidR="006227CE" w14:paraId="3938EC68" w14:textId="77777777">
        <w:trPr>
          <w:trHeight w:val="315"/>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938EC61" w14:textId="77777777" w:rsidR="006227CE" w:rsidRDefault="006C5E69">
            <w:pPr>
              <w:jc w:val="center"/>
              <w:rPr>
                <w:rFonts w:ascii="Calibri" w:eastAsia="Calibri" w:hAnsi="Calibri" w:cs="Calibri"/>
                <w:sz w:val="22"/>
                <w:szCs w:val="22"/>
              </w:rPr>
            </w:pPr>
            <w:r>
              <w:t>Total Equity (£m)</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38EC62" w14:textId="77777777" w:rsidR="006227CE" w:rsidRDefault="006C5E69">
            <w:pPr>
              <w:jc w:val="center"/>
              <w:rPr>
                <w:rFonts w:ascii="Calibri" w:eastAsia="Calibri" w:hAnsi="Calibri" w:cs="Calibri"/>
                <w:sz w:val="22"/>
                <w:szCs w:val="22"/>
              </w:rPr>
            </w:pPr>
            <w:r>
              <w:t>B</w:t>
            </w:r>
          </w:p>
        </w:tc>
        <w:tc>
          <w:tcPr>
            <w:tcW w:w="1120" w:type="dxa"/>
            <w:tcBorders>
              <w:top w:val="single" w:sz="6" w:space="0" w:color="CCCCCC"/>
              <w:left w:val="single" w:sz="6" w:space="0" w:color="CCCCCC"/>
              <w:bottom w:val="single" w:sz="6" w:space="0" w:color="000000"/>
              <w:right w:val="single" w:sz="6" w:space="0" w:color="000000"/>
            </w:tcBorders>
            <w:shd w:val="clear" w:color="auto" w:fill="78C78D"/>
            <w:tcMar>
              <w:top w:w="0" w:type="dxa"/>
              <w:left w:w="40" w:type="dxa"/>
              <w:bottom w:w="0" w:type="dxa"/>
              <w:right w:w="40" w:type="dxa"/>
            </w:tcMar>
            <w:vAlign w:val="center"/>
          </w:tcPr>
          <w:p w14:paraId="3938EC63" w14:textId="77777777" w:rsidR="006227CE" w:rsidRDefault="006C5E69">
            <w:pPr>
              <w:jc w:val="center"/>
              <w:rPr>
                <w:rFonts w:ascii="Calibri" w:eastAsia="Calibri" w:hAnsi="Calibri" w:cs="Calibri"/>
                <w:sz w:val="22"/>
                <w:szCs w:val="22"/>
              </w:rPr>
            </w:pPr>
            <w:r>
              <w:t>5,854.10</w:t>
            </w:r>
          </w:p>
        </w:tc>
        <w:tc>
          <w:tcPr>
            <w:tcW w:w="1120" w:type="dxa"/>
            <w:tcBorders>
              <w:top w:val="single" w:sz="6" w:space="0" w:color="CCCCCC"/>
              <w:left w:val="single" w:sz="6" w:space="0" w:color="CCCCCC"/>
              <w:bottom w:val="single" w:sz="6" w:space="0" w:color="000000"/>
              <w:right w:val="single" w:sz="6" w:space="0" w:color="000000"/>
            </w:tcBorders>
            <w:shd w:val="clear" w:color="auto" w:fill="AADBB9"/>
            <w:tcMar>
              <w:top w:w="0" w:type="dxa"/>
              <w:left w:w="40" w:type="dxa"/>
              <w:bottom w:w="0" w:type="dxa"/>
              <w:right w:w="40" w:type="dxa"/>
            </w:tcMar>
            <w:vAlign w:val="center"/>
          </w:tcPr>
          <w:p w14:paraId="3938EC64" w14:textId="77777777" w:rsidR="006227CE" w:rsidRDefault="006C5E69">
            <w:pPr>
              <w:jc w:val="center"/>
              <w:rPr>
                <w:rFonts w:ascii="Calibri" w:eastAsia="Calibri" w:hAnsi="Calibri" w:cs="Calibri"/>
                <w:sz w:val="22"/>
                <w:szCs w:val="22"/>
              </w:rPr>
            </w:pPr>
            <w:r>
              <w:t>4,119.00</w:t>
            </w:r>
          </w:p>
        </w:tc>
        <w:tc>
          <w:tcPr>
            <w:tcW w:w="1120" w:type="dxa"/>
            <w:tcBorders>
              <w:top w:val="single" w:sz="6" w:space="0" w:color="CCCCCC"/>
              <w:left w:val="single" w:sz="6" w:space="0" w:color="CCCCCC"/>
              <w:bottom w:val="single" w:sz="6" w:space="0" w:color="000000"/>
              <w:right w:val="single" w:sz="6" w:space="0" w:color="000000"/>
            </w:tcBorders>
            <w:shd w:val="clear" w:color="auto" w:fill="ABDBB9"/>
            <w:tcMar>
              <w:top w:w="0" w:type="dxa"/>
              <w:left w:w="40" w:type="dxa"/>
              <w:bottom w:w="0" w:type="dxa"/>
              <w:right w:w="40" w:type="dxa"/>
            </w:tcMar>
            <w:vAlign w:val="center"/>
          </w:tcPr>
          <w:p w14:paraId="3938EC65" w14:textId="77777777" w:rsidR="006227CE" w:rsidRDefault="006C5E69">
            <w:pPr>
              <w:jc w:val="center"/>
              <w:rPr>
                <w:rFonts w:ascii="Calibri" w:eastAsia="Calibri" w:hAnsi="Calibri" w:cs="Calibri"/>
                <w:sz w:val="22"/>
                <w:szCs w:val="22"/>
              </w:rPr>
            </w:pPr>
            <w:r>
              <w:t>4,111.40</w:t>
            </w:r>
          </w:p>
        </w:tc>
        <w:tc>
          <w:tcPr>
            <w:tcW w:w="1271" w:type="dxa"/>
            <w:tcBorders>
              <w:top w:val="single" w:sz="6" w:space="0" w:color="CCCCCC"/>
              <w:left w:val="single" w:sz="6" w:space="0" w:color="CCCCCC"/>
              <w:bottom w:val="single" w:sz="6" w:space="0" w:color="000000"/>
              <w:right w:val="single" w:sz="6" w:space="0" w:color="000000"/>
            </w:tcBorders>
            <w:shd w:val="clear" w:color="auto" w:fill="BCE2C8"/>
            <w:tcMar>
              <w:top w:w="0" w:type="dxa"/>
              <w:left w:w="40" w:type="dxa"/>
              <w:bottom w:w="0" w:type="dxa"/>
              <w:right w:w="40" w:type="dxa"/>
            </w:tcMar>
            <w:vAlign w:val="center"/>
          </w:tcPr>
          <w:p w14:paraId="3938EC66" w14:textId="77777777" w:rsidR="006227CE" w:rsidRDefault="006C5E69">
            <w:pPr>
              <w:jc w:val="center"/>
              <w:rPr>
                <w:rFonts w:ascii="Calibri" w:eastAsia="Calibri" w:hAnsi="Calibri" w:cs="Calibri"/>
                <w:sz w:val="22"/>
                <w:szCs w:val="22"/>
              </w:rPr>
            </w:pPr>
            <w:r>
              <w:t>3,519.40</w:t>
            </w:r>
          </w:p>
        </w:tc>
        <w:tc>
          <w:tcPr>
            <w:tcW w:w="1120" w:type="dxa"/>
            <w:tcBorders>
              <w:top w:val="single" w:sz="6" w:space="0" w:color="CCCCCC"/>
              <w:left w:val="single" w:sz="6" w:space="0" w:color="CCCCCC"/>
              <w:bottom w:val="single" w:sz="6" w:space="0" w:color="000000"/>
              <w:right w:val="single" w:sz="6" w:space="0" w:color="000000"/>
            </w:tcBorders>
            <w:shd w:val="clear" w:color="auto" w:fill="C1E4CC"/>
            <w:tcMar>
              <w:top w:w="0" w:type="dxa"/>
              <w:left w:w="40" w:type="dxa"/>
              <w:bottom w:w="0" w:type="dxa"/>
              <w:right w:w="40" w:type="dxa"/>
            </w:tcMar>
            <w:vAlign w:val="center"/>
          </w:tcPr>
          <w:p w14:paraId="3938EC67" w14:textId="77777777" w:rsidR="006227CE" w:rsidRDefault="006C5E69">
            <w:pPr>
              <w:jc w:val="center"/>
              <w:rPr>
                <w:rFonts w:ascii="Calibri" w:eastAsia="Calibri" w:hAnsi="Calibri" w:cs="Calibri"/>
                <w:sz w:val="22"/>
                <w:szCs w:val="22"/>
              </w:rPr>
            </w:pPr>
            <w:r>
              <w:t>3,334.50</w:t>
            </w:r>
          </w:p>
        </w:tc>
      </w:tr>
      <w:tr w:rsidR="006227CE" w14:paraId="3938EC70" w14:textId="77777777">
        <w:trPr>
          <w:trHeight w:val="315"/>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938EC69" w14:textId="77777777" w:rsidR="006227CE" w:rsidRDefault="006C5E69">
            <w:pPr>
              <w:jc w:val="center"/>
              <w:rPr>
                <w:rFonts w:ascii="Calibri" w:eastAsia="Calibri" w:hAnsi="Calibri" w:cs="Calibri"/>
                <w:sz w:val="22"/>
                <w:szCs w:val="22"/>
              </w:rPr>
            </w:pPr>
            <w:r>
              <w:t>Operating Profit/(Loss) (£m)</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38EC6A" w14:textId="77777777" w:rsidR="006227CE" w:rsidRDefault="006C5E69">
            <w:pPr>
              <w:jc w:val="center"/>
              <w:rPr>
                <w:rFonts w:ascii="Calibri" w:eastAsia="Calibri" w:hAnsi="Calibri" w:cs="Calibri"/>
                <w:sz w:val="22"/>
                <w:szCs w:val="22"/>
              </w:rPr>
            </w:pPr>
            <w:r>
              <w:t>C</w:t>
            </w:r>
          </w:p>
        </w:tc>
        <w:tc>
          <w:tcPr>
            <w:tcW w:w="1120" w:type="dxa"/>
            <w:tcBorders>
              <w:top w:val="single" w:sz="6" w:space="0" w:color="CCCCCC"/>
              <w:left w:val="single" w:sz="6" w:space="0" w:color="CCCCCC"/>
              <w:bottom w:val="single" w:sz="6" w:space="0" w:color="000000"/>
              <w:right w:val="single" w:sz="6" w:space="0" w:color="000000"/>
            </w:tcBorders>
            <w:shd w:val="clear" w:color="auto" w:fill="F8696B"/>
            <w:tcMar>
              <w:top w:w="0" w:type="dxa"/>
              <w:left w:w="40" w:type="dxa"/>
              <w:bottom w:w="0" w:type="dxa"/>
              <w:right w:w="40" w:type="dxa"/>
            </w:tcMar>
            <w:vAlign w:val="center"/>
          </w:tcPr>
          <w:p w14:paraId="3938EC6B" w14:textId="77777777" w:rsidR="006227CE" w:rsidRDefault="006C5E69">
            <w:pPr>
              <w:jc w:val="center"/>
              <w:rPr>
                <w:rFonts w:ascii="Calibri" w:eastAsia="Calibri" w:hAnsi="Calibri" w:cs="Calibri"/>
                <w:sz w:val="22"/>
                <w:szCs w:val="22"/>
              </w:rPr>
            </w:pPr>
            <w:r>
              <w:t>(839.10)</w:t>
            </w:r>
          </w:p>
        </w:tc>
        <w:tc>
          <w:tcPr>
            <w:tcW w:w="1120" w:type="dxa"/>
            <w:tcBorders>
              <w:top w:val="single" w:sz="6" w:space="0" w:color="CCCCCC"/>
              <w:left w:val="single" w:sz="6" w:space="0" w:color="CCCCCC"/>
              <w:bottom w:val="single" w:sz="6" w:space="0" w:color="000000"/>
              <w:right w:val="single" w:sz="6" w:space="0" w:color="000000"/>
            </w:tcBorders>
            <w:shd w:val="clear" w:color="auto" w:fill="FAB2B5"/>
            <w:tcMar>
              <w:top w:w="0" w:type="dxa"/>
              <w:left w:w="40" w:type="dxa"/>
              <w:bottom w:w="0" w:type="dxa"/>
              <w:right w:w="40" w:type="dxa"/>
            </w:tcMar>
            <w:vAlign w:val="center"/>
          </w:tcPr>
          <w:p w14:paraId="3938EC6C" w14:textId="77777777" w:rsidR="006227CE" w:rsidRDefault="006C5E69">
            <w:pPr>
              <w:jc w:val="center"/>
              <w:rPr>
                <w:rFonts w:ascii="Calibri" w:eastAsia="Calibri" w:hAnsi="Calibri" w:cs="Calibri"/>
                <w:sz w:val="22"/>
                <w:szCs w:val="22"/>
              </w:rPr>
            </w:pPr>
            <w:r>
              <w:t>227.30</w:t>
            </w:r>
          </w:p>
        </w:tc>
        <w:tc>
          <w:tcPr>
            <w:tcW w:w="1120" w:type="dxa"/>
            <w:tcBorders>
              <w:top w:val="single" w:sz="6" w:space="0" w:color="CCCCCC"/>
              <w:left w:val="single" w:sz="6" w:space="0" w:color="CCCCCC"/>
              <w:bottom w:val="single" w:sz="6" w:space="0" w:color="000000"/>
              <w:right w:val="single" w:sz="6" w:space="0" w:color="000000"/>
            </w:tcBorders>
            <w:shd w:val="clear" w:color="auto" w:fill="FAC5C8"/>
            <w:tcMar>
              <w:top w:w="0" w:type="dxa"/>
              <w:left w:w="40" w:type="dxa"/>
              <w:bottom w:w="0" w:type="dxa"/>
              <w:right w:w="40" w:type="dxa"/>
            </w:tcMar>
            <w:vAlign w:val="center"/>
          </w:tcPr>
          <w:p w14:paraId="3938EC6D" w14:textId="77777777" w:rsidR="006227CE" w:rsidRDefault="006C5E69">
            <w:pPr>
              <w:jc w:val="center"/>
              <w:rPr>
                <w:rFonts w:ascii="Calibri" w:eastAsia="Calibri" w:hAnsi="Calibri" w:cs="Calibri"/>
                <w:sz w:val="22"/>
                <w:szCs w:val="22"/>
              </w:rPr>
            </w:pPr>
            <w:r>
              <w:t>502.70</w:t>
            </w:r>
          </w:p>
        </w:tc>
        <w:tc>
          <w:tcPr>
            <w:tcW w:w="1271" w:type="dxa"/>
            <w:tcBorders>
              <w:top w:val="single" w:sz="6" w:space="0" w:color="CCCCCC"/>
              <w:left w:val="single" w:sz="6" w:space="0" w:color="CCCCCC"/>
              <w:bottom w:val="single" w:sz="6" w:space="0" w:color="000000"/>
              <w:right w:val="single" w:sz="6" w:space="0" w:color="000000"/>
            </w:tcBorders>
            <w:shd w:val="clear" w:color="auto" w:fill="FAC9CB"/>
            <w:tcMar>
              <w:top w:w="0" w:type="dxa"/>
              <w:left w:w="40" w:type="dxa"/>
              <w:bottom w:w="0" w:type="dxa"/>
              <w:right w:w="40" w:type="dxa"/>
            </w:tcMar>
            <w:vAlign w:val="center"/>
          </w:tcPr>
          <w:p w14:paraId="3938EC6E" w14:textId="77777777" w:rsidR="006227CE" w:rsidRDefault="006C5E69">
            <w:pPr>
              <w:jc w:val="center"/>
              <w:rPr>
                <w:rFonts w:ascii="Calibri" w:eastAsia="Calibri" w:hAnsi="Calibri" w:cs="Calibri"/>
                <w:sz w:val="22"/>
                <w:szCs w:val="22"/>
              </w:rPr>
            </w:pPr>
            <w:r>
              <w:t>551.80</w:t>
            </w:r>
          </w:p>
        </w:tc>
        <w:tc>
          <w:tcPr>
            <w:tcW w:w="1120" w:type="dxa"/>
            <w:tcBorders>
              <w:top w:val="single" w:sz="6" w:space="0" w:color="CCCCCC"/>
              <w:left w:val="single" w:sz="6" w:space="0" w:color="CCCCCC"/>
              <w:bottom w:val="single" w:sz="6" w:space="0" w:color="000000"/>
              <w:right w:val="single" w:sz="6" w:space="0" w:color="000000"/>
            </w:tcBorders>
            <w:shd w:val="clear" w:color="auto" w:fill="FAC6C8"/>
            <w:tcMar>
              <w:top w:w="0" w:type="dxa"/>
              <w:left w:w="40" w:type="dxa"/>
              <w:bottom w:w="0" w:type="dxa"/>
              <w:right w:w="40" w:type="dxa"/>
            </w:tcMar>
            <w:vAlign w:val="center"/>
          </w:tcPr>
          <w:p w14:paraId="3938EC6F" w14:textId="77777777" w:rsidR="006227CE" w:rsidRDefault="006C5E69">
            <w:pPr>
              <w:jc w:val="center"/>
              <w:rPr>
                <w:rFonts w:ascii="Calibri" w:eastAsia="Calibri" w:hAnsi="Calibri" w:cs="Calibri"/>
                <w:sz w:val="22"/>
                <w:szCs w:val="22"/>
              </w:rPr>
            </w:pPr>
            <w:r>
              <w:t>509.30</w:t>
            </w:r>
          </w:p>
        </w:tc>
      </w:tr>
      <w:tr w:rsidR="006227CE" w14:paraId="3938EC78" w14:textId="77777777">
        <w:trPr>
          <w:trHeight w:val="315"/>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938EC71" w14:textId="77777777" w:rsidR="006227CE" w:rsidRDefault="006C5E69">
            <w:pPr>
              <w:jc w:val="center"/>
              <w:rPr>
                <w:rFonts w:ascii="Calibri" w:eastAsia="Calibri" w:hAnsi="Calibri" w:cs="Calibri"/>
                <w:sz w:val="22"/>
                <w:szCs w:val="22"/>
              </w:rPr>
            </w:pPr>
            <w:r>
              <w:t>Interest Expense (£m)</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38EC72" w14:textId="77777777" w:rsidR="006227CE" w:rsidRDefault="006C5E69">
            <w:pPr>
              <w:jc w:val="center"/>
              <w:rPr>
                <w:rFonts w:ascii="Calibri" w:eastAsia="Calibri" w:hAnsi="Calibri" w:cs="Calibri"/>
                <w:sz w:val="22"/>
                <w:szCs w:val="22"/>
              </w:rPr>
            </w:pPr>
            <w:r>
              <w:t>D</w:t>
            </w:r>
          </w:p>
        </w:tc>
        <w:tc>
          <w:tcPr>
            <w:tcW w:w="1120" w:type="dxa"/>
            <w:tcBorders>
              <w:top w:val="single" w:sz="6" w:space="0" w:color="CCCCCC"/>
              <w:left w:val="single" w:sz="6" w:space="0" w:color="CCCCCC"/>
              <w:bottom w:val="single" w:sz="6" w:space="0" w:color="000000"/>
              <w:right w:val="single" w:sz="6" w:space="0" w:color="000000"/>
            </w:tcBorders>
            <w:shd w:val="clear" w:color="auto" w:fill="F9ABAE"/>
            <w:tcMar>
              <w:top w:w="0" w:type="dxa"/>
              <w:left w:w="40" w:type="dxa"/>
              <w:bottom w:w="0" w:type="dxa"/>
              <w:right w:w="40" w:type="dxa"/>
            </w:tcMar>
            <w:vAlign w:val="center"/>
          </w:tcPr>
          <w:p w14:paraId="3938EC73" w14:textId="77777777" w:rsidR="006227CE" w:rsidRDefault="006C5E69">
            <w:pPr>
              <w:jc w:val="center"/>
              <w:rPr>
                <w:rFonts w:ascii="Calibri" w:eastAsia="Calibri" w:hAnsi="Calibri" w:cs="Calibri"/>
                <w:sz w:val="22"/>
                <w:szCs w:val="22"/>
              </w:rPr>
            </w:pPr>
            <w:r>
              <w:t>123.20</w:t>
            </w:r>
          </w:p>
        </w:tc>
        <w:tc>
          <w:tcPr>
            <w:tcW w:w="1120" w:type="dxa"/>
            <w:tcBorders>
              <w:top w:val="single" w:sz="6" w:space="0" w:color="CCCCCC"/>
              <w:left w:val="single" w:sz="6" w:space="0" w:color="CCCCCC"/>
              <w:bottom w:val="single" w:sz="6" w:space="0" w:color="000000"/>
              <w:right w:val="single" w:sz="6" w:space="0" w:color="000000"/>
            </w:tcBorders>
            <w:shd w:val="clear" w:color="auto" w:fill="F9ACAE"/>
            <w:tcMar>
              <w:top w:w="0" w:type="dxa"/>
              <w:left w:w="40" w:type="dxa"/>
              <w:bottom w:w="0" w:type="dxa"/>
              <w:right w:w="40" w:type="dxa"/>
            </w:tcMar>
            <w:vAlign w:val="center"/>
          </w:tcPr>
          <w:p w14:paraId="3938EC74" w14:textId="77777777" w:rsidR="006227CE" w:rsidRDefault="006C5E69">
            <w:pPr>
              <w:jc w:val="center"/>
              <w:rPr>
                <w:rFonts w:ascii="Calibri" w:eastAsia="Calibri" w:hAnsi="Calibri" w:cs="Calibri"/>
                <w:sz w:val="22"/>
                <w:szCs w:val="22"/>
              </w:rPr>
            </w:pPr>
            <w:r>
              <w:t>133.20</w:t>
            </w:r>
          </w:p>
        </w:tc>
        <w:tc>
          <w:tcPr>
            <w:tcW w:w="1120" w:type="dxa"/>
            <w:tcBorders>
              <w:top w:val="single" w:sz="6" w:space="0" w:color="CCCCCC"/>
              <w:left w:val="single" w:sz="6" w:space="0" w:color="CCCCCC"/>
              <w:bottom w:val="single" w:sz="6" w:space="0" w:color="000000"/>
              <w:right w:val="single" w:sz="6" w:space="0" w:color="000000"/>
            </w:tcBorders>
            <w:shd w:val="clear" w:color="auto" w:fill="F9ACAF"/>
            <w:tcMar>
              <w:top w:w="0" w:type="dxa"/>
              <w:left w:w="40" w:type="dxa"/>
              <w:bottom w:w="0" w:type="dxa"/>
              <w:right w:w="40" w:type="dxa"/>
            </w:tcMar>
            <w:vAlign w:val="center"/>
          </w:tcPr>
          <w:p w14:paraId="3938EC75" w14:textId="77777777" w:rsidR="006227CE" w:rsidRDefault="006C5E69">
            <w:pPr>
              <w:jc w:val="center"/>
              <w:rPr>
                <w:rFonts w:ascii="Calibri" w:eastAsia="Calibri" w:hAnsi="Calibri" w:cs="Calibri"/>
                <w:sz w:val="22"/>
                <w:szCs w:val="22"/>
              </w:rPr>
            </w:pPr>
            <w:r>
              <w:t>138.70</w:t>
            </w:r>
          </w:p>
        </w:tc>
        <w:tc>
          <w:tcPr>
            <w:tcW w:w="1271" w:type="dxa"/>
            <w:tcBorders>
              <w:top w:val="single" w:sz="6" w:space="0" w:color="CCCCCC"/>
              <w:left w:val="single" w:sz="6" w:space="0" w:color="CCCCCC"/>
              <w:bottom w:val="single" w:sz="6" w:space="0" w:color="000000"/>
              <w:right w:val="single" w:sz="6" w:space="0" w:color="000000"/>
            </w:tcBorders>
            <w:shd w:val="clear" w:color="auto" w:fill="F9ADB0"/>
            <w:tcMar>
              <w:top w:w="0" w:type="dxa"/>
              <w:left w:w="40" w:type="dxa"/>
              <w:bottom w:w="0" w:type="dxa"/>
              <w:right w:w="40" w:type="dxa"/>
            </w:tcMar>
            <w:vAlign w:val="center"/>
          </w:tcPr>
          <w:p w14:paraId="3938EC76" w14:textId="77777777" w:rsidR="006227CE" w:rsidRDefault="006C5E69">
            <w:pPr>
              <w:jc w:val="center"/>
              <w:rPr>
                <w:rFonts w:ascii="Calibri" w:eastAsia="Calibri" w:hAnsi="Calibri" w:cs="Calibri"/>
                <w:sz w:val="22"/>
                <w:szCs w:val="22"/>
              </w:rPr>
            </w:pPr>
            <w:r>
              <w:t>154.90</w:t>
            </w:r>
          </w:p>
        </w:tc>
        <w:tc>
          <w:tcPr>
            <w:tcW w:w="1120" w:type="dxa"/>
            <w:tcBorders>
              <w:top w:val="single" w:sz="6" w:space="0" w:color="CCCCCC"/>
              <w:left w:val="single" w:sz="6" w:space="0" w:color="CCCCCC"/>
              <w:bottom w:val="single" w:sz="6" w:space="0" w:color="000000"/>
              <w:right w:val="single" w:sz="6" w:space="0" w:color="000000"/>
            </w:tcBorders>
            <w:shd w:val="clear" w:color="auto" w:fill="F9AEB1"/>
            <w:tcMar>
              <w:top w:w="0" w:type="dxa"/>
              <w:left w:w="40" w:type="dxa"/>
              <w:bottom w:w="0" w:type="dxa"/>
              <w:right w:w="40" w:type="dxa"/>
            </w:tcMar>
            <w:vAlign w:val="center"/>
          </w:tcPr>
          <w:p w14:paraId="3938EC77" w14:textId="77777777" w:rsidR="006227CE" w:rsidRDefault="006C5E69">
            <w:pPr>
              <w:jc w:val="center"/>
              <w:rPr>
                <w:rFonts w:ascii="Calibri" w:eastAsia="Calibri" w:hAnsi="Calibri" w:cs="Calibri"/>
                <w:sz w:val="22"/>
                <w:szCs w:val="22"/>
              </w:rPr>
            </w:pPr>
            <w:r>
              <w:t>166.70</w:t>
            </w:r>
          </w:p>
        </w:tc>
      </w:tr>
      <w:tr w:rsidR="006227CE" w14:paraId="3938EC80" w14:textId="77777777">
        <w:trPr>
          <w:trHeight w:val="315"/>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938EC79" w14:textId="77777777" w:rsidR="006227CE" w:rsidRDefault="006C5E69">
            <w:pPr>
              <w:jc w:val="center"/>
              <w:rPr>
                <w:rFonts w:ascii="Calibri" w:eastAsia="Calibri" w:hAnsi="Calibri" w:cs="Calibri"/>
                <w:sz w:val="22"/>
                <w:szCs w:val="22"/>
              </w:rPr>
            </w:pPr>
            <w:r>
              <w:t>Shareholders capital (£m)</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38EC7A" w14:textId="77777777" w:rsidR="006227CE" w:rsidRDefault="006C5E69">
            <w:pPr>
              <w:jc w:val="center"/>
              <w:rPr>
                <w:rFonts w:ascii="Calibri" w:eastAsia="Calibri" w:hAnsi="Calibri" w:cs="Calibri"/>
                <w:sz w:val="22"/>
                <w:szCs w:val="22"/>
              </w:rPr>
            </w:pPr>
            <w:r>
              <w:t>E</w:t>
            </w:r>
          </w:p>
        </w:tc>
        <w:tc>
          <w:tcPr>
            <w:tcW w:w="1120" w:type="dxa"/>
            <w:tcBorders>
              <w:top w:val="single" w:sz="6" w:space="0" w:color="CCCCCC"/>
              <w:left w:val="single" w:sz="6" w:space="0" w:color="CCCCCC"/>
              <w:bottom w:val="single" w:sz="6" w:space="0" w:color="000000"/>
              <w:right w:val="single" w:sz="6" w:space="0" w:color="000000"/>
            </w:tcBorders>
            <w:shd w:val="clear" w:color="auto" w:fill="78C78D"/>
            <w:tcMar>
              <w:top w:w="0" w:type="dxa"/>
              <w:left w:w="40" w:type="dxa"/>
              <w:bottom w:w="0" w:type="dxa"/>
              <w:right w:w="40" w:type="dxa"/>
            </w:tcMar>
            <w:vAlign w:val="center"/>
          </w:tcPr>
          <w:p w14:paraId="3938EC7B" w14:textId="77777777" w:rsidR="006227CE" w:rsidRDefault="006C5E69">
            <w:pPr>
              <w:jc w:val="center"/>
              <w:rPr>
                <w:rFonts w:ascii="Calibri" w:eastAsia="Calibri" w:hAnsi="Calibri" w:cs="Calibri"/>
                <w:sz w:val="22"/>
                <w:szCs w:val="22"/>
              </w:rPr>
            </w:pPr>
            <w:r>
              <w:t>5,854.10</w:t>
            </w:r>
          </w:p>
        </w:tc>
        <w:tc>
          <w:tcPr>
            <w:tcW w:w="1120" w:type="dxa"/>
            <w:tcBorders>
              <w:top w:val="single" w:sz="6" w:space="0" w:color="CCCCCC"/>
              <w:left w:val="single" w:sz="6" w:space="0" w:color="CCCCCC"/>
              <w:bottom w:val="single" w:sz="6" w:space="0" w:color="000000"/>
              <w:right w:val="single" w:sz="6" w:space="0" w:color="000000"/>
            </w:tcBorders>
            <w:shd w:val="clear" w:color="auto" w:fill="AADBB9"/>
            <w:tcMar>
              <w:top w:w="0" w:type="dxa"/>
              <w:left w:w="40" w:type="dxa"/>
              <w:bottom w:w="0" w:type="dxa"/>
              <w:right w:w="40" w:type="dxa"/>
            </w:tcMar>
            <w:vAlign w:val="center"/>
          </w:tcPr>
          <w:p w14:paraId="3938EC7C" w14:textId="77777777" w:rsidR="006227CE" w:rsidRDefault="006C5E69">
            <w:pPr>
              <w:jc w:val="center"/>
              <w:rPr>
                <w:rFonts w:ascii="Calibri" w:eastAsia="Calibri" w:hAnsi="Calibri" w:cs="Calibri"/>
                <w:sz w:val="22"/>
                <w:szCs w:val="22"/>
              </w:rPr>
            </w:pPr>
            <w:r>
              <w:t>4,119.00</w:t>
            </w:r>
          </w:p>
        </w:tc>
        <w:tc>
          <w:tcPr>
            <w:tcW w:w="1120" w:type="dxa"/>
            <w:tcBorders>
              <w:top w:val="single" w:sz="6" w:space="0" w:color="CCCCCC"/>
              <w:left w:val="single" w:sz="6" w:space="0" w:color="CCCCCC"/>
              <w:bottom w:val="single" w:sz="6" w:space="0" w:color="000000"/>
              <w:right w:val="single" w:sz="6" w:space="0" w:color="000000"/>
            </w:tcBorders>
            <w:shd w:val="clear" w:color="auto" w:fill="ABDBB9"/>
            <w:tcMar>
              <w:top w:w="0" w:type="dxa"/>
              <w:left w:w="40" w:type="dxa"/>
              <w:bottom w:w="0" w:type="dxa"/>
              <w:right w:w="40" w:type="dxa"/>
            </w:tcMar>
            <w:vAlign w:val="center"/>
          </w:tcPr>
          <w:p w14:paraId="3938EC7D" w14:textId="77777777" w:rsidR="006227CE" w:rsidRDefault="006C5E69">
            <w:pPr>
              <w:jc w:val="center"/>
              <w:rPr>
                <w:rFonts w:ascii="Calibri" w:eastAsia="Calibri" w:hAnsi="Calibri" w:cs="Calibri"/>
                <w:sz w:val="22"/>
                <w:szCs w:val="22"/>
              </w:rPr>
            </w:pPr>
            <w:r>
              <w:t>4,111.40</w:t>
            </w:r>
          </w:p>
        </w:tc>
        <w:tc>
          <w:tcPr>
            <w:tcW w:w="1271" w:type="dxa"/>
            <w:tcBorders>
              <w:top w:val="single" w:sz="6" w:space="0" w:color="CCCCCC"/>
              <w:left w:val="single" w:sz="6" w:space="0" w:color="CCCCCC"/>
              <w:bottom w:val="single" w:sz="6" w:space="0" w:color="000000"/>
              <w:right w:val="single" w:sz="6" w:space="0" w:color="000000"/>
            </w:tcBorders>
            <w:shd w:val="clear" w:color="auto" w:fill="BCE2C8"/>
            <w:tcMar>
              <w:top w:w="0" w:type="dxa"/>
              <w:left w:w="40" w:type="dxa"/>
              <w:bottom w:w="0" w:type="dxa"/>
              <w:right w:w="40" w:type="dxa"/>
            </w:tcMar>
            <w:vAlign w:val="center"/>
          </w:tcPr>
          <w:p w14:paraId="3938EC7E" w14:textId="77777777" w:rsidR="006227CE" w:rsidRDefault="006C5E69">
            <w:pPr>
              <w:jc w:val="center"/>
              <w:rPr>
                <w:rFonts w:ascii="Calibri" w:eastAsia="Calibri" w:hAnsi="Calibri" w:cs="Calibri"/>
                <w:sz w:val="22"/>
                <w:szCs w:val="22"/>
              </w:rPr>
            </w:pPr>
            <w:r>
              <w:t>3,519.40</w:t>
            </w:r>
          </w:p>
        </w:tc>
        <w:tc>
          <w:tcPr>
            <w:tcW w:w="1120" w:type="dxa"/>
            <w:tcBorders>
              <w:top w:val="single" w:sz="6" w:space="0" w:color="CCCCCC"/>
              <w:left w:val="single" w:sz="6" w:space="0" w:color="CCCCCC"/>
              <w:bottom w:val="single" w:sz="6" w:space="0" w:color="000000"/>
              <w:right w:val="single" w:sz="6" w:space="0" w:color="000000"/>
            </w:tcBorders>
            <w:shd w:val="clear" w:color="auto" w:fill="C1E4CC"/>
            <w:tcMar>
              <w:top w:w="0" w:type="dxa"/>
              <w:left w:w="40" w:type="dxa"/>
              <w:bottom w:w="0" w:type="dxa"/>
              <w:right w:w="40" w:type="dxa"/>
            </w:tcMar>
            <w:vAlign w:val="center"/>
          </w:tcPr>
          <w:p w14:paraId="3938EC7F" w14:textId="77777777" w:rsidR="006227CE" w:rsidRDefault="006C5E69">
            <w:pPr>
              <w:jc w:val="center"/>
              <w:rPr>
                <w:rFonts w:ascii="Calibri" w:eastAsia="Calibri" w:hAnsi="Calibri" w:cs="Calibri"/>
                <w:sz w:val="22"/>
                <w:szCs w:val="22"/>
              </w:rPr>
            </w:pPr>
            <w:r>
              <w:t>3,334.50</w:t>
            </w:r>
          </w:p>
        </w:tc>
      </w:tr>
      <w:tr w:rsidR="006227CE" w14:paraId="3938EC88" w14:textId="77777777">
        <w:trPr>
          <w:trHeight w:val="315"/>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938EC81" w14:textId="77777777" w:rsidR="006227CE" w:rsidRDefault="006C5E69">
            <w:pPr>
              <w:jc w:val="center"/>
              <w:rPr>
                <w:rFonts w:ascii="Calibri" w:eastAsia="Calibri" w:hAnsi="Calibri" w:cs="Calibri"/>
                <w:sz w:val="22"/>
                <w:szCs w:val="22"/>
              </w:rPr>
            </w:pPr>
            <w:r>
              <w:t>Total Debt (£m)</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38EC82" w14:textId="77777777" w:rsidR="006227CE" w:rsidRDefault="006C5E69">
            <w:pPr>
              <w:jc w:val="center"/>
              <w:rPr>
                <w:rFonts w:ascii="Calibri" w:eastAsia="Calibri" w:hAnsi="Calibri" w:cs="Calibri"/>
                <w:sz w:val="22"/>
                <w:szCs w:val="22"/>
              </w:rPr>
            </w:pPr>
            <w:r>
              <w:t>F</w:t>
            </w:r>
          </w:p>
        </w:tc>
        <w:tc>
          <w:tcPr>
            <w:tcW w:w="1120" w:type="dxa"/>
            <w:tcBorders>
              <w:top w:val="single" w:sz="6" w:space="0" w:color="CCCCCC"/>
              <w:left w:val="single" w:sz="6" w:space="0" w:color="CCCCCC"/>
              <w:bottom w:val="single" w:sz="6" w:space="0" w:color="000000"/>
              <w:right w:val="single" w:sz="6" w:space="0" w:color="000000"/>
            </w:tcBorders>
            <w:shd w:val="clear" w:color="auto" w:fill="A8DAB7"/>
            <w:tcMar>
              <w:top w:w="0" w:type="dxa"/>
              <w:left w:w="40" w:type="dxa"/>
              <w:bottom w:w="0" w:type="dxa"/>
              <w:right w:w="40" w:type="dxa"/>
            </w:tcMar>
            <w:vAlign w:val="center"/>
          </w:tcPr>
          <w:p w14:paraId="3938EC83" w14:textId="77777777" w:rsidR="006227CE" w:rsidRDefault="006C5E69">
            <w:pPr>
              <w:jc w:val="center"/>
              <w:rPr>
                <w:rFonts w:ascii="Calibri" w:eastAsia="Calibri" w:hAnsi="Calibri" w:cs="Calibri"/>
                <w:sz w:val="22"/>
                <w:szCs w:val="22"/>
              </w:rPr>
            </w:pPr>
            <w:r>
              <w:t>4,189.20</w:t>
            </w:r>
          </w:p>
        </w:tc>
        <w:tc>
          <w:tcPr>
            <w:tcW w:w="1120" w:type="dxa"/>
            <w:tcBorders>
              <w:top w:val="single" w:sz="6" w:space="0" w:color="CCCCCC"/>
              <w:left w:val="single" w:sz="6" w:space="0" w:color="CCCCCC"/>
              <w:bottom w:val="single" w:sz="6" w:space="0" w:color="000000"/>
              <w:right w:val="single" w:sz="6" w:space="0" w:color="000000"/>
            </w:tcBorders>
            <w:shd w:val="clear" w:color="auto" w:fill="99D4AA"/>
            <w:tcMar>
              <w:top w:w="0" w:type="dxa"/>
              <w:left w:w="40" w:type="dxa"/>
              <w:bottom w:w="0" w:type="dxa"/>
              <w:right w:w="40" w:type="dxa"/>
            </w:tcMar>
            <w:vAlign w:val="center"/>
          </w:tcPr>
          <w:p w14:paraId="3938EC84" w14:textId="77777777" w:rsidR="006227CE" w:rsidRDefault="006C5E69">
            <w:pPr>
              <w:jc w:val="center"/>
              <w:rPr>
                <w:rFonts w:ascii="Calibri" w:eastAsia="Calibri" w:hAnsi="Calibri" w:cs="Calibri"/>
                <w:sz w:val="22"/>
                <w:szCs w:val="22"/>
              </w:rPr>
            </w:pPr>
            <w:r>
              <w:t>4,727.90</w:t>
            </w:r>
          </w:p>
        </w:tc>
        <w:tc>
          <w:tcPr>
            <w:tcW w:w="1120" w:type="dxa"/>
            <w:tcBorders>
              <w:top w:val="single" w:sz="6" w:space="0" w:color="CCCCCC"/>
              <w:left w:val="single" w:sz="6" w:space="0" w:color="CCCCCC"/>
              <w:bottom w:val="single" w:sz="6" w:space="0" w:color="000000"/>
              <w:right w:val="single" w:sz="6" w:space="0" w:color="000000"/>
            </w:tcBorders>
            <w:shd w:val="clear" w:color="auto" w:fill="91D1A3"/>
            <w:tcMar>
              <w:top w:w="0" w:type="dxa"/>
              <w:left w:w="40" w:type="dxa"/>
              <w:bottom w:w="0" w:type="dxa"/>
              <w:right w:w="40" w:type="dxa"/>
            </w:tcMar>
            <w:vAlign w:val="center"/>
          </w:tcPr>
          <w:p w14:paraId="3938EC85" w14:textId="77777777" w:rsidR="006227CE" w:rsidRDefault="006C5E69">
            <w:pPr>
              <w:jc w:val="center"/>
              <w:rPr>
                <w:rFonts w:ascii="Calibri" w:eastAsia="Calibri" w:hAnsi="Calibri" w:cs="Calibri"/>
                <w:sz w:val="22"/>
                <w:szCs w:val="22"/>
              </w:rPr>
            </w:pPr>
            <w:r>
              <w:t>4,985.80</w:t>
            </w:r>
          </w:p>
        </w:tc>
        <w:tc>
          <w:tcPr>
            <w:tcW w:w="1271" w:type="dxa"/>
            <w:tcBorders>
              <w:top w:val="single" w:sz="6" w:space="0" w:color="CCCCCC"/>
              <w:left w:val="single" w:sz="6" w:space="0" w:color="CCCCCC"/>
              <w:bottom w:val="single" w:sz="6" w:space="0" w:color="000000"/>
              <w:right w:val="single" w:sz="6" w:space="0" w:color="000000"/>
            </w:tcBorders>
            <w:shd w:val="clear" w:color="auto" w:fill="8DCF9F"/>
            <w:tcMar>
              <w:top w:w="0" w:type="dxa"/>
              <w:left w:w="40" w:type="dxa"/>
              <w:bottom w:w="0" w:type="dxa"/>
              <w:right w:w="40" w:type="dxa"/>
            </w:tcMar>
            <w:vAlign w:val="center"/>
          </w:tcPr>
          <w:p w14:paraId="3938EC86" w14:textId="77777777" w:rsidR="006227CE" w:rsidRDefault="006C5E69">
            <w:pPr>
              <w:jc w:val="center"/>
              <w:rPr>
                <w:rFonts w:ascii="Calibri" w:eastAsia="Calibri" w:hAnsi="Calibri" w:cs="Calibri"/>
                <w:sz w:val="22"/>
                <w:szCs w:val="22"/>
              </w:rPr>
            </w:pPr>
            <w:r>
              <w:t>5,131.50</w:t>
            </w:r>
          </w:p>
        </w:tc>
        <w:tc>
          <w:tcPr>
            <w:tcW w:w="1120" w:type="dxa"/>
            <w:tcBorders>
              <w:top w:val="single" w:sz="6" w:space="0" w:color="CCCCCC"/>
              <w:left w:val="single" w:sz="6" w:space="0" w:color="CCCCCC"/>
              <w:bottom w:val="single" w:sz="6" w:space="0" w:color="000000"/>
              <w:right w:val="single" w:sz="6" w:space="0" w:color="000000"/>
            </w:tcBorders>
            <w:shd w:val="clear" w:color="auto" w:fill="8ACE9C"/>
            <w:tcMar>
              <w:top w:w="0" w:type="dxa"/>
              <w:left w:w="40" w:type="dxa"/>
              <w:bottom w:w="0" w:type="dxa"/>
              <w:right w:w="40" w:type="dxa"/>
            </w:tcMar>
            <w:vAlign w:val="center"/>
          </w:tcPr>
          <w:p w14:paraId="3938EC87" w14:textId="77777777" w:rsidR="006227CE" w:rsidRDefault="006C5E69">
            <w:pPr>
              <w:jc w:val="center"/>
              <w:rPr>
                <w:rFonts w:ascii="Calibri" w:eastAsia="Calibri" w:hAnsi="Calibri" w:cs="Calibri"/>
                <w:sz w:val="22"/>
                <w:szCs w:val="22"/>
              </w:rPr>
            </w:pPr>
            <w:r>
              <w:t>5,251.20</w:t>
            </w:r>
          </w:p>
        </w:tc>
      </w:tr>
      <w:tr w:rsidR="006227CE" w14:paraId="3938EC90" w14:textId="77777777">
        <w:trPr>
          <w:trHeight w:val="315"/>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938EC89" w14:textId="77777777" w:rsidR="006227CE" w:rsidRDefault="006C5E69">
            <w:pPr>
              <w:jc w:val="center"/>
              <w:rPr>
                <w:rFonts w:ascii="Calibri" w:eastAsia="Calibri" w:hAnsi="Calibri" w:cs="Calibri"/>
                <w:sz w:val="22"/>
                <w:szCs w:val="22"/>
              </w:rPr>
            </w:pPr>
            <w:r>
              <w:rPr>
                <w:b/>
                <w:bCs/>
              </w:rPr>
              <w:t>Debt/Equity Ratio</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38EC8A" w14:textId="77777777" w:rsidR="006227CE" w:rsidRDefault="006C5E69">
            <w:pPr>
              <w:jc w:val="center"/>
              <w:rPr>
                <w:rFonts w:ascii="Calibri" w:eastAsia="Calibri" w:hAnsi="Calibri" w:cs="Calibri"/>
                <w:sz w:val="22"/>
                <w:szCs w:val="22"/>
              </w:rPr>
            </w:pPr>
            <w:r>
              <w:rPr>
                <w:b/>
                <w:bCs/>
              </w:rPr>
              <w:t>A/B</w:t>
            </w:r>
          </w:p>
        </w:tc>
        <w:tc>
          <w:tcPr>
            <w:tcW w:w="1120" w:type="dxa"/>
            <w:tcBorders>
              <w:top w:val="single" w:sz="6" w:space="0" w:color="CCCCCC"/>
              <w:left w:val="single" w:sz="6" w:space="0" w:color="CCCCCC"/>
              <w:bottom w:val="single" w:sz="6" w:space="0" w:color="000000"/>
              <w:right w:val="single" w:sz="6" w:space="0" w:color="000000"/>
            </w:tcBorders>
            <w:shd w:val="clear" w:color="auto" w:fill="F9A3A5"/>
            <w:tcMar>
              <w:top w:w="0" w:type="dxa"/>
              <w:left w:w="40" w:type="dxa"/>
              <w:bottom w:w="0" w:type="dxa"/>
              <w:right w:w="40" w:type="dxa"/>
            </w:tcMar>
            <w:vAlign w:val="center"/>
          </w:tcPr>
          <w:p w14:paraId="3938EC8B" w14:textId="77777777" w:rsidR="006227CE" w:rsidRDefault="006C5E69">
            <w:pPr>
              <w:jc w:val="center"/>
              <w:rPr>
                <w:rFonts w:ascii="Calibri" w:eastAsia="Calibri" w:hAnsi="Calibri" w:cs="Calibri"/>
                <w:sz w:val="22"/>
                <w:szCs w:val="22"/>
              </w:rPr>
            </w:pPr>
            <w:r>
              <w:rPr>
                <w:b/>
                <w:bCs/>
              </w:rPr>
              <w:t>0.85</w:t>
            </w:r>
          </w:p>
        </w:tc>
        <w:tc>
          <w:tcPr>
            <w:tcW w:w="1120" w:type="dxa"/>
            <w:tcBorders>
              <w:top w:val="single" w:sz="6" w:space="0" w:color="CCCCCC"/>
              <w:left w:val="single" w:sz="6" w:space="0" w:color="CCCCCC"/>
              <w:bottom w:val="single" w:sz="6" w:space="0" w:color="000000"/>
              <w:right w:val="single" w:sz="6" w:space="0" w:color="000000"/>
            </w:tcBorders>
            <w:shd w:val="clear" w:color="auto" w:fill="F9A3A5"/>
            <w:tcMar>
              <w:top w:w="0" w:type="dxa"/>
              <w:left w:w="40" w:type="dxa"/>
              <w:bottom w:w="0" w:type="dxa"/>
              <w:right w:w="40" w:type="dxa"/>
            </w:tcMar>
            <w:vAlign w:val="center"/>
          </w:tcPr>
          <w:p w14:paraId="3938EC8C" w14:textId="77777777" w:rsidR="006227CE" w:rsidRDefault="006C5E69">
            <w:pPr>
              <w:jc w:val="center"/>
              <w:rPr>
                <w:rFonts w:ascii="Calibri" w:eastAsia="Calibri" w:hAnsi="Calibri" w:cs="Calibri"/>
                <w:sz w:val="22"/>
                <w:szCs w:val="22"/>
              </w:rPr>
            </w:pPr>
            <w:r>
              <w:rPr>
                <w:b/>
                <w:bCs/>
              </w:rPr>
              <w:t>1.32</w:t>
            </w:r>
          </w:p>
        </w:tc>
        <w:tc>
          <w:tcPr>
            <w:tcW w:w="1120" w:type="dxa"/>
            <w:tcBorders>
              <w:top w:val="single" w:sz="6" w:space="0" w:color="CCCCCC"/>
              <w:left w:val="single" w:sz="6" w:space="0" w:color="CCCCCC"/>
              <w:bottom w:val="single" w:sz="6" w:space="0" w:color="000000"/>
              <w:right w:val="single" w:sz="6" w:space="0" w:color="000000"/>
            </w:tcBorders>
            <w:shd w:val="clear" w:color="auto" w:fill="F9A3A5"/>
            <w:tcMar>
              <w:top w:w="0" w:type="dxa"/>
              <w:left w:w="40" w:type="dxa"/>
              <w:bottom w:w="0" w:type="dxa"/>
              <w:right w:w="40" w:type="dxa"/>
            </w:tcMar>
            <w:vAlign w:val="center"/>
          </w:tcPr>
          <w:p w14:paraId="3938EC8D" w14:textId="77777777" w:rsidR="006227CE" w:rsidRDefault="006C5E69">
            <w:pPr>
              <w:jc w:val="center"/>
              <w:rPr>
                <w:rFonts w:ascii="Calibri" w:eastAsia="Calibri" w:hAnsi="Calibri" w:cs="Calibri"/>
                <w:sz w:val="22"/>
                <w:szCs w:val="22"/>
              </w:rPr>
            </w:pPr>
            <w:r>
              <w:rPr>
                <w:b/>
                <w:bCs/>
              </w:rPr>
              <w:t>1.42</w:t>
            </w:r>
          </w:p>
        </w:tc>
        <w:tc>
          <w:tcPr>
            <w:tcW w:w="1271" w:type="dxa"/>
            <w:tcBorders>
              <w:top w:val="single" w:sz="6" w:space="0" w:color="CCCCCC"/>
              <w:left w:val="single" w:sz="6" w:space="0" w:color="CCCCCC"/>
              <w:bottom w:val="single" w:sz="6" w:space="0" w:color="000000"/>
              <w:right w:val="single" w:sz="6" w:space="0" w:color="000000"/>
            </w:tcBorders>
            <w:shd w:val="clear" w:color="auto" w:fill="F9A3A5"/>
            <w:tcMar>
              <w:top w:w="0" w:type="dxa"/>
              <w:left w:w="40" w:type="dxa"/>
              <w:bottom w:w="0" w:type="dxa"/>
              <w:right w:w="40" w:type="dxa"/>
            </w:tcMar>
            <w:vAlign w:val="center"/>
          </w:tcPr>
          <w:p w14:paraId="3938EC8E" w14:textId="77777777" w:rsidR="006227CE" w:rsidRDefault="006C5E69">
            <w:pPr>
              <w:jc w:val="center"/>
              <w:rPr>
                <w:rFonts w:ascii="Calibri" w:eastAsia="Calibri" w:hAnsi="Calibri" w:cs="Calibri"/>
                <w:sz w:val="22"/>
                <w:szCs w:val="22"/>
              </w:rPr>
            </w:pPr>
            <w:r>
              <w:rPr>
                <w:b/>
                <w:bCs/>
              </w:rPr>
              <w:t>1.71</w:t>
            </w:r>
          </w:p>
        </w:tc>
        <w:tc>
          <w:tcPr>
            <w:tcW w:w="1120" w:type="dxa"/>
            <w:tcBorders>
              <w:top w:val="single" w:sz="6" w:space="0" w:color="CCCCCC"/>
              <w:left w:val="single" w:sz="6" w:space="0" w:color="CCCCCC"/>
              <w:bottom w:val="single" w:sz="6" w:space="0" w:color="000000"/>
              <w:right w:val="single" w:sz="6" w:space="0" w:color="000000"/>
            </w:tcBorders>
            <w:shd w:val="clear" w:color="auto" w:fill="F9A3A5"/>
            <w:tcMar>
              <w:top w:w="0" w:type="dxa"/>
              <w:left w:w="40" w:type="dxa"/>
              <w:bottom w:w="0" w:type="dxa"/>
              <w:right w:w="40" w:type="dxa"/>
            </w:tcMar>
            <w:vAlign w:val="center"/>
          </w:tcPr>
          <w:p w14:paraId="3938EC8F" w14:textId="77777777" w:rsidR="006227CE" w:rsidRDefault="006C5E69">
            <w:pPr>
              <w:jc w:val="center"/>
              <w:rPr>
                <w:rFonts w:ascii="Calibri" w:eastAsia="Calibri" w:hAnsi="Calibri" w:cs="Calibri"/>
                <w:sz w:val="22"/>
                <w:szCs w:val="22"/>
              </w:rPr>
            </w:pPr>
            <w:r>
              <w:rPr>
                <w:b/>
                <w:bCs/>
              </w:rPr>
              <w:t>1.97</w:t>
            </w:r>
          </w:p>
        </w:tc>
      </w:tr>
      <w:tr w:rsidR="006227CE" w14:paraId="3938EC98" w14:textId="77777777">
        <w:trPr>
          <w:trHeight w:val="315"/>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938EC91" w14:textId="77777777" w:rsidR="006227CE" w:rsidRDefault="006C5E69">
            <w:pPr>
              <w:jc w:val="center"/>
              <w:rPr>
                <w:rFonts w:ascii="Calibri" w:eastAsia="Calibri" w:hAnsi="Calibri" w:cs="Calibri"/>
                <w:sz w:val="22"/>
                <w:szCs w:val="22"/>
              </w:rPr>
            </w:pPr>
            <w:r>
              <w:rPr>
                <w:b/>
                <w:bCs/>
              </w:rPr>
              <w:t>Interest Coverage Ratio</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38EC92" w14:textId="77777777" w:rsidR="006227CE" w:rsidRDefault="006C5E69">
            <w:pPr>
              <w:jc w:val="center"/>
              <w:rPr>
                <w:rFonts w:ascii="Calibri" w:eastAsia="Calibri" w:hAnsi="Calibri" w:cs="Calibri"/>
                <w:sz w:val="22"/>
                <w:szCs w:val="22"/>
              </w:rPr>
            </w:pPr>
            <w:r>
              <w:rPr>
                <w:b/>
                <w:bCs/>
              </w:rPr>
              <w:t>C/D</w:t>
            </w:r>
          </w:p>
        </w:tc>
        <w:tc>
          <w:tcPr>
            <w:tcW w:w="1120" w:type="dxa"/>
            <w:tcBorders>
              <w:top w:val="single" w:sz="6" w:space="0" w:color="CCCCCC"/>
              <w:left w:val="single" w:sz="6" w:space="0" w:color="CCCCCC"/>
              <w:bottom w:val="single" w:sz="6" w:space="0" w:color="000000"/>
              <w:right w:val="single" w:sz="6" w:space="0" w:color="000000"/>
            </w:tcBorders>
            <w:shd w:val="clear" w:color="auto" w:fill="F9A2A4"/>
            <w:tcMar>
              <w:top w:w="0" w:type="dxa"/>
              <w:left w:w="40" w:type="dxa"/>
              <w:bottom w:w="0" w:type="dxa"/>
              <w:right w:w="40" w:type="dxa"/>
            </w:tcMar>
            <w:vAlign w:val="center"/>
          </w:tcPr>
          <w:p w14:paraId="3938EC93" w14:textId="77777777" w:rsidR="006227CE" w:rsidRDefault="006C5E69">
            <w:pPr>
              <w:jc w:val="center"/>
              <w:rPr>
                <w:rFonts w:ascii="Calibri" w:eastAsia="Calibri" w:hAnsi="Calibri" w:cs="Calibri"/>
                <w:sz w:val="22"/>
                <w:szCs w:val="22"/>
              </w:rPr>
            </w:pPr>
            <w:r>
              <w:rPr>
                <w:b/>
                <w:bCs/>
              </w:rPr>
              <w:t>(6.81)</w:t>
            </w:r>
          </w:p>
        </w:tc>
        <w:tc>
          <w:tcPr>
            <w:tcW w:w="1120" w:type="dxa"/>
            <w:tcBorders>
              <w:top w:val="single" w:sz="6" w:space="0" w:color="CCCCCC"/>
              <w:left w:val="single" w:sz="6" w:space="0" w:color="CCCCCC"/>
              <w:bottom w:val="single" w:sz="6" w:space="0" w:color="000000"/>
              <w:right w:val="single" w:sz="6" w:space="0" w:color="000000"/>
            </w:tcBorders>
            <w:shd w:val="clear" w:color="auto" w:fill="F9A3A5"/>
            <w:tcMar>
              <w:top w:w="0" w:type="dxa"/>
              <w:left w:w="40" w:type="dxa"/>
              <w:bottom w:w="0" w:type="dxa"/>
              <w:right w:w="40" w:type="dxa"/>
            </w:tcMar>
            <w:vAlign w:val="center"/>
          </w:tcPr>
          <w:p w14:paraId="3938EC94" w14:textId="77777777" w:rsidR="006227CE" w:rsidRDefault="006C5E69">
            <w:pPr>
              <w:jc w:val="center"/>
              <w:rPr>
                <w:rFonts w:ascii="Calibri" w:eastAsia="Calibri" w:hAnsi="Calibri" w:cs="Calibri"/>
                <w:sz w:val="22"/>
                <w:szCs w:val="22"/>
              </w:rPr>
            </w:pPr>
            <w:r>
              <w:rPr>
                <w:b/>
                <w:bCs/>
              </w:rPr>
              <w:t>1.71</w:t>
            </w:r>
          </w:p>
        </w:tc>
        <w:tc>
          <w:tcPr>
            <w:tcW w:w="1120" w:type="dxa"/>
            <w:tcBorders>
              <w:top w:val="single" w:sz="6" w:space="0" w:color="CCCCCC"/>
              <w:left w:val="single" w:sz="6" w:space="0" w:color="CCCCCC"/>
              <w:bottom w:val="single" w:sz="6" w:space="0" w:color="000000"/>
              <w:right w:val="single" w:sz="6" w:space="0" w:color="000000"/>
            </w:tcBorders>
            <w:shd w:val="clear" w:color="auto" w:fill="F9A3A5"/>
            <w:tcMar>
              <w:top w:w="0" w:type="dxa"/>
              <w:left w:w="40" w:type="dxa"/>
              <w:bottom w:w="0" w:type="dxa"/>
              <w:right w:w="40" w:type="dxa"/>
            </w:tcMar>
            <w:vAlign w:val="center"/>
          </w:tcPr>
          <w:p w14:paraId="3938EC95" w14:textId="77777777" w:rsidR="006227CE" w:rsidRDefault="006C5E69">
            <w:pPr>
              <w:jc w:val="center"/>
              <w:rPr>
                <w:rFonts w:ascii="Calibri" w:eastAsia="Calibri" w:hAnsi="Calibri" w:cs="Calibri"/>
                <w:sz w:val="22"/>
                <w:szCs w:val="22"/>
              </w:rPr>
            </w:pPr>
            <w:r>
              <w:rPr>
                <w:b/>
                <w:bCs/>
              </w:rPr>
              <w:t>3.62</w:t>
            </w:r>
          </w:p>
        </w:tc>
        <w:tc>
          <w:tcPr>
            <w:tcW w:w="1271" w:type="dxa"/>
            <w:tcBorders>
              <w:top w:val="single" w:sz="6" w:space="0" w:color="CCCCCC"/>
              <w:left w:val="single" w:sz="6" w:space="0" w:color="CCCCCC"/>
              <w:bottom w:val="single" w:sz="6" w:space="0" w:color="000000"/>
              <w:right w:val="single" w:sz="6" w:space="0" w:color="000000"/>
            </w:tcBorders>
            <w:shd w:val="clear" w:color="auto" w:fill="F9A3A5"/>
            <w:tcMar>
              <w:top w:w="0" w:type="dxa"/>
              <w:left w:w="40" w:type="dxa"/>
              <w:bottom w:w="0" w:type="dxa"/>
              <w:right w:w="40" w:type="dxa"/>
            </w:tcMar>
            <w:vAlign w:val="center"/>
          </w:tcPr>
          <w:p w14:paraId="3938EC96" w14:textId="77777777" w:rsidR="006227CE" w:rsidRDefault="006C5E69">
            <w:pPr>
              <w:jc w:val="center"/>
              <w:rPr>
                <w:rFonts w:ascii="Calibri" w:eastAsia="Calibri" w:hAnsi="Calibri" w:cs="Calibri"/>
                <w:sz w:val="22"/>
                <w:szCs w:val="22"/>
              </w:rPr>
            </w:pPr>
            <w:r>
              <w:rPr>
                <w:b/>
                <w:bCs/>
              </w:rPr>
              <w:t>3.56</w:t>
            </w:r>
          </w:p>
        </w:tc>
        <w:tc>
          <w:tcPr>
            <w:tcW w:w="1120" w:type="dxa"/>
            <w:tcBorders>
              <w:top w:val="single" w:sz="6" w:space="0" w:color="CCCCCC"/>
              <w:left w:val="single" w:sz="6" w:space="0" w:color="CCCCCC"/>
              <w:bottom w:val="single" w:sz="6" w:space="0" w:color="000000"/>
              <w:right w:val="single" w:sz="6" w:space="0" w:color="000000"/>
            </w:tcBorders>
            <w:shd w:val="clear" w:color="auto" w:fill="F9A3A5"/>
            <w:tcMar>
              <w:top w:w="0" w:type="dxa"/>
              <w:left w:w="40" w:type="dxa"/>
              <w:bottom w:w="0" w:type="dxa"/>
              <w:right w:w="40" w:type="dxa"/>
            </w:tcMar>
            <w:vAlign w:val="center"/>
          </w:tcPr>
          <w:p w14:paraId="3938EC97" w14:textId="77777777" w:rsidR="006227CE" w:rsidRDefault="006C5E69">
            <w:pPr>
              <w:jc w:val="center"/>
              <w:rPr>
                <w:rFonts w:ascii="Calibri" w:eastAsia="Calibri" w:hAnsi="Calibri" w:cs="Calibri"/>
                <w:sz w:val="22"/>
                <w:szCs w:val="22"/>
              </w:rPr>
            </w:pPr>
            <w:r>
              <w:rPr>
                <w:b/>
                <w:bCs/>
              </w:rPr>
              <w:t>3.06</w:t>
            </w:r>
          </w:p>
        </w:tc>
      </w:tr>
      <w:tr w:rsidR="006227CE" w14:paraId="3938ECA0" w14:textId="77777777">
        <w:trPr>
          <w:trHeight w:val="315"/>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938EC99" w14:textId="77777777" w:rsidR="006227CE" w:rsidRDefault="006C5E69">
            <w:pPr>
              <w:jc w:val="center"/>
              <w:rPr>
                <w:rFonts w:ascii="Calibri" w:eastAsia="Calibri" w:hAnsi="Calibri" w:cs="Calibri"/>
                <w:sz w:val="22"/>
                <w:szCs w:val="22"/>
              </w:rPr>
            </w:pPr>
            <w:r>
              <w:rPr>
                <w:b/>
                <w:bCs/>
              </w:rPr>
              <w:t>Debt/Capital Ratio</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38EC9A" w14:textId="77777777" w:rsidR="006227CE" w:rsidRDefault="006C5E69">
            <w:pPr>
              <w:jc w:val="center"/>
              <w:rPr>
                <w:rFonts w:ascii="Calibri" w:eastAsia="Calibri" w:hAnsi="Calibri" w:cs="Calibri"/>
                <w:sz w:val="22"/>
                <w:szCs w:val="22"/>
              </w:rPr>
            </w:pPr>
            <w:r>
              <w:rPr>
                <w:b/>
                <w:bCs/>
              </w:rPr>
              <w:t>F/(F+E)</w:t>
            </w:r>
          </w:p>
        </w:tc>
        <w:tc>
          <w:tcPr>
            <w:tcW w:w="1120" w:type="dxa"/>
            <w:tcBorders>
              <w:top w:val="single" w:sz="6" w:space="0" w:color="CCCCCC"/>
              <w:left w:val="single" w:sz="6" w:space="0" w:color="CCCCCC"/>
              <w:bottom w:val="single" w:sz="6" w:space="0" w:color="000000"/>
              <w:right w:val="single" w:sz="6" w:space="0" w:color="000000"/>
            </w:tcBorders>
            <w:shd w:val="clear" w:color="auto" w:fill="F9A3A5"/>
            <w:tcMar>
              <w:top w:w="0" w:type="dxa"/>
              <w:left w:w="40" w:type="dxa"/>
              <w:bottom w:w="0" w:type="dxa"/>
              <w:right w:w="40" w:type="dxa"/>
            </w:tcMar>
            <w:vAlign w:val="center"/>
          </w:tcPr>
          <w:p w14:paraId="3938EC9B" w14:textId="77777777" w:rsidR="006227CE" w:rsidRDefault="006C5E69">
            <w:pPr>
              <w:jc w:val="center"/>
              <w:rPr>
                <w:rFonts w:ascii="Calibri" w:eastAsia="Calibri" w:hAnsi="Calibri" w:cs="Calibri"/>
                <w:sz w:val="22"/>
                <w:szCs w:val="22"/>
              </w:rPr>
            </w:pPr>
            <w:r>
              <w:rPr>
                <w:b/>
                <w:bCs/>
              </w:rPr>
              <w:t>0.42</w:t>
            </w:r>
          </w:p>
        </w:tc>
        <w:tc>
          <w:tcPr>
            <w:tcW w:w="1120" w:type="dxa"/>
            <w:tcBorders>
              <w:top w:val="single" w:sz="6" w:space="0" w:color="CCCCCC"/>
              <w:left w:val="single" w:sz="6" w:space="0" w:color="CCCCCC"/>
              <w:bottom w:val="single" w:sz="6" w:space="0" w:color="000000"/>
              <w:right w:val="single" w:sz="6" w:space="0" w:color="000000"/>
            </w:tcBorders>
            <w:shd w:val="clear" w:color="auto" w:fill="F9A3A5"/>
            <w:tcMar>
              <w:top w:w="0" w:type="dxa"/>
              <w:left w:w="40" w:type="dxa"/>
              <w:bottom w:w="0" w:type="dxa"/>
              <w:right w:w="40" w:type="dxa"/>
            </w:tcMar>
            <w:vAlign w:val="center"/>
          </w:tcPr>
          <w:p w14:paraId="3938EC9C" w14:textId="77777777" w:rsidR="006227CE" w:rsidRDefault="006C5E69">
            <w:pPr>
              <w:jc w:val="center"/>
              <w:rPr>
                <w:rFonts w:ascii="Calibri" w:eastAsia="Calibri" w:hAnsi="Calibri" w:cs="Calibri"/>
                <w:sz w:val="22"/>
                <w:szCs w:val="22"/>
              </w:rPr>
            </w:pPr>
            <w:r>
              <w:rPr>
                <w:b/>
                <w:bCs/>
              </w:rPr>
              <w:t>0.53</w:t>
            </w:r>
          </w:p>
        </w:tc>
        <w:tc>
          <w:tcPr>
            <w:tcW w:w="1120" w:type="dxa"/>
            <w:tcBorders>
              <w:top w:val="single" w:sz="6" w:space="0" w:color="CCCCCC"/>
              <w:left w:val="single" w:sz="6" w:space="0" w:color="CCCCCC"/>
              <w:bottom w:val="single" w:sz="6" w:space="0" w:color="000000"/>
              <w:right w:val="single" w:sz="6" w:space="0" w:color="000000"/>
            </w:tcBorders>
            <w:shd w:val="clear" w:color="auto" w:fill="F9A3A5"/>
            <w:tcMar>
              <w:top w:w="0" w:type="dxa"/>
              <w:left w:w="40" w:type="dxa"/>
              <w:bottom w:w="0" w:type="dxa"/>
              <w:right w:w="40" w:type="dxa"/>
            </w:tcMar>
            <w:vAlign w:val="center"/>
          </w:tcPr>
          <w:p w14:paraId="3938EC9D" w14:textId="77777777" w:rsidR="006227CE" w:rsidRDefault="006C5E69">
            <w:pPr>
              <w:jc w:val="center"/>
              <w:rPr>
                <w:rFonts w:ascii="Calibri" w:eastAsia="Calibri" w:hAnsi="Calibri" w:cs="Calibri"/>
                <w:sz w:val="22"/>
                <w:szCs w:val="22"/>
              </w:rPr>
            </w:pPr>
            <w:r>
              <w:rPr>
                <w:b/>
                <w:bCs/>
              </w:rPr>
              <w:t>0.55</w:t>
            </w:r>
          </w:p>
        </w:tc>
        <w:tc>
          <w:tcPr>
            <w:tcW w:w="1271" w:type="dxa"/>
            <w:tcBorders>
              <w:top w:val="single" w:sz="6" w:space="0" w:color="CCCCCC"/>
              <w:left w:val="single" w:sz="6" w:space="0" w:color="CCCCCC"/>
              <w:bottom w:val="single" w:sz="6" w:space="0" w:color="000000"/>
              <w:right w:val="single" w:sz="6" w:space="0" w:color="000000"/>
            </w:tcBorders>
            <w:shd w:val="clear" w:color="auto" w:fill="F9A3A5"/>
            <w:tcMar>
              <w:top w:w="0" w:type="dxa"/>
              <w:left w:w="40" w:type="dxa"/>
              <w:bottom w:w="0" w:type="dxa"/>
              <w:right w:w="40" w:type="dxa"/>
            </w:tcMar>
            <w:vAlign w:val="center"/>
          </w:tcPr>
          <w:p w14:paraId="3938EC9E" w14:textId="77777777" w:rsidR="006227CE" w:rsidRDefault="006C5E69">
            <w:pPr>
              <w:jc w:val="center"/>
              <w:rPr>
                <w:rFonts w:ascii="Calibri" w:eastAsia="Calibri" w:hAnsi="Calibri" w:cs="Calibri"/>
                <w:sz w:val="22"/>
                <w:szCs w:val="22"/>
              </w:rPr>
            </w:pPr>
            <w:r>
              <w:rPr>
                <w:b/>
                <w:bCs/>
              </w:rPr>
              <w:t>0.59</w:t>
            </w:r>
          </w:p>
        </w:tc>
        <w:tc>
          <w:tcPr>
            <w:tcW w:w="1120" w:type="dxa"/>
            <w:tcBorders>
              <w:top w:val="single" w:sz="6" w:space="0" w:color="CCCCCC"/>
              <w:left w:val="single" w:sz="6" w:space="0" w:color="CCCCCC"/>
              <w:bottom w:val="single" w:sz="6" w:space="0" w:color="000000"/>
              <w:right w:val="single" w:sz="6" w:space="0" w:color="000000"/>
            </w:tcBorders>
            <w:shd w:val="clear" w:color="auto" w:fill="F9A3A5"/>
            <w:tcMar>
              <w:top w:w="0" w:type="dxa"/>
              <w:left w:w="40" w:type="dxa"/>
              <w:bottom w:w="0" w:type="dxa"/>
              <w:right w:w="40" w:type="dxa"/>
            </w:tcMar>
            <w:vAlign w:val="center"/>
          </w:tcPr>
          <w:p w14:paraId="3938EC9F" w14:textId="77777777" w:rsidR="006227CE" w:rsidRDefault="006C5E69">
            <w:pPr>
              <w:jc w:val="center"/>
              <w:rPr>
                <w:rFonts w:ascii="Calibri" w:eastAsia="Calibri" w:hAnsi="Calibri" w:cs="Calibri"/>
                <w:sz w:val="22"/>
                <w:szCs w:val="22"/>
              </w:rPr>
            </w:pPr>
            <w:r>
              <w:rPr>
                <w:b/>
                <w:bCs/>
              </w:rPr>
              <w:t>0.61</w:t>
            </w:r>
          </w:p>
        </w:tc>
      </w:tr>
      <w:tr w:rsidR="006227CE" w14:paraId="3938ECA8" w14:textId="77777777">
        <w:trPr>
          <w:trHeight w:val="315"/>
        </w:trPr>
        <w:tc>
          <w:tcPr>
            <w:tcW w:w="2793"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3938ECA1" w14:textId="77777777" w:rsidR="006227CE" w:rsidRDefault="006227CE">
            <w:pPr>
              <w:rPr>
                <w:rFonts w:ascii="Calibri" w:eastAsia="Calibri" w:hAnsi="Calibri" w:cs="Calibri"/>
                <w:sz w:val="22"/>
                <w:szCs w:val="22"/>
              </w:rPr>
            </w:pPr>
          </w:p>
        </w:tc>
        <w:tc>
          <w:tcPr>
            <w:tcW w:w="816"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3938ECA2" w14:textId="77777777" w:rsidR="006227CE" w:rsidRDefault="006227CE">
            <w:pPr>
              <w:rPr>
                <w:rFonts w:ascii="Calibri" w:eastAsia="Calibri" w:hAnsi="Calibri" w:cs="Calibri"/>
                <w:sz w:val="22"/>
                <w:szCs w:val="22"/>
              </w:rPr>
            </w:pPr>
          </w:p>
        </w:tc>
        <w:tc>
          <w:tcPr>
            <w:tcW w:w="11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3938ECA3" w14:textId="77777777" w:rsidR="006227CE" w:rsidRDefault="006227CE">
            <w:pPr>
              <w:rPr>
                <w:rFonts w:ascii="Calibri" w:eastAsia="Calibri" w:hAnsi="Calibri" w:cs="Calibri"/>
                <w:sz w:val="22"/>
                <w:szCs w:val="22"/>
              </w:rPr>
            </w:pPr>
          </w:p>
        </w:tc>
        <w:tc>
          <w:tcPr>
            <w:tcW w:w="11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3938ECA4" w14:textId="77777777" w:rsidR="006227CE" w:rsidRDefault="006227CE">
            <w:pPr>
              <w:rPr>
                <w:rFonts w:ascii="Calibri" w:eastAsia="Calibri" w:hAnsi="Calibri" w:cs="Calibri"/>
                <w:sz w:val="22"/>
                <w:szCs w:val="22"/>
              </w:rPr>
            </w:pPr>
          </w:p>
        </w:tc>
        <w:tc>
          <w:tcPr>
            <w:tcW w:w="11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3938ECA5" w14:textId="77777777" w:rsidR="006227CE" w:rsidRDefault="006227CE">
            <w:pPr>
              <w:rPr>
                <w:rFonts w:ascii="Calibri" w:eastAsia="Calibri" w:hAnsi="Calibri" w:cs="Calibri"/>
                <w:sz w:val="22"/>
                <w:szCs w:val="22"/>
              </w:rPr>
            </w:pPr>
          </w:p>
        </w:tc>
        <w:tc>
          <w:tcPr>
            <w:tcW w:w="1271"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3938ECA6" w14:textId="77777777" w:rsidR="006227CE" w:rsidRDefault="006227CE">
            <w:pPr>
              <w:rPr>
                <w:rFonts w:ascii="Calibri" w:eastAsia="Calibri" w:hAnsi="Calibri" w:cs="Calibri"/>
                <w:sz w:val="22"/>
                <w:szCs w:val="22"/>
              </w:rPr>
            </w:pPr>
          </w:p>
        </w:tc>
        <w:tc>
          <w:tcPr>
            <w:tcW w:w="11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3938ECA7" w14:textId="77777777" w:rsidR="006227CE" w:rsidRDefault="006227CE">
            <w:pPr>
              <w:rPr>
                <w:rFonts w:ascii="Calibri" w:eastAsia="Calibri" w:hAnsi="Calibri" w:cs="Calibri"/>
                <w:sz w:val="22"/>
                <w:szCs w:val="22"/>
              </w:rPr>
            </w:pPr>
          </w:p>
        </w:tc>
      </w:tr>
      <w:tr w:rsidR="006227CE" w14:paraId="3938ECAA" w14:textId="77777777">
        <w:trPr>
          <w:trHeight w:val="315"/>
        </w:trPr>
        <w:tc>
          <w:tcPr>
            <w:tcW w:w="9360" w:type="dxa"/>
            <w:gridSpan w:val="7"/>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center"/>
          </w:tcPr>
          <w:p w14:paraId="3938ECA9" w14:textId="77777777" w:rsidR="006227CE" w:rsidRDefault="006C5E69">
            <w:pPr>
              <w:jc w:val="center"/>
              <w:rPr>
                <w:rFonts w:ascii="Calibri" w:eastAsia="Calibri" w:hAnsi="Calibri" w:cs="Calibri"/>
                <w:sz w:val="22"/>
                <w:szCs w:val="22"/>
              </w:rPr>
            </w:pPr>
            <w:r>
              <w:rPr>
                <w:b/>
                <w:bCs/>
              </w:rPr>
              <w:t>Efficiency Ratios:-</w:t>
            </w:r>
          </w:p>
        </w:tc>
      </w:tr>
      <w:tr w:rsidR="006227CE" w14:paraId="3938ECB2" w14:textId="77777777">
        <w:trPr>
          <w:trHeight w:val="315"/>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938ECAB" w14:textId="77777777" w:rsidR="006227CE" w:rsidRDefault="006C5E69">
            <w:pPr>
              <w:jc w:val="center"/>
              <w:rPr>
                <w:rFonts w:ascii="Calibri" w:eastAsia="Calibri" w:hAnsi="Calibri" w:cs="Calibri"/>
                <w:sz w:val="22"/>
                <w:szCs w:val="22"/>
              </w:rPr>
            </w:pPr>
            <w:r>
              <w:rPr>
                <w:b/>
                <w:bCs/>
              </w:rPr>
              <w:t>Particulars</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38ECAC" w14:textId="77777777" w:rsidR="006227CE" w:rsidRDefault="006C5E69">
            <w:pPr>
              <w:jc w:val="center"/>
              <w:rPr>
                <w:rFonts w:ascii="Calibri" w:eastAsia="Calibri" w:hAnsi="Calibri" w:cs="Calibri"/>
                <w:sz w:val="22"/>
                <w:szCs w:val="22"/>
              </w:rPr>
            </w:pPr>
            <w:r>
              <w:rPr>
                <w:b/>
                <w:bCs/>
              </w:rPr>
              <w:t>Details</w:t>
            </w:r>
          </w:p>
        </w:tc>
        <w:tc>
          <w:tcPr>
            <w:tcW w:w="1120" w:type="dxa"/>
            <w:tcBorders>
              <w:top w:val="single" w:sz="6" w:space="0" w:color="CCCCCC"/>
              <w:left w:val="single" w:sz="6" w:space="0" w:color="CCCCCC"/>
              <w:bottom w:val="single" w:sz="6" w:space="0" w:color="000000"/>
              <w:right w:val="single" w:sz="6" w:space="0" w:color="000000"/>
            </w:tcBorders>
            <w:shd w:val="clear" w:color="auto" w:fill="96D3A7"/>
            <w:tcMar>
              <w:top w:w="0" w:type="dxa"/>
              <w:left w:w="40" w:type="dxa"/>
              <w:bottom w:w="0" w:type="dxa"/>
              <w:right w:w="40" w:type="dxa"/>
            </w:tcMar>
            <w:vAlign w:val="center"/>
          </w:tcPr>
          <w:p w14:paraId="3938ECAD" w14:textId="77777777" w:rsidR="006227CE" w:rsidRDefault="006C5E69">
            <w:pPr>
              <w:jc w:val="center"/>
              <w:rPr>
                <w:rFonts w:ascii="Calibri" w:eastAsia="Calibri" w:hAnsi="Calibri" w:cs="Calibri"/>
                <w:sz w:val="22"/>
                <w:szCs w:val="22"/>
              </w:rPr>
            </w:pPr>
            <w:r>
              <w:rPr>
                <w:b/>
                <w:bCs/>
              </w:rPr>
              <w:t>2021</w:t>
            </w:r>
          </w:p>
        </w:tc>
        <w:tc>
          <w:tcPr>
            <w:tcW w:w="1120" w:type="dxa"/>
            <w:tcBorders>
              <w:top w:val="single" w:sz="6" w:space="0" w:color="CCCCCC"/>
              <w:left w:val="single" w:sz="6" w:space="0" w:color="CCCCCC"/>
              <w:bottom w:val="single" w:sz="6" w:space="0" w:color="000000"/>
              <w:right w:val="single" w:sz="6" w:space="0" w:color="000000"/>
            </w:tcBorders>
            <w:shd w:val="clear" w:color="auto" w:fill="96D3A7"/>
            <w:tcMar>
              <w:top w:w="0" w:type="dxa"/>
              <w:left w:w="40" w:type="dxa"/>
              <w:bottom w:w="0" w:type="dxa"/>
              <w:right w:w="40" w:type="dxa"/>
            </w:tcMar>
            <w:vAlign w:val="center"/>
          </w:tcPr>
          <w:p w14:paraId="3938ECAE" w14:textId="77777777" w:rsidR="006227CE" w:rsidRDefault="006C5E69">
            <w:pPr>
              <w:jc w:val="center"/>
              <w:rPr>
                <w:rFonts w:ascii="Calibri" w:eastAsia="Calibri" w:hAnsi="Calibri" w:cs="Calibri"/>
                <w:sz w:val="22"/>
                <w:szCs w:val="22"/>
              </w:rPr>
            </w:pPr>
            <w:r>
              <w:rPr>
                <w:b/>
                <w:bCs/>
              </w:rPr>
              <w:t>2022</w:t>
            </w:r>
          </w:p>
        </w:tc>
        <w:tc>
          <w:tcPr>
            <w:tcW w:w="1120" w:type="dxa"/>
            <w:tcBorders>
              <w:top w:val="single" w:sz="6" w:space="0" w:color="CCCCCC"/>
              <w:left w:val="single" w:sz="6" w:space="0" w:color="CCCCCC"/>
              <w:bottom w:val="single" w:sz="6" w:space="0" w:color="000000"/>
              <w:right w:val="single" w:sz="6" w:space="0" w:color="000000"/>
            </w:tcBorders>
            <w:shd w:val="clear" w:color="auto" w:fill="96D3A7"/>
            <w:tcMar>
              <w:top w:w="0" w:type="dxa"/>
              <w:left w:w="40" w:type="dxa"/>
              <w:bottom w:w="0" w:type="dxa"/>
              <w:right w:w="40" w:type="dxa"/>
            </w:tcMar>
            <w:vAlign w:val="center"/>
          </w:tcPr>
          <w:p w14:paraId="3938ECAF" w14:textId="77777777" w:rsidR="006227CE" w:rsidRDefault="006C5E69">
            <w:pPr>
              <w:jc w:val="center"/>
              <w:rPr>
                <w:rFonts w:ascii="Calibri" w:eastAsia="Calibri" w:hAnsi="Calibri" w:cs="Calibri"/>
                <w:sz w:val="22"/>
                <w:szCs w:val="22"/>
              </w:rPr>
            </w:pPr>
            <w:r>
              <w:rPr>
                <w:b/>
                <w:bCs/>
              </w:rPr>
              <w:t>2023</w:t>
            </w:r>
          </w:p>
        </w:tc>
        <w:tc>
          <w:tcPr>
            <w:tcW w:w="1271" w:type="dxa"/>
            <w:tcBorders>
              <w:top w:val="single" w:sz="6" w:space="0" w:color="CCCCCC"/>
              <w:left w:val="single" w:sz="6" w:space="0" w:color="CCCCCC"/>
              <w:bottom w:val="single" w:sz="6" w:space="0" w:color="000000"/>
              <w:right w:val="single" w:sz="6" w:space="0" w:color="000000"/>
            </w:tcBorders>
            <w:shd w:val="clear" w:color="auto" w:fill="96D3A7"/>
            <w:tcMar>
              <w:top w:w="0" w:type="dxa"/>
              <w:left w:w="40" w:type="dxa"/>
              <w:bottom w:w="0" w:type="dxa"/>
              <w:right w:w="40" w:type="dxa"/>
            </w:tcMar>
            <w:vAlign w:val="center"/>
          </w:tcPr>
          <w:p w14:paraId="3938ECB0" w14:textId="77777777" w:rsidR="006227CE" w:rsidRDefault="006C5E69">
            <w:pPr>
              <w:jc w:val="center"/>
              <w:rPr>
                <w:rFonts w:ascii="Calibri" w:eastAsia="Calibri" w:hAnsi="Calibri" w:cs="Calibri"/>
                <w:sz w:val="22"/>
                <w:szCs w:val="22"/>
              </w:rPr>
            </w:pPr>
            <w:r>
              <w:rPr>
                <w:b/>
                <w:bCs/>
              </w:rPr>
              <w:t>2024</w:t>
            </w:r>
          </w:p>
        </w:tc>
        <w:tc>
          <w:tcPr>
            <w:tcW w:w="1120" w:type="dxa"/>
            <w:tcBorders>
              <w:top w:val="single" w:sz="6" w:space="0" w:color="CCCCCC"/>
              <w:left w:val="single" w:sz="6" w:space="0" w:color="CCCCCC"/>
              <w:bottom w:val="single" w:sz="6" w:space="0" w:color="000000"/>
              <w:right w:val="single" w:sz="6" w:space="0" w:color="000000"/>
            </w:tcBorders>
            <w:shd w:val="clear" w:color="auto" w:fill="96D3A7"/>
            <w:tcMar>
              <w:top w:w="0" w:type="dxa"/>
              <w:left w:w="40" w:type="dxa"/>
              <w:bottom w:w="0" w:type="dxa"/>
              <w:right w:w="40" w:type="dxa"/>
            </w:tcMar>
            <w:vAlign w:val="center"/>
          </w:tcPr>
          <w:p w14:paraId="3938ECB1" w14:textId="77777777" w:rsidR="006227CE" w:rsidRDefault="006C5E69">
            <w:pPr>
              <w:jc w:val="center"/>
              <w:rPr>
                <w:rFonts w:ascii="Calibri" w:eastAsia="Calibri" w:hAnsi="Calibri" w:cs="Calibri"/>
                <w:sz w:val="22"/>
                <w:szCs w:val="22"/>
              </w:rPr>
            </w:pPr>
            <w:r>
              <w:rPr>
                <w:b/>
                <w:bCs/>
              </w:rPr>
              <w:t>2025</w:t>
            </w:r>
          </w:p>
        </w:tc>
      </w:tr>
      <w:tr w:rsidR="006227CE" w14:paraId="3938ECBA" w14:textId="77777777">
        <w:trPr>
          <w:trHeight w:val="315"/>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938ECB3" w14:textId="77777777" w:rsidR="006227CE" w:rsidRDefault="006C5E69">
            <w:pPr>
              <w:jc w:val="center"/>
              <w:rPr>
                <w:rFonts w:ascii="Calibri" w:eastAsia="Calibri" w:hAnsi="Calibri" w:cs="Calibri"/>
                <w:sz w:val="22"/>
                <w:szCs w:val="22"/>
              </w:rPr>
            </w:pPr>
            <w:r>
              <w:t>Revenue (£m)</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38ECB4" w14:textId="77777777" w:rsidR="006227CE" w:rsidRDefault="006C5E69">
            <w:pPr>
              <w:jc w:val="center"/>
              <w:rPr>
                <w:rFonts w:ascii="Calibri" w:eastAsia="Calibri" w:hAnsi="Calibri" w:cs="Calibri"/>
                <w:sz w:val="22"/>
                <w:szCs w:val="22"/>
              </w:rPr>
            </w:pPr>
            <w:r>
              <w:t>A</w:t>
            </w:r>
          </w:p>
        </w:tc>
        <w:tc>
          <w:tcPr>
            <w:tcW w:w="1120" w:type="dxa"/>
            <w:tcBorders>
              <w:top w:val="single" w:sz="6" w:space="0" w:color="CCCCCC"/>
              <w:left w:val="single" w:sz="6" w:space="0" w:color="CCCCCC"/>
              <w:bottom w:val="single" w:sz="6" w:space="0" w:color="000000"/>
              <w:right w:val="single" w:sz="6" w:space="0" w:color="000000"/>
            </w:tcBorders>
            <w:shd w:val="clear" w:color="auto" w:fill="E3F2EA"/>
            <w:tcMar>
              <w:top w:w="0" w:type="dxa"/>
              <w:left w:w="40" w:type="dxa"/>
              <w:bottom w:w="0" w:type="dxa"/>
              <w:right w:w="40" w:type="dxa"/>
            </w:tcMar>
            <w:vAlign w:val="center"/>
          </w:tcPr>
          <w:p w14:paraId="3938ECB5" w14:textId="77777777" w:rsidR="006227CE" w:rsidRDefault="006C5E69">
            <w:pPr>
              <w:jc w:val="center"/>
              <w:rPr>
                <w:rFonts w:ascii="Calibri" w:eastAsia="Calibri" w:hAnsi="Calibri" w:cs="Calibri"/>
                <w:sz w:val="22"/>
                <w:szCs w:val="22"/>
              </w:rPr>
            </w:pPr>
            <w:r>
              <w:t>589.40</w:t>
            </w:r>
          </w:p>
        </w:tc>
        <w:tc>
          <w:tcPr>
            <w:tcW w:w="1120" w:type="dxa"/>
            <w:tcBorders>
              <w:top w:val="single" w:sz="6" w:space="0" w:color="CCCCCC"/>
              <w:left w:val="single" w:sz="6" w:space="0" w:color="CCCCCC"/>
              <w:bottom w:val="single" w:sz="6" w:space="0" w:color="000000"/>
              <w:right w:val="single" w:sz="6" w:space="0" w:color="000000"/>
            </w:tcBorders>
            <w:shd w:val="clear" w:color="auto" w:fill="A7DAB6"/>
            <w:tcMar>
              <w:top w:w="0" w:type="dxa"/>
              <w:left w:w="40" w:type="dxa"/>
              <w:bottom w:w="0" w:type="dxa"/>
              <w:right w:w="40" w:type="dxa"/>
            </w:tcMar>
            <w:vAlign w:val="center"/>
          </w:tcPr>
          <w:p w14:paraId="3938ECB6" w14:textId="77777777" w:rsidR="006227CE" w:rsidRDefault="006C5E69">
            <w:pPr>
              <w:jc w:val="center"/>
              <w:rPr>
                <w:rFonts w:ascii="Calibri" w:eastAsia="Calibri" w:hAnsi="Calibri" w:cs="Calibri"/>
                <w:sz w:val="22"/>
                <w:szCs w:val="22"/>
              </w:rPr>
            </w:pPr>
            <w:r>
              <w:t>1,703.40</w:t>
            </w:r>
          </w:p>
        </w:tc>
        <w:tc>
          <w:tcPr>
            <w:tcW w:w="1120" w:type="dxa"/>
            <w:tcBorders>
              <w:top w:val="single" w:sz="6" w:space="0" w:color="CCCCCC"/>
              <w:left w:val="single" w:sz="6" w:space="0" w:color="CCCCCC"/>
              <w:bottom w:val="single" w:sz="6" w:space="0" w:color="000000"/>
              <w:right w:val="single" w:sz="6" w:space="0" w:color="000000"/>
            </w:tcBorders>
            <w:shd w:val="clear" w:color="auto" w:fill="76C68B"/>
            <w:tcMar>
              <w:top w:w="0" w:type="dxa"/>
              <w:left w:w="40" w:type="dxa"/>
              <w:bottom w:w="0" w:type="dxa"/>
              <w:right w:w="40" w:type="dxa"/>
            </w:tcMar>
            <w:vAlign w:val="center"/>
          </w:tcPr>
          <w:p w14:paraId="3938ECB7" w14:textId="77777777" w:rsidR="006227CE" w:rsidRDefault="006C5E69">
            <w:pPr>
              <w:jc w:val="center"/>
              <w:rPr>
                <w:rFonts w:ascii="Calibri" w:eastAsia="Calibri" w:hAnsi="Calibri" w:cs="Calibri"/>
                <w:sz w:val="22"/>
                <w:szCs w:val="22"/>
              </w:rPr>
            </w:pPr>
            <w:r>
              <w:t>2,625.20</w:t>
            </w:r>
          </w:p>
        </w:tc>
        <w:tc>
          <w:tcPr>
            <w:tcW w:w="1271" w:type="dxa"/>
            <w:tcBorders>
              <w:top w:val="single" w:sz="6" w:space="0" w:color="CCCCCC"/>
              <w:left w:val="single" w:sz="6" w:space="0" w:color="CCCCCC"/>
              <w:bottom w:val="single" w:sz="6" w:space="0" w:color="000000"/>
              <w:right w:val="single" w:sz="6" w:space="0" w:color="000000"/>
            </w:tcBorders>
            <w:shd w:val="clear" w:color="auto" w:fill="63BE7B"/>
            <w:tcMar>
              <w:top w:w="0" w:type="dxa"/>
              <w:left w:w="40" w:type="dxa"/>
              <w:bottom w:w="0" w:type="dxa"/>
              <w:right w:w="40" w:type="dxa"/>
            </w:tcMar>
            <w:vAlign w:val="center"/>
          </w:tcPr>
          <w:p w14:paraId="3938ECB8" w14:textId="77777777" w:rsidR="006227CE" w:rsidRDefault="006C5E69">
            <w:pPr>
              <w:jc w:val="center"/>
              <w:rPr>
                <w:rFonts w:ascii="Calibri" w:eastAsia="Calibri" w:hAnsi="Calibri" w:cs="Calibri"/>
                <w:sz w:val="22"/>
                <w:szCs w:val="22"/>
              </w:rPr>
            </w:pPr>
            <w:r>
              <w:t>2,959.90</w:t>
            </w:r>
          </w:p>
        </w:tc>
        <w:tc>
          <w:tcPr>
            <w:tcW w:w="1120" w:type="dxa"/>
            <w:tcBorders>
              <w:top w:val="single" w:sz="6" w:space="0" w:color="CCCCCC"/>
              <w:left w:val="single" w:sz="6" w:space="0" w:color="CCCCCC"/>
              <w:bottom w:val="single" w:sz="6" w:space="0" w:color="000000"/>
              <w:right w:val="single" w:sz="6" w:space="0" w:color="000000"/>
            </w:tcBorders>
            <w:shd w:val="clear" w:color="auto" w:fill="66BF7D"/>
            <w:tcMar>
              <w:top w:w="0" w:type="dxa"/>
              <w:left w:w="40" w:type="dxa"/>
              <w:bottom w:w="0" w:type="dxa"/>
              <w:right w:w="40" w:type="dxa"/>
            </w:tcMar>
            <w:vAlign w:val="center"/>
          </w:tcPr>
          <w:p w14:paraId="3938ECB9" w14:textId="77777777" w:rsidR="006227CE" w:rsidRDefault="006C5E69">
            <w:pPr>
              <w:jc w:val="center"/>
              <w:rPr>
                <w:rFonts w:ascii="Calibri" w:eastAsia="Calibri" w:hAnsi="Calibri" w:cs="Calibri"/>
                <w:sz w:val="22"/>
                <w:szCs w:val="22"/>
              </w:rPr>
            </w:pPr>
            <w:r>
              <w:t>2,921.90</w:t>
            </w:r>
          </w:p>
        </w:tc>
      </w:tr>
      <w:tr w:rsidR="006227CE" w14:paraId="3938ECC2" w14:textId="77777777">
        <w:trPr>
          <w:trHeight w:val="315"/>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938ECBB" w14:textId="77777777" w:rsidR="006227CE" w:rsidRDefault="006C5E69">
            <w:pPr>
              <w:jc w:val="center"/>
              <w:rPr>
                <w:rFonts w:ascii="Calibri" w:eastAsia="Calibri" w:hAnsi="Calibri" w:cs="Calibri"/>
                <w:sz w:val="22"/>
                <w:szCs w:val="22"/>
              </w:rPr>
            </w:pPr>
            <w:r>
              <w:t>Cost of Sales (£m)</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38ECBC" w14:textId="77777777" w:rsidR="006227CE" w:rsidRDefault="006C5E69">
            <w:pPr>
              <w:jc w:val="center"/>
              <w:rPr>
                <w:rFonts w:ascii="Calibri" w:eastAsia="Calibri" w:hAnsi="Calibri" w:cs="Calibri"/>
                <w:sz w:val="22"/>
                <w:szCs w:val="22"/>
              </w:rPr>
            </w:pPr>
            <w:r>
              <w:t>B</w:t>
            </w:r>
          </w:p>
        </w:tc>
        <w:tc>
          <w:tcPr>
            <w:tcW w:w="1120" w:type="dxa"/>
            <w:tcBorders>
              <w:top w:val="single" w:sz="6" w:space="0" w:color="CCCCCC"/>
              <w:left w:val="single" w:sz="6" w:space="0" w:color="CCCCCC"/>
              <w:bottom w:val="single" w:sz="6" w:space="0" w:color="000000"/>
              <w:right w:val="single" w:sz="6" w:space="0" w:color="000000"/>
            </w:tcBorders>
            <w:shd w:val="clear" w:color="auto" w:fill="AEDDBC"/>
            <w:tcMar>
              <w:top w:w="0" w:type="dxa"/>
              <w:left w:w="40" w:type="dxa"/>
              <w:bottom w:w="0" w:type="dxa"/>
              <w:right w:w="40" w:type="dxa"/>
            </w:tcMar>
            <w:vAlign w:val="center"/>
          </w:tcPr>
          <w:p w14:paraId="3938ECBD" w14:textId="77777777" w:rsidR="006227CE" w:rsidRDefault="006C5E69">
            <w:pPr>
              <w:jc w:val="center"/>
              <w:rPr>
                <w:rFonts w:ascii="Calibri" w:eastAsia="Calibri" w:hAnsi="Calibri" w:cs="Calibri"/>
                <w:sz w:val="22"/>
                <w:szCs w:val="22"/>
              </w:rPr>
            </w:pPr>
            <w:r>
              <w:t>1,583.10</w:t>
            </w:r>
          </w:p>
        </w:tc>
        <w:tc>
          <w:tcPr>
            <w:tcW w:w="1120" w:type="dxa"/>
            <w:tcBorders>
              <w:top w:val="single" w:sz="6" w:space="0" w:color="CCCCCC"/>
              <w:left w:val="single" w:sz="6" w:space="0" w:color="CCCCCC"/>
              <w:bottom w:val="single" w:sz="6" w:space="0" w:color="000000"/>
              <w:right w:val="single" w:sz="6" w:space="0" w:color="000000"/>
            </w:tcBorders>
            <w:shd w:val="clear" w:color="auto" w:fill="ADDCBB"/>
            <w:tcMar>
              <w:top w:w="0" w:type="dxa"/>
              <w:left w:w="40" w:type="dxa"/>
              <w:bottom w:w="0" w:type="dxa"/>
              <w:right w:w="40" w:type="dxa"/>
            </w:tcMar>
            <w:vAlign w:val="center"/>
          </w:tcPr>
          <w:p w14:paraId="3938ECBE" w14:textId="77777777" w:rsidR="006227CE" w:rsidRDefault="006C5E69">
            <w:pPr>
              <w:jc w:val="center"/>
              <w:rPr>
                <w:rFonts w:ascii="Calibri" w:eastAsia="Calibri" w:hAnsi="Calibri" w:cs="Calibri"/>
                <w:sz w:val="22"/>
                <w:szCs w:val="22"/>
              </w:rPr>
            </w:pPr>
            <w:r>
              <w:t>1,605.80</w:t>
            </w:r>
          </w:p>
        </w:tc>
        <w:tc>
          <w:tcPr>
            <w:tcW w:w="1120" w:type="dxa"/>
            <w:tcBorders>
              <w:top w:val="single" w:sz="6" w:space="0" w:color="CCCCCC"/>
              <w:left w:val="single" w:sz="6" w:space="0" w:color="CCCCCC"/>
              <w:bottom w:val="single" w:sz="6" w:space="0" w:color="000000"/>
              <w:right w:val="single" w:sz="6" w:space="0" w:color="000000"/>
            </w:tcBorders>
            <w:shd w:val="clear" w:color="auto" w:fill="90D1A2"/>
            <w:tcMar>
              <w:top w:w="0" w:type="dxa"/>
              <w:left w:w="40" w:type="dxa"/>
              <w:bottom w:w="0" w:type="dxa"/>
              <w:right w:w="40" w:type="dxa"/>
            </w:tcMar>
            <w:vAlign w:val="center"/>
          </w:tcPr>
          <w:p w14:paraId="3938ECBF" w14:textId="77777777" w:rsidR="006227CE" w:rsidRDefault="006C5E69">
            <w:pPr>
              <w:jc w:val="center"/>
              <w:rPr>
                <w:rFonts w:ascii="Calibri" w:eastAsia="Calibri" w:hAnsi="Calibri" w:cs="Calibri"/>
                <w:sz w:val="22"/>
                <w:szCs w:val="22"/>
              </w:rPr>
            </w:pPr>
            <w:r>
              <w:t>2,133.70</w:t>
            </w:r>
          </w:p>
        </w:tc>
        <w:tc>
          <w:tcPr>
            <w:tcW w:w="1271" w:type="dxa"/>
            <w:tcBorders>
              <w:top w:val="single" w:sz="6" w:space="0" w:color="CCCCCC"/>
              <w:left w:val="single" w:sz="6" w:space="0" w:color="CCCCCC"/>
              <w:bottom w:val="single" w:sz="6" w:space="0" w:color="000000"/>
              <w:right w:val="single" w:sz="6" w:space="0" w:color="000000"/>
            </w:tcBorders>
            <w:shd w:val="clear" w:color="auto" w:fill="81CA95"/>
            <w:tcMar>
              <w:top w:w="0" w:type="dxa"/>
              <w:left w:w="40" w:type="dxa"/>
              <w:bottom w:w="0" w:type="dxa"/>
              <w:right w:w="40" w:type="dxa"/>
            </w:tcMar>
            <w:vAlign w:val="center"/>
          </w:tcPr>
          <w:p w14:paraId="3938ECC0" w14:textId="77777777" w:rsidR="006227CE" w:rsidRDefault="006C5E69">
            <w:pPr>
              <w:jc w:val="center"/>
              <w:rPr>
                <w:rFonts w:ascii="Calibri" w:eastAsia="Calibri" w:hAnsi="Calibri" w:cs="Calibri"/>
                <w:sz w:val="22"/>
                <w:szCs w:val="22"/>
              </w:rPr>
            </w:pPr>
            <w:r>
              <w:t>2,421.70</w:t>
            </w:r>
          </w:p>
        </w:tc>
        <w:tc>
          <w:tcPr>
            <w:tcW w:w="1120" w:type="dxa"/>
            <w:tcBorders>
              <w:top w:val="single" w:sz="6" w:space="0" w:color="CCCCCC"/>
              <w:left w:val="single" w:sz="6" w:space="0" w:color="CCCCCC"/>
              <w:bottom w:val="single" w:sz="6" w:space="0" w:color="000000"/>
              <w:right w:val="single" w:sz="6" w:space="0" w:color="000000"/>
            </w:tcBorders>
            <w:shd w:val="clear" w:color="auto" w:fill="81CA95"/>
            <w:tcMar>
              <w:top w:w="0" w:type="dxa"/>
              <w:left w:w="40" w:type="dxa"/>
              <w:bottom w:w="0" w:type="dxa"/>
              <w:right w:w="40" w:type="dxa"/>
            </w:tcMar>
            <w:vAlign w:val="center"/>
          </w:tcPr>
          <w:p w14:paraId="3938ECC1" w14:textId="77777777" w:rsidR="006227CE" w:rsidRDefault="006C5E69">
            <w:pPr>
              <w:jc w:val="center"/>
              <w:rPr>
                <w:rFonts w:ascii="Calibri" w:eastAsia="Calibri" w:hAnsi="Calibri" w:cs="Calibri"/>
                <w:sz w:val="22"/>
                <w:szCs w:val="22"/>
              </w:rPr>
            </w:pPr>
            <w:r>
              <w:t>2,420.00</w:t>
            </w:r>
          </w:p>
        </w:tc>
      </w:tr>
      <w:tr w:rsidR="006227CE" w14:paraId="3938ECCA" w14:textId="77777777">
        <w:trPr>
          <w:trHeight w:val="315"/>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938ECC3" w14:textId="77777777" w:rsidR="006227CE" w:rsidRDefault="006C5E69">
            <w:pPr>
              <w:jc w:val="center"/>
              <w:rPr>
                <w:rFonts w:ascii="Calibri" w:eastAsia="Calibri" w:hAnsi="Calibri" w:cs="Calibri"/>
                <w:sz w:val="22"/>
                <w:szCs w:val="22"/>
              </w:rPr>
            </w:pPr>
            <w:r>
              <w:t>Opening Inventories (£m)</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38ECC4" w14:textId="77777777" w:rsidR="006227CE" w:rsidRDefault="006C5E69">
            <w:pPr>
              <w:jc w:val="center"/>
              <w:rPr>
                <w:rFonts w:ascii="Calibri" w:eastAsia="Calibri" w:hAnsi="Calibri" w:cs="Calibri"/>
                <w:sz w:val="22"/>
                <w:szCs w:val="22"/>
              </w:rPr>
            </w:pPr>
            <w:r>
              <w:t>C</w:t>
            </w:r>
          </w:p>
        </w:tc>
        <w:tc>
          <w:tcPr>
            <w:tcW w:w="1120" w:type="dxa"/>
            <w:tcBorders>
              <w:top w:val="single" w:sz="6" w:space="0" w:color="CCCCCC"/>
              <w:left w:val="single" w:sz="6" w:space="0" w:color="CCCCCC"/>
              <w:bottom w:val="single" w:sz="6" w:space="0" w:color="000000"/>
              <w:right w:val="single" w:sz="6" w:space="0" w:color="000000"/>
            </w:tcBorders>
            <w:shd w:val="clear" w:color="auto" w:fill="F87678"/>
            <w:tcMar>
              <w:top w:w="0" w:type="dxa"/>
              <w:left w:w="40" w:type="dxa"/>
              <w:bottom w:w="0" w:type="dxa"/>
              <w:right w:w="40" w:type="dxa"/>
            </w:tcMar>
            <w:vAlign w:val="center"/>
          </w:tcPr>
          <w:p w14:paraId="3938ECC5" w14:textId="77777777" w:rsidR="006227CE" w:rsidRDefault="006C5E69">
            <w:pPr>
              <w:jc w:val="center"/>
              <w:rPr>
                <w:rFonts w:ascii="Calibri" w:eastAsia="Calibri" w:hAnsi="Calibri" w:cs="Calibri"/>
                <w:sz w:val="22"/>
                <w:szCs w:val="22"/>
              </w:rPr>
            </w:pPr>
            <w:r>
              <w:t>13.70</w:t>
            </w:r>
          </w:p>
        </w:tc>
        <w:tc>
          <w:tcPr>
            <w:tcW w:w="1120" w:type="dxa"/>
            <w:tcBorders>
              <w:top w:val="single" w:sz="6" w:space="0" w:color="CCCCCC"/>
              <w:left w:val="single" w:sz="6" w:space="0" w:color="CCCCCC"/>
              <w:bottom w:val="single" w:sz="6" w:space="0" w:color="000000"/>
              <w:right w:val="single" w:sz="6" w:space="0" w:color="000000"/>
            </w:tcBorders>
            <w:shd w:val="clear" w:color="auto" w:fill="F87476"/>
            <w:tcMar>
              <w:top w:w="0" w:type="dxa"/>
              <w:left w:w="40" w:type="dxa"/>
              <w:bottom w:w="0" w:type="dxa"/>
              <w:right w:w="40" w:type="dxa"/>
            </w:tcMar>
            <w:vAlign w:val="center"/>
          </w:tcPr>
          <w:p w14:paraId="3938ECC6" w14:textId="77777777" w:rsidR="006227CE" w:rsidRDefault="006C5E69">
            <w:pPr>
              <w:jc w:val="center"/>
              <w:rPr>
                <w:rFonts w:ascii="Calibri" w:eastAsia="Calibri" w:hAnsi="Calibri" w:cs="Calibri"/>
                <w:sz w:val="22"/>
                <w:szCs w:val="22"/>
              </w:rPr>
            </w:pPr>
            <w:r>
              <w:t>12.10</w:t>
            </w:r>
          </w:p>
        </w:tc>
        <w:tc>
          <w:tcPr>
            <w:tcW w:w="1120" w:type="dxa"/>
            <w:tcBorders>
              <w:top w:val="single" w:sz="6" w:space="0" w:color="CCCCCC"/>
              <w:left w:val="single" w:sz="6" w:space="0" w:color="CCCCCC"/>
              <w:bottom w:val="single" w:sz="6" w:space="0" w:color="000000"/>
              <w:right w:val="single" w:sz="6" w:space="0" w:color="000000"/>
            </w:tcBorders>
            <w:shd w:val="clear" w:color="auto" w:fill="F87D7F"/>
            <w:tcMar>
              <w:top w:w="0" w:type="dxa"/>
              <w:left w:w="40" w:type="dxa"/>
              <w:bottom w:w="0" w:type="dxa"/>
              <w:right w:w="40" w:type="dxa"/>
            </w:tcMar>
            <w:vAlign w:val="center"/>
          </w:tcPr>
          <w:p w14:paraId="3938ECC7" w14:textId="77777777" w:rsidR="006227CE" w:rsidRDefault="006C5E69">
            <w:pPr>
              <w:jc w:val="center"/>
              <w:rPr>
                <w:rFonts w:ascii="Calibri" w:eastAsia="Calibri" w:hAnsi="Calibri" w:cs="Calibri"/>
                <w:sz w:val="22"/>
                <w:szCs w:val="22"/>
              </w:rPr>
            </w:pPr>
            <w:r>
              <w:t>19.40</w:t>
            </w:r>
          </w:p>
        </w:tc>
        <w:tc>
          <w:tcPr>
            <w:tcW w:w="1271" w:type="dxa"/>
            <w:tcBorders>
              <w:top w:val="single" w:sz="6" w:space="0" w:color="CCCCCC"/>
              <w:left w:val="single" w:sz="6" w:space="0" w:color="CCCCCC"/>
              <w:bottom w:val="single" w:sz="6" w:space="0" w:color="000000"/>
              <w:right w:val="single" w:sz="6" w:space="0" w:color="000000"/>
            </w:tcBorders>
            <w:shd w:val="clear" w:color="auto" w:fill="F87F82"/>
            <w:tcMar>
              <w:top w:w="0" w:type="dxa"/>
              <w:left w:w="40" w:type="dxa"/>
              <w:bottom w:w="0" w:type="dxa"/>
              <w:right w:w="40" w:type="dxa"/>
            </w:tcMar>
            <w:vAlign w:val="center"/>
          </w:tcPr>
          <w:p w14:paraId="3938ECC8" w14:textId="77777777" w:rsidR="006227CE" w:rsidRDefault="006C5E69">
            <w:pPr>
              <w:jc w:val="center"/>
              <w:rPr>
                <w:rFonts w:ascii="Calibri" w:eastAsia="Calibri" w:hAnsi="Calibri" w:cs="Calibri"/>
                <w:sz w:val="22"/>
                <w:szCs w:val="22"/>
              </w:rPr>
            </w:pPr>
            <w:r>
              <w:t>21.70</w:t>
            </w:r>
          </w:p>
        </w:tc>
        <w:tc>
          <w:tcPr>
            <w:tcW w:w="1120" w:type="dxa"/>
            <w:tcBorders>
              <w:top w:val="single" w:sz="6" w:space="0" w:color="CCCCCC"/>
              <w:left w:val="single" w:sz="6" w:space="0" w:color="CCCCCC"/>
              <w:bottom w:val="single" w:sz="6" w:space="0" w:color="000000"/>
              <w:right w:val="single" w:sz="6" w:space="0" w:color="000000"/>
            </w:tcBorders>
            <w:shd w:val="clear" w:color="auto" w:fill="F87F81"/>
            <w:tcMar>
              <w:top w:w="0" w:type="dxa"/>
              <w:left w:w="40" w:type="dxa"/>
              <w:bottom w:w="0" w:type="dxa"/>
              <w:right w:w="40" w:type="dxa"/>
            </w:tcMar>
            <w:vAlign w:val="center"/>
          </w:tcPr>
          <w:p w14:paraId="3938ECC9" w14:textId="77777777" w:rsidR="006227CE" w:rsidRDefault="006C5E69">
            <w:pPr>
              <w:jc w:val="center"/>
              <w:rPr>
                <w:rFonts w:ascii="Calibri" w:eastAsia="Calibri" w:hAnsi="Calibri" w:cs="Calibri"/>
                <w:sz w:val="22"/>
                <w:szCs w:val="22"/>
              </w:rPr>
            </w:pPr>
            <w:r>
              <w:t>21.20</w:t>
            </w:r>
          </w:p>
        </w:tc>
      </w:tr>
      <w:tr w:rsidR="006227CE" w14:paraId="3938ECD2" w14:textId="77777777">
        <w:trPr>
          <w:trHeight w:val="315"/>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938ECCB" w14:textId="77777777" w:rsidR="006227CE" w:rsidRDefault="006C5E69">
            <w:pPr>
              <w:jc w:val="center"/>
              <w:rPr>
                <w:rFonts w:ascii="Calibri" w:eastAsia="Calibri" w:hAnsi="Calibri" w:cs="Calibri"/>
                <w:sz w:val="22"/>
                <w:szCs w:val="22"/>
              </w:rPr>
            </w:pPr>
            <w:r>
              <w:t>Closing Inventories (£m)</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38ECCC" w14:textId="77777777" w:rsidR="006227CE" w:rsidRDefault="006C5E69">
            <w:pPr>
              <w:jc w:val="center"/>
              <w:rPr>
                <w:rFonts w:ascii="Calibri" w:eastAsia="Calibri" w:hAnsi="Calibri" w:cs="Calibri"/>
                <w:sz w:val="22"/>
                <w:szCs w:val="22"/>
              </w:rPr>
            </w:pPr>
            <w:r>
              <w:t>D</w:t>
            </w:r>
          </w:p>
        </w:tc>
        <w:tc>
          <w:tcPr>
            <w:tcW w:w="1120" w:type="dxa"/>
            <w:tcBorders>
              <w:top w:val="single" w:sz="6" w:space="0" w:color="CCCCCC"/>
              <w:left w:val="single" w:sz="6" w:space="0" w:color="CCCCCC"/>
              <w:bottom w:val="single" w:sz="6" w:space="0" w:color="000000"/>
              <w:right w:val="single" w:sz="6" w:space="0" w:color="000000"/>
            </w:tcBorders>
            <w:shd w:val="clear" w:color="auto" w:fill="F87476"/>
            <w:tcMar>
              <w:top w:w="0" w:type="dxa"/>
              <w:left w:w="40" w:type="dxa"/>
              <w:bottom w:w="0" w:type="dxa"/>
              <w:right w:w="40" w:type="dxa"/>
            </w:tcMar>
            <w:vAlign w:val="center"/>
          </w:tcPr>
          <w:p w14:paraId="3938ECCD" w14:textId="77777777" w:rsidR="006227CE" w:rsidRDefault="006C5E69">
            <w:pPr>
              <w:jc w:val="center"/>
              <w:rPr>
                <w:rFonts w:ascii="Calibri" w:eastAsia="Calibri" w:hAnsi="Calibri" w:cs="Calibri"/>
                <w:sz w:val="22"/>
                <w:szCs w:val="22"/>
              </w:rPr>
            </w:pPr>
            <w:r>
              <w:t>12.10</w:t>
            </w:r>
          </w:p>
        </w:tc>
        <w:tc>
          <w:tcPr>
            <w:tcW w:w="1120" w:type="dxa"/>
            <w:tcBorders>
              <w:top w:val="single" w:sz="6" w:space="0" w:color="CCCCCC"/>
              <w:left w:val="single" w:sz="6" w:space="0" w:color="CCCCCC"/>
              <w:bottom w:val="single" w:sz="6" w:space="0" w:color="000000"/>
              <w:right w:val="single" w:sz="6" w:space="0" w:color="000000"/>
            </w:tcBorders>
            <w:shd w:val="clear" w:color="auto" w:fill="F87D7F"/>
            <w:tcMar>
              <w:top w:w="0" w:type="dxa"/>
              <w:left w:w="40" w:type="dxa"/>
              <w:bottom w:w="0" w:type="dxa"/>
              <w:right w:w="40" w:type="dxa"/>
            </w:tcMar>
            <w:vAlign w:val="center"/>
          </w:tcPr>
          <w:p w14:paraId="3938ECCE" w14:textId="77777777" w:rsidR="006227CE" w:rsidRDefault="006C5E69">
            <w:pPr>
              <w:jc w:val="center"/>
              <w:rPr>
                <w:rFonts w:ascii="Calibri" w:eastAsia="Calibri" w:hAnsi="Calibri" w:cs="Calibri"/>
                <w:sz w:val="22"/>
                <w:szCs w:val="22"/>
              </w:rPr>
            </w:pPr>
            <w:r>
              <w:t>19.40</w:t>
            </w:r>
          </w:p>
        </w:tc>
        <w:tc>
          <w:tcPr>
            <w:tcW w:w="1120" w:type="dxa"/>
            <w:tcBorders>
              <w:top w:val="single" w:sz="6" w:space="0" w:color="CCCCCC"/>
              <w:left w:val="single" w:sz="6" w:space="0" w:color="CCCCCC"/>
              <w:bottom w:val="single" w:sz="6" w:space="0" w:color="000000"/>
              <w:right w:val="single" w:sz="6" w:space="0" w:color="000000"/>
            </w:tcBorders>
            <w:shd w:val="clear" w:color="auto" w:fill="F87F82"/>
            <w:tcMar>
              <w:top w:w="0" w:type="dxa"/>
              <w:left w:w="40" w:type="dxa"/>
              <w:bottom w:w="0" w:type="dxa"/>
              <w:right w:w="40" w:type="dxa"/>
            </w:tcMar>
            <w:vAlign w:val="center"/>
          </w:tcPr>
          <w:p w14:paraId="3938ECCF" w14:textId="77777777" w:rsidR="006227CE" w:rsidRDefault="006C5E69">
            <w:pPr>
              <w:jc w:val="center"/>
              <w:rPr>
                <w:rFonts w:ascii="Calibri" w:eastAsia="Calibri" w:hAnsi="Calibri" w:cs="Calibri"/>
                <w:sz w:val="22"/>
                <w:szCs w:val="22"/>
              </w:rPr>
            </w:pPr>
            <w:r>
              <w:t>21.70</w:t>
            </w:r>
          </w:p>
        </w:tc>
        <w:tc>
          <w:tcPr>
            <w:tcW w:w="1271" w:type="dxa"/>
            <w:tcBorders>
              <w:top w:val="single" w:sz="6" w:space="0" w:color="CCCCCC"/>
              <w:left w:val="single" w:sz="6" w:space="0" w:color="CCCCCC"/>
              <w:bottom w:val="single" w:sz="6" w:space="0" w:color="000000"/>
              <w:right w:val="single" w:sz="6" w:space="0" w:color="000000"/>
            </w:tcBorders>
            <w:shd w:val="clear" w:color="auto" w:fill="F87F81"/>
            <w:tcMar>
              <w:top w:w="0" w:type="dxa"/>
              <w:left w:w="40" w:type="dxa"/>
              <w:bottom w:w="0" w:type="dxa"/>
              <w:right w:w="40" w:type="dxa"/>
            </w:tcMar>
            <w:vAlign w:val="center"/>
          </w:tcPr>
          <w:p w14:paraId="3938ECD0" w14:textId="77777777" w:rsidR="006227CE" w:rsidRDefault="006C5E69">
            <w:pPr>
              <w:jc w:val="center"/>
              <w:rPr>
                <w:rFonts w:ascii="Calibri" w:eastAsia="Calibri" w:hAnsi="Calibri" w:cs="Calibri"/>
                <w:sz w:val="22"/>
                <w:szCs w:val="22"/>
              </w:rPr>
            </w:pPr>
            <w:r>
              <w:t>21.20</w:t>
            </w:r>
          </w:p>
        </w:tc>
        <w:tc>
          <w:tcPr>
            <w:tcW w:w="1120" w:type="dxa"/>
            <w:tcBorders>
              <w:top w:val="single" w:sz="6" w:space="0" w:color="CCCCCC"/>
              <w:left w:val="single" w:sz="6" w:space="0" w:color="CCCCCC"/>
              <w:bottom w:val="single" w:sz="6" w:space="0" w:color="000000"/>
              <w:right w:val="single" w:sz="6" w:space="0" w:color="000000"/>
            </w:tcBorders>
            <w:shd w:val="clear" w:color="auto" w:fill="F87A7C"/>
            <w:tcMar>
              <w:top w:w="0" w:type="dxa"/>
              <w:left w:w="40" w:type="dxa"/>
              <w:bottom w:w="0" w:type="dxa"/>
              <w:right w:w="40" w:type="dxa"/>
            </w:tcMar>
            <w:vAlign w:val="center"/>
          </w:tcPr>
          <w:p w14:paraId="3938ECD1" w14:textId="77777777" w:rsidR="006227CE" w:rsidRDefault="006C5E69">
            <w:pPr>
              <w:jc w:val="center"/>
              <w:rPr>
                <w:rFonts w:ascii="Calibri" w:eastAsia="Calibri" w:hAnsi="Calibri" w:cs="Calibri"/>
                <w:sz w:val="22"/>
                <w:szCs w:val="22"/>
              </w:rPr>
            </w:pPr>
            <w:r>
              <w:t>17.10</w:t>
            </w:r>
          </w:p>
        </w:tc>
      </w:tr>
      <w:tr w:rsidR="006227CE" w14:paraId="3938ECDA" w14:textId="77777777">
        <w:trPr>
          <w:trHeight w:val="555"/>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938ECD3" w14:textId="77777777" w:rsidR="006227CE" w:rsidRDefault="006C5E69">
            <w:pPr>
              <w:jc w:val="center"/>
              <w:rPr>
                <w:rFonts w:ascii="Calibri" w:eastAsia="Calibri" w:hAnsi="Calibri" w:cs="Calibri"/>
                <w:sz w:val="22"/>
                <w:szCs w:val="22"/>
              </w:rPr>
            </w:pPr>
            <w:r>
              <w:t>Average Inventories (£m)</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38ECD4" w14:textId="77777777" w:rsidR="006227CE" w:rsidRDefault="006C5E69">
            <w:pPr>
              <w:jc w:val="center"/>
              <w:rPr>
                <w:rFonts w:ascii="Calibri" w:eastAsia="Calibri" w:hAnsi="Calibri" w:cs="Calibri"/>
                <w:sz w:val="22"/>
                <w:szCs w:val="22"/>
              </w:rPr>
            </w:pPr>
            <w:r>
              <w:t>E=(C+D)/2</w:t>
            </w:r>
          </w:p>
        </w:tc>
        <w:tc>
          <w:tcPr>
            <w:tcW w:w="1120" w:type="dxa"/>
            <w:tcBorders>
              <w:top w:val="single" w:sz="6" w:space="0" w:color="CCCCCC"/>
              <w:left w:val="single" w:sz="6" w:space="0" w:color="CCCCCC"/>
              <w:bottom w:val="single" w:sz="6" w:space="0" w:color="000000"/>
              <w:right w:val="single" w:sz="6" w:space="0" w:color="000000"/>
            </w:tcBorders>
            <w:shd w:val="clear" w:color="auto" w:fill="F87577"/>
            <w:tcMar>
              <w:top w:w="0" w:type="dxa"/>
              <w:left w:w="40" w:type="dxa"/>
              <w:bottom w:w="0" w:type="dxa"/>
              <w:right w:w="40" w:type="dxa"/>
            </w:tcMar>
            <w:vAlign w:val="center"/>
          </w:tcPr>
          <w:p w14:paraId="3938ECD5" w14:textId="77777777" w:rsidR="006227CE" w:rsidRDefault="006C5E69">
            <w:pPr>
              <w:jc w:val="center"/>
              <w:rPr>
                <w:rFonts w:ascii="Calibri" w:eastAsia="Calibri" w:hAnsi="Calibri" w:cs="Calibri"/>
                <w:sz w:val="22"/>
                <w:szCs w:val="22"/>
              </w:rPr>
            </w:pPr>
            <w:r>
              <w:t>12.90</w:t>
            </w:r>
          </w:p>
        </w:tc>
        <w:tc>
          <w:tcPr>
            <w:tcW w:w="1120" w:type="dxa"/>
            <w:tcBorders>
              <w:top w:val="single" w:sz="6" w:space="0" w:color="CCCCCC"/>
              <w:left w:val="single" w:sz="6" w:space="0" w:color="CCCCCC"/>
              <w:bottom w:val="single" w:sz="6" w:space="0" w:color="000000"/>
              <w:right w:val="single" w:sz="6" w:space="0" w:color="000000"/>
            </w:tcBorders>
            <w:shd w:val="clear" w:color="auto" w:fill="F8787A"/>
            <w:tcMar>
              <w:top w:w="0" w:type="dxa"/>
              <w:left w:w="40" w:type="dxa"/>
              <w:bottom w:w="0" w:type="dxa"/>
              <w:right w:w="40" w:type="dxa"/>
            </w:tcMar>
            <w:vAlign w:val="center"/>
          </w:tcPr>
          <w:p w14:paraId="3938ECD6" w14:textId="77777777" w:rsidR="006227CE" w:rsidRDefault="006C5E69">
            <w:pPr>
              <w:jc w:val="center"/>
              <w:rPr>
                <w:rFonts w:ascii="Calibri" w:eastAsia="Calibri" w:hAnsi="Calibri" w:cs="Calibri"/>
                <w:sz w:val="22"/>
                <w:szCs w:val="22"/>
              </w:rPr>
            </w:pPr>
            <w:r>
              <w:t>15.75</w:t>
            </w:r>
          </w:p>
        </w:tc>
        <w:tc>
          <w:tcPr>
            <w:tcW w:w="1120" w:type="dxa"/>
            <w:tcBorders>
              <w:top w:val="single" w:sz="6" w:space="0" w:color="CCCCCC"/>
              <w:left w:val="single" w:sz="6" w:space="0" w:color="CCCCCC"/>
              <w:bottom w:val="single" w:sz="6" w:space="0" w:color="000000"/>
              <w:right w:val="single" w:sz="6" w:space="0" w:color="000000"/>
            </w:tcBorders>
            <w:shd w:val="clear" w:color="auto" w:fill="F87E80"/>
            <w:tcMar>
              <w:top w:w="0" w:type="dxa"/>
              <w:left w:w="40" w:type="dxa"/>
              <w:bottom w:w="0" w:type="dxa"/>
              <w:right w:w="40" w:type="dxa"/>
            </w:tcMar>
            <w:vAlign w:val="center"/>
          </w:tcPr>
          <w:p w14:paraId="3938ECD7" w14:textId="77777777" w:rsidR="006227CE" w:rsidRDefault="006C5E69">
            <w:pPr>
              <w:jc w:val="center"/>
              <w:rPr>
                <w:rFonts w:ascii="Calibri" w:eastAsia="Calibri" w:hAnsi="Calibri" w:cs="Calibri"/>
                <w:sz w:val="22"/>
                <w:szCs w:val="22"/>
              </w:rPr>
            </w:pPr>
            <w:r>
              <w:t>20.55</w:t>
            </w:r>
          </w:p>
        </w:tc>
        <w:tc>
          <w:tcPr>
            <w:tcW w:w="1271" w:type="dxa"/>
            <w:tcBorders>
              <w:top w:val="single" w:sz="6" w:space="0" w:color="CCCCCC"/>
              <w:left w:val="single" w:sz="6" w:space="0" w:color="CCCCCC"/>
              <w:bottom w:val="single" w:sz="6" w:space="0" w:color="000000"/>
              <w:right w:val="single" w:sz="6" w:space="0" w:color="000000"/>
            </w:tcBorders>
            <w:shd w:val="clear" w:color="auto" w:fill="F87F81"/>
            <w:tcMar>
              <w:top w:w="0" w:type="dxa"/>
              <w:left w:w="40" w:type="dxa"/>
              <w:bottom w:w="0" w:type="dxa"/>
              <w:right w:w="40" w:type="dxa"/>
            </w:tcMar>
            <w:vAlign w:val="center"/>
          </w:tcPr>
          <w:p w14:paraId="3938ECD8" w14:textId="77777777" w:rsidR="006227CE" w:rsidRDefault="006C5E69">
            <w:pPr>
              <w:jc w:val="center"/>
              <w:rPr>
                <w:rFonts w:ascii="Calibri" w:eastAsia="Calibri" w:hAnsi="Calibri" w:cs="Calibri"/>
                <w:sz w:val="22"/>
                <w:szCs w:val="22"/>
              </w:rPr>
            </w:pPr>
            <w:r>
              <w:t>21.45</w:t>
            </w:r>
          </w:p>
        </w:tc>
        <w:tc>
          <w:tcPr>
            <w:tcW w:w="1120" w:type="dxa"/>
            <w:tcBorders>
              <w:top w:val="single" w:sz="6" w:space="0" w:color="CCCCCC"/>
              <w:left w:val="single" w:sz="6" w:space="0" w:color="CCCCCC"/>
              <w:bottom w:val="single" w:sz="6" w:space="0" w:color="000000"/>
              <w:right w:val="single" w:sz="6" w:space="0" w:color="000000"/>
            </w:tcBorders>
            <w:shd w:val="clear" w:color="auto" w:fill="F87C7F"/>
            <w:tcMar>
              <w:top w:w="0" w:type="dxa"/>
              <w:left w:w="40" w:type="dxa"/>
              <w:bottom w:w="0" w:type="dxa"/>
              <w:right w:w="40" w:type="dxa"/>
            </w:tcMar>
            <w:vAlign w:val="center"/>
          </w:tcPr>
          <w:p w14:paraId="3938ECD9" w14:textId="77777777" w:rsidR="006227CE" w:rsidRDefault="006C5E69">
            <w:pPr>
              <w:jc w:val="center"/>
              <w:rPr>
                <w:rFonts w:ascii="Calibri" w:eastAsia="Calibri" w:hAnsi="Calibri" w:cs="Calibri"/>
                <w:sz w:val="22"/>
                <w:szCs w:val="22"/>
              </w:rPr>
            </w:pPr>
            <w:r>
              <w:t>19.15</w:t>
            </w:r>
          </w:p>
        </w:tc>
      </w:tr>
      <w:tr w:rsidR="006227CE" w14:paraId="3938ECE2" w14:textId="77777777">
        <w:trPr>
          <w:trHeight w:val="315"/>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938ECDB" w14:textId="77777777" w:rsidR="006227CE" w:rsidRDefault="006C5E69">
            <w:pPr>
              <w:jc w:val="center"/>
              <w:rPr>
                <w:rFonts w:ascii="Calibri" w:eastAsia="Calibri" w:hAnsi="Calibri" w:cs="Calibri"/>
                <w:sz w:val="22"/>
                <w:szCs w:val="22"/>
              </w:rPr>
            </w:pPr>
            <w:r>
              <w:t>Opening Receivables (£m)</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38ECDC" w14:textId="77777777" w:rsidR="006227CE" w:rsidRDefault="006C5E69">
            <w:pPr>
              <w:jc w:val="center"/>
              <w:rPr>
                <w:rFonts w:ascii="Calibri" w:eastAsia="Calibri" w:hAnsi="Calibri" w:cs="Calibri"/>
                <w:sz w:val="22"/>
                <w:szCs w:val="22"/>
              </w:rPr>
            </w:pPr>
            <w:r>
              <w:t>F</w:t>
            </w:r>
          </w:p>
        </w:tc>
        <w:tc>
          <w:tcPr>
            <w:tcW w:w="1120" w:type="dxa"/>
            <w:tcBorders>
              <w:top w:val="single" w:sz="6" w:space="0" w:color="CCCCCC"/>
              <w:left w:val="single" w:sz="6" w:space="0" w:color="CCCCCC"/>
              <w:bottom w:val="single" w:sz="6" w:space="0" w:color="000000"/>
              <w:right w:val="single" w:sz="6" w:space="0" w:color="000000"/>
            </w:tcBorders>
            <w:shd w:val="clear" w:color="auto" w:fill="F3F9F8"/>
            <w:tcMar>
              <w:top w:w="0" w:type="dxa"/>
              <w:left w:w="40" w:type="dxa"/>
              <w:bottom w:w="0" w:type="dxa"/>
              <w:right w:w="40" w:type="dxa"/>
            </w:tcMar>
            <w:vAlign w:val="center"/>
          </w:tcPr>
          <w:p w14:paraId="3938ECDD" w14:textId="77777777" w:rsidR="006227CE" w:rsidRDefault="006C5E69">
            <w:pPr>
              <w:jc w:val="center"/>
              <w:rPr>
                <w:rFonts w:ascii="Calibri" w:eastAsia="Calibri" w:hAnsi="Calibri" w:cs="Calibri"/>
                <w:sz w:val="22"/>
                <w:szCs w:val="22"/>
              </w:rPr>
            </w:pPr>
            <w:r>
              <w:t>292.80</w:t>
            </w:r>
          </w:p>
        </w:tc>
        <w:tc>
          <w:tcPr>
            <w:tcW w:w="1120" w:type="dxa"/>
            <w:tcBorders>
              <w:top w:val="single" w:sz="6" w:space="0" w:color="CCCCCC"/>
              <w:left w:val="single" w:sz="6" w:space="0" w:color="CCCCCC"/>
              <w:bottom w:val="single" w:sz="6" w:space="0" w:color="000000"/>
              <w:right w:val="single" w:sz="6" w:space="0" w:color="000000"/>
            </w:tcBorders>
            <w:shd w:val="clear" w:color="auto" w:fill="FAC0C2"/>
            <w:tcMar>
              <w:top w:w="0" w:type="dxa"/>
              <w:left w:w="40" w:type="dxa"/>
              <w:bottom w:w="0" w:type="dxa"/>
              <w:right w:w="40" w:type="dxa"/>
            </w:tcMar>
            <w:vAlign w:val="center"/>
          </w:tcPr>
          <w:p w14:paraId="3938ECDE" w14:textId="77777777" w:rsidR="006227CE" w:rsidRDefault="006C5E69">
            <w:pPr>
              <w:jc w:val="center"/>
              <w:rPr>
                <w:rFonts w:ascii="Calibri" w:eastAsia="Calibri" w:hAnsi="Calibri" w:cs="Calibri"/>
                <w:sz w:val="22"/>
                <w:szCs w:val="22"/>
              </w:rPr>
            </w:pPr>
            <w:r>
              <w:t>74.20</w:t>
            </w:r>
          </w:p>
        </w:tc>
        <w:tc>
          <w:tcPr>
            <w:tcW w:w="1120" w:type="dxa"/>
            <w:tcBorders>
              <w:top w:val="single" w:sz="6" w:space="0" w:color="CCCCCC"/>
              <w:left w:val="single" w:sz="6" w:space="0" w:color="CCCCCC"/>
              <w:bottom w:val="single" w:sz="6" w:space="0" w:color="000000"/>
              <w:right w:val="single" w:sz="6" w:space="0" w:color="000000"/>
            </w:tcBorders>
            <w:shd w:val="clear" w:color="auto" w:fill="FBF3F6"/>
            <w:tcMar>
              <w:top w:w="0" w:type="dxa"/>
              <w:left w:w="40" w:type="dxa"/>
              <w:bottom w:w="0" w:type="dxa"/>
              <w:right w:w="40" w:type="dxa"/>
            </w:tcMar>
            <w:vAlign w:val="center"/>
          </w:tcPr>
          <w:p w14:paraId="3938ECDF" w14:textId="77777777" w:rsidR="006227CE" w:rsidRDefault="006C5E69">
            <w:pPr>
              <w:jc w:val="center"/>
              <w:rPr>
                <w:rFonts w:ascii="Calibri" w:eastAsia="Calibri" w:hAnsi="Calibri" w:cs="Calibri"/>
                <w:sz w:val="22"/>
                <w:szCs w:val="22"/>
              </w:rPr>
            </w:pPr>
            <w:r>
              <w:t>116.40</w:t>
            </w:r>
          </w:p>
        </w:tc>
        <w:tc>
          <w:tcPr>
            <w:tcW w:w="1271" w:type="dxa"/>
            <w:tcBorders>
              <w:top w:val="single" w:sz="6" w:space="0" w:color="CCCCCC"/>
              <w:left w:val="single" w:sz="6" w:space="0" w:color="CCCCCC"/>
              <w:bottom w:val="single" w:sz="6" w:space="0" w:color="000000"/>
              <w:right w:val="single" w:sz="6" w:space="0" w:color="000000"/>
            </w:tcBorders>
            <w:shd w:val="clear" w:color="auto" w:fill="FBFCFF"/>
            <w:tcMar>
              <w:top w:w="0" w:type="dxa"/>
              <w:left w:w="40" w:type="dxa"/>
              <w:bottom w:w="0" w:type="dxa"/>
              <w:right w:w="40" w:type="dxa"/>
            </w:tcMar>
            <w:vAlign w:val="center"/>
          </w:tcPr>
          <w:p w14:paraId="3938ECE0" w14:textId="77777777" w:rsidR="006227CE" w:rsidRDefault="006C5E69">
            <w:pPr>
              <w:jc w:val="center"/>
              <w:rPr>
                <w:rFonts w:ascii="Calibri" w:eastAsia="Calibri" w:hAnsi="Calibri" w:cs="Calibri"/>
                <w:sz w:val="22"/>
                <w:szCs w:val="22"/>
              </w:rPr>
            </w:pPr>
            <w:r>
              <w:t>141.80</w:t>
            </w:r>
          </w:p>
        </w:tc>
        <w:tc>
          <w:tcPr>
            <w:tcW w:w="1120" w:type="dxa"/>
            <w:tcBorders>
              <w:top w:val="single" w:sz="6" w:space="0" w:color="CCCCCC"/>
              <w:left w:val="single" w:sz="6" w:space="0" w:color="CCCCCC"/>
              <w:bottom w:val="single" w:sz="6" w:space="0" w:color="000000"/>
              <w:right w:val="single" w:sz="6" w:space="0" w:color="000000"/>
            </w:tcBorders>
            <w:shd w:val="clear" w:color="auto" w:fill="FBF7FA"/>
            <w:tcMar>
              <w:top w:w="0" w:type="dxa"/>
              <w:left w:w="40" w:type="dxa"/>
              <w:bottom w:w="0" w:type="dxa"/>
              <w:right w:w="40" w:type="dxa"/>
            </w:tcMar>
            <w:vAlign w:val="center"/>
          </w:tcPr>
          <w:p w14:paraId="3938ECE1" w14:textId="77777777" w:rsidR="006227CE" w:rsidRDefault="006C5E69">
            <w:pPr>
              <w:jc w:val="center"/>
              <w:rPr>
                <w:rFonts w:ascii="Calibri" w:eastAsia="Calibri" w:hAnsi="Calibri" w:cs="Calibri"/>
                <w:sz w:val="22"/>
                <w:szCs w:val="22"/>
              </w:rPr>
            </w:pPr>
            <w:r>
              <w:t>119.30</w:t>
            </w:r>
          </w:p>
        </w:tc>
      </w:tr>
      <w:tr w:rsidR="006227CE" w14:paraId="3938ECEA" w14:textId="77777777">
        <w:trPr>
          <w:trHeight w:val="315"/>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938ECE3" w14:textId="77777777" w:rsidR="006227CE" w:rsidRDefault="006C5E69">
            <w:pPr>
              <w:jc w:val="center"/>
              <w:rPr>
                <w:rFonts w:ascii="Calibri" w:eastAsia="Calibri" w:hAnsi="Calibri" w:cs="Calibri"/>
                <w:sz w:val="22"/>
                <w:szCs w:val="22"/>
              </w:rPr>
            </w:pPr>
            <w:r>
              <w:t>Closing Receivables (£m)</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38ECE4" w14:textId="77777777" w:rsidR="006227CE" w:rsidRDefault="006C5E69">
            <w:pPr>
              <w:jc w:val="center"/>
              <w:rPr>
                <w:rFonts w:ascii="Calibri" w:eastAsia="Calibri" w:hAnsi="Calibri" w:cs="Calibri"/>
                <w:sz w:val="22"/>
                <w:szCs w:val="22"/>
              </w:rPr>
            </w:pPr>
            <w:r>
              <w:t>G</w:t>
            </w:r>
          </w:p>
        </w:tc>
        <w:tc>
          <w:tcPr>
            <w:tcW w:w="1120" w:type="dxa"/>
            <w:tcBorders>
              <w:top w:val="single" w:sz="6" w:space="0" w:color="CCCCCC"/>
              <w:left w:val="single" w:sz="6" w:space="0" w:color="CCCCCC"/>
              <w:bottom w:val="single" w:sz="6" w:space="0" w:color="000000"/>
              <w:right w:val="single" w:sz="6" w:space="0" w:color="000000"/>
            </w:tcBorders>
            <w:shd w:val="clear" w:color="auto" w:fill="FAC0C2"/>
            <w:tcMar>
              <w:top w:w="0" w:type="dxa"/>
              <w:left w:w="40" w:type="dxa"/>
              <w:bottom w:w="0" w:type="dxa"/>
              <w:right w:w="40" w:type="dxa"/>
            </w:tcMar>
            <w:vAlign w:val="center"/>
          </w:tcPr>
          <w:p w14:paraId="3938ECE5" w14:textId="77777777" w:rsidR="006227CE" w:rsidRDefault="006C5E69">
            <w:pPr>
              <w:jc w:val="center"/>
              <w:rPr>
                <w:rFonts w:ascii="Calibri" w:eastAsia="Calibri" w:hAnsi="Calibri" w:cs="Calibri"/>
                <w:sz w:val="22"/>
                <w:szCs w:val="22"/>
              </w:rPr>
            </w:pPr>
            <w:r>
              <w:t>74.20</w:t>
            </w:r>
          </w:p>
        </w:tc>
        <w:tc>
          <w:tcPr>
            <w:tcW w:w="1120" w:type="dxa"/>
            <w:tcBorders>
              <w:top w:val="single" w:sz="6" w:space="0" w:color="CCCCCC"/>
              <w:left w:val="single" w:sz="6" w:space="0" w:color="CCCCCC"/>
              <w:bottom w:val="single" w:sz="6" w:space="0" w:color="000000"/>
              <w:right w:val="single" w:sz="6" w:space="0" w:color="000000"/>
            </w:tcBorders>
            <w:shd w:val="clear" w:color="auto" w:fill="FBF3F6"/>
            <w:tcMar>
              <w:top w:w="0" w:type="dxa"/>
              <w:left w:w="40" w:type="dxa"/>
              <w:bottom w:w="0" w:type="dxa"/>
              <w:right w:w="40" w:type="dxa"/>
            </w:tcMar>
            <w:vAlign w:val="center"/>
          </w:tcPr>
          <w:p w14:paraId="3938ECE6" w14:textId="77777777" w:rsidR="006227CE" w:rsidRDefault="006C5E69">
            <w:pPr>
              <w:jc w:val="center"/>
              <w:rPr>
                <w:rFonts w:ascii="Calibri" w:eastAsia="Calibri" w:hAnsi="Calibri" w:cs="Calibri"/>
                <w:sz w:val="22"/>
                <w:szCs w:val="22"/>
              </w:rPr>
            </w:pPr>
            <w:r>
              <w:t>116.40</w:t>
            </w:r>
          </w:p>
        </w:tc>
        <w:tc>
          <w:tcPr>
            <w:tcW w:w="1120" w:type="dxa"/>
            <w:tcBorders>
              <w:top w:val="single" w:sz="6" w:space="0" w:color="CCCCCC"/>
              <w:left w:val="single" w:sz="6" w:space="0" w:color="CCCCCC"/>
              <w:bottom w:val="single" w:sz="6" w:space="0" w:color="000000"/>
              <w:right w:val="single" w:sz="6" w:space="0" w:color="000000"/>
            </w:tcBorders>
            <w:shd w:val="clear" w:color="auto" w:fill="FBFCFF"/>
            <w:tcMar>
              <w:top w:w="0" w:type="dxa"/>
              <w:left w:w="40" w:type="dxa"/>
              <w:bottom w:w="0" w:type="dxa"/>
              <w:right w:w="40" w:type="dxa"/>
            </w:tcMar>
            <w:vAlign w:val="center"/>
          </w:tcPr>
          <w:p w14:paraId="3938ECE7" w14:textId="77777777" w:rsidR="006227CE" w:rsidRDefault="006C5E69">
            <w:pPr>
              <w:jc w:val="center"/>
              <w:rPr>
                <w:rFonts w:ascii="Calibri" w:eastAsia="Calibri" w:hAnsi="Calibri" w:cs="Calibri"/>
                <w:sz w:val="22"/>
                <w:szCs w:val="22"/>
              </w:rPr>
            </w:pPr>
            <w:r>
              <w:t>141.80</w:t>
            </w:r>
          </w:p>
        </w:tc>
        <w:tc>
          <w:tcPr>
            <w:tcW w:w="1271" w:type="dxa"/>
            <w:tcBorders>
              <w:top w:val="single" w:sz="6" w:space="0" w:color="CCCCCC"/>
              <w:left w:val="single" w:sz="6" w:space="0" w:color="CCCCCC"/>
              <w:bottom w:val="single" w:sz="6" w:space="0" w:color="000000"/>
              <w:right w:val="single" w:sz="6" w:space="0" w:color="000000"/>
            </w:tcBorders>
            <w:shd w:val="clear" w:color="auto" w:fill="FBF7FA"/>
            <w:tcMar>
              <w:top w:w="0" w:type="dxa"/>
              <w:left w:w="40" w:type="dxa"/>
              <w:bottom w:w="0" w:type="dxa"/>
              <w:right w:w="40" w:type="dxa"/>
            </w:tcMar>
            <w:vAlign w:val="center"/>
          </w:tcPr>
          <w:p w14:paraId="3938ECE8" w14:textId="77777777" w:rsidR="006227CE" w:rsidRDefault="006C5E69">
            <w:pPr>
              <w:jc w:val="center"/>
              <w:rPr>
                <w:rFonts w:ascii="Calibri" w:eastAsia="Calibri" w:hAnsi="Calibri" w:cs="Calibri"/>
                <w:sz w:val="22"/>
                <w:szCs w:val="22"/>
              </w:rPr>
            </w:pPr>
            <w:r>
              <w:t>119.30</w:t>
            </w:r>
          </w:p>
        </w:tc>
        <w:tc>
          <w:tcPr>
            <w:tcW w:w="1120" w:type="dxa"/>
            <w:tcBorders>
              <w:top w:val="single" w:sz="6" w:space="0" w:color="CCCCCC"/>
              <w:left w:val="single" w:sz="6" w:space="0" w:color="CCCCCC"/>
              <w:bottom w:val="single" w:sz="6" w:space="0" w:color="000000"/>
              <w:right w:val="single" w:sz="6" w:space="0" w:color="000000"/>
            </w:tcBorders>
            <w:shd w:val="clear" w:color="auto" w:fill="FCFCFF"/>
            <w:tcMar>
              <w:top w:w="0" w:type="dxa"/>
              <w:left w:w="40" w:type="dxa"/>
              <w:bottom w:w="0" w:type="dxa"/>
              <w:right w:w="40" w:type="dxa"/>
            </w:tcMar>
            <w:vAlign w:val="center"/>
          </w:tcPr>
          <w:p w14:paraId="3938ECE9" w14:textId="77777777" w:rsidR="006227CE" w:rsidRDefault="006C5E69">
            <w:pPr>
              <w:jc w:val="center"/>
              <w:rPr>
                <w:rFonts w:ascii="Calibri" w:eastAsia="Calibri" w:hAnsi="Calibri" w:cs="Calibri"/>
                <w:sz w:val="22"/>
                <w:szCs w:val="22"/>
              </w:rPr>
            </w:pPr>
            <w:r>
              <w:t>127.10</w:t>
            </w:r>
          </w:p>
        </w:tc>
      </w:tr>
      <w:tr w:rsidR="006227CE" w14:paraId="3938ECF2" w14:textId="77777777">
        <w:trPr>
          <w:trHeight w:val="555"/>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938ECEB" w14:textId="77777777" w:rsidR="006227CE" w:rsidRDefault="006C5E69">
            <w:pPr>
              <w:jc w:val="center"/>
              <w:rPr>
                <w:rFonts w:ascii="Calibri" w:eastAsia="Calibri" w:hAnsi="Calibri" w:cs="Calibri"/>
                <w:sz w:val="22"/>
                <w:szCs w:val="22"/>
              </w:rPr>
            </w:pPr>
            <w:r>
              <w:t>Average Receivables (£m)</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38ECEC" w14:textId="77777777" w:rsidR="006227CE" w:rsidRDefault="006C5E69">
            <w:pPr>
              <w:jc w:val="center"/>
              <w:rPr>
                <w:rFonts w:ascii="Calibri" w:eastAsia="Calibri" w:hAnsi="Calibri" w:cs="Calibri"/>
                <w:sz w:val="22"/>
                <w:szCs w:val="22"/>
              </w:rPr>
            </w:pPr>
            <w:r>
              <w:t>H=(F+G)/2</w:t>
            </w:r>
          </w:p>
        </w:tc>
        <w:tc>
          <w:tcPr>
            <w:tcW w:w="1120" w:type="dxa"/>
            <w:tcBorders>
              <w:top w:val="single" w:sz="6" w:space="0" w:color="CCCCCC"/>
              <w:left w:val="single" w:sz="6" w:space="0" w:color="CCCCCC"/>
              <w:bottom w:val="single" w:sz="6" w:space="0" w:color="000000"/>
              <w:right w:val="single" w:sz="6" w:space="0" w:color="000000"/>
            </w:tcBorders>
            <w:shd w:val="clear" w:color="auto" w:fill="F9FBFD"/>
            <w:tcMar>
              <w:top w:w="0" w:type="dxa"/>
              <w:left w:w="40" w:type="dxa"/>
              <w:bottom w:w="0" w:type="dxa"/>
              <w:right w:w="40" w:type="dxa"/>
            </w:tcMar>
            <w:vAlign w:val="center"/>
          </w:tcPr>
          <w:p w14:paraId="3938ECED" w14:textId="77777777" w:rsidR="006227CE" w:rsidRDefault="006C5E69">
            <w:pPr>
              <w:jc w:val="center"/>
              <w:rPr>
                <w:rFonts w:ascii="Calibri" w:eastAsia="Calibri" w:hAnsi="Calibri" w:cs="Calibri"/>
                <w:sz w:val="22"/>
                <w:szCs w:val="22"/>
              </w:rPr>
            </w:pPr>
            <w:r>
              <w:t>183.50</w:t>
            </w:r>
          </w:p>
        </w:tc>
        <w:tc>
          <w:tcPr>
            <w:tcW w:w="1120" w:type="dxa"/>
            <w:tcBorders>
              <w:top w:val="single" w:sz="6" w:space="0" w:color="CCCCCC"/>
              <w:left w:val="single" w:sz="6" w:space="0" w:color="CCCCCC"/>
              <w:bottom w:val="single" w:sz="6" w:space="0" w:color="000000"/>
              <w:right w:val="single" w:sz="6" w:space="0" w:color="000000"/>
            </w:tcBorders>
            <w:shd w:val="clear" w:color="auto" w:fill="FBD9DC"/>
            <w:tcMar>
              <w:top w:w="0" w:type="dxa"/>
              <w:left w:w="40" w:type="dxa"/>
              <w:bottom w:w="0" w:type="dxa"/>
              <w:right w:w="40" w:type="dxa"/>
            </w:tcMar>
            <w:vAlign w:val="center"/>
          </w:tcPr>
          <w:p w14:paraId="3938ECEE" w14:textId="77777777" w:rsidR="006227CE" w:rsidRDefault="006C5E69">
            <w:pPr>
              <w:jc w:val="center"/>
              <w:rPr>
                <w:rFonts w:ascii="Calibri" w:eastAsia="Calibri" w:hAnsi="Calibri" w:cs="Calibri"/>
                <w:sz w:val="22"/>
                <w:szCs w:val="22"/>
              </w:rPr>
            </w:pPr>
            <w:r>
              <w:t>95.30</w:t>
            </w:r>
          </w:p>
        </w:tc>
        <w:tc>
          <w:tcPr>
            <w:tcW w:w="1120" w:type="dxa"/>
            <w:tcBorders>
              <w:top w:val="single" w:sz="6" w:space="0" w:color="CCCCCC"/>
              <w:left w:val="single" w:sz="6" w:space="0" w:color="CCCCCC"/>
              <w:bottom w:val="single" w:sz="6" w:space="0" w:color="000000"/>
              <w:right w:val="single" w:sz="6" w:space="0" w:color="000000"/>
            </w:tcBorders>
            <w:shd w:val="clear" w:color="auto" w:fill="FCFCFF"/>
            <w:tcMar>
              <w:top w:w="0" w:type="dxa"/>
              <w:left w:w="40" w:type="dxa"/>
              <w:bottom w:w="0" w:type="dxa"/>
              <w:right w:w="40" w:type="dxa"/>
            </w:tcMar>
            <w:vAlign w:val="center"/>
          </w:tcPr>
          <w:p w14:paraId="3938ECEF" w14:textId="77777777" w:rsidR="006227CE" w:rsidRDefault="006C5E69">
            <w:pPr>
              <w:jc w:val="center"/>
              <w:rPr>
                <w:rFonts w:ascii="Calibri" w:eastAsia="Calibri" w:hAnsi="Calibri" w:cs="Calibri"/>
                <w:sz w:val="22"/>
                <w:szCs w:val="22"/>
              </w:rPr>
            </w:pPr>
            <w:r>
              <w:t>129.10</w:t>
            </w:r>
          </w:p>
        </w:tc>
        <w:tc>
          <w:tcPr>
            <w:tcW w:w="1271" w:type="dxa"/>
            <w:tcBorders>
              <w:top w:val="single" w:sz="6" w:space="0" w:color="CCCCCC"/>
              <w:left w:val="single" w:sz="6" w:space="0" w:color="CCCCCC"/>
              <w:bottom w:val="single" w:sz="6" w:space="0" w:color="000000"/>
              <w:right w:val="single" w:sz="6" w:space="0" w:color="000000"/>
            </w:tcBorders>
            <w:shd w:val="clear" w:color="auto" w:fill="FCFCFF"/>
            <w:tcMar>
              <w:top w:w="0" w:type="dxa"/>
              <w:left w:w="40" w:type="dxa"/>
              <w:bottom w:w="0" w:type="dxa"/>
              <w:right w:w="40" w:type="dxa"/>
            </w:tcMar>
            <w:vAlign w:val="center"/>
          </w:tcPr>
          <w:p w14:paraId="3938ECF0" w14:textId="77777777" w:rsidR="006227CE" w:rsidRDefault="006C5E69">
            <w:pPr>
              <w:jc w:val="center"/>
              <w:rPr>
                <w:rFonts w:ascii="Calibri" w:eastAsia="Calibri" w:hAnsi="Calibri" w:cs="Calibri"/>
                <w:sz w:val="22"/>
                <w:szCs w:val="22"/>
              </w:rPr>
            </w:pPr>
            <w:r>
              <w:t>130.55</w:t>
            </w:r>
          </w:p>
        </w:tc>
        <w:tc>
          <w:tcPr>
            <w:tcW w:w="1120" w:type="dxa"/>
            <w:tcBorders>
              <w:top w:val="single" w:sz="6" w:space="0" w:color="CCCCCC"/>
              <w:left w:val="single" w:sz="6" w:space="0" w:color="CCCCCC"/>
              <w:bottom w:val="single" w:sz="6" w:space="0" w:color="000000"/>
              <w:right w:val="single" w:sz="6" w:space="0" w:color="000000"/>
            </w:tcBorders>
            <w:shd w:val="clear" w:color="auto" w:fill="FCFCFF"/>
            <w:tcMar>
              <w:top w:w="0" w:type="dxa"/>
              <w:left w:w="40" w:type="dxa"/>
              <w:bottom w:w="0" w:type="dxa"/>
              <w:right w:w="40" w:type="dxa"/>
            </w:tcMar>
            <w:vAlign w:val="center"/>
          </w:tcPr>
          <w:p w14:paraId="3938ECF1" w14:textId="77777777" w:rsidR="006227CE" w:rsidRDefault="006C5E69">
            <w:pPr>
              <w:jc w:val="center"/>
              <w:rPr>
                <w:rFonts w:ascii="Calibri" w:eastAsia="Calibri" w:hAnsi="Calibri" w:cs="Calibri"/>
                <w:sz w:val="22"/>
                <w:szCs w:val="22"/>
              </w:rPr>
            </w:pPr>
            <w:r>
              <w:t>123.20</w:t>
            </w:r>
          </w:p>
        </w:tc>
      </w:tr>
      <w:tr w:rsidR="006227CE" w14:paraId="3938ECFA" w14:textId="77777777">
        <w:trPr>
          <w:trHeight w:val="315"/>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938ECF3" w14:textId="77777777" w:rsidR="006227CE" w:rsidRDefault="006C5E69">
            <w:pPr>
              <w:jc w:val="center"/>
              <w:rPr>
                <w:rFonts w:ascii="Calibri" w:eastAsia="Calibri" w:hAnsi="Calibri" w:cs="Calibri"/>
                <w:sz w:val="22"/>
                <w:szCs w:val="22"/>
              </w:rPr>
            </w:pPr>
            <w:r>
              <w:t>Opening Payables (£m)</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38ECF4" w14:textId="77777777" w:rsidR="006227CE" w:rsidRDefault="006C5E69">
            <w:pPr>
              <w:jc w:val="center"/>
              <w:rPr>
                <w:rFonts w:ascii="Calibri" w:eastAsia="Calibri" w:hAnsi="Calibri" w:cs="Calibri"/>
                <w:sz w:val="22"/>
                <w:szCs w:val="22"/>
              </w:rPr>
            </w:pPr>
            <w:r>
              <w:t>I</w:t>
            </w:r>
          </w:p>
        </w:tc>
        <w:tc>
          <w:tcPr>
            <w:tcW w:w="1120" w:type="dxa"/>
            <w:tcBorders>
              <w:top w:val="single" w:sz="6" w:space="0" w:color="CCCCCC"/>
              <w:left w:val="single" w:sz="6" w:space="0" w:color="CCCCCC"/>
              <w:bottom w:val="single" w:sz="6" w:space="0" w:color="000000"/>
              <w:right w:val="single" w:sz="6" w:space="0" w:color="000000"/>
            </w:tcBorders>
            <w:shd w:val="clear" w:color="auto" w:fill="EBF6F1"/>
            <w:tcMar>
              <w:top w:w="0" w:type="dxa"/>
              <w:left w:w="40" w:type="dxa"/>
              <w:bottom w:w="0" w:type="dxa"/>
              <w:right w:w="40" w:type="dxa"/>
            </w:tcMar>
            <w:vAlign w:val="center"/>
          </w:tcPr>
          <w:p w14:paraId="3938ECF5" w14:textId="77777777" w:rsidR="006227CE" w:rsidRDefault="006C5E69">
            <w:pPr>
              <w:jc w:val="center"/>
              <w:rPr>
                <w:rFonts w:ascii="Calibri" w:eastAsia="Calibri" w:hAnsi="Calibri" w:cs="Calibri"/>
                <w:sz w:val="22"/>
                <w:szCs w:val="22"/>
              </w:rPr>
            </w:pPr>
            <w:r>
              <w:t>440.20</w:t>
            </w:r>
          </w:p>
        </w:tc>
        <w:tc>
          <w:tcPr>
            <w:tcW w:w="1120" w:type="dxa"/>
            <w:tcBorders>
              <w:top w:val="single" w:sz="6" w:space="0" w:color="CCCCCC"/>
              <w:left w:val="single" w:sz="6" w:space="0" w:color="CCCCCC"/>
              <w:bottom w:val="single" w:sz="6" w:space="0" w:color="000000"/>
              <w:right w:val="single" w:sz="6" w:space="0" w:color="000000"/>
            </w:tcBorders>
            <w:shd w:val="clear" w:color="auto" w:fill="F2F8F7"/>
            <w:tcMar>
              <w:top w:w="0" w:type="dxa"/>
              <w:left w:w="40" w:type="dxa"/>
              <w:bottom w:w="0" w:type="dxa"/>
              <w:right w:w="40" w:type="dxa"/>
            </w:tcMar>
            <w:vAlign w:val="center"/>
          </w:tcPr>
          <w:p w14:paraId="3938ECF6" w14:textId="77777777" w:rsidR="006227CE" w:rsidRDefault="006C5E69">
            <w:pPr>
              <w:jc w:val="center"/>
              <w:rPr>
                <w:rFonts w:ascii="Calibri" w:eastAsia="Calibri" w:hAnsi="Calibri" w:cs="Calibri"/>
                <w:sz w:val="22"/>
                <w:szCs w:val="22"/>
              </w:rPr>
            </w:pPr>
            <w:r>
              <w:t>316.50</w:t>
            </w:r>
          </w:p>
        </w:tc>
        <w:tc>
          <w:tcPr>
            <w:tcW w:w="1120" w:type="dxa"/>
            <w:tcBorders>
              <w:top w:val="single" w:sz="6" w:space="0" w:color="CCCCCC"/>
              <w:left w:val="single" w:sz="6" w:space="0" w:color="CCCCCC"/>
              <w:bottom w:val="single" w:sz="6" w:space="0" w:color="000000"/>
              <w:right w:val="single" w:sz="6" w:space="0" w:color="000000"/>
            </w:tcBorders>
            <w:shd w:val="clear" w:color="auto" w:fill="E4F3EB"/>
            <w:tcMar>
              <w:top w:w="0" w:type="dxa"/>
              <w:left w:w="40" w:type="dxa"/>
              <w:bottom w:w="0" w:type="dxa"/>
              <w:right w:w="40" w:type="dxa"/>
            </w:tcMar>
            <w:vAlign w:val="center"/>
          </w:tcPr>
          <w:p w14:paraId="3938ECF7" w14:textId="77777777" w:rsidR="006227CE" w:rsidRDefault="006C5E69">
            <w:pPr>
              <w:jc w:val="center"/>
              <w:rPr>
                <w:rFonts w:ascii="Calibri" w:eastAsia="Calibri" w:hAnsi="Calibri" w:cs="Calibri"/>
                <w:sz w:val="22"/>
                <w:szCs w:val="22"/>
              </w:rPr>
            </w:pPr>
            <w:r>
              <w:t>570.70</w:t>
            </w:r>
          </w:p>
        </w:tc>
        <w:tc>
          <w:tcPr>
            <w:tcW w:w="1271" w:type="dxa"/>
            <w:tcBorders>
              <w:top w:val="single" w:sz="6" w:space="0" w:color="CCCCCC"/>
              <w:left w:val="single" w:sz="6" w:space="0" w:color="CCCCCC"/>
              <w:bottom w:val="single" w:sz="6" w:space="0" w:color="000000"/>
              <w:right w:val="single" w:sz="6" w:space="0" w:color="000000"/>
            </w:tcBorders>
            <w:shd w:val="clear" w:color="auto" w:fill="DFF0E6"/>
            <w:tcMar>
              <w:top w:w="0" w:type="dxa"/>
              <w:left w:w="40" w:type="dxa"/>
              <w:bottom w:w="0" w:type="dxa"/>
              <w:right w:w="40" w:type="dxa"/>
            </w:tcMar>
            <w:vAlign w:val="center"/>
          </w:tcPr>
          <w:p w14:paraId="3938ECF8" w14:textId="77777777" w:rsidR="006227CE" w:rsidRDefault="006C5E69">
            <w:pPr>
              <w:jc w:val="center"/>
              <w:rPr>
                <w:rFonts w:ascii="Calibri" w:eastAsia="Calibri" w:hAnsi="Calibri" w:cs="Calibri"/>
                <w:sz w:val="22"/>
                <w:szCs w:val="22"/>
              </w:rPr>
            </w:pPr>
            <w:r>
              <w:t>676.70</w:t>
            </w:r>
          </w:p>
        </w:tc>
        <w:tc>
          <w:tcPr>
            <w:tcW w:w="1120" w:type="dxa"/>
            <w:tcBorders>
              <w:top w:val="single" w:sz="6" w:space="0" w:color="CCCCCC"/>
              <w:left w:val="single" w:sz="6" w:space="0" w:color="CCCCCC"/>
              <w:bottom w:val="single" w:sz="6" w:space="0" w:color="000000"/>
              <w:right w:val="single" w:sz="6" w:space="0" w:color="000000"/>
            </w:tcBorders>
            <w:shd w:val="clear" w:color="auto" w:fill="DFF1E6"/>
            <w:tcMar>
              <w:top w:w="0" w:type="dxa"/>
              <w:left w:w="40" w:type="dxa"/>
              <w:bottom w:w="0" w:type="dxa"/>
              <w:right w:w="40" w:type="dxa"/>
            </w:tcMar>
            <w:vAlign w:val="center"/>
          </w:tcPr>
          <w:p w14:paraId="3938ECF9" w14:textId="77777777" w:rsidR="006227CE" w:rsidRDefault="006C5E69">
            <w:pPr>
              <w:jc w:val="center"/>
              <w:rPr>
                <w:rFonts w:ascii="Calibri" w:eastAsia="Calibri" w:hAnsi="Calibri" w:cs="Calibri"/>
                <w:sz w:val="22"/>
                <w:szCs w:val="22"/>
              </w:rPr>
            </w:pPr>
            <w:r>
              <w:t>670.50</w:t>
            </w:r>
          </w:p>
        </w:tc>
      </w:tr>
      <w:tr w:rsidR="006227CE" w14:paraId="3938ED02" w14:textId="77777777">
        <w:trPr>
          <w:trHeight w:val="315"/>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938ECFB" w14:textId="77777777" w:rsidR="006227CE" w:rsidRDefault="006C5E69">
            <w:pPr>
              <w:jc w:val="center"/>
              <w:rPr>
                <w:rFonts w:ascii="Calibri" w:eastAsia="Calibri" w:hAnsi="Calibri" w:cs="Calibri"/>
                <w:sz w:val="22"/>
                <w:szCs w:val="22"/>
              </w:rPr>
            </w:pPr>
            <w:r>
              <w:lastRenderedPageBreak/>
              <w:t>Closing Payables (£m)</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38ECFC" w14:textId="77777777" w:rsidR="006227CE" w:rsidRDefault="006C5E69">
            <w:pPr>
              <w:jc w:val="center"/>
              <w:rPr>
                <w:rFonts w:ascii="Calibri" w:eastAsia="Calibri" w:hAnsi="Calibri" w:cs="Calibri"/>
                <w:sz w:val="22"/>
                <w:szCs w:val="22"/>
              </w:rPr>
            </w:pPr>
            <w:r>
              <w:t>J</w:t>
            </w:r>
          </w:p>
        </w:tc>
        <w:tc>
          <w:tcPr>
            <w:tcW w:w="1120" w:type="dxa"/>
            <w:tcBorders>
              <w:top w:val="single" w:sz="6" w:space="0" w:color="CCCCCC"/>
              <w:left w:val="single" w:sz="6" w:space="0" w:color="CCCCCC"/>
              <w:bottom w:val="single" w:sz="6" w:space="0" w:color="000000"/>
              <w:right w:val="single" w:sz="6" w:space="0" w:color="000000"/>
            </w:tcBorders>
            <w:shd w:val="clear" w:color="auto" w:fill="F2F8F7"/>
            <w:tcMar>
              <w:top w:w="0" w:type="dxa"/>
              <w:left w:w="40" w:type="dxa"/>
              <w:bottom w:w="0" w:type="dxa"/>
              <w:right w:w="40" w:type="dxa"/>
            </w:tcMar>
            <w:vAlign w:val="center"/>
          </w:tcPr>
          <w:p w14:paraId="3938ECFD" w14:textId="77777777" w:rsidR="006227CE" w:rsidRDefault="006C5E69">
            <w:pPr>
              <w:jc w:val="center"/>
              <w:rPr>
                <w:rFonts w:ascii="Calibri" w:eastAsia="Calibri" w:hAnsi="Calibri" w:cs="Calibri"/>
                <w:sz w:val="22"/>
                <w:szCs w:val="22"/>
              </w:rPr>
            </w:pPr>
            <w:r>
              <w:t>316.50</w:t>
            </w:r>
          </w:p>
        </w:tc>
        <w:tc>
          <w:tcPr>
            <w:tcW w:w="1120" w:type="dxa"/>
            <w:tcBorders>
              <w:top w:val="single" w:sz="6" w:space="0" w:color="CCCCCC"/>
              <w:left w:val="single" w:sz="6" w:space="0" w:color="CCCCCC"/>
              <w:bottom w:val="single" w:sz="6" w:space="0" w:color="000000"/>
              <w:right w:val="single" w:sz="6" w:space="0" w:color="000000"/>
            </w:tcBorders>
            <w:shd w:val="clear" w:color="auto" w:fill="E4F3EB"/>
            <w:tcMar>
              <w:top w:w="0" w:type="dxa"/>
              <w:left w:w="40" w:type="dxa"/>
              <w:bottom w:w="0" w:type="dxa"/>
              <w:right w:w="40" w:type="dxa"/>
            </w:tcMar>
            <w:vAlign w:val="center"/>
          </w:tcPr>
          <w:p w14:paraId="3938ECFE" w14:textId="77777777" w:rsidR="006227CE" w:rsidRDefault="006C5E69">
            <w:pPr>
              <w:jc w:val="center"/>
              <w:rPr>
                <w:rFonts w:ascii="Calibri" w:eastAsia="Calibri" w:hAnsi="Calibri" w:cs="Calibri"/>
                <w:sz w:val="22"/>
                <w:szCs w:val="22"/>
              </w:rPr>
            </w:pPr>
            <w:r>
              <w:t>570.70</w:t>
            </w:r>
          </w:p>
        </w:tc>
        <w:tc>
          <w:tcPr>
            <w:tcW w:w="1120" w:type="dxa"/>
            <w:tcBorders>
              <w:top w:val="single" w:sz="6" w:space="0" w:color="CCCCCC"/>
              <w:left w:val="single" w:sz="6" w:space="0" w:color="CCCCCC"/>
              <w:bottom w:val="single" w:sz="6" w:space="0" w:color="000000"/>
              <w:right w:val="single" w:sz="6" w:space="0" w:color="000000"/>
            </w:tcBorders>
            <w:shd w:val="clear" w:color="auto" w:fill="DFF0E6"/>
            <w:tcMar>
              <w:top w:w="0" w:type="dxa"/>
              <w:left w:w="40" w:type="dxa"/>
              <w:bottom w:w="0" w:type="dxa"/>
              <w:right w:w="40" w:type="dxa"/>
            </w:tcMar>
            <w:vAlign w:val="center"/>
          </w:tcPr>
          <w:p w14:paraId="3938ECFF" w14:textId="77777777" w:rsidR="006227CE" w:rsidRDefault="006C5E69">
            <w:pPr>
              <w:jc w:val="center"/>
              <w:rPr>
                <w:rFonts w:ascii="Calibri" w:eastAsia="Calibri" w:hAnsi="Calibri" w:cs="Calibri"/>
                <w:sz w:val="22"/>
                <w:szCs w:val="22"/>
              </w:rPr>
            </w:pPr>
            <w:r>
              <w:t>676.70</w:t>
            </w:r>
          </w:p>
        </w:tc>
        <w:tc>
          <w:tcPr>
            <w:tcW w:w="1271" w:type="dxa"/>
            <w:tcBorders>
              <w:top w:val="single" w:sz="6" w:space="0" w:color="CCCCCC"/>
              <w:left w:val="single" w:sz="6" w:space="0" w:color="CCCCCC"/>
              <w:bottom w:val="single" w:sz="6" w:space="0" w:color="000000"/>
              <w:right w:val="single" w:sz="6" w:space="0" w:color="000000"/>
            </w:tcBorders>
            <w:shd w:val="clear" w:color="auto" w:fill="DFF1E6"/>
            <w:tcMar>
              <w:top w:w="0" w:type="dxa"/>
              <w:left w:w="40" w:type="dxa"/>
              <w:bottom w:w="0" w:type="dxa"/>
              <w:right w:w="40" w:type="dxa"/>
            </w:tcMar>
            <w:vAlign w:val="center"/>
          </w:tcPr>
          <w:p w14:paraId="3938ED00" w14:textId="77777777" w:rsidR="006227CE" w:rsidRDefault="006C5E69">
            <w:pPr>
              <w:jc w:val="center"/>
              <w:rPr>
                <w:rFonts w:ascii="Calibri" w:eastAsia="Calibri" w:hAnsi="Calibri" w:cs="Calibri"/>
                <w:sz w:val="22"/>
                <w:szCs w:val="22"/>
              </w:rPr>
            </w:pPr>
            <w:r>
              <w:t>670.50</w:t>
            </w:r>
          </w:p>
        </w:tc>
        <w:tc>
          <w:tcPr>
            <w:tcW w:w="1120" w:type="dxa"/>
            <w:tcBorders>
              <w:top w:val="single" w:sz="6" w:space="0" w:color="CCCCCC"/>
              <w:left w:val="single" w:sz="6" w:space="0" w:color="CCCCCC"/>
              <w:bottom w:val="single" w:sz="6" w:space="0" w:color="000000"/>
              <w:right w:val="single" w:sz="6" w:space="0" w:color="000000"/>
            </w:tcBorders>
            <w:shd w:val="clear" w:color="auto" w:fill="E0F1E6"/>
            <w:tcMar>
              <w:top w:w="0" w:type="dxa"/>
              <w:left w:w="40" w:type="dxa"/>
              <w:bottom w:w="0" w:type="dxa"/>
              <w:right w:w="40" w:type="dxa"/>
            </w:tcMar>
            <w:vAlign w:val="center"/>
          </w:tcPr>
          <w:p w14:paraId="3938ED01" w14:textId="77777777" w:rsidR="006227CE" w:rsidRDefault="006C5E69">
            <w:pPr>
              <w:jc w:val="center"/>
              <w:rPr>
                <w:rFonts w:ascii="Calibri" w:eastAsia="Calibri" w:hAnsi="Calibri" w:cs="Calibri"/>
                <w:sz w:val="22"/>
                <w:szCs w:val="22"/>
              </w:rPr>
            </w:pPr>
            <w:r>
              <w:t>660.80</w:t>
            </w:r>
          </w:p>
        </w:tc>
      </w:tr>
      <w:tr w:rsidR="006227CE" w14:paraId="3938ED0A" w14:textId="77777777">
        <w:trPr>
          <w:trHeight w:val="315"/>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938ED03" w14:textId="77777777" w:rsidR="006227CE" w:rsidRDefault="006C5E69">
            <w:pPr>
              <w:jc w:val="center"/>
              <w:rPr>
                <w:rFonts w:ascii="Calibri" w:eastAsia="Calibri" w:hAnsi="Calibri" w:cs="Calibri"/>
                <w:sz w:val="22"/>
                <w:szCs w:val="22"/>
              </w:rPr>
            </w:pPr>
            <w:r>
              <w:t>Average Payables (£m)</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38ED04" w14:textId="77777777" w:rsidR="006227CE" w:rsidRDefault="006C5E69">
            <w:pPr>
              <w:jc w:val="center"/>
              <w:rPr>
                <w:rFonts w:ascii="Calibri" w:eastAsia="Calibri" w:hAnsi="Calibri" w:cs="Calibri"/>
                <w:sz w:val="22"/>
                <w:szCs w:val="22"/>
              </w:rPr>
            </w:pPr>
            <w:r>
              <w:t>K=(I+J)/2</w:t>
            </w:r>
          </w:p>
        </w:tc>
        <w:tc>
          <w:tcPr>
            <w:tcW w:w="1120" w:type="dxa"/>
            <w:tcBorders>
              <w:top w:val="single" w:sz="6" w:space="0" w:color="CCCCCC"/>
              <w:left w:val="single" w:sz="6" w:space="0" w:color="CCCCCC"/>
              <w:bottom w:val="single" w:sz="6" w:space="0" w:color="000000"/>
              <w:right w:val="single" w:sz="6" w:space="0" w:color="000000"/>
            </w:tcBorders>
            <w:shd w:val="clear" w:color="auto" w:fill="EFF7F4"/>
            <w:tcMar>
              <w:top w:w="0" w:type="dxa"/>
              <w:left w:w="40" w:type="dxa"/>
              <w:bottom w:w="0" w:type="dxa"/>
              <w:right w:w="40" w:type="dxa"/>
            </w:tcMar>
            <w:vAlign w:val="center"/>
          </w:tcPr>
          <w:p w14:paraId="3938ED05" w14:textId="77777777" w:rsidR="006227CE" w:rsidRDefault="006C5E69">
            <w:pPr>
              <w:jc w:val="center"/>
              <w:rPr>
                <w:rFonts w:ascii="Calibri" w:eastAsia="Calibri" w:hAnsi="Calibri" w:cs="Calibri"/>
                <w:sz w:val="22"/>
                <w:szCs w:val="22"/>
              </w:rPr>
            </w:pPr>
            <w:r>
              <w:t>378.35</w:t>
            </w:r>
          </w:p>
        </w:tc>
        <w:tc>
          <w:tcPr>
            <w:tcW w:w="1120" w:type="dxa"/>
            <w:tcBorders>
              <w:top w:val="single" w:sz="6" w:space="0" w:color="CCCCCC"/>
              <w:left w:val="single" w:sz="6" w:space="0" w:color="CCCCCC"/>
              <w:bottom w:val="single" w:sz="6" w:space="0" w:color="000000"/>
              <w:right w:val="single" w:sz="6" w:space="0" w:color="000000"/>
            </w:tcBorders>
            <w:shd w:val="clear" w:color="auto" w:fill="EBF5F1"/>
            <w:tcMar>
              <w:top w:w="0" w:type="dxa"/>
              <w:left w:w="40" w:type="dxa"/>
              <w:bottom w:w="0" w:type="dxa"/>
              <w:right w:w="40" w:type="dxa"/>
            </w:tcMar>
            <w:vAlign w:val="center"/>
          </w:tcPr>
          <w:p w14:paraId="3938ED06" w14:textId="77777777" w:rsidR="006227CE" w:rsidRDefault="006C5E69">
            <w:pPr>
              <w:jc w:val="center"/>
              <w:rPr>
                <w:rFonts w:ascii="Calibri" w:eastAsia="Calibri" w:hAnsi="Calibri" w:cs="Calibri"/>
                <w:sz w:val="22"/>
                <w:szCs w:val="22"/>
              </w:rPr>
            </w:pPr>
            <w:r>
              <w:t>443.60</w:t>
            </w:r>
          </w:p>
        </w:tc>
        <w:tc>
          <w:tcPr>
            <w:tcW w:w="1120" w:type="dxa"/>
            <w:tcBorders>
              <w:top w:val="single" w:sz="6" w:space="0" w:color="CCCCCC"/>
              <w:left w:val="single" w:sz="6" w:space="0" w:color="CCCCCC"/>
              <w:bottom w:val="single" w:sz="6" w:space="0" w:color="000000"/>
              <w:right w:val="single" w:sz="6" w:space="0" w:color="000000"/>
            </w:tcBorders>
            <w:shd w:val="clear" w:color="auto" w:fill="E2F2E8"/>
            <w:tcMar>
              <w:top w:w="0" w:type="dxa"/>
              <w:left w:w="40" w:type="dxa"/>
              <w:bottom w:w="0" w:type="dxa"/>
              <w:right w:w="40" w:type="dxa"/>
            </w:tcMar>
            <w:vAlign w:val="center"/>
          </w:tcPr>
          <w:p w14:paraId="3938ED07" w14:textId="77777777" w:rsidR="006227CE" w:rsidRDefault="006C5E69">
            <w:pPr>
              <w:jc w:val="center"/>
              <w:rPr>
                <w:rFonts w:ascii="Calibri" w:eastAsia="Calibri" w:hAnsi="Calibri" w:cs="Calibri"/>
                <w:sz w:val="22"/>
                <w:szCs w:val="22"/>
              </w:rPr>
            </w:pPr>
            <w:r>
              <w:t>623.70</w:t>
            </w:r>
          </w:p>
        </w:tc>
        <w:tc>
          <w:tcPr>
            <w:tcW w:w="1271" w:type="dxa"/>
            <w:tcBorders>
              <w:top w:val="single" w:sz="6" w:space="0" w:color="CCCCCC"/>
              <w:left w:val="single" w:sz="6" w:space="0" w:color="CCCCCC"/>
              <w:bottom w:val="single" w:sz="6" w:space="0" w:color="000000"/>
              <w:right w:val="single" w:sz="6" w:space="0" w:color="000000"/>
            </w:tcBorders>
            <w:shd w:val="clear" w:color="auto" w:fill="DFF0E6"/>
            <w:tcMar>
              <w:top w:w="0" w:type="dxa"/>
              <w:left w:w="40" w:type="dxa"/>
              <w:bottom w:w="0" w:type="dxa"/>
              <w:right w:w="40" w:type="dxa"/>
            </w:tcMar>
            <w:vAlign w:val="center"/>
          </w:tcPr>
          <w:p w14:paraId="3938ED08" w14:textId="77777777" w:rsidR="006227CE" w:rsidRDefault="006C5E69">
            <w:pPr>
              <w:jc w:val="center"/>
              <w:rPr>
                <w:rFonts w:ascii="Calibri" w:eastAsia="Calibri" w:hAnsi="Calibri" w:cs="Calibri"/>
                <w:sz w:val="22"/>
                <w:szCs w:val="22"/>
              </w:rPr>
            </w:pPr>
            <w:r>
              <w:t>673.60</w:t>
            </w:r>
          </w:p>
        </w:tc>
        <w:tc>
          <w:tcPr>
            <w:tcW w:w="1120" w:type="dxa"/>
            <w:tcBorders>
              <w:top w:val="single" w:sz="6" w:space="0" w:color="CCCCCC"/>
              <w:left w:val="single" w:sz="6" w:space="0" w:color="CCCCCC"/>
              <w:bottom w:val="single" w:sz="6" w:space="0" w:color="000000"/>
              <w:right w:val="single" w:sz="6" w:space="0" w:color="000000"/>
            </w:tcBorders>
            <w:shd w:val="clear" w:color="auto" w:fill="DFF1E6"/>
            <w:tcMar>
              <w:top w:w="0" w:type="dxa"/>
              <w:left w:w="40" w:type="dxa"/>
              <w:bottom w:w="0" w:type="dxa"/>
              <w:right w:w="40" w:type="dxa"/>
            </w:tcMar>
            <w:vAlign w:val="center"/>
          </w:tcPr>
          <w:p w14:paraId="3938ED09" w14:textId="77777777" w:rsidR="006227CE" w:rsidRDefault="006C5E69">
            <w:pPr>
              <w:jc w:val="center"/>
              <w:rPr>
                <w:rFonts w:ascii="Calibri" w:eastAsia="Calibri" w:hAnsi="Calibri" w:cs="Calibri"/>
                <w:sz w:val="22"/>
                <w:szCs w:val="22"/>
              </w:rPr>
            </w:pPr>
            <w:r>
              <w:t>665.65</w:t>
            </w:r>
          </w:p>
        </w:tc>
      </w:tr>
      <w:tr w:rsidR="006227CE" w14:paraId="3938ED12" w14:textId="77777777">
        <w:trPr>
          <w:trHeight w:val="315"/>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938ED0B" w14:textId="77777777" w:rsidR="006227CE" w:rsidRDefault="006C5E69">
            <w:pPr>
              <w:jc w:val="center"/>
              <w:rPr>
                <w:rFonts w:ascii="Calibri" w:eastAsia="Calibri" w:hAnsi="Calibri" w:cs="Calibri"/>
                <w:sz w:val="22"/>
                <w:szCs w:val="22"/>
              </w:rPr>
            </w:pPr>
            <w:r>
              <w:rPr>
                <w:b/>
                <w:bCs/>
              </w:rPr>
              <w:t>Inventory Turnover Days</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38ED0C" w14:textId="77777777" w:rsidR="006227CE" w:rsidRDefault="006C5E69">
            <w:pPr>
              <w:jc w:val="center"/>
              <w:rPr>
                <w:rFonts w:ascii="Calibri" w:eastAsia="Calibri" w:hAnsi="Calibri" w:cs="Calibri"/>
                <w:sz w:val="22"/>
                <w:szCs w:val="22"/>
              </w:rPr>
            </w:pPr>
            <w:r>
              <w:rPr>
                <w:b/>
                <w:bCs/>
              </w:rPr>
              <w:t>365/(B/E)</w:t>
            </w:r>
          </w:p>
        </w:tc>
        <w:tc>
          <w:tcPr>
            <w:tcW w:w="1120" w:type="dxa"/>
            <w:tcBorders>
              <w:top w:val="single" w:sz="6" w:space="0" w:color="CCCCCC"/>
              <w:left w:val="single" w:sz="6" w:space="0" w:color="CCCCCC"/>
              <w:bottom w:val="single" w:sz="6" w:space="0" w:color="000000"/>
              <w:right w:val="single" w:sz="6" w:space="0" w:color="000000"/>
            </w:tcBorders>
            <w:shd w:val="clear" w:color="auto" w:fill="F8696B"/>
            <w:tcMar>
              <w:top w:w="0" w:type="dxa"/>
              <w:left w:w="40" w:type="dxa"/>
              <w:bottom w:w="0" w:type="dxa"/>
              <w:right w:w="40" w:type="dxa"/>
            </w:tcMar>
            <w:vAlign w:val="center"/>
          </w:tcPr>
          <w:p w14:paraId="3938ED0D" w14:textId="77777777" w:rsidR="006227CE" w:rsidRDefault="006C5E69">
            <w:pPr>
              <w:jc w:val="center"/>
              <w:rPr>
                <w:rFonts w:ascii="Calibri" w:eastAsia="Calibri" w:hAnsi="Calibri" w:cs="Calibri"/>
                <w:sz w:val="22"/>
                <w:szCs w:val="22"/>
              </w:rPr>
            </w:pPr>
            <w:r>
              <w:rPr>
                <w:b/>
                <w:bCs/>
              </w:rPr>
              <w:t>3</w:t>
            </w:r>
          </w:p>
        </w:tc>
        <w:tc>
          <w:tcPr>
            <w:tcW w:w="1120" w:type="dxa"/>
            <w:tcBorders>
              <w:top w:val="single" w:sz="6" w:space="0" w:color="CCCCCC"/>
              <w:left w:val="single" w:sz="6" w:space="0" w:color="CCCCCC"/>
              <w:bottom w:val="single" w:sz="6" w:space="0" w:color="000000"/>
              <w:right w:val="single" w:sz="6" w:space="0" w:color="000000"/>
            </w:tcBorders>
            <w:shd w:val="clear" w:color="auto" w:fill="F8696B"/>
            <w:tcMar>
              <w:top w:w="0" w:type="dxa"/>
              <w:left w:w="40" w:type="dxa"/>
              <w:bottom w:w="0" w:type="dxa"/>
              <w:right w:w="40" w:type="dxa"/>
            </w:tcMar>
            <w:vAlign w:val="center"/>
          </w:tcPr>
          <w:p w14:paraId="3938ED0E" w14:textId="77777777" w:rsidR="006227CE" w:rsidRDefault="006C5E69">
            <w:pPr>
              <w:jc w:val="center"/>
              <w:rPr>
                <w:rFonts w:ascii="Calibri" w:eastAsia="Calibri" w:hAnsi="Calibri" w:cs="Calibri"/>
                <w:sz w:val="22"/>
                <w:szCs w:val="22"/>
              </w:rPr>
            </w:pPr>
            <w:r>
              <w:rPr>
                <w:b/>
                <w:bCs/>
              </w:rPr>
              <w:t>4</w:t>
            </w:r>
          </w:p>
        </w:tc>
        <w:tc>
          <w:tcPr>
            <w:tcW w:w="1120" w:type="dxa"/>
            <w:tcBorders>
              <w:top w:val="single" w:sz="6" w:space="0" w:color="CCCCCC"/>
              <w:left w:val="single" w:sz="6" w:space="0" w:color="CCCCCC"/>
              <w:bottom w:val="single" w:sz="6" w:space="0" w:color="000000"/>
              <w:right w:val="single" w:sz="6" w:space="0" w:color="000000"/>
            </w:tcBorders>
            <w:shd w:val="clear" w:color="auto" w:fill="F8696B"/>
            <w:tcMar>
              <w:top w:w="0" w:type="dxa"/>
              <w:left w:w="40" w:type="dxa"/>
              <w:bottom w:w="0" w:type="dxa"/>
              <w:right w:w="40" w:type="dxa"/>
            </w:tcMar>
            <w:vAlign w:val="center"/>
          </w:tcPr>
          <w:p w14:paraId="3938ED0F" w14:textId="77777777" w:rsidR="006227CE" w:rsidRDefault="006C5E69">
            <w:pPr>
              <w:jc w:val="center"/>
              <w:rPr>
                <w:rFonts w:ascii="Calibri" w:eastAsia="Calibri" w:hAnsi="Calibri" w:cs="Calibri"/>
                <w:sz w:val="22"/>
                <w:szCs w:val="22"/>
              </w:rPr>
            </w:pPr>
            <w:r>
              <w:rPr>
                <w:b/>
                <w:bCs/>
              </w:rPr>
              <w:t>4</w:t>
            </w:r>
          </w:p>
        </w:tc>
        <w:tc>
          <w:tcPr>
            <w:tcW w:w="1271" w:type="dxa"/>
            <w:tcBorders>
              <w:top w:val="single" w:sz="6" w:space="0" w:color="CCCCCC"/>
              <w:left w:val="single" w:sz="6" w:space="0" w:color="CCCCCC"/>
              <w:bottom w:val="single" w:sz="6" w:space="0" w:color="000000"/>
              <w:right w:val="single" w:sz="6" w:space="0" w:color="000000"/>
            </w:tcBorders>
            <w:shd w:val="clear" w:color="auto" w:fill="F8696B"/>
            <w:tcMar>
              <w:top w:w="0" w:type="dxa"/>
              <w:left w:w="40" w:type="dxa"/>
              <w:bottom w:w="0" w:type="dxa"/>
              <w:right w:w="40" w:type="dxa"/>
            </w:tcMar>
            <w:vAlign w:val="center"/>
          </w:tcPr>
          <w:p w14:paraId="3938ED10" w14:textId="77777777" w:rsidR="006227CE" w:rsidRDefault="006C5E69">
            <w:pPr>
              <w:jc w:val="center"/>
              <w:rPr>
                <w:rFonts w:ascii="Calibri" w:eastAsia="Calibri" w:hAnsi="Calibri" w:cs="Calibri"/>
                <w:sz w:val="22"/>
                <w:szCs w:val="22"/>
              </w:rPr>
            </w:pPr>
            <w:r>
              <w:rPr>
                <w:b/>
                <w:bCs/>
              </w:rPr>
              <w:t>3</w:t>
            </w:r>
          </w:p>
        </w:tc>
        <w:tc>
          <w:tcPr>
            <w:tcW w:w="1120" w:type="dxa"/>
            <w:tcBorders>
              <w:top w:val="single" w:sz="6" w:space="0" w:color="CCCCCC"/>
              <w:left w:val="single" w:sz="6" w:space="0" w:color="CCCCCC"/>
              <w:bottom w:val="single" w:sz="6" w:space="0" w:color="000000"/>
              <w:right w:val="single" w:sz="6" w:space="0" w:color="000000"/>
            </w:tcBorders>
            <w:shd w:val="clear" w:color="auto" w:fill="F8696B"/>
            <w:tcMar>
              <w:top w:w="0" w:type="dxa"/>
              <w:left w:w="40" w:type="dxa"/>
              <w:bottom w:w="0" w:type="dxa"/>
              <w:right w:w="40" w:type="dxa"/>
            </w:tcMar>
            <w:vAlign w:val="center"/>
          </w:tcPr>
          <w:p w14:paraId="3938ED11" w14:textId="77777777" w:rsidR="006227CE" w:rsidRDefault="006C5E69">
            <w:pPr>
              <w:jc w:val="center"/>
              <w:rPr>
                <w:rFonts w:ascii="Calibri" w:eastAsia="Calibri" w:hAnsi="Calibri" w:cs="Calibri"/>
                <w:sz w:val="22"/>
                <w:szCs w:val="22"/>
              </w:rPr>
            </w:pPr>
            <w:r>
              <w:rPr>
                <w:b/>
                <w:bCs/>
              </w:rPr>
              <w:t>3</w:t>
            </w:r>
          </w:p>
        </w:tc>
      </w:tr>
      <w:tr w:rsidR="006227CE" w14:paraId="3938ED1A" w14:textId="77777777">
        <w:trPr>
          <w:trHeight w:val="315"/>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938ED13" w14:textId="77777777" w:rsidR="006227CE" w:rsidRDefault="006C5E69">
            <w:pPr>
              <w:jc w:val="center"/>
              <w:rPr>
                <w:rFonts w:ascii="Calibri" w:eastAsia="Calibri" w:hAnsi="Calibri" w:cs="Calibri"/>
                <w:sz w:val="22"/>
                <w:szCs w:val="22"/>
              </w:rPr>
            </w:pPr>
            <w:r>
              <w:rPr>
                <w:b/>
                <w:bCs/>
              </w:rPr>
              <w:t>Receivables Turnover Days</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38ED14" w14:textId="77777777" w:rsidR="006227CE" w:rsidRDefault="006C5E69">
            <w:pPr>
              <w:jc w:val="center"/>
              <w:rPr>
                <w:rFonts w:ascii="Calibri" w:eastAsia="Calibri" w:hAnsi="Calibri" w:cs="Calibri"/>
                <w:sz w:val="22"/>
                <w:szCs w:val="22"/>
              </w:rPr>
            </w:pPr>
            <w:r>
              <w:rPr>
                <w:b/>
                <w:bCs/>
              </w:rPr>
              <w:t>365/(A/H)</w:t>
            </w:r>
          </w:p>
        </w:tc>
        <w:tc>
          <w:tcPr>
            <w:tcW w:w="1120" w:type="dxa"/>
            <w:tcBorders>
              <w:top w:val="single" w:sz="6" w:space="0" w:color="CCCCCC"/>
              <w:left w:val="single" w:sz="6" w:space="0" w:color="CCCCCC"/>
              <w:bottom w:val="single" w:sz="6" w:space="0" w:color="000000"/>
              <w:right w:val="single" w:sz="6" w:space="0" w:color="000000"/>
            </w:tcBorders>
            <w:shd w:val="clear" w:color="auto" w:fill="FBF0F3"/>
            <w:tcMar>
              <w:top w:w="0" w:type="dxa"/>
              <w:left w:w="40" w:type="dxa"/>
              <w:bottom w:w="0" w:type="dxa"/>
              <w:right w:w="40" w:type="dxa"/>
            </w:tcMar>
            <w:vAlign w:val="center"/>
          </w:tcPr>
          <w:p w14:paraId="3938ED15" w14:textId="77777777" w:rsidR="006227CE" w:rsidRDefault="006C5E69">
            <w:pPr>
              <w:jc w:val="center"/>
              <w:rPr>
                <w:rFonts w:ascii="Calibri" w:eastAsia="Calibri" w:hAnsi="Calibri" w:cs="Calibri"/>
                <w:sz w:val="22"/>
                <w:szCs w:val="22"/>
              </w:rPr>
            </w:pPr>
            <w:r>
              <w:rPr>
                <w:b/>
                <w:bCs/>
              </w:rPr>
              <w:t>114</w:t>
            </w:r>
          </w:p>
        </w:tc>
        <w:tc>
          <w:tcPr>
            <w:tcW w:w="1120" w:type="dxa"/>
            <w:tcBorders>
              <w:top w:val="single" w:sz="6" w:space="0" w:color="CCCCCC"/>
              <w:left w:val="single" w:sz="6" w:space="0" w:color="CCCCCC"/>
              <w:bottom w:val="single" w:sz="6" w:space="0" w:color="000000"/>
              <w:right w:val="single" w:sz="6" w:space="0" w:color="000000"/>
            </w:tcBorders>
            <w:shd w:val="clear" w:color="auto" w:fill="F87E80"/>
            <w:tcMar>
              <w:top w:w="0" w:type="dxa"/>
              <w:left w:w="40" w:type="dxa"/>
              <w:bottom w:w="0" w:type="dxa"/>
              <w:right w:w="40" w:type="dxa"/>
            </w:tcMar>
            <w:vAlign w:val="center"/>
          </w:tcPr>
          <w:p w14:paraId="3938ED16" w14:textId="77777777" w:rsidR="006227CE" w:rsidRDefault="006C5E69">
            <w:pPr>
              <w:jc w:val="center"/>
              <w:rPr>
                <w:rFonts w:ascii="Calibri" w:eastAsia="Calibri" w:hAnsi="Calibri" w:cs="Calibri"/>
                <w:sz w:val="22"/>
                <w:szCs w:val="22"/>
              </w:rPr>
            </w:pPr>
            <w:r>
              <w:rPr>
                <w:b/>
                <w:bCs/>
              </w:rPr>
              <w:t>20</w:t>
            </w:r>
          </w:p>
        </w:tc>
        <w:tc>
          <w:tcPr>
            <w:tcW w:w="1120" w:type="dxa"/>
            <w:tcBorders>
              <w:top w:val="single" w:sz="6" w:space="0" w:color="CCCCCC"/>
              <w:left w:val="single" w:sz="6" w:space="0" w:color="CCCCCC"/>
              <w:bottom w:val="single" w:sz="6" w:space="0" w:color="000000"/>
              <w:right w:val="single" w:sz="6" w:space="0" w:color="000000"/>
            </w:tcBorders>
            <w:shd w:val="clear" w:color="auto" w:fill="F87B7D"/>
            <w:tcMar>
              <w:top w:w="0" w:type="dxa"/>
              <w:left w:w="40" w:type="dxa"/>
              <w:bottom w:w="0" w:type="dxa"/>
              <w:right w:w="40" w:type="dxa"/>
            </w:tcMar>
            <w:vAlign w:val="center"/>
          </w:tcPr>
          <w:p w14:paraId="3938ED17" w14:textId="77777777" w:rsidR="006227CE" w:rsidRDefault="006C5E69">
            <w:pPr>
              <w:jc w:val="center"/>
              <w:rPr>
                <w:rFonts w:ascii="Calibri" w:eastAsia="Calibri" w:hAnsi="Calibri" w:cs="Calibri"/>
                <w:sz w:val="22"/>
                <w:szCs w:val="22"/>
              </w:rPr>
            </w:pPr>
            <w:r>
              <w:rPr>
                <w:b/>
                <w:bCs/>
              </w:rPr>
              <w:t>18</w:t>
            </w:r>
          </w:p>
        </w:tc>
        <w:tc>
          <w:tcPr>
            <w:tcW w:w="1271" w:type="dxa"/>
            <w:tcBorders>
              <w:top w:val="single" w:sz="6" w:space="0" w:color="CCCCCC"/>
              <w:left w:val="single" w:sz="6" w:space="0" w:color="CCCCCC"/>
              <w:bottom w:val="single" w:sz="6" w:space="0" w:color="000000"/>
              <w:right w:val="single" w:sz="6" w:space="0" w:color="000000"/>
            </w:tcBorders>
            <w:shd w:val="clear" w:color="auto" w:fill="F8797B"/>
            <w:tcMar>
              <w:top w:w="0" w:type="dxa"/>
              <w:left w:w="40" w:type="dxa"/>
              <w:bottom w:w="0" w:type="dxa"/>
              <w:right w:w="40" w:type="dxa"/>
            </w:tcMar>
            <w:vAlign w:val="center"/>
          </w:tcPr>
          <w:p w14:paraId="3938ED18" w14:textId="77777777" w:rsidR="006227CE" w:rsidRDefault="006C5E69">
            <w:pPr>
              <w:jc w:val="center"/>
              <w:rPr>
                <w:rFonts w:ascii="Calibri" w:eastAsia="Calibri" w:hAnsi="Calibri" w:cs="Calibri"/>
                <w:sz w:val="22"/>
                <w:szCs w:val="22"/>
              </w:rPr>
            </w:pPr>
            <w:r>
              <w:rPr>
                <w:b/>
                <w:bCs/>
              </w:rPr>
              <w:t>16</w:t>
            </w:r>
          </w:p>
        </w:tc>
        <w:tc>
          <w:tcPr>
            <w:tcW w:w="1120" w:type="dxa"/>
            <w:tcBorders>
              <w:top w:val="single" w:sz="6" w:space="0" w:color="CCCCCC"/>
              <w:left w:val="single" w:sz="6" w:space="0" w:color="CCCCCC"/>
              <w:bottom w:val="single" w:sz="6" w:space="0" w:color="000000"/>
              <w:right w:val="single" w:sz="6" w:space="0" w:color="000000"/>
            </w:tcBorders>
            <w:shd w:val="clear" w:color="auto" w:fill="F8787A"/>
            <w:tcMar>
              <w:top w:w="0" w:type="dxa"/>
              <w:left w:w="40" w:type="dxa"/>
              <w:bottom w:w="0" w:type="dxa"/>
              <w:right w:w="40" w:type="dxa"/>
            </w:tcMar>
            <w:vAlign w:val="center"/>
          </w:tcPr>
          <w:p w14:paraId="3938ED19" w14:textId="77777777" w:rsidR="006227CE" w:rsidRDefault="006C5E69">
            <w:pPr>
              <w:jc w:val="center"/>
              <w:rPr>
                <w:rFonts w:ascii="Calibri" w:eastAsia="Calibri" w:hAnsi="Calibri" w:cs="Calibri"/>
                <w:sz w:val="22"/>
                <w:szCs w:val="22"/>
              </w:rPr>
            </w:pPr>
            <w:r>
              <w:rPr>
                <w:b/>
                <w:bCs/>
              </w:rPr>
              <w:t>15</w:t>
            </w:r>
          </w:p>
        </w:tc>
      </w:tr>
      <w:tr w:rsidR="006227CE" w14:paraId="3938ED22" w14:textId="77777777">
        <w:trPr>
          <w:trHeight w:val="315"/>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938ED1B" w14:textId="77777777" w:rsidR="006227CE" w:rsidRDefault="006C5E69">
            <w:pPr>
              <w:jc w:val="center"/>
              <w:rPr>
                <w:rFonts w:ascii="Calibri" w:eastAsia="Calibri" w:hAnsi="Calibri" w:cs="Calibri"/>
                <w:sz w:val="22"/>
                <w:szCs w:val="22"/>
              </w:rPr>
            </w:pPr>
            <w:r>
              <w:rPr>
                <w:b/>
                <w:bCs/>
              </w:rPr>
              <w:t>Payables Turnover Days</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38ED1C" w14:textId="77777777" w:rsidR="006227CE" w:rsidRDefault="006C5E69">
            <w:pPr>
              <w:jc w:val="center"/>
              <w:rPr>
                <w:rFonts w:ascii="Calibri" w:eastAsia="Calibri" w:hAnsi="Calibri" w:cs="Calibri"/>
                <w:sz w:val="22"/>
                <w:szCs w:val="22"/>
              </w:rPr>
            </w:pPr>
            <w:r>
              <w:rPr>
                <w:b/>
                <w:bCs/>
              </w:rPr>
              <w:t>365/(B/K)</w:t>
            </w:r>
          </w:p>
        </w:tc>
        <w:tc>
          <w:tcPr>
            <w:tcW w:w="1120" w:type="dxa"/>
            <w:tcBorders>
              <w:top w:val="single" w:sz="6" w:space="0" w:color="CCCCCC"/>
              <w:left w:val="single" w:sz="6" w:space="0" w:color="CCCCCC"/>
              <w:bottom w:val="single" w:sz="6" w:space="0" w:color="000000"/>
              <w:right w:val="single" w:sz="6" w:space="0" w:color="000000"/>
            </w:tcBorders>
            <w:shd w:val="clear" w:color="auto" w:fill="FAD0D2"/>
            <w:tcMar>
              <w:top w:w="0" w:type="dxa"/>
              <w:left w:w="40" w:type="dxa"/>
              <w:bottom w:w="0" w:type="dxa"/>
              <w:right w:w="40" w:type="dxa"/>
            </w:tcMar>
            <w:vAlign w:val="center"/>
          </w:tcPr>
          <w:p w14:paraId="3938ED1D" w14:textId="77777777" w:rsidR="006227CE" w:rsidRDefault="006C5E69">
            <w:pPr>
              <w:jc w:val="center"/>
              <w:rPr>
                <w:rFonts w:ascii="Calibri" w:eastAsia="Calibri" w:hAnsi="Calibri" w:cs="Calibri"/>
                <w:sz w:val="22"/>
                <w:szCs w:val="22"/>
              </w:rPr>
            </w:pPr>
            <w:r>
              <w:rPr>
                <w:b/>
                <w:bCs/>
              </w:rPr>
              <w:t>87</w:t>
            </w:r>
          </w:p>
        </w:tc>
        <w:tc>
          <w:tcPr>
            <w:tcW w:w="1120" w:type="dxa"/>
            <w:tcBorders>
              <w:top w:val="single" w:sz="6" w:space="0" w:color="CCCCCC"/>
              <w:left w:val="single" w:sz="6" w:space="0" w:color="CCCCCC"/>
              <w:bottom w:val="single" w:sz="6" w:space="0" w:color="000000"/>
              <w:right w:val="single" w:sz="6" w:space="0" w:color="000000"/>
            </w:tcBorders>
            <w:shd w:val="clear" w:color="auto" w:fill="FBE0E3"/>
            <w:tcMar>
              <w:top w:w="0" w:type="dxa"/>
              <w:left w:w="40" w:type="dxa"/>
              <w:bottom w:w="0" w:type="dxa"/>
              <w:right w:w="40" w:type="dxa"/>
            </w:tcMar>
            <w:vAlign w:val="center"/>
          </w:tcPr>
          <w:p w14:paraId="3938ED1E" w14:textId="77777777" w:rsidR="006227CE" w:rsidRDefault="006C5E69">
            <w:pPr>
              <w:jc w:val="center"/>
              <w:rPr>
                <w:rFonts w:ascii="Calibri" w:eastAsia="Calibri" w:hAnsi="Calibri" w:cs="Calibri"/>
                <w:sz w:val="22"/>
                <w:szCs w:val="22"/>
              </w:rPr>
            </w:pPr>
            <w:r>
              <w:rPr>
                <w:b/>
                <w:bCs/>
              </w:rPr>
              <w:t>101</w:t>
            </w:r>
          </w:p>
        </w:tc>
        <w:tc>
          <w:tcPr>
            <w:tcW w:w="1120" w:type="dxa"/>
            <w:tcBorders>
              <w:top w:val="single" w:sz="6" w:space="0" w:color="CCCCCC"/>
              <w:left w:val="single" w:sz="6" w:space="0" w:color="CCCCCC"/>
              <w:bottom w:val="single" w:sz="6" w:space="0" w:color="000000"/>
              <w:right w:val="single" w:sz="6" w:space="0" w:color="000000"/>
            </w:tcBorders>
            <w:shd w:val="clear" w:color="auto" w:fill="FBE7EA"/>
            <w:tcMar>
              <w:top w:w="0" w:type="dxa"/>
              <w:left w:w="40" w:type="dxa"/>
              <w:bottom w:w="0" w:type="dxa"/>
              <w:right w:w="40" w:type="dxa"/>
            </w:tcMar>
            <w:vAlign w:val="center"/>
          </w:tcPr>
          <w:p w14:paraId="3938ED1F" w14:textId="77777777" w:rsidR="006227CE" w:rsidRDefault="006C5E69">
            <w:pPr>
              <w:jc w:val="center"/>
              <w:rPr>
                <w:rFonts w:ascii="Calibri" w:eastAsia="Calibri" w:hAnsi="Calibri" w:cs="Calibri"/>
                <w:sz w:val="22"/>
                <w:szCs w:val="22"/>
              </w:rPr>
            </w:pPr>
            <w:r>
              <w:rPr>
                <w:b/>
                <w:bCs/>
              </w:rPr>
              <w:t>107</w:t>
            </w:r>
          </w:p>
        </w:tc>
        <w:tc>
          <w:tcPr>
            <w:tcW w:w="1271" w:type="dxa"/>
            <w:tcBorders>
              <w:top w:val="single" w:sz="6" w:space="0" w:color="CCCCCC"/>
              <w:left w:val="single" w:sz="6" w:space="0" w:color="CCCCCC"/>
              <w:bottom w:val="single" w:sz="6" w:space="0" w:color="000000"/>
              <w:right w:val="single" w:sz="6" w:space="0" w:color="000000"/>
            </w:tcBorders>
            <w:shd w:val="clear" w:color="auto" w:fill="FBE1E4"/>
            <w:tcMar>
              <w:top w:w="0" w:type="dxa"/>
              <w:left w:w="40" w:type="dxa"/>
              <w:bottom w:w="0" w:type="dxa"/>
              <w:right w:w="40" w:type="dxa"/>
            </w:tcMar>
            <w:vAlign w:val="center"/>
          </w:tcPr>
          <w:p w14:paraId="3938ED20" w14:textId="77777777" w:rsidR="006227CE" w:rsidRDefault="006C5E69">
            <w:pPr>
              <w:jc w:val="center"/>
              <w:rPr>
                <w:rFonts w:ascii="Calibri" w:eastAsia="Calibri" w:hAnsi="Calibri" w:cs="Calibri"/>
                <w:sz w:val="22"/>
                <w:szCs w:val="22"/>
              </w:rPr>
            </w:pPr>
            <w:r>
              <w:rPr>
                <w:b/>
                <w:bCs/>
              </w:rPr>
              <w:t>102</w:t>
            </w:r>
          </w:p>
        </w:tc>
        <w:tc>
          <w:tcPr>
            <w:tcW w:w="1120" w:type="dxa"/>
            <w:tcBorders>
              <w:top w:val="single" w:sz="6" w:space="0" w:color="CCCCCC"/>
              <w:left w:val="single" w:sz="6" w:space="0" w:color="CCCCCC"/>
              <w:bottom w:val="single" w:sz="6" w:space="0" w:color="000000"/>
              <w:right w:val="single" w:sz="6" w:space="0" w:color="000000"/>
            </w:tcBorders>
            <w:shd w:val="clear" w:color="auto" w:fill="FBE0E2"/>
            <w:tcMar>
              <w:top w:w="0" w:type="dxa"/>
              <w:left w:w="40" w:type="dxa"/>
              <w:bottom w:w="0" w:type="dxa"/>
              <w:right w:w="40" w:type="dxa"/>
            </w:tcMar>
            <w:vAlign w:val="center"/>
          </w:tcPr>
          <w:p w14:paraId="3938ED21" w14:textId="77777777" w:rsidR="006227CE" w:rsidRDefault="006C5E69">
            <w:pPr>
              <w:jc w:val="center"/>
              <w:rPr>
                <w:rFonts w:ascii="Calibri" w:eastAsia="Calibri" w:hAnsi="Calibri" w:cs="Calibri"/>
                <w:sz w:val="22"/>
                <w:szCs w:val="22"/>
              </w:rPr>
            </w:pPr>
            <w:r>
              <w:rPr>
                <w:b/>
                <w:bCs/>
              </w:rPr>
              <w:t>100</w:t>
            </w:r>
          </w:p>
        </w:tc>
      </w:tr>
      <w:tr w:rsidR="006227CE" w14:paraId="3938ED2A" w14:textId="77777777">
        <w:trPr>
          <w:trHeight w:val="315"/>
        </w:trPr>
        <w:tc>
          <w:tcPr>
            <w:tcW w:w="2793"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3938ED23" w14:textId="77777777" w:rsidR="006227CE" w:rsidRDefault="006227CE">
            <w:pPr>
              <w:rPr>
                <w:rFonts w:ascii="Calibri" w:eastAsia="Calibri" w:hAnsi="Calibri" w:cs="Calibri"/>
                <w:sz w:val="22"/>
                <w:szCs w:val="22"/>
              </w:rPr>
            </w:pPr>
          </w:p>
        </w:tc>
        <w:tc>
          <w:tcPr>
            <w:tcW w:w="816"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3938ED24" w14:textId="77777777" w:rsidR="006227CE" w:rsidRDefault="006227CE">
            <w:pPr>
              <w:rPr>
                <w:rFonts w:ascii="Calibri" w:eastAsia="Calibri" w:hAnsi="Calibri" w:cs="Calibri"/>
                <w:sz w:val="22"/>
                <w:szCs w:val="22"/>
              </w:rPr>
            </w:pPr>
          </w:p>
        </w:tc>
        <w:tc>
          <w:tcPr>
            <w:tcW w:w="11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3938ED25" w14:textId="77777777" w:rsidR="006227CE" w:rsidRDefault="006227CE">
            <w:pPr>
              <w:rPr>
                <w:rFonts w:ascii="Calibri" w:eastAsia="Calibri" w:hAnsi="Calibri" w:cs="Calibri"/>
                <w:sz w:val="22"/>
                <w:szCs w:val="22"/>
              </w:rPr>
            </w:pPr>
          </w:p>
        </w:tc>
        <w:tc>
          <w:tcPr>
            <w:tcW w:w="11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3938ED26" w14:textId="77777777" w:rsidR="006227CE" w:rsidRDefault="006227CE">
            <w:pPr>
              <w:rPr>
                <w:rFonts w:ascii="Calibri" w:eastAsia="Calibri" w:hAnsi="Calibri" w:cs="Calibri"/>
                <w:sz w:val="22"/>
                <w:szCs w:val="22"/>
              </w:rPr>
            </w:pPr>
          </w:p>
        </w:tc>
        <w:tc>
          <w:tcPr>
            <w:tcW w:w="11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3938ED27" w14:textId="77777777" w:rsidR="006227CE" w:rsidRDefault="006227CE">
            <w:pPr>
              <w:rPr>
                <w:rFonts w:ascii="Calibri" w:eastAsia="Calibri" w:hAnsi="Calibri" w:cs="Calibri"/>
                <w:sz w:val="22"/>
                <w:szCs w:val="22"/>
              </w:rPr>
            </w:pPr>
          </w:p>
        </w:tc>
        <w:tc>
          <w:tcPr>
            <w:tcW w:w="1271"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3938ED28" w14:textId="77777777" w:rsidR="006227CE" w:rsidRDefault="006227CE">
            <w:pPr>
              <w:rPr>
                <w:rFonts w:ascii="Calibri" w:eastAsia="Calibri" w:hAnsi="Calibri" w:cs="Calibri"/>
                <w:sz w:val="22"/>
                <w:szCs w:val="22"/>
              </w:rPr>
            </w:pPr>
          </w:p>
        </w:tc>
        <w:tc>
          <w:tcPr>
            <w:tcW w:w="11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3938ED29" w14:textId="77777777" w:rsidR="006227CE" w:rsidRDefault="006227CE">
            <w:pPr>
              <w:rPr>
                <w:rFonts w:ascii="Calibri" w:eastAsia="Calibri" w:hAnsi="Calibri" w:cs="Calibri"/>
                <w:sz w:val="22"/>
                <w:szCs w:val="22"/>
              </w:rPr>
            </w:pPr>
          </w:p>
        </w:tc>
      </w:tr>
      <w:tr w:rsidR="006227CE" w14:paraId="3938ED2C" w14:textId="77777777">
        <w:trPr>
          <w:trHeight w:val="315"/>
        </w:trPr>
        <w:tc>
          <w:tcPr>
            <w:tcW w:w="9360" w:type="dxa"/>
            <w:gridSpan w:val="7"/>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center"/>
          </w:tcPr>
          <w:p w14:paraId="3938ED2B" w14:textId="77777777" w:rsidR="006227CE" w:rsidRDefault="006C5E69">
            <w:pPr>
              <w:jc w:val="center"/>
              <w:rPr>
                <w:rFonts w:ascii="Calibri" w:eastAsia="Calibri" w:hAnsi="Calibri" w:cs="Calibri"/>
                <w:sz w:val="22"/>
                <w:szCs w:val="22"/>
              </w:rPr>
            </w:pPr>
            <w:r>
              <w:rPr>
                <w:b/>
                <w:bCs/>
              </w:rPr>
              <w:t>Investment Ratios:-</w:t>
            </w:r>
          </w:p>
        </w:tc>
      </w:tr>
      <w:tr w:rsidR="006227CE" w14:paraId="3938ED34" w14:textId="77777777">
        <w:trPr>
          <w:trHeight w:val="315"/>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938ED2D" w14:textId="77777777" w:rsidR="006227CE" w:rsidRDefault="006C5E69">
            <w:pPr>
              <w:jc w:val="center"/>
              <w:rPr>
                <w:rFonts w:ascii="Calibri" w:eastAsia="Calibri" w:hAnsi="Calibri" w:cs="Calibri"/>
                <w:sz w:val="22"/>
                <w:szCs w:val="22"/>
              </w:rPr>
            </w:pPr>
            <w:r>
              <w:rPr>
                <w:b/>
                <w:bCs/>
              </w:rPr>
              <w:t>Particulars</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38ED2E" w14:textId="77777777" w:rsidR="006227CE" w:rsidRDefault="006C5E69">
            <w:pPr>
              <w:jc w:val="center"/>
              <w:rPr>
                <w:rFonts w:ascii="Calibri" w:eastAsia="Calibri" w:hAnsi="Calibri" w:cs="Calibri"/>
                <w:sz w:val="22"/>
                <w:szCs w:val="22"/>
              </w:rPr>
            </w:pPr>
            <w:r>
              <w:rPr>
                <w:b/>
                <w:bCs/>
              </w:rPr>
              <w:t>Details</w:t>
            </w:r>
          </w:p>
        </w:tc>
        <w:tc>
          <w:tcPr>
            <w:tcW w:w="1120" w:type="dxa"/>
            <w:tcBorders>
              <w:top w:val="single" w:sz="6" w:space="0" w:color="CCCCCC"/>
              <w:left w:val="single" w:sz="6" w:space="0" w:color="CCCCCC"/>
              <w:bottom w:val="single" w:sz="6" w:space="0" w:color="000000"/>
              <w:right w:val="single" w:sz="6" w:space="0" w:color="000000"/>
            </w:tcBorders>
            <w:shd w:val="clear" w:color="auto" w:fill="64BF7C"/>
            <w:tcMar>
              <w:top w:w="0" w:type="dxa"/>
              <w:left w:w="40" w:type="dxa"/>
              <w:bottom w:w="0" w:type="dxa"/>
              <w:right w:w="40" w:type="dxa"/>
            </w:tcMar>
            <w:vAlign w:val="center"/>
          </w:tcPr>
          <w:p w14:paraId="3938ED2F" w14:textId="77777777" w:rsidR="006227CE" w:rsidRDefault="006C5E69">
            <w:pPr>
              <w:jc w:val="center"/>
              <w:rPr>
                <w:rFonts w:ascii="Calibri" w:eastAsia="Calibri" w:hAnsi="Calibri" w:cs="Calibri"/>
                <w:sz w:val="22"/>
                <w:szCs w:val="22"/>
              </w:rPr>
            </w:pPr>
            <w:r>
              <w:rPr>
                <w:b/>
                <w:bCs/>
              </w:rPr>
              <w:t>2021</w:t>
            </w:r>
          </w:p>
        </w:tc>
        <w:tc>
          <w:tcPr>
            <w:tcW w:w="1120" w:type="dxa"/>
            <w:tcBorders>
              <w:top w:val="single" w:sz="6" w:space="0" w:color="CCCCCC"/>
              <w:left w:val="single" w:sz="6" w:space="0" w:color="CCCCCC"/>
              <w:bottom w:val="single" w:sz="6" w:space="0" w:color="000000"/>
              <w:right w:val="single" w:sz="6" w:space="0" w:color="000000"/>
            </w:tcBorders>
            <w:shd w:val="clear" w:color="auto" w:fill="64BF7C"/>
            <w:tcMar>
              <w:top w:w="0" w:type="dxa"/>
              <w:left w:w="40" w:type="dxa"/>
              <w:bottom w:w="0" w:type="dxa"/>
              <w:right w:w="40" w:type="dxa"/>
            </w:tcMar>
            <w:vAlign w:val="center"/>
          </w:tcPr>
          <w:p w14:paraId="3938ED30" w14:textId="77777777" w:rsidR="006227CE" w:rsidRDefault="006C5E69">
            <w:pPr>
              <w:jc w:val="center"/>
              <w:rPr>
                <w:rFonts w:ascii="Calibri" w:eastAsia="Calibri" w:hAnsi="Calibri" w:cs="Calibri"/>
                <w:sz w:val="22"/>
                <w:szCs w:val="22"/>
              </w:rPr>
            </w:pPr>
            <w:r>
              <w:rPr>
                <w:b/>
                <w:bCs/>
              </w:rPr>
              <w:t>2022</w:t>
            </w:r>
          </w:p>
        </w:tc>
        <w:tc>
          <w:tcPr>
            <w:tcW w:w="1120" w:type="dxa"/>
            <w:tcBorders>
              <w:top w:val="single" w:sz="6" w:space="0" w:color="CCCCCC"/>
              <w:left w:val="single" w:sz="6" w:space="0" w:color="CCCCCC"/>
              <w:bottom w:val="single" w:sz="6" w:space="0" w:color="000000"/>
              <w:right w:val="single" w:sz="6" w:space="0" w:color="000000"/>
            </w:tcBorders>
            <w:shd w:val="clear" w:color="auto" w:fill="64BF7C"/>
            <w:tcMar>
              <w:top w:w="0" w:type="dxa"/>
              <w:left w:w="40" w:type="dxa"/>
              <w:bottom w:w="0" w:type="dxa"/>
              <w:right w:w="40" w:type="dxa"/>
            </w:tcMar>
            <w:vAlign w:val="center"/>
          </w:tcPr>
          <w:p w14:paraId="3938ED31" w14:textId="77777777" w:rsidR="006227CE" w:rsidRDefault="006C5E69">
            <w:pPr>
              <w:jc w:val="center"/>
              <w:rPr>
                <w:rFonts w:ascii="Calibri" w:eastAsia="Calibri" w:hAnsi="Calibri" w:cs="Calibri"/>
                <w:sz w:val="22"/>
                <w:szCs w:val="22"/>
              </w:rPr>
            </w:pPr>
            <w:r>
              <w:rPr>
                <w:b/>
                <w:bCs/>
              </w:rPr>
              <w:t>2023</w:t>
            </w:r>
          </w:p>
        </w:tc>
        <w:tc>
          <w:tcPr>
            <w:tcW w:w="1271" w:type="dxa"/>
            <w:tcBorders>
              <w:top w:val="single" w:sz="6" w:space="0" w:color="CCCCCC"/>
              <w:left w:val="single" w:sz="6" w:space="0" w:color="CCCCCC"/>
              <w:bottom w:val="single" w:sz="6" w:space="0" w:color="000000"/>
              <w:right w:val="single" w:sz="6" w:space="0" w:color="000000"/>
            </w:tcBorders>
            <w:shd w:val="clear" w:color="auto" w:fill="64BF7C"/>
            <w:tcMar>
              <w:top w:w="0" w:type="dxa"/>
              <w:left w:w="40" w:type="dxa"/>
              <w:bottom w:w="0" w:type="dxa"/>
              <w:right w:w="40" w:type="dxa"/>
            </w:tcMar>
            <w:vAlign w:val="center"/>
          </w:tcPr>
          <w:p w14:paraId="3938ED32" w14:textId="77777777" w:rsidR="006227CE" w:rsidRDefault="006C5E69">
            <w:pPr>
              <w:jc w:val="center"/>
              <w:rPr>
                <w:rFonts w:ascii="Calibri" w:eastAsia="Calibri" w:hAnsi="Calibri" w:cs="Calibri"/>
                <w:sz w:val="22"/>
                <w:szCs w:val="22"/>
              </w:rPr>
            </w:pPr>
            <w:r>
              <w:rPr>
                <w:b/>
                <w:bCs/>
              </w:rPr>
              <w:t>2024</w:t>
            </w:r>
          </w:p>
        </w:tc>
        <w:tc>
          <w:tcPr>
            <w:tcW w:w="1120" w:type="dxa"/>
            <w:tcBorders>
              <w:top w:val="single" w:sz="6" w:space="0" w:color="CCCCCC"/>
              <w:left w:val="single" w:sz="6" w:space="0" w:color="CCCCCC"/>
              <w:bottom w:val="single" w:sz="6" w:space="0" w:color="000000"/>
              <w:right w:val="single" w:sz="6" w:space="0" w:color="000000"/>
            </w:tcBorders>
            <w:shd w:val="clear" w:color="auto" w:fill="63BE7B"/>
            <w:tcMar>
              <w:top w:w="0" w:type="dxa"/>
              <w:left w:w="40" w:type="dxa"/>
              <w:bottom w:w="0" w:type="dxa"/>
              <w:right w:w="40" w:type="dxa"/>
            </w:tcMar>
            <w:vAlign w:val="center"/>
          </w:tcPr>
          <w:p w14:paraId="3938ED33" w14:textId="77777777" w:rsidR="006227CE" w:rsidRDefault="006C5E69">
            <w:pPr>
              <w:jc w:val="center"/>
              <w:rPr>
                <w:rFonts w:ascii="Calibri" w:eastAsia="Calibri" w:hAnsi="Calibri" w:cs="Calibri"/>
                <w:sz w:val="22"/>
                <w:szCs w:val="22"/>
              </w:rPr>
            </w:pPr>
            <w:r>
              <w:rPr>
                <w:b/>
                <w:bCs/>
              </w:rPr>
              <w:t>2025</w:t>
            </w:r>
          </w:p>
        </w:tc>
      </w:tr>
      <w:tr w:rsidR="006227CE" w14:paraId="3938ED3C" w14:textId="77777777">
        <w:trPr>
          <w:trHeight w:val="315"/>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938ED35" w14:textId="77777777" w:rsidR="006227CE" w:rsidRDefault="006C5E69">
            <w:pPr>
              <w:jc w:val="center"/>
              <w:rPr>
                <w:rFonts w:ascii="Calibri" w:eastAsia="Calibri" w:hAnsi="Calibri" w:cs="Calibri"/>
                <w:sz w:val="22"/>
                <w:szCs w:val="22"/>
              </w:rPr>
            </w:pPr>
            <w:r>
              <w:t>No Of Share (m)</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38ED36" w14:textId="77777777" w:rsidR="006227CE" w:rsidRDefault="006C5E69">
            <w:pPr>
              <w:jc w:val="center"/>
              <w:rPr>
                <w:rFonts w:ascii="Calibri" w:eastAsia="Calibri" w:hAnsi="Calibri" w:cs="Calibri"/>
                <w:sz w:val="22"/>
                <w:szCs w:val="22"/>
              </w:rPr>
            </w:pPr>
            <w:r>
              <w:t>A</w:t>
            </w:r>
          </w:p>
        </w:tc>
        <w:tc>
          <w:tcPr>
            <w:tcW w:w="1120" w:type="dxa"/>
            <w:tcBorders>
              <w:top w:val="single" w:sz="6" w:space="0" w:color="CCCCCC"/>
              <w:left w:val="single" w:sz="6" w:space="0" w:color="CCCCCC"/>
              <w:bottom w:val="single" w:sz="6" w:space="0" w:color="000000"/>
              <w:right w:val="single" w:sz="6" w:space="0" w:color="000000"/>
            </w:tcBorders>
            <w:shd w:val="clear" w:color="auto" w:fill="FBFAFD"/>
            <w:tcMar>
              <w:top w:w="0" w:type="dxa"/>
              <w:left w:w="40" w:type="dxa"/>
              <w:bottom w:w="0" w:type="dxa"/>
              <w:right w:w="40" w:type="dxa"/>
            </w:tcMar>
            <w:vAlign w:val="center"/>
          </w:tcPr>
          <w:p w14:paraId="3938ED37" w14:textId="77777777" w:rsidR="006227CE" w:rsidRDefault="006C5E69">
            <w:pPr>
              <w:jc w:val="center"/>
              <w:rPr>
                <w:rFonts w:ascii="Calibri" w:eastAsia="Calibri" w:hAnsi="Calibri" w:cs="Calibri"/>
                <w:sz w:val="22"/>
                <w:szCs w:val="22"/>
              </w:rPr>
            </w:pPr>
            <w:r>
              <w:t>180.00</w:t>
            </w:r>
          </w:p>
        </w:tc>
        <w:tc>
          <w:tcPr>
            <w:tcW w:w="1120" w:type="dxa"/>
            <w:tcBorders>
              <w:top w:val="single" w:sz="6" w:space="0" w:color="CCCCCC"/>
              <w:left w:val="single" w:sz="6" w:space="0" w:color="CCCCCC"/>
              <w:bottom w:val="single" w:sz="6" w:space="0" w:color="000000"/>
              <w:right w:val="single" w:sz="6" w:space="0" w:color="000000"/>
            </w:tcBorders>
            <w:shd w:val="clear" w:color="auto" w:fill="FCFCFF"/>
            <w:tcMar>
              <w:top w:w="0" w:type="dxa"/>
              <w:left w:w="40" w:type="dxa"/>
              <w:bottom w:w="0" w:type="dxa"/>
              <w:right w:w="40" w:type="dxa"/>
            </w:tcMar>
            <w:vAlign w:val="center"/>
          </w:tcPr>
          <w:p w14:paraId="3938ED38" w14:textId="77777777" w:rsidR="006227CE" w:rsidRDefault="006C5E69">
            <w:pPr>
              <w:jc w:val="center"/>
              <w:rPr>
                <w:rFonts w:ascii="Calibri" w:eastAsia="Calibri" w:hAnsi="Calibri" w:cs="Calibri"/>
                <w:sz w:val="22"/>
                <w:szCs w:val="22"/>
              </w:rPr>
            </w:pPr>
            <w:r>
              <w:t>200.00</w:t>
            </w:r>
          </w:p>
        </w:tc>
        <w:tc>
          <w:tcPr>
            <w:tcW w:w="1120" w:type="dxa"/>
            <w:tcBorders>
              <w:top w:val="single" w:sz="6" w:space="0" w:color="CCCCCC"/>
              <w:left w:val="single" w:sz="6" w:space="0" w:color="CCCCCC"/>
              <w:bottom w:val="single" w:sz="6" w:space="0" w:color="000000"/>
              <w:right w:val="single" w:sz="6" w:space="0" w:color="000000"/>
            </w:tcBorders>
            <w:shd w:val="clear" w:color="auto" w:fill="FCFCFF"/>
            <w:tcMar>
              <w:top w:w="0" w:type="dxa"/>
              <w:left w:w="40" w:type="dxa"/>
              <w:bottom w:w="0" w:type="dxa"/>
              <w:right w:w="40" w:type="dxa"/>
            </w:tcMar>
            <w:vAlign w:val="center"/>
          </w:tcPr>
          <w:p w14:paraId="3938ED39" w14:textId="77777777" w:rsidR="006227CE" w:rsidRDefault="006C5E69">
            <w:pPr>
              <w:jc w:val="center"/>
              <w:rPr>
                <w:rFonts w:ascii="Calibri" w:eastAsia="Calibri" w:hAnsi="Calibri" w:cs="Calibri"/>
                <w:sz w:val="22"/>
                <w:szCs w:val="22"/>
              </w:rPr>
            </w:pPr>
            <w:r>
              <w:t>200.00</w:t>
            </w:r>
          </w:p>
        </w:tc>
        <w:tc>
          <w:tcPr>
            <w:tcW w:w="1271" w:type="dxa"/>
            <w:tcBorders>
              <w:top w:val="single" w:sz="6" w:space="0" w:color="CCCCCC"/>
              <w:left w:val="single" w:sz="6" w:space="0" w:color="CCCCCC"/>
              <w:bottom w:val="single" w:sz="6" w:space="0" w:color="000000"/>
              <w:right w:val="single" w:sz="6" w:space="0" w:color="000000"/>
            </w:tcBorders>
            <w:shd w:val="clear" w:color="auto" w:fill="FBFAFD"/>
            <w:tcMar>
              <w:top w:w="0" w:type="dxa"/>
              <w:left w:w="40" w:type="dxa"/>
              <w:bottom w:w="0" w:type="dxa"/>
              <w:right w:w="40" w:type="dxa"/>
            </w:tcMar>
            <w:vAlign w:val="center"/>
          </w:tcPr>
          <w:p w14:paraId="3938ED3A" w14:textId="77777777" w:rsidR="006227CE" w:rsidRDefault="006C5E69">
            <w:pPr>
              <w:jc w:val="center"/>
              <w:rPr>
                <w:rFonts w:ascii="Calibri" w:eastAsia="Calibri" w:hAnsi="Calibri" w:cs="Calibri"/>
                <w:sz w:val="22"/>
                <w:szCs w:val="22"/>
              </w:rPr>
            </w:pPr>
            <w:r>
              <w:t>185.00</w:t>
            </w:r>
          </w:p>
        </w:tc>
        <w:tc>
          <w:tcPr>
            <w:tcW w:w="1120" w:type="dxa"/>
            <w:tcBorders>
              <w:top w:val="single" w:sz="6" w:space="0" w:color="CCCCCC"/>
              <w:left w:val="single" w:sz="6" w:space="0" w:color="CCCCCC"/>
              <w:bottom w:val="single" w:sz="6" w:space="0" w:color="000000"/>
              <w:right w:val="single" w:sz="6" w:space="0" w:color="000000"/>
            </w:tcBorders>
            <w:shd w:val="clear" w:color="auto" w:fill="FBFAFD"/>
            <w:tcMar>
              <w:top w:w="0" w:type="dxa"/>
              <w:left w:w="40" w:type="dxa"/>
              <w:bottom w:w="0" w:type="dxa"/>
              <w:right w:w="40" w:type="dxa"/>
            </w:tcMar>
            <w:vAlign w:val="center"/>
          </w:tcPr>
          <w:p w14:paraId="3938ED3B" w14:textId="77777777" w:rsidR="006227CE" w:rsidRDefault="006C5E69">
            <w:pPr>
              <w:jc w:val="center"/>
              <w:rPr>
                <w:rFonts w:ascii="Calibri" w:eastAsia="Calibri" w:hAnsi="Calibri" w:cs="Calibri"/>
                <w:sz w:val="22"/>
                <w:szCs w:val="22"/>
              </w:rPr>
            </w:pPr>
            <w:r>
              <w:t>179.00</w:t>
            </w:r>
          </w:p>
        </w:tc>
      </w:tr>
      <w:tr w:rsidR="006227CE" w14:paraId="3938ED44" w14:textId="77777777">
        <w:trPr>
          <w:trHeight w:val="315"/>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938ED3D" w14:textId="77777777" w:rsidR="006227CE" w:rsidRDefault="006C5E69">
            <w:pPr>
              <w:jc w:val="center"/>
              <w:rPr>
                <w:rFonts w:ascii="Calibri" w:eastAsia="Calibri" w:hAnsi="Calibri" w:cs="Calibri"/>
                <w:sz w:val="22"/>
                <w:szCs w:val="22"/>
              </w:rPr>
            </w:pPr>
            <w:r>
              <w:t>Net Income (£m)</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38ED3E" w14:textId="77777777" w:rsidR="006227CE" w:rsidRDefault="006C5E69">
            <w:pPr>
              <w:jc w:val="center"/>
              <w:rPr>
                <w:rFonts w:ascii="Calibri" w:eastAsia="Calibri" w:hAnsi="Calibri" w:cs="Calibri"/>
                <w:sz w:val="22"/>
                <w:szCs w:val="22"/>
              </w:rPr>
            </w:pPr>
            <w:r>
              <w:t>B</w:t>
            </w:r>
          </w:p>
        </w:tc>
        <w:tc>
          <w:tcPr>
            <w:tcW w:w="1120" w:type="dxa"/>
            <w:tcBorders>
              <w:top w:val="single" w:sz="6" w:space="0" w:color="CCCCCC"/>
              <w:left w:val="single" w:sz="6" w:space="0" w:color="CCCCCC"/>
              <w:bottom w:val="single" w:sz="6" w:space="0" w:color="000000"/>
              <w:right w:val="single" w:sz="6" w:space="0" w:color="000000"/>
            </w:tcBorders>
            <w:shd w:val="clear" w:color="auto" w:fill="F8696B"/>
            <w:tcMar>
              <w:top w:w="0" w:type="dxa"/>
              <w:left w:w="40" w:type="dxa"/>
              <w:bottom w:w="0" w:type="dxa"/>
              <w:right w:w="40" w:type="dxa"/>
            </w:tcMar>
            <w:vAlign w:val="center"/>
          </w:tcPr>
          <w:p w14:paraId="3938ED3F" w14:textId="77777777" w:rsidR="006227CE" w:rsidRDefault="006C5E69">
            <w:pPr>
              <w:jc w:val="center"/>
              <w:rPr>
                <w:rFonts w:ascii="Calibri" w:eastAsia="Calibri" w:hAnsi="Calibri" w:cs="Calibri"/>
                <w:sz w:val="22"/>
                <w:szCs w:val="22"/>
              </w:rPr>
            </w:pPr>
            <w:r>
              <w:t>(906.50)</w:t>
            </w:r>
          </w:p>
        </w:tc>
        <w:tc>
          <w:tcPr>
            <w:tcW w:w="1120" w:type="dxa"/>
            <w:tcBorders>
              <w:top w:val="single" w:sz="6" w:space="0" w:color="CCCCCC"/>
              <w:left w:val="single" w:sz="6" w:space="0" w:color="CCCCCC"/>
              <w:bottom w:val="single" w:sz="6" w:space="0" w:color="000000"/>
              <w:right w:val="single" w:sz="6" w:space="0" w:color="000000"/>
            </w:tcBorders>
            <w:shd w:val="clear" w:color="auto" w:fill="FBE7EA"/>
            <w:tcMar>
              <w:top w:w="0" w:type="dxa"/>
              <w:left w:w="40" w:type="dxa"/>
              <w:bottom w:w="0" w:type="dxa"/>
              <w:right w:w="40" w:type="dxa"/>
            </w:tcMar>
            <w:vAlign w:val="center"/>
          </w:tcPr>
          <w:p w14:paraId="3938ED40" w14:textId="77777777" w:rsidR="006227CE" w:rsidRDefault="006C5E69">
            <w:pPr>
              <w:jc w:val="center"/>
              <w:rPr>
                <w:rFonts w:ascii="Calibri" w:eastAsia="Calibri" w:hAnsi="Calibri" w:cs="Calibri"/>
                <w:sz w:val="22"/>
                <w:szCs w:val="22"/>
              </w:rPr>
            </w:pPr>
            <w:r>
              <w:t>42.50</w:t>
            </w:r>
          </w:p>
        </w:tc>
        <w:tc>
          <w:tcPr>
            <w:tcW w:w="1120" w:type="dxa"/>
            <w:tcBorders>
              <w:top w:val="single" w:sz="6" w:space="0" w:color="CCCCCC"/>
              <w:left w:val="single" w:sz="6" w:space="0" w:color="CCCCCC"/>
              <w:bottom w:val="single" w:sz="6" w:space="0" w:color="000000"/>
              <w:right w:val="single" w:sz="6" w:space="0" w:color="000000"/>
            </w:tcBorders>
            <w:shd w:val="clear" w:color="auto" w:fill="F5FAF9"/>
            <w:tcMar>
              <w:top w:w="0" w:type="dxa"/>
              <w:left w:w="40" w:type="dxa"/>
              <w:bottom w:w="0" w:type="dxa"/>
              <w:right w:w="40" w:type="dxa"/>
            </w:tcMar>
            <w:vAlign w:val="center"/>
          </w:tcPr>
          <w:p w14:paraId="3938ED41" w14:textId="77777777" w:rsidR="006227CE" w:rsidRDefault="006C5E69">
            <w:pPr>
              <w:jc w:val="center"/>
              <w:rPr>
                <w:rFonts w:ascii="Calibri" w:eastAsia="Calibri" w:hAnsi="Calibri" w:cs="Calibri"/>
                <w:sz w:val="22"/>
                <w:szCs w:val="22"/>
              </w:rPr>
            </w:pPr>
            <w:r>
              <w:t>278.80</w:t>
            </w:r>
          </w:p>
        </w:tc>
        <w:tc>
          <w:tcPr>
            <w:tcW w:w="1271" w:type="dxa"/>
            <w:tcBorders>
              <w:top w:val="single" w:sz="6" w:space="0" w:color="CCCCCC"/>
              <w:left w:val="single" w:sz="6" w:space="0" w:color="CCCCCC"/>
              <w:bottom w:val="single" w:sz="6" w:space="0" w:color="000000"/>
              <w:right w:val="single" w:sz="6" w:space="0" w:color="000000"/>
            </w:tcBorders>
            <w:shd w:val="clear" w:color="auto" w:fill="F3F8F7"/>
            <w:tcMar>
              <w:top w:w="0" w:type="dxa"/>
              <w:left w:w="40" w:type="dxa"/>
              <w:bottom w:w="0" w:type="dxa"/>
              <w:right w:w="40" w:type="dxa"/>
            </w:tcMar>
            <w:vAlign w:val="center"/>
          </w:tcPr>
          <w:p w14:paraId="3938ED42" w14:textId="77777777" w:rsidR="006227CE" w:rsidRDefault="006C5E69">
            <w:pPr>
              <w:jc w:val="center"/>
              <w:rPr>
                <w:rFonts w:ascii="Calibri" w:eastAsia="Calibri" w:hAnsi="Calibri" w:cs="Calibri"/>
                <w:sz w:val="22"/>
                <w:szCs w:val="22"/>
              </w:rPr>
            </w:pPr>
            <w:r>
              <w:t>312.10</w:t>
            </w:r>
          </w:p>
        </w:tc>
        <w:tc>
          <w:tcPr>
            <w:tcW w:w="1120" w:type="dxa"/>
            <w:tcBorders>
              <w:top w:val="single" w:sz="6" w:space="0" w:color="CCCCCC"/>
              <w:left w:val="single" w:sz="6" w:space="0" w:color="CCCCCC"/>
              <w:bottom w:val="single" w:sz="6" w:space="0" w:color="000000"/>
              <w:right w:val="single" w:sz="6" w:space="0" w:color="000000"/>
            </w:tcBorders>
            <w:shd w:val="clear" w:color="auto" w:fill="F7FAFB"/>
            <w:tcMar>
              <w:top w:w="0" w:type="dxa"/>
              <w:left w:w="40" w:type="dxa"/>
              <w:bottom w:w="0" w:type="dxa"/>
              <w:right w:w="40" w:type="dxa"/>
            </w:tcMar>
            <w:vAlign w:val="center"/>
          </w:tcPr>
          <w:p w14:paraId="3938ED43" w14:textId="77777777" w:rsidR="006227CE" w:rsidRDefault="006C5E69">
            <w:pPr>
              <w:jc w:val="center"/>
              <w:rPr>
                <w:rFonts w:ascii="Calibri" w:eastAsia="Calibri" w:hAnsi="Calibri" w:cs="Calibri"/>
                <w:sz w:val="22"/>
                <w:szCs w:val="22"/>
              </w:rPr>
            </w:pPr>
            <w:r>
              <w:t>253.70</w:t>
            </w:r>
          </w:p>
        </w:tc>
      </w:tr>
      <w:tr w:rsidR="006227CE" w14:paraId="3938ED4C" w14:textId="77777777">
        <w:trPr>
          <w:trHeight w:val="315"/>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938ED45" w14:textId="77777777" w:rsidR="006227CE" w:rsidRDefault="006C5E69">
            <w:pPr>
              <w:jc w:val="center"/>
              <w:rPr>
                <w:rFonts w:ascii="Calibri" w:eastAsia="Calibri" w:hAnsi="Calibri" w:cs="Calibri"/>
                <w:sz w:val="22"/>
                <w:szCs w:val="22"/>
              </w:rPr>
            </w:pPr>
            <w:r>
              <w:rPr>
                <w:b/>
                <w:bCs/>
              </w:rPr>
              <w:t>Earning Per Share</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38ED46" w14:textId="77777777" w:rsidR="006227CE" w:rsidRDefault="006C5E69">
            <w:pPr>
              <w:jc w:val="center"/>
              <w:rPr>
                <w:rFonts w:ascii="Calibri" w:eastAsia="Calibri" w:hAnsi="Calibri" w:cs="Calibri"/>
                <w:sz w:val="22"/>
                <w:szCs w:val="22"/>
              </w:rPr>
            </w:pPr>
            <w:r>
              <w:rPr>
                <w:b/>
                <w:bCs/>
              </w:rPr>
              <w:t>B/A</w:t>
            </w:r>
          </w:p>
        </w:tc>
        <w:tc>
          <w:tcPr>
            <w:tcW w:w="1120" w:type="dxa"/>
            <w:tcBorders>
              <w:top w:val="single" w:sz="6" w:space="0" w:color="CCCCCC"/>
              <w:left w:val="single" w:sz="6" w:space="0" w:color="CCCCCC"/>
              <w:bottom w:val="single" w:sz="6" w:space="0" w:color="000000"/>
              <w:right w:val="single" w:sz="6" w:space="0" w:color="000000"/>
            </w:tcBorders>
            <w:shd w:val="clear" w:color="auto" w:fill="FBE1E4"/>
            <w:tcMar>
              <w:top w:w="0" w:type="dxa"/>
              <w:left w:w="40" w:type="dxa"/>
              <w:bottom w:w="0" w:type="dxa"/>
              <w:right w:w="40" w:type="dxa"/>
            </w:tcMar>
            <w:vAlign w:val="center"/>
          </w:tcPr>
          <w:p w14:paraId="3938ED47" w14:textId="77777777" w:rsidR="006227CE" w:rsidRDefault="006C5E69">
            <w:pPr>
              <w:jc w:val="center"/>
              <w:rPr>
                <w:rFonts w:ascii="Calibri" w:eastAsia="Calibri" w:hAnsi="Calibri" w:cs="Calibri"/>
                <w:sz w:val="22"/>
                <w:szCs w:val="22"/>
              </w:rPr>
            </w:pPr>
            <w:r>
              <w:rPr>
                <w:b/>
                <w:bCs/>
              </w:rPr>
              <w:t>(5.04)</w:t>
            </w:r>
          </w:p>
        </w:tc>
        <w:tc>
          <w:tcPr>
            <w:tcW w:w="1120" w:type="dxa"/>
            <w:tcBorders>
              <w:top w:val="single" w:sz="6" w:space="0" w:color="CCCCCC"/>
              <w:left w:val="single" w:sz="6" w:space="0" w:color="CCCCCC"/>
              <w:bottom w:val="single" w:sz="6" w:space="0" w:color="000000"/>
              <w:right w:val="single" w:sz="6" w:space="0" w:color="000000"/>
            </w:tcBorders>
            <w:shd w:val="clear" w:color="auto" w:fill="FBE2E5"/>
            <w:tcMar>
              <w:top w:w="0" w:type="dxa"/>
              <w:left w:w="40" w:type="dxa"/>
              <w:bottom w:w="0" w:type="dxa"/>
              <w:right w:w="40" w:type="dxa"/>
            </w:tcMar>
            <w:vAlign w:val="center"/>
          </w:tcPr>
          <w:p w14:paraId="3938ED48" w14:textId="77777777" w:rsidR="006227CE" w:rsidRDefault="006C5E69">
            <w:pPr>
              <w:jc w:val="center"/>
              <w:rPr>
                <w:rFonts w:ascii="Calibri" w:eastAsia="Calibri" w:hAnsi="Calibri" w:cs="Calibri"/>
                <w:sz w:val="22"/>
                <w:szCs w:val="22"/>
              </w:rPr>
            </w:pPr>
            <w:r>
              <w:rPr>
                <w:b/>
                <w:bCs/>
              </w:rPr>
              <w:t>0.21</w:t>
            </w:r>
          </w:p>
        </w:tc>
        <w:tc>
          <w:tcPr>
            <w:tcW w:w="1120" w:type="dxa"/>
            <w:tcBorders>
              <w:top w:val="single" w:sz="6" w:space="0" w:color="CCCCCC"/>
              <w:left w:val="single" w:sz="6" w:space="0" w:color="CCCCCC"/>
              <w:bottom w:val="single" w:sz="6" w:space="0" w:color="000000"/>
              <w:right w:val="single" w:sz="6" w:space="0" w:color="000000"/>
            </w:tcBorders>
            <w:shd w:val="clear" w:color="auto" w:fill="FBE2E5"/>
            <w:tcMar>
              <w:top w:w="0" w:type="dxa"/>
              <w:left w:w="40" w:type="dxa"/>
              <w:bottom w:w="0" w:type="dxa"/>
              <w:right w:w="40" w:type="dxa"/>
            </w:tcMar>
            <w:vAlign w:val="center"/>
          </w:tcPr>
          <w:p w14:paraId="3938ED49" w14:textId="77777777" w:rsidR="006227CE" w:rsidRDefault="006C5E69">
            <w:pPr>
              <w:jc w:val="center"/>
              <w:rPr>
                <w:rFonts w:ascii="Calibri" w:eastAsia="Calibri" w:hAnsi="Calibri" w:cs="Calibri"/>
                <w:sz w:val="22"/>
                <w:szCs w:val="22"/>
              </w:rPr>
            </w:pPr>
            <w:r>
              <w:rPr>
                <w:b/>
                <w:bCs/>
              </w:rPr>
              <w:t>1.39</w:t>
            </w:r>
          </w:p>
        </w:tc>
        <w:tc>
          <w:tcPr>
            <w:tcW w:w="1271" w:type="dxa"/>
            <w:tcBorders>
              <w:top w:val="single" w:sz="6" w:space="0" w:color="CCCCCC"/>
              <w:left w:val="single" w:sz="6" w:space="0" w:color="CCCCCC"/>
              <w:bottom w:val="single" w:sz="6" w:space="0" w:color="000000"/>
              <w:right w:val="single" w:sz="6" w:space="0" w:color="000000"/>
            </w:tcBorders>
            <w:shd w:val="clear" w:color="auto" w:fill="FBE2E5"/>
            <w:tcMar>
              <w:top w:w="0" w:type="dxa"/>
              <w:left w:w="40" w:type="dxa"/>
              <w:bottom w:w="0" w:type="dxa"/>
              <w:right w:w="40" w:type="dxa"/>
            </w:tcMar>
            <w:vAlign w:val="center"/>
          </w:tcPr>
          <w:p w14:paraId="3938ED4A" w14:textId="77777777" w:rsidR="006227CE" w:rsidRDefault="006C5E69">
            <w:pPr>
              <w:jc w:val="center"/>
              <w:rPr>
                <w:rFonts w:ascii="Calibri" w:eastAsia="Calibri" w:hAnsi="Calibri" w:cs="Calibri"/>
                <w:sz w:val="22"/>
                <w:szCs w:val="22"/>
              </w:rPr>
            </w:pPr>
            <w:r>
              <w:rPr>
                <w:b/>
                <w:bCs/>
              </w:rPr>
              <w:t>1.69</w:t>
            </w:r>
          </w:p>
        </w:tc>
        <w:tc>
          <w:tcPr>
            <w:tcW w:w="1120" w:type="dxa"/>
            <w:tcBorders>
              <w:top w:val="single" w:sz="6" w:space="0" w:color="CCCCCC"/>
              <w:left w:val="single" w:sz="6" w:space="0" w:color="CCCCCC"/>
              <w:bottom w:val="single" w:sz="6" w:space="0" w:color="000000"/>
              <w:right w:val="single" w:sz="6" w:space="0" w:color="000000"/>
            </w:tcBorders>
            <w:shd w:val="clear" w:color="auto" w:fill="FBE2E5"/>
            <w:tcMar>
              <w:top w:w="0" w:type="dxa"/>
              <w:left w:w="40" w:type="dxa"/>
              <w:bottom w:w="0" w:type="dxa"/>
              <w:right w:w="40" w:type="dxa"/>
            </w:tcMar>
            <w:vAlign w:val="center"/>
          </w:tcPr>
          <w:p w14:paraId="3938ED4B" w14:textId="77777777" w:rsidR="006227CE" w:rsidRDefault="006C5E69">
            <w:pPr>
              <w:jc w:val="center"/>
              <w:rPr>
                <w:rFonts w:ascii="Calibri" w:eastAsia="Calibri" w:hAnsi="Calibri" w:cs="Calibri"/>
                <w:sz w:val="22"/>
                <w:szCs w:val="22"/>
              </w:rPr>
            </w:pPr>
            <w:r>
              <w:rPr>
                <w:b/>
                <w:bCs/>
              </w:rPr>
              <w:t>1.42</w:t>
            </w:r>
          </w:p>
        </w:tc>
      </w:tr>
      <w:tr w:rsidR="006227CE" w14:paraId="3938ED54" w14:textId="77777777">
        <w:trPr>
          <w:trHeight w:val="315"/>
        </w:trPr>
        <w:tc>
          <w:tcPr>
            <w:tcW w:w="2793"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3938ED4D" w14:textId="77777777" w:rsidR="006227CE" w:rsidRDefault="006227CE">
            <w:pPr>
              <w:rPr>
                <w:rFonts w:ascii="Calibri" w:eastAsia="Calibri" w:hAnsi="Calibri" w:cs="Calibri"/>
                <w:sz w:val="22"/>
                <w:szCs w:val="22"/>
              </w:rPr>
            </w:pPr>
          </w:p>
        </w:tc>
        <w:tc>
          <w:tcPr>
            <w:tcW w:w="816"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3938ED4E" w14:textId="77777777" w:rsidR="006227CE" w:rsidRDefault="006227CE">
            <w:pPr>
              <w:rPr>
                <w:rFonts w:ascii="Calibri" w:eastAsia="Calibri" w:hAnsi="Calibri" w:cs="Calibri"/>
                <w:sz w:val="22"/>
                <w:szCs w:val="22"/>
              </w:rPr>
            </w:pPr>
          </w:p>
        </w:tc>
        <w:tc>
          <w:tcPr>
            <w:tcW w:w="11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3938ED4F" w14:textId="77777777" w:rsidR="006227CE" w:rsidRDefault="006227CE">
            <w:pPr>
              <w:rPr>
                <w:rFonts w:ascii="Calibri" w:eastAsia="Calibri" w:hAnsi="Calibri" w:cs="Calibri"/>
                <w:sz w:val="22"/>
                <w:szCs w:val="22"/>
              </w:rPr>
            </w:pPr>
          </w:p>
        </w:tc>
        <w:tc>
          <w:tcPr>
            <w:tcW w:w="11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3938ED50" w14:textId="77777777" w:rsidR="006227CE" w:rsidRDefault="006227CE">
            <w:pPr>
              <w:rPr>
                <w:rFonts w:ascii="Calibri" w:eastAsia="Calibri" w:hAnsi="Calibri" w:cs="Calibri"/>
                <w:sz w:val="22"/>
                <w:szCs w:val="22"/>
              </w:rPr>
            </w:pPr>
          </w:p>
        </w:tc>
        <w:tc>
          <w:tcPr>
            <w:tcW w:w="11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3938ED51" w14:textId="77777777" w:rsidR="006227CE" w:rsidRDefault="006227CE">
            <w:pPr>
              <w:rPr>
                <w:rFonts w:ascii="Calibri" w:eastAsia="Calibri" w:hAnsi="Calibri" w:cs="Calibri"/>
                <w:sz w:val="22"/>
                <w:szCs w:val="22"/>
              </w:rPr>
            </w:pPr>
          </w:p>
        </w:tc>
        <w:tc>
          <w:tcPr>
            <w:tcW w:w="1271"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3938ED52" w14:textId="77777777" w:rsidR="006227CE" w:rsidRDefault="006227CE">
            <w:pPr>
              <w:rPr>
                <w:rFonts w:ascii="Calibri" w:eastAsia="Calibri" w:hAnsi="Calibri" w:cs="Calibri"/>
                <w:sz w:val="22"/>
                <w:szCs w:val="22"/>
              </w:rPr>
            </w:pPr>
          </w:p>
        </w:tc>
        <w:tc>
          <w:tcPr>
            <w:tcW w:w="112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3938ED53" w14:textId="77777777" w:rsidR="006227CE" w:rsidRDefault="006227CE">
            <w:pPr>
              <w:rPr>
                <w:rFonts w:ascii="Calibri" w:eastAsia="Calibri" w:hAnsi="Calibri" w:cs="Calibri"/>
                <w:sz w:val="22"/>
                <w:szCs w:val="22"/>
              </w:rPr>
            </w:pPr>
          </w:p>
        </w:tc>
      </w:tr>
      <w:tr w:rsidR="006227CE" w14:paraId="3938ED56" w14:textId="77777777">
        <w:trPr>
          <w:trHeight w:val="315"/>
        </w:trPr>
        <w:tc>
          <w:tcPr>
            <w:tcW w:w="9360" w:type="dxa"/>
            <w:gridSpan w:val="7"/>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center"/>
          </w:tcPr>
          <w:p w14:paraId="3938ED55" w14:textId="77777777" w:rsidR="006227CE" w:rsidRDefault="006C5E69">
            <w:pPr>
              <w:jc w:val="center"/>
              <w:rPr>
                <w:rFonts w:ascii="Calibri" w:eastAsia="Calibri" w:hAnsi="Calibri" w:cs="Calibri"/>
                <w:sz w:val="22"/>
                <w:szCs w:val="22"/>
              </w:rPr>
            </w:pPr>
            <w:r>
              <w:rPr>
                <w:b/>
                <w:bCs/>
              </w:rPr>
              <w:t>Cash Flow Ratios:-</w:t>
            </w:r>
          </w:p>
        </w:tc>
      </w:tr>
      <w:tr w:rsidR="006227CE" w14:paraId="3938ED5E" w14:textId="77777777">
        <w:trPr>
          <w:trHeight w:val="315"/>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938ED57" w14:textId="77777777" w:rsidR="006227CE" w:rsidRDefault="006C5E69">
            <w:pPr>
              <w:jc w:val="center"/>
              <w:rPr>
                <w:rFonts w:ascii="Calibri" w:eastAsia="Calibri" w:hAnsi="Calibri" w:cs="Calibri"/>
                <w:sz w:val="22"/>
                <w:szCs w:val="22"/>
              </w:rPr>
            </w:pPr>
            <w:r>
              <w:rPr>
                <w:b/>
                <w:bCs/>
              </w:rPr>
              <w:t>Particulars</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38ED58" w14:textId="77777777" w:rsidR="006227CE" w:rsidRDefault="006C5E69">
            <w:pPr>
              <w:jc w:val="center"/>
              <w:rPr>
                <w:rFonts w:ascii="Calibri" w:eastAsia="Calibri" w:hAnsi="Calibri" w:cs="Calibri"/>
                <w:sz w:val="22"/>
                <w:szCs w:val="22"/>
              </w:rPr>
            </w:pPr>
            <w:r>
              <w:rPr>
                <w:b/>
                <w:bCs/>
              </w:rPr>
              <w:t>Details</w:t>
            </w:r>
          </w:p>
        </w:tc>
        <w:tc>
          <w:tcPr>
            <w:tcW w:w="1120" w:type="dxa"/>
            <w:tcBorders>
              <w:top w:val="single" w:sz="6" w:space="0" w:color="CCCCCC"/>
              <w:left w:val="single" w:sz="6" w:space="0" w:color="CCCCCC"/>
              <w:bottom w:val="single" w:sz="6" w:space="0" w:color="000000"/>
              <w:right w:val="single" w:sz="6" w:space="0" w:color="000000"/>
            </w:tcBorders>
            <w:shd w:val="clear" w:color="auto" w:fill="E8F4EE"/>
            <w:tcMar>
              <w:top w:w="0" w:type="dxa"/>
              <w:left w:w="40" w:type="dxa"/>
              <w:bottom w:w="0" w:type="dxa"/>
              <w:right w:w="40" w:type="dxa"/>
            </w:tcMar>
            <w:vAlign w:val="center"/>
          </w:tcPr>
          <w:p w14:paraId="3938ED59" w14:textId="77777777" w:rsidR="006227CE" w:rsidRDefault="006C5E69">
            <w:pPr>
              <w:jc w:val="center"/>
              <w:rPr>
                <w:rFonts w:ascii="Calibri" w:eastAsia="Calibri" w:hAnsi="Calibri" w:cs="Calibri"/>
                <w:sz w:val="22"/>
                <w:szCs w:val="22"/>
              </w:rPr>
            </w:pPr>
            <w:r>
              <w:rPr>
                <w:b/>
                <w:bCs/>
              </w:rPr>
              <w:t>2021</w:t>
            </w:r>
          </w:p>
        </w:tc>
        <w:tc>
          <w:tcPr>
            <w:tcW w:w="1120" w:type="dxa"/>
            <w:tcBorders>
              <w:top w:val="single" w:sz="6" w:space="0" w:color="CCCCCC"/>
              <w:left w:val="single" w:sz="6" w:space="0" w:color="CCCCCC"/>
              <w:bottom w:val="single" w:sz="6" w:space="0" w:color="000000"/>
              <w:right w:val="single" w:sz="6" w:space="0" w:color="000000"/>
            </w:tcBorders>
            <w:shd w:val="clear" w:color="auto" w:fill="E8F4EE"/>
            <w:tcMar>
              <w:top w:w="0" w:type="dxa"/>
              <w:left w:w="40" w:type="dxa"/>
              <w:bottom w:w="0" w:type="dxa"/>
              <w:right w:w="40" w:type="dxa"/>
            </w:tcMar>
            <w:vAlign w:val="center"/>
          </w:tcPr>
          <w:p w14:paraId="3938ED5A" w14:textId="77777777" w:rsidR="006227CE" w:rsidRDefault="006C5E69">
            <w:pPr>
              <w:jc w:val="center"/>
              <w:rPr>
                <w:rFonts w:ascii="Calibri" w:eastAsia="Calibri" w:hAnsi="Calibri" w:cs="Calibri"/>
                <w:sz w:val="22"/>
                <w:szCs w:val="22"/>
              </w:rPr>
            </w:pPr>
            <w:r>
              <w:rPr>
                <w:b/>
                <w:bCs/>
              </w:rPr>
              <w:t>2022</w:t>
            </w:r>
          </w:p>
        </w:tc>
        <w:tc>
          <w:tcPr>
            <w:tcW w:w="1120" w:type="dxa"/>
            <w:tcBorders>
              <w:top w:val="single" w:sz="6" w:space="0" w:color="CCCCCC"/>
              <w:left w:val="single" w:sz="6" w:space="0" w:color="CCCCCC"/>
              <w:bottom w:val="single" w:sz="6" w:space="0" w:color="000000"/>
              <w:right w:val="single" w:sz="6" w:space="0" w:color="000000"/>
            </w:tcBorders>
            <w:shd w:val="clear" w:color="auto" w:fill="E8F4EE"/>
            <w:tcMar>
              <w:top w:w="0" w:type="dxa"/>
              <w:left w:w="40" w:type="dxa"/>
              <w:bottom w:w="0" w:type="dxa"/>
              <w:right w:w="40" w:type="dxa"/>
            </w:tcMar>
            <w:vAlign w:val="center"/>
          </w:tcPr>
          <w:p w14:paraId="3938ED5B" w14:textId="77777777" w:rsidR="006227CE" w:rsidRDefault="006C5E69">
            <w:pPr>
              <w:jc w:val="center"/>
              <w:rPr>
                <w:rFonts w:ascii="Calibri" w:eastAsia="Calibri" w:hAnsi="Calibri" w:cs="Calibri"/>
                <w:sz w:val="22"/>
                <w:szCs w:val="22"/>
              </w:rPr>
            </w:pPr>
            <w:r>
              <w:rPr>
                <w:b/>
                <w:bCs/>
              </w:rPr>
              <w:t>2023</w:t>
            </w:r>
          </w:p>
        </w:tc>
        <w:tc>
          <w:tcPr>
            <w:tcW w:w="1271" w:type="dxa"/>
            <w:tcBorders>
              <w:top w:val="single" w:sz="6" w:space="0" w:color="CCCCCC"/>
              <w:left w:val="single" w:sz="6" w:space="0" w:color="CCCCCC"/>
              <w:bottom w:val="single" w:sz="6" w:space="0" w:color="000000"/>
              <w:right w:val="single" w:sz="6" w:space="0" w:color="000000"/>
            </w:tcBorders>
            <w:shd w:val="clear" w:color="auto" w:fill="E8F4EE"/>
            <w:tcMar>
              <w:top w:w="0" w:type="dxa"/>
              <w:left w:w="40" w:type="dxa"/>
              <w:bottom w:w="0" w:type="dxa"/>
              <w:right w:w="40" w:type="dxa"/>
            </w:tcMar>
            <w:vAlign w:val="center"/>
          </w:tcPr>
          <w:p w14:paraId="3938ED5C" w14:textId="77777777" w:rsidR="006227CE" w:rsidRDefault="006C5E69">
            <w:pPr>
              <w:jc w:val="center"/>
              <w:rPr>
                <w:rFonts w:ascii="Calibri" w:eastAsia="Calibri" w:hAnsi="Calibri" w:cs="Calibri"/>
                <w:sz w:val="22"/>
                <w:szCs w:val="22"/>
              </w:rPr>
            </w:pPr>
            <w:r>
              <w:rPr>
                <w:b/>
                <w:bCs/>
              </w:rPr>
              <w:t>2024</w:t>
            </w:r>
          </w:p>
        </w:tc>
        <w:tc>
          <w:tcPr>
            <w:tcW w:w="1120" w:type="dxa"/>
            <w:tcBorders>
              <w:top w:val="single" w:sz="6" w:space="0" w:color="CCCCCC"/>
              <w:left w:val="single" w:sz="6" w:space="0" w:color="CCCCCC"/>
              <w:bottom w:val="single" w:sz="6" w:space="0" w:color="000000"/>
              <w:right w:val="single" w:sz="6" w:space="0" w:color="000000"/>
            </w:tcBorders>
            <w:shd w:val="clear" w:color="auto" w:fill="E8F4EE"/>
            <w:tcMar>
              <w:top w:w="0" w:type="dxa"/>
              <w:left w:w="40" w:type="dxa"/>
              <w:bottom w:w="0" w:type="dxa"/>
              <w:right w:w="40" w:type="dxa"/>
            </w:tcMar>
            <w:vAlign w:val="center"/>
          </w:tcPr>
          <w:p w14:paraId="3938ED5D" w14:textId="77777777" w:rsidR="006227CE" w:rsidRDefault="006C5E69">
            <w:pPr>
              <w:jc w:val="center"/>
              <w:rPr>
                <w:rFonts w:ascii="Calibri" w:eastAsia="Calibri" w:hAnsi="Calibri" w:cs="Calibri"/>
                <w:sz w:val="22"/>
                <w:szCs w:val="22"/>
              </w:rPr>
            </w:pPr>
            <w:r>
              <w:rPr>
                <w:b/>
                <w:bCs/>
              </w:rPr>
              <w:t>2025</w:t>
            </w:r>
          </w:p>
        </w:tc>
      </w:tr>
      <w:tr w:rsidR="006227CE" w14:paraId="3938ED66" w14:textId="77777777">
        <w:trPr>
          <w:trHeight w:val="315"/>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938ED5F" w14:textId="77777777" w:rsidR="006227CE" w:rsidRDefault="006C5E69">
            <w:pPr>
              <w:jc w:val="center"/>
              <w:rPr>
                <w:rFonts w:ascii="Calibri" w:eastAsia="Calibri" w:hAnsi="Calibri" w:cs="Calibri"/>
                <w:sz w:val="22"/>
                <w:szCs w:val="22"/>
              </w:rPr>
            </w:pPr>
            <w:r>
              <w:t>Cash Flow From Operation (£m)</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38ED60" w14:textId="77777777" w:rsidR="006227CE" w:rsidRDefault="006C5E69">
            <w:pPr>
              <w:jc w:val="center"/>
              <w:rPr>
                <w:rFonts w:ascii="Calibri" w:eastAsia="Calibri" w:hAnsi="Calibri" w:cs="Calibri"/>
                <w:sz w:val="22"/>
                <w:szCs w:val="22"/>
              </w:rPr>
            </w:pPr>
            <w:r>
              <w:t>A</w:t>
            </w:r>
          </w:p>
        </w:tc>
        <w:tc>
          <w:tcPr>
            <w:tcW w:w="1120" w:type="dxa"/>
            <w:tcBorders>
              <w:top w:val="single" w:sz="6" w:space="0" w:color="CCCCCC"/>
              <w:left w:val="single" w:sz="6" w:space="0" w:color="CCCCCC"/>
              <w:bottom w:val="single" w:sz="6" w:space="0" w:color="000000"/>
              <w:right w:val="single" w:sz="6" w:space="0" w:color="000000"/>
            </w:tcBorders>
            <w:shd w:val="clear" w:color="auto" w:fill="F8696B"/>
            <w:tcMar>
              <w:top w:w="0" w:type="dxa"/>
              <w:left w:w="40" w:type="dxa"/>
              <w:bottom w:w="0" w:type="dxa"/>
              <w:right w:w="40" w:type="dxa"/>
            </w:tcMar>
            <w:vAlign w:val="center"/>
          </w:tcPr>
          <w:p w14:paraId="3938ED61" w14:textId="77777777" w:rsidR="006227CE" w:rsidRDefault="006C5E69">
            <w:pPr>
              <w:jc w:val="center"/>
              <w:rPr>
                <w:rFonts w:ascii="Calibri" w:eastAsia="Calibri" w:hAnsi="Calibri" w:cs="Calibri"/>
                <w:sz w:val="22"/>
                <w:szCs w:val="22"/>
              </w:rPr>
            </w:pPr>
            <w:r>
              <w:t>(391.10)</w:t>
            </w:r>
          </w:p>
        </w:tc>
        <w:tc>
          <w:tcPr>
            <w:tcW w:w="1120" w:type="dxa"/>
            <w:tcBorders>
              <w:top w:val="single" w:sz="6" w:space="0" w:color="CCCCCC"/>
              <w:left w:val="single" w:sz="6" w:space="0" w:color="CCCCCC"/>
              <w:bottom w:val="single" w:sz="6" w:space="0" w:color="000000"/>
              <w:right w:val="single" w:sz="6" w:space="0" w:color="000000"/>
            </w:tcBorders>
            <w:shd w:val="clear" w:color="auto" w:fill="FBD9DB"/>
            <w:tcMar>
              <w:top w:w="0" w:type="dxa"/>
              <w:left w:w="40" w:type="dxa"/>
              <w:bottom w:w="0" w:type="dxa"/>
              <w:right w:w="40" w:type="dxa"/>
            </w:tcMar>
            <w:vAlign w:val="center"/>
          </w:tcPr>
          <w:p w14:paraId="3938ED62" w14:textId="77777777" w:rsidR="006227CE" w:rsidRDefault="006C5E69">
            <w:pPr>
              <w:jc w:val="center"/>
              <w:rPr>
                <w:rFonts w:ascii="Calibri" w:eastAsia="Calibri" w:hAnsi="Calibri" w:cs="Calibri"/>
                <w:sz w:val="22"/>
                <w:szCs w:val="22"/>
              </w:rPr>
            </w:pPr>
            <w:r>
              <w:t>508.70</w:t>
            </w:r>
          </w:p>
        </w:tc>
        <w:tc>
          <w:tcPr>
            <w:tcW w:w="1120" w:type="dxa"/>
            <w:tcBorders>
              <w:top w:val="single" w:sz="6" w:space="0" w:color="CCCCCC"/>
              <w:left w:val="single" w:sz="6" w:space="0" w:color="CCCCCC"/>
              <w:bottom w:val="single" w:sz="6" w:space="0" w:color="000000"/>
              <w:right w:val="single" w:sz="6" w:space="0" w:color="000000"/>
            </w:tcBorders>
            <w:shd w:val="clear" w:color="auto" w:fill="FCFCFF"/>
            <w:tcMar>
              <w:top w:w="0" w:type="dxa"/>
              <w:left w:w="40" w:type="dxa"/>
              <w:bottom w:w="0" w:type="dxa"/>
              <w:right w:w="40" w:type="dxa"/>
            </w:tcMar>
            <w:vAlign w:val="center"/>
          </w:tcPr>
          <w:p w14:paraId="3938ED63" w14:textId="77777777" w:rsidR="006227CE" w:rsidRDefault="006C5E69">
            <w:pPr>
              <w:jc w:val="center"/>
              <w:rPr>
                <w:rFonts w:ascii="Calibri" w:eastAsia="Calibri" w:hAnsi="Calibri" w:cs="Calibri"/>
                <w:sz w:val="22"/>
                <w:szCs w:val="22"/>
              </w:rPr>
            </w:pPr>
            <w:r>
              <w:t>799.90</w:t>
            </w:r>
          </w:p>
        </w:tc>
        <w:tc>
          <w:tcPr>
            <w:tcW w:w="1271" w:type="dxa"/>
            <w:tcBorders>
              <w:top w:val="single" w:sz="6" w:space="0" w:color="CCCCCC"/>
              <w:left w:val="single" w:sz="6" w:space="0" w:color="CCCCCC"/>
              <w:bottom w:val="single" w:sz="6" w:space="0" w:color="000000"/>
              <w:right w:val="single" w:sz="6" w:space="0" w:color="000000"/>
            </w:tcBorders>
            <w:shd w:val="clear" w:color="auto" w:fill="FBFCFE"/>
            <w:tcMar>
              <w:top w:w="0" w:type="dxa"/>
              <w:left w:w="40" w:type="dxa"/>
              <w:bottom w:w="0" w:type="dxa"/>
              <w:right w:w="40" w:type="dxa"/>
            </w:tcMar>
            <w:vAlign w:val="center"/>
          </w:tcPr>
          <w:p w14:paraId="3938ED64" w14:textId="77777777" w:rsidR="006227CE" w:rsidRDefault="006C5E69">
            <w:pPr>
              <w:jc w:val="center"/>
              <w:rPr>
                <w:rFonts w:ascii="Calibri" w:eastAsia="Calibri" w:hAnsi="Calibri" w:cs="Calibri"/>
                <w:sz w:val="22"/>
                <w:szCs w:val="22"/>
              </w:rPr>
            </w:pPr>
            <w:r>
              <w:t>877.90</w:t>
            </w:r>
          </w:p>
        </w:tc>
        <w:tc>
          <w:tcPr>
            <w:tcW w:w="1120" w:type="dxa"/>
            <w:tcBorders>
              <w:top w:val="single" w:sz="6" w:space="0" w:color="CCCCCC"/>
              <w:left w:val="single" w:sz="6" w:space="0" w:color="CCCCCC"/>
              <w:bottom w:val="single" w:sz="6" w:space="0" w:color="000000"/>
              <w:right w:val="single" w:sz="6" w:space="0" w:color="000000"/>
            </w:tcBorders>
            <w:shd w:val="clear" w:color="auto" w:fill="FBF8FB"/>
            <w:tcMar>
              <w:top w:w="0" w:type="dxa"/>
              <w:left w:w="40" w:type="dxa"/>
              <w:bottom w:w="0" w:type="dxa"/>
              <w:right w:w="40" w:type="dxa"/>
            </w:tcMar>
            <w:vAlign w:val="center"/>
          </w:tcPr>
          <w:p w14:paraId="3938ED65" w14:textId="77777777" w:rsidR="006227CE" w:rsidRDefault="006C5E69">
            <w:pPr>
              <w:jc w:val="center"/>
              <w:rPr>
                <w:rFonts w:ascii="Calibri" w:eastAsia="Calibri" w:hAnsi="Calibri" w:cs="Calibri"/>
                <w:sz w:val="22"/>
                <w:szCs w:val="22"/>
              </w:rPr>
            </w:pPr>
            <w:r>
              <w:t>761.70</w:t>
            </w:r>
          </w:p>
        </w:tc>
      </w:tr>
      <w:tr w:rsidR="006227CE" w14:paraId="3938ED6E" w14:textId="77777777">
        <w:trPr>
          <w:trHeight w:val="315"/>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938ED67" w14:textId="77777777" w:rsidR="006227CE" w:rsidRDefault="006C5E69">
            <w:pPr>
              <w:jc w:val="center"/>
              <w:rPr>
                <w:rFonts w:ascii="Calibri" w:eastAsia="Calibri" w:hAnsi="Calibri" w:cs="Calibri"/>
                <w:sz w:val="22"/>
                <w:szCs w:val="22"/>
              </w:rPr>
            </w:pPr>
            <w:r>
              <w:t>Current Liabilities (£m)</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38ED68" w14:textId="77777777" w:rsidR="006227CE" w:rsidRDefault="006C5E69">
            <w:pPr>
              <w:jc w:val="center"/>
              <w:rPr>
                <w:rFonts w:ascii="Calibri" w:eastAsia="Calibri" w:hAnsi="Calibri" w:cs="Calibri"/>
                <w:sz w:val="22"/>
                <w:szCs w:val="22"/>
              </w:rPr>
            </w:pPr>
            <w:r>
              <w:t>B</w:t>
            </w:r>
          </w:p>
        </w:tc>
        <w:tc>
          <w:tcPr>
            <w:tcW w:w="1120" w:type="dxa"/>
            <w:tcBorders>
              <w:top w:val="single" w:sz="6" w:space="0" w:color="CCCCCC"/>
              <w:left w:val="single" w:sz="6" w:space="0" w:color="CCCCCC"/>
              <w:bottom w:val="single" w:sz="6" w:space="0" w:color="000000"/>
              <w:right w:val="single" w:sz="6" w:space="0" w:color="000000"/>
            </w:tcBorders>
            <w:shd w:val="clear" w:color="auto" w:fill="FBFAFD"/>
            <w:tcMar>
              <w:top w:w="0" w:type="dxa"/>
              <w:left w:w="40" w:type="dxa"/>
              <w:bottom w:w="0" w:type="dxa"/>
              <w:right w:w="40" w:type="dxa"/>
            </w:tcMar>
            <w:vAlign w:val="center"/>
          </w:tcPr>
          <w:p w14:paraId="3938ED69" w14:textId="77777777" w:rsidR="006227CE" w:rsidRDefault="006C5E69">
            <w:pPr>
              <w:jc w:val="center"/>
              <w:rPr>
                <w:rFonts w:ascii="Calibri" w:eastAsia="Calibri" w:hAnsi="Calibri" w:cs="Calibri"/>
                <w:sz w:val="22"/>
                <w:szCs w:val="22"/>
              </w:rPr>
            </w:pPr>
            <w:r>
              <w:t>775.30</w:t>
            </w:r>
          </w:p>
        </w:tc>
        <w:tc>
          <w:tcPr>
            <w:tcW w:w="1120" w:type="dxa"/>
            <w:tcBorders>
              <w:top w:val="single" w:sz="6" w:space="0" w:color="CCCCCC"/>
              <w:left w:val="single" w:sz="6" w:space="0" w:color="CCCCCC"/>
              <w:bottom w:val="single" w:sz="6" w:space="0" w:color="000000"/>
              <w:right w:val="single" w:sz="6" w:space="0" w:color="000000"/>
            </w:tcBorders>
            <w:shd w:val="clear" w:color="auto" w:fill="FBF3F6"/>
            <w:tcMar>
              <w:top w:w="0" w:type="dxa"/>
              <w:left w:w="40" w:type="dxa"/>
              <w:bottom w:w="0" w:type="dxa"/>
              <w:right w:w="40" w:type="dxa"/>
            </w:tcMar>
            <w:vAlign w:val="center"/>
          </w:tcPr>
          <w:p w14:paraId="3938ED6A" w14:textId="77777777" w:rsidR="006227CE" w:rsidRDefault="006C5E69">
            <w:pPr>
              <w:jc w:val="center"/>
              <w:rPr>
                <w:rFonts w:ascii="Calibri" w:eastAsia="Calibri" w:hAnsi="Calibri" w:cs="Calibri"/>
                <w:sz w:val="22"/>
                <w:szCs w:val="22"/>
              </w:rPr>
            </w:pPr>
            <w:r>
              <w:t>719.60</w:t>
            </w:r>
          </w:p>
        </w:tc>
        <w:tc>
          <w:tcPr>
            <w:tcW w:w="1120" w:type="dxa"/>
            <w:tcBorders>
              <w:top w:val="single" w:sz="6" w:space="0" w:color="CCCCCC"/>
              <w:left w:val="single" w:sz="6" w:space="0" w:color="CCCCCC"/>
              <w:bottom w:val="single" w:sz="6" w:space="0" w:color="000000"/>
              <w:right w:val="single" w:sz="6" w:space="0" w:color="000000"/>
            </w:tcBorders>
            <w:shd w:val="clear" w:color="auto" w:fill="FCFCFF"/>
            <w:tcMar>
              <w:top w:w="0" w:type="dxa"/>
              <w:left w:w="40" w:type="dxa"/>
              <w:bottom w:w="0" w:type="dxa"/>
              <w:right w:w="40" w:type="dxa"/>
            </w:tcMar>
            <w:vAlign w:val="center"/>
          </w:tcPr>
          <w:p w14:paraId="3938ED6B" w14:textId="77777777" w:rsidR="006227CE" w:rsidRDefault="006C5E69">
            <w:pPr>
              <w:jc w:val="center"/>
              <w:rPr>
                <w:rFonts w:ascii="Calibri" w:eastAsia="Calibri" w:hAnsi="Calibri" w:cs="Calibri"/>
                <w:sz w:val="22"/>
                <w:szCs w:val="22"/>
              </w:rPr>
            </w:pPr>
            <w:r>
              <w:t>845.60</w:t>
            </w:r>
          </w:p>
        </w:tc>
        <w:tc>
          <w:tcPr>
            <w:tcW w:w="1271" w:type="dxa"/>
            <w:tcBorders>
              <w:top w:val="single" w:sz="6" w:space="0" w:color="CCCCCC"/>
              <w:left w:val="single" w:sz="6" w:space="0" w:color="CCCCCC"/>
              <w:bottom w:val="single" w:sz="6" w:space="0" w:color="000000"/>
              <w:right w:val="single" w:sz="6" w:space="0" w:color="000000"/>
            </w:tcBorders>
            <w:shd w:val="clear" w:color="auto" w:fill="FBFCFE"/>
            <w:tcMar>
              <w:top w:w="0" w:type="dxa"/>
              <w:left w:w="40" w:type="dxa"/>
              <w:bottom w:w="0" w:type="dxa"/>
              <w:right w:w="40" w:type="dxa"/>
            </w:tcMar>
            <w:vAlign w:val="center"/>
          </w:tcPr>
          <w:p w14:paraId="3938ED6C" w14:textId="77777777" w:rsidR="006227CE" w:rsidRDefault="006C5E69">
            <w:pPr>
              <w:jc w:val="center"/>
              <w:rPr>
                <w:rFonts w:ascii="Calibri" w:eastAsia="Calibri" w:hAnsi="Calibri" w:cs="Calibri"/>
                <w:sz w:val="22"/>
                <w:szCs w:val="22"/>
              </w:rPr>
            </w:pPr>
            <w:r>
              <w:t>870.40</w:t>
            </w:r>
          </w:p>
        </w:tc>
        <w:tc>
          <w:tcPr>
            <w:tcW w:w="1120" w:type="dxa"/>
            <w:tcBorders>
              <w:top w:val="single" w:sz="6" w:space="0" w:color="CCCCCC"/>
              <w:left w:val="single" w:sz="6" w:space="0" w:color="CCCCCC"/>
              <w:bottom w:val="single" w:sz="6" w:space="0" w:color="000000"/>
              <w:right w:val="single" w:sz="6" w:space="0" w:color="000000"/>
            </w:tcBorders>
            <w:shd w:val="clear" w:color="auto" w:fill="F4F9F8"/>
            <w:tcMar>
              <w:top w:w="0" w:type="dxa"/>
              <w:left w:w="40" w:type="dxa"/>
              <w:bottom w:w="0" w:type="dxa"/>
              <w:right w:w="40" w:type="dxa"/>
            </w:tcMar>
            <w:vAlign w:val="center"/>
          </w:tcPr>
          <w:p w14:paraId="3938ED6D" w14:textId="77777777" w:rsidR="006227CE" w:rsidRDefault="006C5E69">
            <w:pPr>
              <w:jc w:val="center"/>
              <w:rPr>
                <w:rFonts w:ascii="Calibri" w:eastAsia="Calibri" w:hAnsi="Calibri" w:cs="Calibri"/>
                <w:sz w:val="22"/>
                <w:szCs w:val="22"/>
              </w:rPr>
            </w:pPr>
            <w:r>
              <w:t>1,319.00</w:t>
            </w:r>
          </w:p>
        </w:tc>
      </w:tr>
      <w:tr w:rsidR="006227CE" w14:paraId="3938ED76" w14:textId="77777777">
        <w:trPr>
          <w:trHeight w:val="315"/>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938ED6F" w14:textId="77777777" w:rsidR="006227CE" w:rsidRDefault="006C5E69">
            <w:pPr>
              <w:jc w:val="center"/>
              <w:rPr>
                <w:rFonts w:ascii="Calibri" w:eastAsia="Calibri" w:hAnsi="Calibri" w:cs="Calibri"/>
                <w:sz w:val="22"/>
                <w:szCs w:val="22"/>
              </w:rPr>
            </w:pPr>
            <w:r>
              <w:t>Total Assets (£m)</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38ED70" w14:textId="77777777" w:rsidR="006227CE" w:rsidRDefault="006C5E69">
            <w:pPr>
              <w:jc w:val="center"/>
              <w:rPr>
                <w:rFonts w:ascii="Calibri" w:eastAsia="Calibri" w:hAnsi="Calibri" w:cs="Calibri"/>
                <w:sz w:val="22"/>
                <w:szCs w:val="22"/>
              </w:rPr>
            </w:pPr>
            <w:r>
              <w:t>C</w:t>
            </w:r>
          </w:p>
        </w:tc>
        <w:tc>
          <w:tcPr>
            <w:tcW w:w="1120" w:type="dxa"/>
            <w:tcBorders>
              <w:top w:val="single" w:sz="6" w:space="0" w:color="CCCCCC"/>
              <w:left w:val="single" w:sz="6" w:space="0" w:color="CCCCCC"/>
              <w:bottom w:val="single" w:sz="6" w:space="0" w:color="000000"/>
              <w:right w:val="single" w:sz="6" w:space="0" w:color="000000"/>
            </w:tcBorders>
            <w:shd w:val="clear" w:color="auto" w:fill="77C68C"/>
            <w:tcMar>
              <w:top w:w="0" w:type="dxa"/>
              <w:left w:w="40" w:type="dxa"/>
              <w:bottom w:w="0" w:type="dxa"/>
              <w:right w:w="40" w:type="dxa"/>
            </w:tcMar>
            <w:vAlign w:val="center"/>
          </w:tcPr>
          <w:p w14:paraId="3938ED71" w14:textId="77777777" w:rsidR="006227CE" w:rsidRDefault="006C5E69">
            <w:pPr>
              <w:jc w:val="center"/>
              <w:rPr>
                <w:rFonts w:ascii="Calibri" w:eastAsia="Calibri" w:hAnsi="Calibri" w:cs="Calibri"/>
                <w:sz w:val="22"/>
                <w:szCs w:val="22"/>
              </w:rPr>
            </w:pPr>
            <w:r>
              <w:t>8,798.60</w:t>
            </w:r>
          </w:p>
        </w:tc>
        <w:tc>
          <w:tcPr>
            <w:tcW w:w="1120" w:type="dxa"/>
            <w:tcBorders>
              <w:top w:val="single" w:sz="6" w:space="0" w:color="CCCCCC"/>
              <w:left w:val="single" w:sz="6" w:space="0" w:color="CCCCCC"/>
              <w:bottom w:val="single" w:sz="6" w:space="0" w:color="000000"/>
              <w:right w:val="single" w:sz="6" w:space="0" w:color="000000"/>
            </w:tcBorders>
            <w:shd w:val="clear" w:color="auto" w:fill="6AC181"/>
            <w:tcMar>
              <w:top w:w="0" w:type="dxa"/>
              <w:left w:w="40" w:type="dxa"/>
              <w:bottom w:w="0" w:type="dxa"/>
              <w:right w:w="40" w:type="dxa"/>
            </w:tcMar>
            <w:vAlign w:val="center"/>
          </w:tcPr>
          <w:p w14:paraId="3938ED72" w14:textId="77777777" w:rsidR="006227CE" w:rsidRDefault="006C5E69">
            <w:pPr>
              <w:jc w:val="center"/>
              <w:rPr>
                <w:rFonts w:ascii="Calibri" w:eastAsia="Calibri" w:hAnsi="Calibri" w:cs="Calibri"/>
                <w:sz w:val="22"/>
                <w:szCs w:val="22"/>
              </w:rPr>
            </w:pPr>
            <w:r>
              <w:t>9,566.50</w:t>
            </w:r>
          </w:p>
        </w:tc>
        <w:tc>
          <w:tcPr>
            <w:tcW w:w="1120" w:type="dxa"/>
            <w:tcBorders>
              <w:top w:val="single" w:sz="6" w:space="0" w:color="CCCCCC"/>
              <w:left w:val="single" w:sz="6" w:space="0" w:color="CCCCCC"/>
              <w:bottom w:val="single" w:sz="6" w:space="0" w:color="000000"/>
              <w:right w:val="single" w:sz="6" w:space="0" w:color="000000"/>
            </w:tcBorders>
            <w:shd w:val="clear" w:color="auto" w:fill="63BE7B"/>
            <w:tcMar>
              <w:top w:w="0" w:type="dxa"/>
              <w:left w:w="40" w:type="dxa"/>
              <w:bottom w:w="0" w:type="dxa"/>
              <w:right w:w="40" w:type="dxa"/>
            </w:tcMar>
            <w:vAlign w:val="center"/>
          </w:tcPr>
          <w:p w14:paraId="3938ED73" w14:textId="77777777" w:rsidR="006227CE" w:rsidRDefault="006C5E69">
            <w:pPr>
              <w:jc w:val="center"/>
              <w:rPr>
                <w:rFonts w:ascii="Calibri" w:eastAsia="Calibri" w:hAnsi="Calibri" w:cs="Calibri"/>
                <w:sz w:val="22"/>
                <w:szCs w:val="22"/>
              </w:rPr>
            </w:pPr>
            <w:r>
              <w:t>9,942.80</w:t>
            </w:r>
          </w:p>
        </w:tc>
        <w:tc>
          <w:tcPr>
            <w:tcW w:w="1271" w:type="dxa"/>
            <w:tcBorders>
              <w:top w:val="single" w:sz="6" w:space="0" w:color="CCCCCC"/>
              <w:left w:val="single" w:sz="6" w:space="0" w:color="CCCCCC"/>
              <w:bottom w:val="single" w:sz="6" w:space="0" w:color="000000"/>
              <w:right w:val="single" w:sz="6" w:space="0" w:color="000000"/>
            </w:tcBorders>
            <w:shd w:val="clear" w:color="auto" w:fill="6BC182"/>
            <w:tcMar>
              <w:top w:w="0" w:type="dxa"/>
              <w:left w:w="40" w:type="dxa"/>
              <w:bottom w:w="0" w:type="dxa"/>
              <w:right w:w="40" w:type="dxa"/>
            </w:tcMar>
            <w:vAlign w:val="center"/>
          </w:tcPr>
          <w:p w14:paraId="3938ED74" w14:textId="77777777" w:rsidR="006227CE" w:rsidRDefault="006C5E69">
            <w:pPr>
              <w:jc w:val="center"/>
              <w:rPr>
                <w:rFonts w:ascii="Calibri" w:eastAsia="Calibri" w:hAnsi="Calibri" w:cs="Calibri"/>
                <w:sz w:val="22"/>
                <w:szCs w:val="22"/>
              </w:rPr>
            </w:pPr>
            <w:r>
              <w:t>9,521.30</w:t>
            </w:r>
          </w:p>
        </w:tc>
        <w:tc>
          <w:tcPr>
            <w:tcW w:w="1120" w:type="dxa"/>
            <w:tcBorders>
              <w:top w:val="single" w:sz="6" w:space="0" w:color="CCCCCC"/>
              <w:left w:val="single" w:sz="6" w:space="0" w:color="CCCCCC"/>
              <w:bottom w:val="single" w:sz="6" w:space="0" w:color="000000"/>
              <w:right w:val="single" w:sz="6" w:space="0" w:color="000000"/>
            </w:tcBorders>
            <w:shd w:val="clear" w:color="auto" w:fill="64BF7C"/>
            <w:tcMar>
              <w:top w:w="0" w:type="dxa"/>
              <w:left w:w="40" w:type="dxa"/>
              <w:bottom w:w="0" w:type="dxa"/>
              <w:right w:w="40" w:type="dxa"/>
            </w:tcMar>
            <w:vAlign w:val="center"/>
          </w:tcPr>
          <w:p w14:paraId="3938ED75" w14:textId="77777777" w:rsidR="006227CE" w:rsidRDefault="006C5E69">
            <w:pPr>
              <w:jc w:val="center"/>
              <w:rPr>
                <w:rFonts w:ascii="Calibri" w:eastAsia="Calibri" w:hAnsi="Calibri" w:cs="Calibri"/>
                <w:sz w:val="22"/>
                <w:szCs w:val="22"/>
              </w:rPr>
            </w:pPr>
            <w:r>
              <w:t>9,904.70</w:t>
            </w:r>
          </w:p>
        </w:tc>
      </w:tr>
      <w:tr w:rsidR="006227CE" w14:paraId="3938ED7E" w14:textId="77777777">
        <w:trPr>
          <w:trHeight w:val="315"/>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938ED77" w14:textId="77777777" w:rsidR="006227CE" w:rsidRDefault="006C5E69">
            <w:pPr>
              <w:jc w:val="center"/>
              <w:rPr>
                <w:rFonts w:ascii="Calibri" w:eastAsia="Calibri" w:hAnsi="Calibri" w:cs="Calibri"/>
                <w:sz w:val="22"/>
                <w:szCs w:val="22"/>
              </w:rPr>
            </w:pPr>
            <w:r>
              <w:rPr>
                <w:b/>
                <w:bCs/>
              </w:rPr>
              <w:t>Operating Cash Flow Ratio</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38ED78" w14:textId="77777777" w:rsidR="006227CE" w:rsidRDefault="006C5E69">
            <w:pPr>
              <w:jc w:val="center"/>
              <w:rPr>
                <w:rFonts w:ascii="Calibri" w:eastAsia="Calibri" w:hAnsi="Calibri" w:cs="Calibri"/>
                <w:sz w:val="22"/>
                <w:szCs w:val="22"/>
              </w:rPr>
            </w:pPr>
            <w:r>
              <w:rPr>
                <w:b/>
                <w:bCs/>
              </w:rPr>
              <w:t>A/B</w:t>
            </w:r>
          </w:p>
        </w:tc>
        <w:tc>
          <w:tcPr>
            <w:tcW w:w="1120" w:type="dxa"/>
            <w:tcBorders>
              <w:top w:val="single" w:sz="6" w:space="0" w:color="CCCCCC"/>
              <w:left w:val="single" w:sz="6" w:space="0" w:color="CCCCCC"/>
              <w:bottom w:val="single" w:sz="6" w:space="0" w:color="000000"/>
              <w:right w:val="single" w:sz="6" w:space="0" w:color="000000"/>
            </w:tcBorders>
            <w:shd w:val="clear" w:color="auto" w:fill="F9999C"/>
            <w:tcMar>
              <w:top w:w="0" w:type="dxa"/>
              <w:left w:w="40" w:type="dxa"/>
              <w:bottom w:w="0" w:type="dxa"/>
              <w:right w:w="40" w:type="dxa"/>
            </w:tcMar>
            <w:vAlign w:val="center"/>
          </w:tcPr>
          <w:p w14:paraId="3938ED79" w14:textId="77777777" w:rsidR="006227CE" w:rsidRDefault="006C5E69">
            <w:pPr>
              <w:jc w:val="center"/>
              <w:rPr>
                <w:rFonts w:ascii="Calibri" w:eastAsia="Calibri" w:hAnsi="Calibri" w:cs="Calibri"/>
                <w:sz w:val="22"/>
                <w:szCs w:val="22"/>
              </w:rPr>
            </w:pPr>
            <w:r>
              <w:rPr>
                <w:b/>
                <w:bCs/>
              </w:rPr>
              <w:t>(0.50)</w:t>
            </w:r>
          </w:p>
        </w:tc>
        <w:tc>
          <w:tcPr>
            <w:tcW w:w="1120" w:type="dxa"/>
            <w:tcBorders>
              <w:top w:val="single" w:sz="6" w:space="0" w:color="CCCCCC"/>
              <w:left w:val="single" w:sz="6" w:space="0" w:color="CCCCCC"/>
              <w:bottom w:val="single" w:sz="6" w:space="0" w:color="000000"/>
              <w:right w:val="single" w:sz="6" w:space="0" w:color="000000"/>
            </w:tcBorders>
            <w:shd w:val="clear" w:color="auto" w:fill="F9999C"/>
            <w:tcMar>
              <w:top w:w="0" w:type="dxa"/>
              <w:left w:w="40" w:type="dxa"/>
              <w:bottom w:w="0" w:type="dxa"/>
              <w:right w:w="40" w:type="dxa"/>
            </w:tcMar>
            <w:vAlign w:val="center"/>
          </w:tcPr>
          <w:p w14:paraId="3938ED7A" w14:textId="77777777" w:rsidR="006227CE" w:rsidRDefault="006C5E69">
            <w:pPr>
              <w:jc w:val="center"/>
              <w:rPr>
                <w:rFonts w:ascii="Calibri" w:eastAsia="Calibri" w:hAnsi="Calibri" w:cs="Calibri"/>
                <w:sz w:val="22"/>
                <w:szCs w:val="22"/>
              </w:rPr>
            </w:pPr>
            <w:r>
              <w:rPr>
                <w:b/>
                <w:bCs/>
              </w:rPr>
              <w:t>0.71</w:t>
            </w:r>
          </w:p>
        </w:tc>
        <w:tc>
          <w:tcPr>
            <w:tcW w:w="1120" w:type="dxa"/>
            <w:tcBorders>
              <w:top w:val="single" w:sz="6" w:space="0" w:color="CCCCCC"/>
              <w:left w:val="single" w:sz="6" w:space="0" w:color="CCCCCC"/>
              <w:bottom w:val="single" w:sz="6" w:space="0" w:color="000000"/>
              <w:right w:val="single" w:sz="6" w:space="0" w:color="000000"/>
            </w:tcBorders>
            <w:shd w:val="clear" w:color="auto" w:fill="F9999C"/>
            <w:tcMar>
              <w:top w:w="0" w:type="dxa"/>
              <w:left w:w="40" w:type="dxa"/>
              <w:bottom w:w="0" w:type="dxa"/>
              <w:right w:w="40" w:type="dxa"/>
            </w:tcMar>
            <w:vAlign w:val="center"/>
          </w:tcPr>
          <w:p w14:paraId="3938ED7B" w14:textId="77777777" w:rsidR="006227CE" w:rsidRDefault="006C5E69">
            <w:pPr>
              <w:jc w:val="center"/>
              <w:rPr>
                <w:rFonts w:ascii="Calibri" w:eastAsia="Calibri" w:hAnsi="Calibri" w:cs="Calibri"/>
                <w:sz w:val="22"/>
                <w:szCs w:val="22"/>
              </w:rPr>
            </w:pPr>
            <w:r>
              <w:rPr>
                <w:b/>
                <w:bCs/>
              </w:rPr>
              <w:t>0.95</w:t>
            </w:r>
          </w:p>
        </w:tc>
        <w:tc>
          <w:tcPr>
            <w:tcW w:w="1271" w:type="dxa"/>
            <w:tcBorders>
              <w:top w:val="single" w:sz="6" w:space="0" w:color="CCCCCC"/>
              <w:left w:val="single" w:sz="6" w:space="0" w:color="CCCCCC"/>
              <w:bottom w:val="single" w:sz="6" w:space="0" w:color="000000"/>
              <w:right w:val="single" w:sz="6" w:space="0" w:color="000000"/>
            </w:tcBorders>
            <w:shd w:val="clear" w:color="auto" w:fill="F9999C"/>
            <w:tcMar>
              <w:top w:w="0" w:type="dxa"/>
              <w:left w:w="40" w:type="dxa"/>
              <w:bottom w:w="0" w:type="dxa"/>
              <w:right w:w="40" w:type="dxa"/>
            </w:tcMar>
            <w:vAlign w:val="center"/>
          </w:tcPr>
          <w:p w14:paraId="3938ED7C" w14:textId="77777777" w:rsidR="006227CE" w:rsidRDefault="006C5E69">
            <w:pPr>
              <w:jc w:val="center"/>
              <w:rPr>
                <w:rFonts w:ascii="Calibri" w:eastAsia="Calibri" w:hAnsi="Calibri" w:cs="Calibri"/>
                <w:sz w:val="22"/>
                <w:szCs w:val="22"/>
              </w:rPr>
            </w:pPr>
            <w:r>
              <w:rPr>
                <w:b/>
                <w:bCs/>
              </w:rPr>
              <w:t>1.01</w:t>
            </w:r>
          </w:p>
        </w:tc>
        <w:tc>
          <w:tcPr>
            <w:tcW w:w="1120" w:type="dxa"/>
            <w:tcBorders>
              <w:top w:val="single" w:sz="6" w:space="0" w:color="CCCCCC"/>
              <w:left w:val="single" w:sz="6" w:space="0" w:color="CCCCCC"/>
              <w:bottom w:val="single" w:sz="6" w:space="0" w:color="000000"/>
              <w:right w:val="single" w:sz="6" w:space="0" w:color="000000"/>
            </w:tcBorders>
            <w:shd w:val="clear" w:color="auto" w:fill="F9999C"/>
            <w:tcMar>
              <w:top w:w="0" w:type="dxa"/>
              <w:left w:w="40" w:type="dxa"/>
              <w:bottom w:w="0" w:type="dxa"/>
              <w:right w:w="40" w:type="dxa"/>
            </w:tcMar>
            <w:vAlign w:val="center"/>
          </w:tcPr>
          <w:p w14:paraId="3938ED7D" w14:textId="77777777" w:rsidR="006227CE" w:rsidRDefault="006C5E69">
            <w:pPr>
              <w:jc w:val="center"/>
              <w:rPr>
                <w:rFonts w:ascii="Calibri" w:eastAsia="Calibri" w:hAnsi="Calibri" w:cs="Calibri"/>
                <w:sz w:val="22"/>
                <w:szCs w:val="22"/>
              </w:rPr>
            </w:pPr>
            <w:r>
              <w:rPr>
                <w:b/>
                <w:bCs/>
              </w:rPr>
              <w:t>0.58</w:t>
            </w:r>
          </w:p>
        </w:tc>
      </w:tr>
      <w:tr w:rsidR="006227CE" w14:paraId="3938ED86" w14:textId="77777777">
        <w:trPr>
          <w:trHeight w:val="315"/>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938ED7F" w14:textId="77777777" w:rsidR="006227CE" w:rsidRDefault="006C5E69">
            <w:pPr>
              <w:jc w:val="center"/>
              <w:rPr>
                <w:rFonts w:ascii="Calibri" w:eastAsia="Calibri" w:hAnsi="Calibri" w:cs="Calibri"/>
                <w:sz w:val="22"/>
                <w:szCs w:val="22"/>
              </w:rPr>
            </w:pPr>
            <w:r>
              <w:rPr>
                <w:b/>
                <w:bCs/>
              </w:rPr>
              <w:t>Cash Return On Assets</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938ED80" w14:textId="77777777" w:rsidR="006227CE" w:rsidRDefault="006C5E69">
            <w:pPr>
              <w:jc w:val="center"/>
              <w:rPr>
                <w:rFonts w:ascii="Calibri" w:eastAsia="Calibri" w:hAnsi="Calibri" w:cs="Calibri"/>
                <w:sz w:val="22"/>
                <w:szCs w:val="22"/>
              </w:rPr>
            </w:pPr>
            <w:r>
              <w:rPr>
                <w:b/>
                <w:bCs/>
              </w:rPr>
              <w:t>A/C</w:t>
            </w:r>
          </w:p>
        </w:tc>
        <w:tc>
          <w:tcPr>
            <w:tcW w:w="1120" w:type="dxa"/>
            <w:tcBorders>
              <w:top w:val="single" w:sz="6" w:space="0" w:color="CCCCCC"/>
              <w:left w:val="single" w:sz="6" w:space="0" w:color="CCCCCC"/>
              <w:bottom w:val="single" w:sz="6" w:space="0" w:color="000000"/>
              <w:right w:val="single" w:sz="6" w:space="0" w:color="000000"/>
            </w:tcBorders>
            <w:shd w:val="clear" w:color="auto" w:fill="F9999C"/>
            <w:tcMar>
              <w:top w:w="0" w:type="dxa"/>
              <w:left w:w="40" w:type="dxa"/>
              <w:bottom w:w="0" w:type="dxa"/>
              <w:right w:w="40" w:type="dxa"/>
            </w:tcMar>
            <w:vAlign w:val="center"/>
          </w:tcPr>
          <w:p w14:paraId="3938ED81" w14:textId="77777777" w:rsidR="006227CE" w:rsidRDefault="006C5E69">
            <w:pPr>
              <w:jc w:val="center"/>
              <w:rPr>
                <w:rFonts w:ascii="Calibri" w:eastAsia="Calibri" w:hAnsi="Calibri" w:cs="Calibri"/>
                <w:sz w:val="22"/>
                <w:szCs w:val="22"/>
              </w:rPr>
            </w:pPr>
            <w:r>
              <w:rPr>
                <w:b/>
                <w:bCs/>
              </w:rPr>
              <w:t>(0.04)</w:t>
            </w:r>
          </w:p>
        </w:tc>
        <w:tc>
          <w:tcPr>
            <w:tcW w:w="1120" w:type="dxa"/>
            <w:tcBorders>
              <w:top w:val="single" w:sz="6" w:space="0" w:color="CCCCCC"/>
              <w:left w:val="single" w:sz="6" w:space="0" w:color="CCCCCC"/>
              <w:bottom w:val="single" w:sz="6" w:space="0" w:color="000000"/>
              <w:right w:val="single" w:sz="6" w:space="0" w:color="000000"/>
            </w:tcBorders>
            <w:shd w:val="clear" w:color="auto" w:fill="F9999C"/>
            <w:tcMar>
              <w:top w:w="0" w:type="dxa"/>
              <w:left w:w="40" w:type="dxa"/>
              <w:bottom w:w="0" w:type="dxa"/>
              <w:right w:w="40" w:type="dxa"/>
            </w:tcMar>
            <w:vAlign w:val="center"/>
          </w:tcPr>
          <w:p w14:paraId="3938ED82" w14:textId="77777777" w:rsidR="006227CE" w:rsidRDefault="006C5E69">
            <w:pPr>
              <w:jc w:val="center"/>
              <w:rPr>
                <w:rFonts w:ascii="Calibri" w:eastAsia="Calibri" w:hAnsi="Calibri" w:cs="Calibri"/>
                <w:sz w:val="22"/>
                <w:szCs w:val="22"/>
              </w:rPr>
            </w:pPr>
            <w:r>
              <w:rPr>
                <w:b/>
                <w:bCs/>
              </w:rPr>
              <w:t>0.05</w:t>
            </w:r>
          </w:p>
        </w:tc>
        <w:tc>
          <w:tcPr>
            <w:tcW w:w="1120" w:type="dxa"/>
            <w:tcBorders>
              <w:top w:val="single" w:sz="6" w:space="0" w:color="CCCCCC"/>
              <w:left w:val="single" w:sz="6" w:space="0" w:color="CCCCCC"/>
              <w:bottom w:val="single" w:sz="6" w:space="0" w:color="000000"/>
              <w:right w:val="single" w:sz="6" w:space="0" w:color="000000"/>
            </w:tcBorders>
            <w:shd w:val="clear" w:color="auto" w:fill="F9999C"/>
            <w:tcMar>
              <w:top w:w="0" w:type="dxa"/>
              <w:left w:w="40" w:type="dxa"/>
              <w:bottom w:w="0" w:type="dxa"/>
              <w:right w:w="40" w:type="dxa"/>
            </w:tcMar>
            <w:vAlign w:val="center"/>
          </w:tcPr>
          <w:p w14:paraId="3938ED83" w14:textId="77777777" w:rsidR="006227CE" w:rsidRDefault="006C5E69">
            <w:pPr>
              <w:jc w:val="center"/>
              <w:rPr>
                <w:rFonts w:ascii="Calibri" w:eastAsia="Calibri" w:hAnsi="Calibri" w:cs="Calibri"/>
                <w:sz w:val="22"/>
                <w:szCs w:val="22"/>
              </w:rPr>
            </w:pPr>
            <w:r>
              <w:rPr>
                <w:b/>
                <w:bCs/>
              </w:rPr>
              <w:t>0.08</w:t>
            </w:r>
          </w:p>
        </w:tc>
        <w:tc>
          <w:tcPr>
            <w:tcW w:w="1271" w:type="dxa"/>
            <w:tcBorders>
              <w:top w:val="single" w:sz="6" w:space="0" w:color="CCCCCC"/>
              <w:left w:val="single" w:sz="6" w:space="0" w:color="CCCCCC"/>
              <w:bottom w:val="single" w:sz="6" w:space="0" w:color="000000"/>
              <w:right w:val="single" w:sz="6" w:space="0" w:color="000000"/>
            </w:tcBorders>
            <w:shd w:val="clear" w:color="auto" w:fill="F9999C"/>
            <w:tcMar>
              <w:top w:w="0" w:type="dxa"/>
              <w:left w:w="40" w:type="dxa"/>
              <w:bottom w:w="0" w:type="dxa"/>
              <w:right w:w="40" w:type="dxa"/>
            </w:tcMar>
            <w:vAlign w:val="center"/>
          </w:tcPr>
          <w:p w14:paraId="3938ED84" w14:textId="77777777" w:rsidR="006227CE" w:rsidRDefault="006C5E69">
            <w:pPr>
              <w:jc w:val="center"/>
              <w:rPr>
                <w:rFonts w:ascii="Calibri" w:eastAsia="Calibri" w:hAnsi="Calibri" w:cs="Calibri"/>
                <w:sz w:val="22"/>
                <w:szCs w:val="22"/>
              </w:rPr>
            </w:pPr>
            <w:r>
              <w:rPr>
                <w:b/>
                <w:bCs/>
              </w:rPr>
              <w:t>0.09</w:t>
            </w:r>
          </w:p>
        </w:tc>
        <w:tc>
          <w:tcPr>
            <w:tcW w:w="1120" w:type="dxa"/>
            <w:tcBorders>
              <w:top w:val="single" w:sz="6" w:space="0" w:color="CCCCCC"/>
              <w:left w:val="single" w:sz="6" w:space="0" w:color="CCCCCC"/>
              <w:bottom w:val="single" w:sz="6" w:space="0" w:color="000000"/>
              <w:right w:val="single" w:sz="6" w:space="0" w:color="000000"/>
            </w:tcBorders>
            <w:shd w:val="clear" w:color="auto" w:fill="F9999C"/>
            <w:tcMar>
              <w:top w:w="0" w:type="dxa"/>
              <w:left w:w="40" w:type="dxa"/>
              <w:bottom w:w="0" w:type="dxa"/>
              <w:right w:w="40" w:type="dxa"/>
            </w:tcMar>
            <w:vAlign w:val="center"/>
          </w:tcPr>
          <w:p w14:paraId="3938ED85" w14:textId="77777777" w:rsidR="006227CE" w:rsidRDefault="006C5E69">
            <w:pPr>
              <w:jc w:val="center"/>
              <w:rPr>
                <w:rFonts w:ascii="Calibri" w:eastAsia="Calibri" w:hAnsi="Calibri" w:cs="Calibri"/>
                <w:sz w:val="22"/>
                <w:szCs w:val="22"/>
              </w:rPr>
            </w:pPr>
            <w:r>
              <w:rPr>
                <w:b/>
                <w:bCs/>
              </w:rPr>
              <w:t>0.08</w:t>
            </w:r>
          </w:p>
        </w:tc>
      </w:tr>
    </w:tbl>
    <w:p w14:paraId="5482D29B" w14:textId="77777777" w:rsidR="00E32E40" w:rsidRDefault="00E32E40">
      <w:pPr>
        <w:pStyle w:val="Heading2"/>
      </w:pPr>
      <w:bookmarkStart w:id="67" w:name="_Toc237448068"/>
    </w:p>
    <w:p w14:paraId="72310F17" w14:textId="77777777" w:rsidR="00E32E40" w:rsidRDefault="00E32E40">
      <w:pPr>
        <w:rPr>
          <w:b/>
          <w:bCs/>
          <w:sz w:val="26"/>
          <w:szCs w:val="26"/>
        </w:rPr>
      </w:pPr>
      <w:r>
        <w:br w:type="page"/>
      </w:r>
    </w:p>
    <w:p w14:paraId="3938ED87" w14:textId="39D66D6F" w:rsidR="006227CE" w:rsidRDefault="006C5E69">
      <w:pPr>
        <w:pStyle w:val="Heading2"/>
      </w:pPr>
      <w:r>
        <w:lastRenderedPageBreak/>
        <w:t>Appendix 2: Capital Rationing Analysis</w:t>
      </w:r>
      <w:bookmarkEnd w:id="67"/>
      <w:r>
        <w:t xml:space="preserve"> </w:t>
      </w:r>
    </w:p>
    <w:tbl>
      <w:tblPr>
        <w:tblStyle w:val="a2"/>
        <w:tblW w:w="9375" w:type="dxa"/>
        <w:tblBorders>
          <w:top w:val="nil"/>
          <w:left w:val="nil"/>
          <w:bottom w:val="nil"/>
          <w:right w:val="nil"/>
          <w:insideH w:val="nil"/>
          <w:insideV w:val="nil"/>
        </w:tblBorders>
        <w:tblLayout w:type="fixed"/>
        <w:tblLook w:val="0600" w:firstRow="0" w:lastRow="0" w:firstColumn="0" w:lastColumn="0" w:noHBand="1" w:noVBand="1"/>
      </w:tblPr>
      <w:tblGrid>
        <w:gridCol w:w="1693"/>
        <w:gridCol w:w="1701"/>
        <w:gridCol w:w="1418"/>
        <w:gridCol w:w="1276"/>
        <w:gridCol w:w="1275"/>
        <w:gridCol w:w="2012"/>
      </w:tblGrid>
      <w:tr w:rsidR="006227CE" w14:paraId="3938ED8E" w14:textId="77777777">
        <w:trPr>
          <w:trHeight w:val="500"/>
        </w:trPr>
        <w:tc>
          <w:tcPr>
            <w:tcW w:w="1693" w:type="dxa"/>
            <w:tcBorders>
              <w:top w:val="single" w:sz="6" w:space="0" w:color="000000"/>
              <w:left w:val="single" w:sz="6" w:space="0" w:color="000000"/>
              <w:bottom w:val="single" w:sz="6" w:space="0" w:color="000000"/>
              <w:right w:val="single" w:sz="6" w:space="0" w:color="000000"/>
            </w:tcBorders>
            <w:shd w:val="clear" w:color="auto" w:fill="F7CB4D"/>
            <w:tcMar>
              <w:top w:w="100" w:type="dxa"/>
              <w:left w:w="100" w:type="dxa"/>
              <w:bottom w:w="100" w:type="dxa"/>
              <w:right w:w="100" w:type="dxa"/>
            </w:tcMar>
          </w:tcPr>
          <w:p w14:paraId="3938ED88" w14:textId="77777777" w:rsidR="006227CE" w:rsidRDefault="006C5E69">
            <w:pPr>
              <w:spacing w:line="240" w:lineRule="auto"/>
            </w:pPr>
            <w:r>
              <w:rPr>
                <w:b/>
                <w:bCs/>
              </w:rPr>
              <w:t>Project Combination</w:t>
            </w:r>
          </w:p>
        </w:tc>
        <w:tc>
          <w:tcPr>
            <w:tcW w:w="1701" w:type="dxa"/>
            <w:tcBorders>
              <w:top w:val="single" w:sz="6" w:space="0" w:color="000000"/>
              <w:left w:val="single" w:sz="6" w:space="0" w:color="000000"/>
              <w:bottom w:val="single" w:sz="6" w:space="0" w:color="000000"/>
              <w:right w:val="single" w:sz="6" w:space="0" w:color="000000"/>
            </w:tcBorders>
            <w:shd w:val="clear" w:color="auto" w:fill="F7CB4D"/>
            <w:tcMar>
              <w:top w:w="100" w:type="dxa"/>
              <w:left w:w="100" w:type="dxa"/>
              <w:bottom w:w="100" w:type="dxa"/>
              <w:right w:w="100" w:type="dxa"/>
            </w:tcMar>
          </w:tcPr>
          <w:p w14:paraId="3938ED89" w14:textId="77777777" w:rsidR="006227CE" w:rsidRDefault="006C5E69">
            <w:pPr>
              <w:spacing w:line="240" w:lineRule="auto"/>
            </w:pPr>
            <w:r>
              <w:rPr>
                <w:b/>
                <w:bCs/>
              </w:rPr>
              <w:t>Total Investment (£m)</w:t>
            </w:r>
          </w:p>
        </w:tc>
        <w:tc>
          <w:tcPr>
            <w:tcW w:w="1418" w:type="dxa"/>
            <w:tcBorders>
              <w:top w:val="single" w:sz="6" w:space="0" w:color="000000"/>
              <w:left w:val="single" w:sz="6" w:space="0" w:color="000000"/>
              <w:bottom w:val="single" w:sz="6" w:space="0" w:color="000000"/>
              <w:right w:val="single" w:sz="6" w:space="0" w:color="000000"/>
            </w:tcBorders>
            <w:shd w:val="clear" w:color="auto" w:fill="F7CB4D"/>
            <w:tcMar>
              <w:top w:w="100" w:type="dxa"/>
              <w:left w:w="100" w:type="dxa"/>
              <w:bottom w:w="100" w:type="dxa"/>
              <w:right w:w="100" w:type="dxa"/>
            </w:tcMar>
          </w:tcPr>
          <w:p w14:paraId="3938ED8A" w14:textId="77777777" w:rsidR="006227CE" w:rsidRDefault="006C5E69">
            <w:pPr>
              <w:spacing w:line="240" w:lineRule="auto"/>
            </w:pPr>
            <w:r>
              <w:rPr>
                <w:b/>
                <w:bCs/>
              </w:rPr>
              <w:t>Combined NPV (£m)</w:t>
            </w:r>
          </w:p>
        </w:tc>
        <w:tc>
          <w:tcPr>
            <w:tcW w:w="1276" w:type="dxa"/>
            <w:tcBorders>
              <w:top w:val="single" w:sz="6" w:space="0" w:color="000000"/>
              <w:left w:val="single" w:sz="6" w:space="0" w:color="000000"/>
              <w:bottom w:val="single" w:sz="6" w:space="0" w:color="000000"/>
              <w:right w:val="single" w:sz="6" w:space="0" w:color="000000"/>
            </w:tcBorders>
            <w:shd w:val="clear" w:color="auto" w:fill="F7CB4D"/>
            <w:tcMar>
              <w:top w:w="100" w:type="dxa"/>
              <w:left w:w="100" w:type="dxa"/>
              <w:bottom w:w="100" w:type="dxa"/>
              <w:right w:w="100" w:type="dxa"/>
            </w:tcMar>
          </w:tcPr>
          <w:p w14:paraId="3938ED8B" w14:textId="77777777" w:rsidR="006227CE" w:rsidRDefault="006C5E69">
            <w:pPr>
              <w:spacing w:line="240" w:lineRule="auto"/>
            </w:pPr>
            <w:r>
              <w:rPr>
                <w:b/>
                <w:bCs/>
              </w:rPr>
              <w:t>Average PI</w:t>
            </w:r>
          </w:p>
        </w:tc>
        <w:tc>
          <w:tcPr>
            <w:tcW w:w="1275" w:type="dxa"/>
            <w:tcBorders>
              <w:top w:val="single" w:sz="6" w:space="0" w:color="000000"/>
              <w:left w:val="single" w:sz="6" w:space="0" w:color="000000"/>
              <w:bottom w:val="single" w:sz="6" w:space="0" w:color="000000"/>
              <w:right w:val="single" w:sz="6" w:space="0" w:color="000000"/>
            </w:tcBorders>
            <w:shd w:val="clear" w:color="auto" w:fill="F7CB4D"/>
            <w:tcMar>
              <w:top w:w="100" w:type="dxa"/>
              <w:left w:w="100" w:type="dxa"/>
              <w:bottom w:w="100" w:type="dxa"/>
              <w:right w:w="100" w:type="dxa"/>
            </w:tcMar>
          </w:tcPr>
          <w:p w14:paraId="3938ED8C" w14:textId="77777777" w:rsidR="006227CE" w:rsidRDefault="006C5E69">
            <w:pPr>
              <w:spacing w:line="240" w:lineRule="auto"/>
            </w:pPr>
            <w:r>
              <w:rPr>
                <w:b/>
                <w:bCs/>
              </w:rPr>
              <w:t>Average IRR</w:t>
            </w:r>
          </w:p>
        </w:tc>
        <w:tc>
          <w:tcPr>
            <w:tcW w:w="2012" w:type="dxa"/>
            <w:tcBorders>
              <w:top w:val="single" w:sz="6" w:space="0" w:color="000000"/>
              <w:left w:val="single" w:sz="6" w:space="0" w:color="000000"/>
              <w:bottom w:val="single" w:sz="6" w:space="0" w:color="000000"/>
              <w:right w:val="single" w:sz="6" w:space="0" w:color="000000"/>
            </w:tcBorders>
            <w:shd w:val="clear" w:color="auto" w:fill="F7CB4D"/>
            <w:tcMar>
              <w:top w:w="100" w:type="dxa"/>
              <w:left w:w="100" w:type="dxa"/>
              <w:bottom w:w="100" w:type="dxa"/>
              <w:right w:w="100" w:type="dxa"/>
            </w:tcMar>
          </w:tcPr>
          <w:p w14:paraId="3938ED8D" w14:textId="77777777" w:rsidR="006227CE" w:rsidRDefault="006C5E69">
            <w:pPr>
              <w:spacing w:line="240" w:lineRule="auto"/>
            </w:pPr>
            <w:r>
              <w:rPr>
                <w:b/>
                <w:bCs/>
              </w:rPr>
              <w:t>Decision</w:t>
            </w:r>
          </w:p>
        </w:tc>
      </w:tr>
      <w:tr w:rsidR="006227CE" w14:paraId="3938ED95" w14:textId="77777777">
        <w:trPr>
          <w:trHeight w:val="500"/>
        </w:trPr>
        <w:tc>
          <w:tcPr>
            <w:tcW w:w="1693"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tcPr>
          <w:p w14:paraId="3938ED8F" w14:textId="77777777" w:rsidR="006227CE" w:rsidRDefault="006C5E69">
            <w:pPr>
              <w:spacing w:line="240" w:lineRule="auto"/>
            </w:pPr>
            <w:r>
              <w:t>Project A + Project B</w:t>
            </w:r>
          </w:p>
        </w:tc>
        <w:tc>
          <w:tcPr>
            <w:tcW w:w="1701" w:type="dxa"/>
            <w:tcBorders>
              <w:top w:val="single" w:sz="6" w:space="0" w:color="000000"/>
              <w:left w:val="single" w:sz="6" w:space="0" w:color="000000"/>
              <w:bottom w:val="single" w:sz="6" w:space="0" w:color="000000"/>
              <w:right w:val="single" w:sz="6" w:space="0" w:color="000000"/>
            </w:tcBorders>
            <w:shd w:val="clear" w:color="auto" w:fill="63BE7B"/>
            <w:tcMar>
              <w:top w:w="100" w:type="dxa"/>
              <w:left w:w="100" w:type="dxa"/>
              <w:bottom w:w="100" w:type="dxa"/>
              <w:right w:w="100" w:type="dxa"/>
            </w:tcMar>
          </w:tcPr>
          <w:p w14:paraId="3938ED90" w14:textId="77777777" w:rsidR="006227CE" w:rsidRDefault="006C5E69">
            <w:pPr>
              <w:spacing w:line="240" w:lineRule="auto"/>
            </w:pPr>
            <w:r>
              <w:t>100</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tcPr>
          <w:p w14:paraId="3938ED91" w14:textId="77777777" w:rsidR="006227CE" w:rsidRDefault="00000000">
            <w:pPr>
              <w:spacing w:line="240" w:lineRule="auto"/>
            </w:pPr>
            <w:sdt>
              <w:sdtPr>
                <w:tag w:val="goog_rdk_1"/>
                <w:id w:val="1942222479"/>
              </w:sdtPr>
              <w:sdtContent>
                <w:r w:rsidR="006C5E69">
                  <w:rPr>
                    <w:rFonts w:ascii="Arial Unicode MS" w:eastAsia="Arial Unicode MS" w:hAnsi="Arial Unicode MS" w:cs="Arial Unicode MS"/>
                  </w:rPr>
                  <w:t>−12.61</w:t>
                </w:r>
              </w:sdtContent>
            </w:sdt>
          </w:p>
        </w:tc>
        <w:tc>
          <w:tcPr>
            <w:tcW w:w="1276" w:type="dxa"/>
            <w:tcBorders>
              <w:top w:val="single" w:sz="6" w:space="0" w:color="000000"/>
              <w:left w:val="single" w:sz="6" w:space="0" w:color="000000"/>
              <w:bottom w:val="single" w:sz="6" w:space="0" w:color="000000"/>
              <w:right w:val="single" w:sz="6" w:space="0" w:color="000000"/>
            </w:tcBorders>
            <w:shd w:val="clear" w:color="auto" w:fill="FBF0F3"/>
            <w:tcMar>
              <w:top w:w="100" w:type="dxa"/>
              <w:left w:w="100" w:type="dxa"/>
              <w:bottom w:w="100" w:type="dxa"/>
              <w:right w:w="100" w:type="dxa"/>
            </w:tcMar>
          </w:tcPr>
          <w:p w14:paraId="3938ED92" w14:textId="77777777" w:rsidR="006227CE" w:rsidRDefault="006C5E69">
            <w:pPr>
              <w:spacing w:line="240" w:lineRule="auto"/>
            </w:pPr>
            <w:r>
              <w:t>0.875</w:t>
            </w:r>
          </w:p>
        </w:tc>
        <w:tc>
          <w:tcPr>
            <w:tcW w:w="1275" w:type="dxa"/>
            <w:tcBorders>
              <w:top w:val="single" w:sz="6" w:space="0" w:color="000000"/>
              <w:left w:val="single" w:sz="6" w:space="0" w:color="000000"/>
              <w:bottom w:val="single" w:sz="6" w:space="0" w:color="000000"/>
              <w:right w:val="single" w:sz="6" w:space="0" w:color="000000"/>
            </w:tcBorders>
            <w:shd w:val="clear" w:color="auto" w:fill="F8696B"/>
            <w:tcMar>
              <w:top w:w="100" w:type="dxa"/>
              <w:left w:w="100" w:type="dxa"/>
              <w:bottom w:w="100" w:type="dxa"/>
              <w:right w:w="100" w:type="dxa"/>
            </w:tcMar>
          </w:tcPr>
          <w:p w14:paraId="3938ED93" w14:textId="77777777" w:rsidR="006227CE" w:rsidRDefault="006C5E69">
            <w:pPr>
              <w:spacing w:line="240" w:lineRule="auto"/>
            </w:pPr>
            <w:r>
              <w:t>3.33%</w:t>
            </w:r>
          </w:p>
        </w:tc>
        <w:tc>
          <w:tcPr>
            <w:tcW w:w="2012"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tcPr>
          <w:p w14:paraId="3938ED94" w14:textId="77777777" w:rsidR="006227CE" w:rsidRDefault="006C5E69">
            <w:pPr>
              <w:spacing w:line="240" w:lineRule="auto"/>
            </w:pPr>
            <w:r>
              <w:t>Reject</w:t>
            </w:r>
          </w:p>
        </w:tc>
      </w:tr>
      <w:tr w:rsidR="006227CE" w14:paraId="3938ED9C" w14:textId="77777777">
        <w:trPr>
          <w:trHeight w:val="500"/>
        </w:trPr>
        <w:tc>
          <w:tcPr>
            <w:tcW w:w="1693" w:type="dxa"/>
            <w:tcBorders>
              <w:top w:val="single" w:sz="6" w:space="0" w:color="000000"/>
              <w:left w:val="single" w:sz="6" w:space="0" w:color="000000"/>
              <w:bottom w:val="single" w:sz="6" w:space="0" w:color="000000"/>
              <w:right w:val="single" w:sz="6" w:space="0" w:color="000000"/>
            </w:tcBorders>
            <w:shd w:val="clear" w:color="auto" w:fill="FEF8E3"/>
            <w:tcMar>
              <w:top w:w="100" w:type="dxa"/>
              <w:left w:w="100" w:type="dxa"/>
              <w:bottom w:w="100" w:type="dxa"/>
              <w:right w:w="100" w:type="dxa"/>
            </w:tcMar>
          </w:tcPr>
          <w:p w14:paraId="3938ED96" w14:textId="77777777" w:rsidR="006227CE" w:rsidRDefault="006C5E69">
            <w:pPr>
              <w:spacing w:line="240" w:lineRule="auto"/>
            </w:pPr>
            <w:r>
              <w:t>Project A + Project C</w:t>
            </w:r>
          </w:p>
        </w:tc>
        <w:tc>
          <w:tcPr>
            <w:tcW w:w="1701" w:type="dxa"/>
            <w:tcBorders>
              <w:top w:val="single" w:sz="6" w:space="0" w:color="000000"/>
              <w:left w:val="single" w:sz="6" w:space="0" w:color="000000"/>
              <w:bottom w:val="single" w:sz="6" w:space="0" w:color="000000"/>
              <w:right w:val="single" w:sz="6" w:space="0" w:color="000000"/>
            </w:tcBorders>
            <w:shd w:val="clear" w:color="auto" w:fill="63BE7B"/>
            <w:tcMar>
              <w:top w:w="100" w:type="dxa"/>
              <w:left w:w="100" w:type="dxa"/>
              <w:bottom w:w="100" w:type="dxa"/>
              <w:right w:w="100" w:type="dxa"/>
            </w:tcMar>
          </w:tcPr>
          <w:p w14:paraId="3938ED97" w14:textId="77777777" w:rsidR="006227CE" w:rsidRDefault="006C5E69">
            <w:pPr>
              <w:spacing w:line="240" w:lineRule="auto"/>
            </w:pPr>
            <w:r>
              <w:t>100</w:t>
            </w:r>
          </w:p>
        </w:tc>
        <w:tc>
          <w:tcPr>
            <w:tcW w:w="1418" w:type="dxa"/>
            <w:tcBorders>
              <w:top w:val="single" w:sz="6" w:space="0" w:color="000000"/>
              <w:left w:val="single" w:sz="6" w:space="0" w:color="000000"/>
              <w:bottom w:val="single" w:sz="6" w:space="0" w:color="000000"/>
              <w:right w:val="single" w:sz="6" w:space="0" w:color="000000"/>
            </w:tcBorders>
            <w:shd w:val="clear" w:color="auto" w:fill="FEF8E3"/>
            <w:tcMar>
              <w:top w:w="100" w:type="dxa"/>
              <w:left w:w="100" w:type="dxa"/>
              <w:bottom w:w="100" w:type="dxa"/>
              <w:right w:w="100" w:type="dxa"/>
            </w:tcMar>
          </w:tcPr>
          <w:p w14:paraId="3938ED98" w14:textId="77777777" w:rsidR="006227CE" w:rsidRDefault="00000000">
            <w:pPr>
              <w:spacing w:line="240" w:lineRule="auto"/>
            </w:pPr>
            <w:sdt>
              <w:sdtPr>
                <w:tag w:val="goog_rdk_2"/>
                <w:id w:val="1360174329"/>
              </w:sdtPr>
              <w:sdtContent>
                <w:r w:rsidR="006C5E69">
                  <w:rPr>
                    <w:rFonts w:ascii="Arial Unicode MS" w:eastAsia="Arial Unicode MS" w:hAnsi="Arial Unicode MS" w:cs="Arial Unicode MS"/>
                  </w:rPr>
                  <w:t>−5.67</w:t>
                </w:r>
              </w:sdtContent>
            </w:sdt>
          </w:p>
        </w:tc>
        <w:tc>
          <w:tcPr>
            <w:tcW w:w="1276" w:type="dxa"/>
            <w:tcBorders>
              <w:top w:val="single" w:sz="6" w:space="0" w:color="000000"/>
              <w:left w:val="single" w:sz="6" w:space="0" w:color="000000"/>
              <w:bottom w:val="single" w:sz="6" w:space="0" w:color="000000"/>
              <w:right w:val="single" w:sz="6" w:space="0" w:color="000000"/>
            </w:tcBorders>
            <w:shd w:val="clear" w:color="auto" w:fill="FCFCFF"/>
            <w:tcMar>
              <w:top w:w="100" w:type="dxa"/>
              <w:left w:w="100" w:type="dxa"/>
              <w:bottom w:w="100" w:type="dxa"/>
              <w:right w:w="100" w:type="dxa"/>
            </w:tcMar>
          </w:tcPr>
          <w:p w14:paraId="3938ED99" w14:textId="77777777" w:rsidR="006227CE" w:rsidRDefault="006C5E69">
            <w:r>
              <w:t>0.945</w:t>
            </w:r>
          </w:p>
        </w:tc>
        <w:tc>
          <w:tcPr>
            <w:tcW w:w="1275" w:type="dxa"/>
            <w:tcBorders>
              <w:top w:val="single" w:sz="6" w:space="0" w:color="000000"/>
              <w:left w:val="single" w:sz="6" w:space="0" w:color="000000"/>
              <w:bottom w:val="single" w:sz="6" w:space="0" w:color="000000"/>
              <w:right w:val="single" w:sz="6" w:space="0" w:color="000000"/>
            </w:tcBorders>
            <w:shd w:val="clear" w:color="auto" w:fill="F86D6F"/>
            <w:tcMar>
              <w:top w:w="100" w:type="dxa"/>
              <w:left w:w="100" w:type="dxa"/>
              <w:bottom w:w="100" w:type="dxa"/>
              <w:right w:w="100" w:type="dxa"/>
            </w:tcMar>
          </w:tcPr>
          <w:p w14:paraId="3938ED9A" w14:textId="77777777" w:rsidR="006227CE" w:rsidRDefault="006C5E69">
            <w:pPr>
              <w:spacing w:line="240" w:lineRule="auto"/>
            </w:pPr>
            <w:r>
              <w:t>5.83%</w:t>
            </w:r>
          </w:p>
        </w:tc>
        <w:tc>
          <w:tcPr>
            <w:tcW w:w="2012" w:type="dxa"/>
            <w:tcBorders>
              <w:top w:val="single" w:sz="6" w:space="0" w:color="000000"/>
              <w:left w:val="single" w:sz="6" w:space="0" w:color="000000"/>
              <w:bottom w:val="single" w:sz="6" w:space="0" w:color="000000"/>
              <w:right w:val="single" w:sz="6" w:space="0" w:color="000000"/>
            </w:tcBorders>
            <w:shd w:val="clear" w:color="auto" w:fill="FEF8E3"/>
            <w:tcMar>
              <w:top w:w="100" w:type="dxa"/>
              <w:left w:w="100" w:type="dxa"/>
              <w:bottom w:w="100" w:type="dxa"/>
              <w:right w:w="100" w:type="dxa"/>
            </w:tcMar>
          </w:tcPr>
          <w:p w14:paraId="3938ED9B" w14:textId="77777777" w:rsidR="006227CE" w:rsidRDefault="006C5E69">
            <w:pPr>
              <w:spacing w:line="240" w:lineRule="auto"/>
            </w:pPr>
            <w:r>
              <w:t>Less Preferred</w:t>
            </w:r>
          </w:p>
        </w:tc>
      </w:tr>
      <w:tr w:rsidR="006227CE" w14:paraId="3938EDA3" w14:textId="77777777">
        <w:trPr>
          <w:trHeight w:val="415"/>
        </w:trPr>
        <w:tc>
          <w:tcPr>
            <w:tcW w:w="1693"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tcPr>
          <w:p w14:paraId="3938ED9D" w14:textId="77777777" w:rsidR="006227CE" w:rsidRDefault="006C5E69">
            <w:pPr>
              <w:spacing w:line="240" w:lineRule="auto"/>
            </w:pPr>
            <w:r>
              <w:t>Project B + Project C</w:t>
            </w:r>
          </w:p>
        </w:tc>
        <w:tc>
          <w:tcPr>
            <w:tcW w:w="1701" w:type="dxa"/>
            <w:tcBorders>
              <w:top w:val="single" w:sz="6" w:space="0" w:color="000000"/>
              <w:left w:val="single" w:sz="6" w:space="0" w:color="000000"/>
              <w:bottom w:val="single" w:sz="6" w:space="0" w:color="000000"/>
              <w:right w:val="single" w:sz="6" w:space="0" w:color="000000"/>
            </w:tcBorders>
            <w:shd w:val="clear" w:color="auto" w:fill="63BE7B"/>
            <w:tcMar>
              <w:top w:w="100" w:type="dxa"/>
              <w:left w:w="100" w:type="dxa"/>
              <w:bottom w:w="100" w:type="dxa"/>
              <w:right w:w="100" w:type="dxa"/>
            </w:tcMar>
          </w:tcPr>
          <w:p w14:paraId="3938ED9E" w14:textId="77777777" w:rsidR="006227CE" w:rsidRDefault="006C5E69">
            <w:pPr>
              <w:spacing w:line="240" w:lineRule="auto"/>
            </w:pPr>
            <w:r>
              <w:t>100</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tcPr>
          <w:p w14:paraId="3938ED9F" w14:textId="77777777" w:rsidR="006227CE" w:rsidRDefault="00000000">
            <w:pPr>
              <w:spacing w:line="240" w:lineRule="auto"/>
            </w:pPr>
            <w:sdt>
              <w:sdtPr>
                <w:tag w:val="goog_rdk_3"/>
                <w:id w:val="1555547241"/>
              </w:sdtPr>
              <w:sdtContent>
                <w:r w:rsidR="006C5E69">
                  <w:rPr>
                    <w:rFonts w:ascii="Arial Unicode MS" w:eastAsia="Arial Unicode MS" w:hAnsi="Arial Unicode MS" w:cs="Arial Unicode MS"/>
                  </w:rPr>
                  <w:t>−5.20</w:t>
                </w:r>
              </w:sdtContent>
            </w:sdt>
          </w:p>
        </w:tc>
        <w:tc>
          <w:tcPr>
            <w:tcW w:w="1276" w:type="dxa"/>
            <w:tcBorders>
              <w:top w:val="single" w:sz="6" w:space="0" w:color="000000"/>
              <w:left w:val="single" w:sz="6" w:space="0" w:color="000000"/>
              <w:bottom w:val="single" w:sz="6" w:space="0" w:color="000000"/>
              <w:right w:val="single" w:sz="6" w:space="0" w:color="000000"/>
            </w:tcBorders>
            <w:shd w:val="clear" w:color="auto" w:fill="FCFCFF"/>
            <w:tcMar>
              <w:top w:w="100" w:type="dxa"/>
              <w:left w:w="100" w:type="dxa"/>
              <w:bottom w:w="100" w:type="dxa"/>
              <w:right w:w="100" w:type="dxa"/>
            </w:tcMar>
          </w:tcPr>
          <w:p w14:paraId="3938EDA0" w14:textId="77777777" w:rsidR="006227CE" w:rsidRDefault="006C5E69">
            <w:pPr>
              <w:spacing w:line="240" w:lineRule="auto"/>
            </w:pPr>
            <w:r>
              <w:t>0.95</w:t>
            </w:r>
          </w:p>
        </w:tc>
        <w:tc>
          <w:tcPr>
            <w:tcW w:w="1275" w:type="dxa"/>
            <w:tcBorders>
              <w:top w:val="single" w:sz="6" w:space="0" w:color="000000"/>
              <w:left w:val="single" w:sz="6" w:space="0" w:color="000000"/>
              <w:bottom w:val="single" w:sz="6" w:space="0" w:color="000000"/>
              <w:right w:val="single" w:sz="6" w:space="0" w:color="000000"/>
            </w:tcBorders>
            <w:shd w:val="clear" w:color="auto" w:fill="F86D6F"/>
            <w:tcMar>
              <w:top w:w="100" w:type="dxa"/>
              <w:left w:w="100" w:type="dxa"/>
              <w:bottom w:w="100" w:type="dxa"/>
              <w:right w:w="100" w:type="dxa"/>
            </w:tcMar>
          </w:tcPr>
          <w:p w14:paraId="3938EDA1" w14:textId="77777777" w:rsidR="006227CE" w:rsidRDefault="006C5E69">
            <w:pPr>
              <w:spacing w:line="240" w:lineRule="auto"/>
            </w:pPr>
            <w:r>
              <w:t>6.11%</w:t>
            </w:r>
          </w:p>
        </w:tc>
        <w:tc>
          <w:tcPr>
            <w:tcW w:w="2012"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tcPr>
          <w:p w14:paraId="3938EDA2" w14:textId="77777777" w:rsidR="006227CE" w:rsidRDefault="006C5E69">
            <w:pPr>
              <w:spacing w:line="240" w:lineRule="auto"/>
            </w:pPr>
            <w:r>
              <w:t>Preferred Option</w:t>
            </w:r>
          </w:p>
        </w:tc>
      </w:tr>
    </w:tbl>
    <w:p w14:paraId="3938EDA4" w14:textId="77777777" w:rsidR="006227CE" w:rsidRDefault="006227CE"/>
    <w:p w14:paraId="3938EDA5" w14:textId="77777777" w:rsidR="006227CE" w:rsidRDefault="006227CE">
      <w:pPr>
        <w:pStyle w:val="Heading2"/>
      </w:pPr>
    </w:p>
    <w:p w14:paraId="3938EDA6" w14:textId="77777777" w:rsidR="006227CE" w:rsidRDefault="006C5E69">
      <w:r>
        <w:br w:type="page"/>
      </w:r>
    </w:p>
    <w:p w14:paraId="3938EDA7" w14:textId="1EE108D7" w:rsidR="006227CE" w:rsidRDefault="006C5E69">
      <w:pPr>
        <w:pStyle w:val="Heading2"/>
        <w:spacing w:before="280" w:after="80"/>
      </w:pPr>
      <w:bookmarkStart w:id="68" w:name="_heading=h.vpo5wof30ls4" w:colFirst="0" w:colLast="0"/>
      <w:bookmarkStart w:id="69" w:name="_Toc237448069"/>
      <w:bookmarkEnd w:id="68"/>
      <w:r>
        <w:lastRenderedPageBreak/>
        <w:t xml:space="preserve">Appendix 3: </w:t>
      </w:r>
      <w:r w:rsidR="00E97369">
        <w:t xml:space="preserve">Five years </w:t>
      </w:r>
      <w:r>
        <w:t>P</w:t>
      </w:r>
      <w:bookmarkEnd w:id="69"/>
      <w:r w:rsidR="00562958">
        <w:t>roject analysis</w:t>
      </w:r>
      <w:r>
        <w:t xml:space="preserve"> </w:t>
      </w:r>
    </w:p>
    <w:tbl>
      <w:tblPr>
        <w:tblStyle w:val="a3"/>
        <w:tblW w:w="9360" w:type="dxa"/>
        <w:tblBorders>
          <w:top w:val="nil"/>
          <w:left w:val="nil"/>
          <w:bottom w:val="nil"/>
          <w:right w:val="nil"/>
          <w:insideH w:val="nil"/>
          <w:insideV w:val="nil"/>
        </w:tblBorders>
        <w:tblLayout w:type="fixed"/>
        <w:tblLook w:val="0600" w:firstRow="0" w:lastRow="0" w:firstColumn="0" w:lastColumn="0" w:noHBand="1" w:noVBand="1"/>
      </w:tblPr>
      <w:tblGrid>
        <w:gridCol w:w="738"/>
        <w:gridCol w:w="2722"/>
        <w:gridCol w:w="2796"/>
        <w:gridCol w:w="3104"/>
      </w:tblGrid>
      <w:tr w:rsidR="006227CE" w14:paraId="3938EDA9" w14:textId="77777777">
        <w:trPr>
          <w:trHeight w:val="770"/>
        </w:trPr>
        <w:tc>
          <w:tcPr>
            <w:tcW w:w="9358" w:type="dxa"/>
            <w:gridSpan w:val="4"/>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38EDA8" w14:textId="77777777" w:rsidR="006227CE" w:rsidRDefault="006C5E69">
            <w:pPr>
              <w:jc w:val="center"/>
              <w:rPr>
                <w:b/>
                <w:bCs/>
              </w:rPr>
            </w:pPr>
            <w:r>
              <w:rPr>
                <w:b/>
                <w:bCs/>
              </w:rPr>
              <w:t>PROJECT A</w:t>
            </w:r>
          </w:p>
        </w:tc>
      </w:tr>
      <w:tr w:rsidR="006227CE" w14:paraId="3938EDAE" w14:textId="77777777">
        <w:trPr>
          <w:trHeight w:val="770"/>
        </w:trPr>
        <w:tc>
          <w:tcPr>
            <w:tcW w:w="7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38EDAA" w14:textId="77777777" w:rsidR="006227CE" w:rsidRDefault="006C5E69">
            <w:pPr>
              <w:jc w:val="center"/>
            </w:pPr>
            <w:r>
              <w:rPr>
                <w:b/>
                <w:bCs/>
              </w:rPr>
              <w:t>Year</w:t>
            </w:r>
          </w:p>
        </w:tc>
        <w:tc>
          <w:tcPr>
            <w:tcW w:w="27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38EDAB" w14:textId="77777777" w:rsidR="006227CE" w:rsidRDefault="006C5E69">
            <w:pPr>
              <w:jc w:val="center"/>
            </w:pPr>
            <w:r>
              <w:rPr>
                <w:b/>
                <w:bCs/>
              </w:rPr>
              <w:t>Undiscounted Free Cash Flows (£m)</w:t>
            </w:r>
          </w:p>
        </w:tc>
        <w:tc>
          <w:tcPr>
            <w:tcW w:w="2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38EDAC" w14:textId="77777777" w:rsidR="006227CE" w:rsidRDefault="006C5E69">
            <w:pPr>
              <w:jc w:val="center"/>
            </w:pPr>
            <w:r>
              <w:rPr>
                <w:b/>
                <w:bCs/>
              </w:rPr>
              <w:t>Discounted Free Cash Flows at 8% (£m)</w:t>
            </w:r>
          </w:p>
        </w:tc>
        <w:tc>
          <w:tcPr>
            <w:tcW w:w="31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38EDAD" w14:textId="77777777" w:rsidR="006227CE" w:rsidRDefault="006C5E69">
            <w:pPr>
              <w:jc w:val="center"/>
            </w:pPr>
            <w:r>
              <w:rPr>
                <w:b/>
                <w:bCs/>
              </w:rPr>
              <w:t>Cumulative Discounted Free Cash Flows (£m)</w:t>
            </w:r>
          </w:p>
        </w:tc>
      </w:tr>
      <w:tr w:rsidR="006227CE" w14:paraId="3938EDB3" w14:textId="77777777">
        <w:trPr>
          <w:trHeight w:val="500"/>
        </w:trPr>
        <w:tc>
          <w:tcPr>
            <w:tcW w:w="7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38EDAF" w14:textId="77777777" w:rsidR="006227CE" w:rsidRDefault="006C5E69">
            <w:r>
              <w:t>0</w:t>
            </w:r>
          </w:p>
        </w:tc>
        <w:tc>
          <w:tcPr>
            <w:tcW w:w="27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38EDB0" w14:textId="77777777" w:rsidR="006227CE" w:rsidRDefault="00000000">
            <w:sdt>
              <w:sdtPr>
                <w:tag w:val="goog_rdk_4"/>
                <w:id w:val="1813565979"/>
              </w:sdtPr>
              <w:sdtContent>
                <w:r w:rsidR="006C5E69">
                  <w:rPr>
                    <w:rFonts w:ascii="Arial Unicode MS" w:eastAsia="Arial Unicode MS" w:hAnsi="Arial Unicode MS" w:cs="Arial Unicode MS"/>
                  </w:rPr>
                  <w:t>−50.00</w:t>
                </w:r>
              </w:sdtContent>
            </w:sdt>
          </w:p>
        </w:tc>
        <w:tc>
          <w:tcPr>
            <w:tcW w:w="2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38EDB1" w14:textId="77777777" w:rsidR="006227CE" w:rsidRDefault="00000000">
            <w:sdt>
              <w:sdtPr>
                <w:tag w:val="goog_rdk_5"/>
                <w:id w:val="-1584601681"/>
              </w:sdtPr>
              <w:sdtContent>
                <w:r w:rsidR="006C5E69">
                  <w:rPr>
                    <w:rFonts w:ascii="Arial Unicode MS" w:eastAsia="Arial Unicode MS" w:hAnsi="Arial Unicode MS" w:cs="Arial Unicode MS"/>
                  </w:rPr>
                  <w:t>−50.00</w:t>
                </w:r>
              </w:sdtContent>
            </w:sdt>
          </w:p>
        </w:tc>
        <w:tc>
          <w:tcPr>
            <w:tcW w:w="31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38EDB2" w14:textId="77777777" w:rsidR="006227CE" w:rsidRDefault="00000000">
            <w:sdt>
              <w:sdtPr>
                <w:tag w:val="goog_rdk_6"/>
                <w:id w:val="-1114936735"/>
              </w:sdtPr>
              <w:sdtContent>
                <w:r w:rsidR="006C5E69">
                  <w:rPr>
                    <w:rFonts w:ascii="Arial Unicode MS" w:eastAsia="Arial Unicode MS" w:hAnsi="Arial Unicode MS" w:cs="Arial Unicode MS"/>
                  </w:rPr>
                  <w:t>−50.00</w:t>
                </w:r>
              </w:sdtContent>
            </w:sdt>
          </w:p>
        </w:tc>
      </w:tr>
      <w:tr w:rsidR="006227CE" w14:paraId="3938EDB8" w14:textId="77777777">
        <w:trPr>
          <w:trHeight w:val="500"/>
        </w:trPr>
        <w:tc>
          <w:tcPr>
            <w:tcW w:w="7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38EDB4" w14:textId="77777777" w:rsidR="006227CE" w:rsidRDefault="006C5E69">
            <w:r>
              <w:t>1</w:t>
            </w:r>
          </w:p>
        </w:tc>
        <w:tc>
          <w:tcPr>
            <w:tcW w:w="27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38EDB5" w14:textId="77777777" w:rsidR="006227CE" w:rsidRDefault="006C5E69">
            <w:r>
              <w:t>10.00</w:t>
            </w:r>
          </w:p>
        </w:tc>
        <w:tc>
          <w:tcPr>
            <w:tcW w:w="2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38EDB6" w14:textId="77777777" w:rsidR="006227CE" w:rsidRDefault="006C5E69">
            <w:r>
              <w:t>9.26</w:t>
            </w:r>
          </w:p>
        </w:tc>
        <w:tc>
          <w:tcPr>
            <w:tcW w:w="31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38EDB7" w14:textId="77777777" w:rsidR="006227CE" w:rsidRDefault="00000000">
            <w:sdt>
              <w:sdtPr>
                <w:tag w:val="goog_rdk_7"/>
                <w:id w:val="-48879487"/>
              </w:sdtPr>
              <w:sdtContent>
                <w:r w:rsidR="006C5E69">
                  <w:rPr>
                    <w:rFonts w:ascii="Arial Unicode MS" w:eastAsia="Arial Unicode MS" w:hAnsi="Arial Unicode MS" w:cs="Arial Unicode MS"/>
                  </w:rPr>
                  <w:t>−40.74</w:t>
                </w:r>
              </w:sdtContent>
            </w:sdt>
          </w:p>
        </w:tc>
      </w:tr>
      <w:tr w:rsidR="006227CE" w14:paraId="3938EDBD" w14:textId="77777777">
        <w:trPr>
          <w:trHeight w:val="500"/>
        </w:trPr>
        <w:tc>
          <w:tcPr>
            <w:tcW w:w="7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38EDB9" w14:textId="77777777" w:rsidR="006227CE" w:rsidRDefault="006C5E69">
            <w:r>
              <w:t>2</w:t>
            </w:r>
          </w:p>
        </w:tc>
        <w:tc>
          <w:tcPr>
            <w:tcW w:w="27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38EDBA" w14:textId="77777777" w:rsidR="006227CE" w:rsidRDefault="006C5E69">
            <w:r>
              <w:t>12.00</w:t>
            </w:r>
          </w:p>
        </w:tc>
        <w:tc>
          <w:tcPr>
            <w:tcW w:w="2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38EDBB" w14:textId="77777777" w:rsidR="006227CE" w:rsidRDefault="006C5E69">
            <w:r>
              <w:t>10.28</w:t>
            </w:r>
          </w:p>
        </w:tc>
        <w:tc>
          <w:tcPr>
            <w:tcW w:w="31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38EDBC" w14:textId="77777777" w:rsidR="006227CE" w:rsidRDefault="00000000">
            <w:sdt>
              <w:sdtPr>
                <w:tag w:val="goog_rdk_8"/>
                <w:id w:val="913837987"/>
              </w:sdtPr>
              <w:sdtContent>
                <w:r w:rsidR="006C5E69">
                  <w:rPr>
                    <w:rFonts w:ascii="Arial Unicode MS" w:eastAsia="Arial Unicode MS" w:hAnsi="Arial Unicode MS" w:cs="Arial Unicode MS"/>
                  </w:rPr>
                  <w:t>−30.46</w:t>
                </w:r>
              </w:sdtContent>
            </w:sdt>
          </w:p>
        </w:tc>
      </w:tr>
      <w:tr w:rsidR="006227CE" w14:paraId="3938EDC2" w14:textId="77777777">
        <w:trPr>
          <w:trHeight w:val="500"/>
        </w:trPr>
        <w:tc>
          <w:tcPr>
            <w:tcW w:w="7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38EDBE" w14:textId="77777777" w:rsidR="006227CE" w:rsidRDefault="006C5E69">
            <w:r>
              <w:t>3</w:t>
            </w:r>
          </w:p>
        </w:tc>
        <w:tc>
          <w:tcPr>
            <w:tcW w:w="27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38EDBF" w14:textId="77777777" w:rsidR="006227CE" w:rsidRDefault="006C5E69">
            <w:r>
              <w:t>14.00</w:t>
            </w:r>
          </w:p>
        </w:tc>
        <w:tc>
          <w:tcPr>
            <w:tcW w:w="2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38EDC0" w14:textId="77777777" w:rsidR="006227CE" w:rsidRDefault="006C5E69">
            <w:r>
              <w:t>11.12</w:t>
            </w:r>
          </w:p>
        </w:tc>
        <w:tc>
          <w:tcPr>
            <w:tcW w:w="31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38EDC1" w14:textId="77777777" w:rsidR="006227CE" w:rsidRDefault="00000000">
            <w:sdt>
              <w:sdtPr>
                <w:tag w:val="goog_rdk_9"/>
                <w:id w:val="-1228132761"/>
              </w:sdtPr>
              <w:sdtContent>
                <w:r w:rsidR="006C5E69">
                  <w:rPr>
                    <w:rFonts w:ascii="Arial Unicode MS" w:eastAsia="Arial Unicode MS" w:hAnsi="Arial Unicode MS" w:cs="Arial Unicode MS"/>
                  </w:rPr>
                  <w:t>−19.34</w:t>
                </w:r>
              </w:sdtContent>
            </w:sdt>
          </w:p>
        </w:tc>
      </w:tr>
      <w:tr w:rsidR="006227CE" w14:paraId="3938EDC7" w14:textId="77777777">
        <w:trPr>
          <w:trHeight w:val="500"/>
        </w:trPr>
        <w:tc>
          <w:tcPr>
            <w:tcW w:w="7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38EDC3" w14:textId="77777777" w:rsidR="006227CE" w:rsidRDefault="006C5E69">
            <w:r>
              <w:t>4</w:t>
            </w:r>
          </w:p>
        </w:tc>
        <w:tc>
          <w:tcPr>
            <w:tcW w:w="27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38EDC4" w14:textId="77777777" w:rsidR="006227CE" w:rsidRDefault="006C5E69">
            <w:r>
              <w:t>10.00</w:t>
            </w:r>
          </w:p>
        </w:tc>
        <w:tc>
          <w:tcPr>
            <w:tcW w:w="2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38EDC5" w14:textId="77777777" w:rsidR="006227CE" w:rsidRDefault="006C5E69">
            <w:r>
              <w:t>7.35</w:t>
            </w:r>
          </w:p>
        </w:tc>
        <w:tc>
          <w:tcPr>
            <w:tcW w:w="31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38EDC6" w14:textId="77777777" w:rsidR="006227CE" w:rsidRDefault="00000000">
            <w:sdt>
              <w:sdtPr>
                <w:tag w:val="goog_rdk_10"/>
                <w:id w:val="-10064830"/>
              </w:sdtPr>
              <w:sdtContent>
                <w:r w:rsidR="006C5E69">
                  <w:rPr>
                    <w:rFonts w:ascii="Arial Unicode MS" w:eastAsia="Arial Unicode MS" w:hAnsi="Arial Unicode MS" w:cs="Arial Unicode MS"/>
                  </w:rPr>
                  <w:t>−11.99</w:t>
                </w:r>
              </w:sdtContent>
            </w:sdt>
          </w:p>
        </w:tc>
      </w:tr>
      <w:tr w:rsidR="006227CE" w14:paraId="3938EDCC" w14:textId="77777777">
        <w:trPr>
          <w:trHeight w:val="500"/>
        </w:trPr>
        <w:tc>
          <w:tcPr>
            <w:tcW w:w="7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38EDC8" w14:textId="77777777" w:rsidR="006227CE" w:rsidRDefault="006C5E69">
            <w:r>
              <w:t>5</w:t>
            </w:r>
          </w:p>
        </w:tc>
        <w:tc>
          <w:tcPr>
            <w:tcW w:w="27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38EDC9" w14:textId="77777777" w:rsidR="006227CE" w:rsidRDefault="006C5E69">
            <w:r>
              <w:t>8.00</w:t>
            </w:r>
          </w:p>
        </w:tc>
        <w:tc>
          <w:tcPr>
            <w:tcW w:w="2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38EDCA" w14:textId="77777777" w:rsidR="006227CE" w:rsidRDefault="006C5E69">
            <w:r>
              <w:t>5.45</w:t>
            </w:r>
          </w:p>
        </w:tc>
        <w:tc>
          <w:tcPr>
            <w:tcW w:w="31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38EDCB" w14:textId="77777777" w:rsidR="006227CE" w:rsidRDefault="00000000">
            <w:sdt>
              <w:sdtPr>
                <w:tag w:val="goog_rdk_11"/>
                <w:id w:val="925550638"/>
              </w:sdtPr>
              <w:sdtContent>
                <w:r w:rsidR="006C5E69">
                  <w:rPr>
                    <w:rFonts w:ascii="Arial Unicode MS" w:eastAsia="Arial Unicode MS" w:hAnsi="Arial Unicode MS" w:cs="Arial Unicode MS"/>
                  </w:rPr>
                  <w:t>−6.54</w:t>
                </w:r>
              </w:sdtContent>
            </w:sdt>
          </w:p>
        </w:tc>
      </w:tr>
      <w:tr w:rsidR="006227CE" w14:paraId="3938EDD1" w14:textId="77777777">
        <w:trPr>
          <w:trHeight w:val="500"/>
        </w:trPr>
        <w:tc>
          <w:tcPr>
            <w:tcW w:w="7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38EDCD" w14:textId="77777777" w:rsidR="006227CE" w:rsidRDefault="006C5E69">
            <w:r>
              <w:rPr>
                <w:b/>
                <w:bCs/>
              </w:rPr>
              <w:t>Total</w:t>
            </w:r>
          </w:p>
        </w:tc>
        <w:tc>
          <w:tcPr>
            <w:tcW w:w="27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38EDCE" w14:textId="77777777" w:rsidR="006227CE" w:rsidRDefault="006C5E69">
            <w:r>
              <w:rPr>
                <w:b/>
                <w:bCs/>
              </w:rPr>
              <w:t>54.00</w:t>
            </w:r>
          </w:p>
        </w:tc>
        <w:tc>
          <w:tcPr>
            <w:tcW w:w="2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38EDCF" w14:textId="77777777" w:rsidR="006227CE" w:rsidRDefault="006C5E69">
            <w:r>
              <w:rPr>
                <w:b/>
                <w:bCs/>
              </w:rPr>
              <w:t>43.46</w:t>
            </w:r>
          </w:p>
        </w:tc>
        <w:tc>
          <w:tcPr>
            <w:tcW w:w="31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38EDD0" w14:textId="77777777" w:rsidR="006227CE" w:rsidRDefault="00000000">
            <w:sdt>
              <w:sdtPr>
                <w:tag w:val="goog_rdk_12"/>
                <w:id w:val="-1815476291"/>
              </w:sdtPr>
              <w:sdtContent>
                <w:r w:rsidR="006C5E69">
                  <w:rPr>
                    <w:rFonts w:ascii="Arial Unicode MS" w:eastAsia="Arial Unicode MS" w:hAnsi="Arial Unicode MS" w:cs="Arial Unicode MS"/>
                    <w:b/>
                    <w:bCs/>
                  </w:rPr>
                  <w:t>−6.54</w:t>
                </w:r>
              </w:sdtContent>
            </w:sdt>
          </w:p>
        </w:tc>
      </w:tr>
    </w:tbl>
    <w:p w14:paraId="3938EDD2" w14:textId="77777777" w:rsidR="006227CE" w:rsidRDefault="006227CE">
      <w:pPr>
        <w:spacing w:before="280" w:after="80"/>
        <w:rPr>
          <w:b/>
          <w:bCs/>
        </w:rPr>
      </w:pPr>
    </w:p>
    <w:tbl>
      <w:tblPr>
        <w:tblStyle w:val="a4"/>
        <w:tblW w:w="9360" w:type="dxa"/>
        <w:tblBorders>
          <w:top w:val="nil"/>
          <w:left w:val="nil"/>
          <w:bottom w:val="nil"/>
          <w:right w:val="nil"/>
          <w:insideH w:val="nil"/>
          <w:insideV w:val="nil"/>
        </w:tblBorders>
        <w:tblLayout w:type="fixed"/>
        <w:tblLook w:val="0600" w:firstRow="0" w:lastRow="0" w:firstColumn="0" w:lastColumn="0" w:noHBand="1" w:noVBand="1"/>
      </w:tblPr>
      <w:tblGrid>
        <w:gridCol w:w="738"/>
        <w:gridCol w:w="2722"/>
        <w:gridCol w:w="2796"/>
        <w:gridCol w:w="3104"/>
      </w:tblGrid>
      <w:tr w:rsidR="006227CE" w14:paraId="3938EDD4" w14:textId="77777777">
        <w:trPr>
          <w:trHeight w:val="770"/>
        </w:trPr>
        <w:tc>
          <w:tcPr>
            <w:tcW w:w="9358" w:type="dxa"/>
            <w:gridSpan w:val="4"/>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38EDD3" w14:textId="77777777" w:rsidR="006227CE" w:rsidRDefault="006C5E69">
            <w:pPr>
              <w:jc w:val="center"/>
              <w:rPr>
                <w:b/>
                <w:bCs/>
              </w:rPr>
            </w:pPr>
            <w:r>
              <w:rPr>
                <w:b/>
                <w:bCs/>
              </w:rPr>
              <w:t>PROJECT B</w:t>
            </w:r>
          </w:p>
        </w:tc>
      </w:tr>
      <w:tr w:rsidR="006227CE" w14:paraId="3938EDD9" w14:textId="77777777">
        <w:trPr>
          <w:trHeight w:val="770"/>
        </w:trPr>
        <w:tc>
          <w:tcPr>
            <w:tcW w:w="7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38EDD5" w14:textId="77777777" w:rsidR="006227CE" w:rsidRDefault="006C5E69">
            <w:pPr>
              <w:jc w:val="center"/>
            </w:pPr>
            <w:r>
              <w:rPr>
                <w:b/>
                <w:bCs/>
              </w:rPr>
              <w:t>Year</w:t>
            </w:r>
          </w:p>
        </w:tc>
        <w:tc>
          <w:tcPr>
            <w:tcW w:w="27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38EDD6" w14:textId="77777777" w:rsidR="006227CE" w:rsidRDefault="006C5E69">
            <w:pPr>
              <w:jc w:val="center"/>
            </w:pPr>
            <w:r>
              <w:rPr>
                <w:b/>
                <w:bCs/>
              </w:rPr>
              <w:t>Undiscounted Free Cash Flows (£m)</w:t>
            </w:r>
          </w:p>
        </w:tc>
        <w:tc>
          <w:tcPr>
            <w:tcW w:w="2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38EDD7" w14:textId="77777777" w:rsidR="006227CE" w:rsidRDefault="006C5E69">
            <w:pPr>
              <w:jc w:val="center"/>
            </w:pPr>
            <w:r>
              <w:rPr>
                <w:b/>
                <w:bCs/>
              </w:rPr>
              <w:t>Discounted Free Cash Flows at 8% (£m)</w:t>
            </w:r>
          </w:p>
        </w:tc>
        <w:tc>
          <w:tcPr>
            <w:tcW w:w="31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38EDD8" w14:textId="77777777" w:rsidR="006227CE" w:rsidRDefault="006C5E69">
            <w:pPr>
              <w:jc w:val="center"/>
            </w:pPr>
            <w:r>
              <w:rPr>
                <w:b/>
                <w:bCs/>
              </w:rPr>
              <w:t>Cumulative Discounted Free Cash Flows (£m)</w:t>
            </w:r>
          </w:p>
        </w:tc>
      </w:tr>
      <w:tr w:rsidR="006227CE" w14:paraId="3938EDDE" w14:textId="77777777">
        <w:trPr>
          <w:trHeight w:val="500"/>
        </w:trPr>
        <w:tc>
          <w:tcPr>
            <w:tcW w:w="7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38EDDA" w14:textId="77777777" w:rsidR="006227CE" w:rsidRDefault="006C5E69">
            <w:r>
              <w:t>0</w:t>
            </w:r>
          </w:p>
        </w:tc>
        <w:tc>
          <w:tcPr>
            <w:tcW w:w="27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38EDDB" w14:textId="77777777" w:rsidR="006227CE" w:rsidRDefault="00000000">
            <w:sdt>
              <w:sdtPr>
                <w:tag w:val="goog_rdk_13"/>
                <w:id w:val="-2088617768"/>
              </w:sdtPr>
              <w:sdtContent>
                <w:r w:rsidR="006C5E69">
                  <w:rPr>
                    <w:rFonts w:ascii="Arial Unicode MS" w:eastAsia="Arial Unicode MS" w:hAnsi="Arial Unicode MS" w:cs="Arial Unicode MS"/>
                  </w:rPr>
                  <w:t>−50.00</w:t>
                </w:r>
              </w:sdtContent>
            </w:sdt>
          </w:p>
        </w:tc>
        <w:tc>
          <w:tcPr>
            <w:tcW w:w="2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38EDDC" w14:textId="77777777" w:rsidR="006227CE" w:rsidRDefault="00000000">
            <w:sdt>
              <w:sdtPr>
                <w:tag w:val="goog_rdk_14"/>
                <w:id w:val="-1965238582"/>
              </w:sdtPr>
              <w:sdtContent>
                <w:r w:rsidR="006C5E69">
                  <w:rPr>
                    <w:rFonts w:ascii="Arial Unicode MS" w:eastAsia="Arial Unicode MS" w:hAnsi="Arial Unicode MS" w:cs="Arial Unicode MS"/>
                  </w:rPr>
                  <w:t>−50.00</w:t>
                </w:r>
              </w:sdtContent>
            </w:sdt>
          </w:p>
        </w:tc>
        <w:tc>
          <w:tcPr>
            <w:tcW w:w="31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38EDDD" w14:textId="77777777" w:rsidR="006227CE" w:rsidRDefault="00000000">
            <w:sdt>
              <w:sdtPr>
                <w:tag w:val="goog_rdk_15"/>
                <w:id w:val="-389067666"/>
              </w:sdtPr>
              <w:sdtContent>
                <w:r w:rsidR="006C5E69">
                  <w:rPr>
                    <w:rFonts w:ascii="Arial Unicode MS" w:eastAsia="Arial Unicode MS" w:hAnsi="Arial Unicode MS" w:cs="Arial Unicode MS"/>
                  </w:rPr>
                  <w:t>−50.00</w:t>
                </w:r>
              </w:sdtContent>
            </w:sdt>
          </w:p>
        </w:tc>
      </w:tr>
      <w:tr w:rsidR="006227CE" w14:paraId="3938EDE3" w14:textId="77777777">
        <w:trPr>
          <w:trHeight w:val="500"/>
        </w:trPr>
        <w:tc>
          <w:tcPr>
            <w:tcW w:w="7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38EDDF" w14:textId="77777777" w:rsidR="006227CE" w:rsidRDefault="006C5E69">
            <w:r>
              <w:lastRenderedPageBreak/>
              <w:t>1</w:t>
            </w:r>
          </w:p>
        </w:tc>
        <w:tc>
          <w:tcPr>
            <w:tcW w:w="27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38EDE0" w14:textId="77777777" w:rsidR="006227CE" w:rsidRDefault="006C5E69">
            <w:r>
              <w:t>11.00</w:t>
            </w:r>
          </w:p>
        </w:tc>
        <w:tc>
          <w:tcPr>
            <w:tcW w:w="2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38EDE1" w14:textId="77777777" w:rsidR="006227CE" w:rsidRDefault="006C5E69">
            <w:r>
              <w:t>10.19</w:t>
            </w:r>
          </w:p>
        </w:tc>
        <w:tc>
          <w:tcPr>
            <w:tcW w:w="31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38EDE2" w14:textId="77777777" w:rsidR="006227CE" w:rsidRDefault="00000000">
            <w:sdt>
              <w:sdtPr>
                <w:tag w:val="goog_rdk_16"/>
                <w:id w:val="-1498375834"/>
              </w:sdtPr>
              <w:sdtContent>
                <w:r w:rsidR="006C5E69">
                  <w:rPr>
                    <w:rFonts w:ascii="Arial Unicode MS" w:eastAsia="Arial Unicode MS" w:hAnsi="Arial Unicode MS" w:cs="Arial Unicode MS"/>
                  </w:rPr>
                  <w:t>−39.81</w:t>
                </w:r>
              </w:sdtContent>
            </w:sdt>
          </w:p>
        </w:tc>
      </w:tr>
      <w:tr w:rsidR="006227CE" w14:paraId="3938EDE8" w14:textId="77777777">
        <w:trPr>
          <w:trHeight w:val="500"/>
        </w:trPr>
        <w:tc>
          <w:tcPr>
            <w:tcW w:w="7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38EDE4" w14:textId="77777777" w:rsidR="006227CE" w:rsidRDefault="006C5E69">
            <w:r>
              <w:t>2</w:t>
            </w:r>
          </w:p>
        </w:tc>
        <w:tc>
          <w:tcPr>
            <w:tcW w:w="27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38EDE5" w14:textId="77777777" w:rsidR="006227CE" w:rsidRDefault="006C5E69">
            <w:r>
              <w:t>11.00</w:t>
            </w:r>
          </w:p>
        </w:tc>
        <w:tc>
          <w:tcPr>
            <w:tcW w:w="2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38EDE6" w14:textId="77777777" w:rsidR="006227CE" w:rsidRDefault="006C5E69">
            <w:r>
              <w:t>9.43</w:t>
            </w:r>
          </w:p>
        </w:tc>
        <w:tc>
          <w:tcPr>
            <w:tcW w:w="31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38EDE7" w14:textId="77777777" w:rsidR="006227CE" w:rsidRDefault="00000000">
            <w:sdt>
              <w:sdtPr>
                <w:tag w:val="goog_rdk_17"/>
                <w:id w:val="250116767"/>
              </w:sdtPr>
              <w:sdtContent>
                <w:r w:rsidR="006C5E69">
                  <w:rPr>
                    <w:rFonts w:ascii="Arial Unicode MS" w:eastAsia="Arial Unicode MS" w:hAnsi="Arial Unicode MS" w:cs="Arial Unicode MS"/>
                  </w:rPr>
                  <w:t>−30.38</w:t>
                </w:r>
              </w:sdtContent>
            </w:sdt>
          </w:p>
        </w:tc>
      </w:tr>
      <w:tr w:rsidR="006227CE" w14:paraId="3938EDED" w14:textId="77777777">
        <w:trPr>
          <w:trHeight w:val="500"/>
        </w:trPr>
        <w:tc>
          <w:tcPr>
            <w:tcW w:w="7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38EDE9" w14:textId="77777777" w:rsidR="006227CE" w:rsidRDefault="006C5E69">
            <w:r>
              <w:t>3</w:t>
            </w:r>
          </w:p>
        </w:tc>
        <w:tc>
          <w:tcPr>
            <w:tcW w:w="27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38EDEA" w14:textId="77777777" w:rsidR="006227CE" w:rsidRDefault="006C5E69">
            <w:r>
              <w:t>11.00</w:t>
            </w:r>
          </w:p>
        </w:tc>
        <w:tc>
          <w:tcPr>
            <w:tcW w:w="2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38EDEB" w14:textId="77777777" w:rsidR="006227CE" w:rsidRDefault="006C5E69">
            <w:r>
              <w:t>8.73</w:t>
            </w:r>
          </w:p>
        </w:tc>
        <w:tc>
          <w:tcPr>
            <w:tcW w:w="31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38EDEC" w14:textId="77777777" w:rsidR="006227CE" w:rsidRDefault="00000000">
            <w:sdt>
              <w:sdtPr>
                <w:tag w:val="goog_rdk_18"/>
                <w:id w:val="949112843"/>
              </w:sdtPr>
              <w:sdtContent>
                <w:r w:rsidR="006C5E69">
                  <w:rPr>
                    <w:rFonts w:ascii="Arial Unicode MS" w:eastAsia="Arial Unicode MS" w:hAnsi="Arial Unicode MS" w:cs="Arial Unicode MS"/>
                  </w:rPr>
                  <w:t>−21.65</w:t>
                </w:r>
              </w:sdtContent>
            </w:sdt>
          </w:p>
        </w:tc>
      </w:tr>
      <w:tr w:rsidR="006227CE" w14:paraId="3938EDF2" w14:textId="77777777">
        <w:trPr>
          <w:trHeight w:val="500"/>
        </w:trPr>
        <w:tc>
          <w:tcPr>
            <w:tcW w:w="7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38EDEE" w14:textId="77777777" w:rsidR="006227CE" w:rsidRDefault="006C5E69">
            <w:r>
              <w:t>4</w:t>
            </w:r>
          </w:p>
        </w:tc>
        <w:tc>
          <w:tcPr>
            <w:tcW w:w="27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38EDEF" w14:textId="77777777" w:rsidR="006227CE" w:rsidRDefault="006C5E69">
            <w:r>
              <w:t>11.00</w:t>
            </w:r>
          </w:p>
        </w:tc>
        <w:tc>
          <w:tcPr>
            <w:tcW w:w="2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38EDF0" w14:textId="77777777" w:rsidR="006227CE" w:rsidRDefault="006C5E69">
            <w:r>
              <w:t>8.09</w:t>
            </w:r>
          </w:p>
        </w:tc>
        <w:tc>
          <w:tcPr>
            <w:tcW w:w="31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38EDF1" w14:textId="77777777" w:rsidR="006227CE" w:rsidRDefault="00000000">
            <w:sdt>
              <w:sdtPr>
                <w:tag w:val="goog_rdk_19"/>
                <w:id w:val="930974517"/>
              </w:sdtPr>
              <w:sdtContent>
                <w:r w:rsidR="006C5E69">
                  <w:rPr>
                    <w:rFonts w:ascii="Arial Unicode MS" w:eastAsia="Arial Unicode MS" w:hAnsi="Arial Unicode MS" w:cs="Arial Unicode MS"/>
                  </w:rPr>
                  <w:t>−13.56</w:t>
                </w:r>
              </w:sdtContent>
            </w:sdt>
          </w:p>
        </w:tc>
      </w:tr>
      <w:tr w:rsidR="006227CE" w14:paraId="3938EDF7" w14:textId="77777777">
        <w:trPr>
          <w:trHeight w:val="500"/>
        </w:trPr>
        <w:tc>
          <w:tcPr>
            <w:tcW w:w="7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38EDF3" w14:textId="77777777" w:rsidR="006227CE" w:rsidRDefault="006C5E69">
            <w:r>
              <w:t>5</w:t>
            </w:r>
          </w:p>
        </w:tc>
        <w:tc>
          <w:tcPr>
            <w:tcW w:w="27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38EDF4" w14:textId="77777777" w:rsidR="006227CE" w:rsidRDefault="006C5E69">
            <w:r>
              <w:t>11.00</w:t>
            </w:r>
          </w:p>
        </w:tc>
        <w:tc>
          <w:tcPr>
            <w:tcW w:w="2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38EDF5" w14:textId="77777777" w:rsidR="006227CE" w:rsidRDefault="006C5E69">
            <w:r>
              <w:t>7.49</w:t>
            </w:r>
          </w:p>
        </w:tc>
        <w:tc>
          <w:tcPr>
            <w:tcW w:w="31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38EDF6" w14:textId="77777777" w:rsidR="006227CE" w:rsidRDefault="00000000">
            <w:sdt>
              <w:sdtPr>
                <w:tag w:val="goog_rdk_20"/>
                <w:id w:val="1874618246"/>
              </w:sdtPr>
              <w:sdtContent>
                <w:r w:rsidR="006C5E69">
                  <w:rPr>
                    <w:rFonts w:ascii="Arial Unicode MS" w:eastAsia="Arial Unicode MS" w:hAnsi="Arial Unicode MS" w:cs="Arial Unicode MS"/>
                  </w:rPr>
                  <w:t>−6.07</w:t>
                </w:r>
              </w:sdtContent>
            </w:sdt>
          </w:p>
        </w:tc>
      </w:tr>
      <w:tr w:rsidR="006227CE" w14:paraId="3938EDFC" w14:textId="77777777">
        <w:trPr>
          <w:trHeight w:val="500"/>
        </w:trPr>
        <w:tc>
          <w:tcPr>
            <w:tcW w:w="7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38EDF8" w14:textId="77777777" w:rsidR="006227CE" w:rsidRDefault="006C5E69">
            <w:r>
              <w:rPr>
                <w:b/>
                <w:bCs/>
              </w:rPr>
              <w:t>Total</w:t>
            </w:r>
          </w:p>
        </w:tc>
        <w:tc>
          <w:tcPr>
            <w:tcW w:w="27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38EDF9" w14:textId="77777777" w:rsidR="006227CE" w:rsidRDefault="006C5E69">
            <w:r>
              <w:rPr>
                <w:b/>
                <w:bCs/>
              </w:rPr>
              <w:t>55.00</w:t>
            </w:r>
          </w:p>
        </w:tc>
        <w:tc>
          <w:tcPr>
            <w:tcW w:w="2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38EDFA" w14:textId="77777777" w:rsidR="006227CE" w:rsidRDefault="006C5E69">
            <w:r>
              <w:rPr>
                <w:b/>
                <w:bCs/>
              </w:rPr>
              <w:t>43.93</w:t>
            </w:r>
          </w:p>
        </w:tc>
        <w:tc>
          <w:tcPr>
            <w:tcW w:w="31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38EDFB" w14:textId="77777777" w:rsidR="006227CE" w:rsidRDefault="00000000">
            <w:sdt>
              <w:sdtPr>
                <w:tag w:val="goog_rdk_21"/>
                <w:id w:val="575301896"/>
              </w:sdtPr>
              <w:sdtContent>
                <w:r w:rsidR="006C5E69">
                  <w:rPr>
                    <w:rFonts w:ascii="Arial Unicode MS" w:eastAsia="Arial Unicode MS" w:hAnsi="Arial Unicode MS" w:cs="Arial Unicode MS"/>
                    <w:b/>
                    <w:bCs/>
                  </w:rPr>
                  <w:t>−6.07</w:t>
                </w:r>
              </w:sdtContent>
            </w:sdt>
          </w:p>
        </w:tc>
      </w:tr>
    </w:tbl>
    <w:p w14:paraId="3938EDFD" w14:textId="77777777" w:rsidR="006227CE" w:rsidRDefault="006227CE">
      <w:pPr>
        <w:spacing w:before="280" w:after="80"/>
      </w:pPr>
    </w:p>
    <w:tbl>
      <w:tblPr>
        <w:tblStyle w:val="a5"/>
        <w:tblW w:w="9360" w:type="dxa"/>
        <w:tblBorders>
          <w:top w:val="nil"/>
          <w:left w:val="nil"/>
          <w:bottom w:val="nil"/>
          <w:right w:val="nil"/>
          <w:insideH w:val="nil"/>
          <w:insideV w:val="nil"/>
        </w:tblBorders>
        <w:tblLayout w:type="fixed"/>
        <w:tblLook w:val="0600" w:firstRow="0" w:lastRow="0" w:firstColumn="0" w:lastColumn="0" w:noHBand="1" w:noVBand="1"/>
      </w:tblPr>
      <w:tblGrid>
        <w:gridCol w:w="738"/>
        <w:gridCol w:w="2722"/>
        <w:gridCol w:w="2796"/>
        <w:gridCol w:w="3104"/>
      </w:tblGrid>
      <w:tr w:rsidR="006227CE" w14:paraId="3938EDFF" w14:textId="77777777">
        <w:trPr>
          <w:trHeight w:val="770"/>
        </w:trPr>
        <w:tc>
          <w:tcPr>
            <w:tcW w:w="9358" w:type="dxa"/>
            <w:gridSpan w:val="4"/>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38EDFE" w14:textId="77777777" w:rsidR="006227CE" w:rsidRDefault="006C5E69">
            <w:pPr>
              <w:jc w:val="center"/>
              <w:rPr>
                <w:b/>
                <w:bCs/>
              </w:rPr>
            </w:pPr>
            <w:r>
              <w:rPr>
                <w:b/>
                <w:bCs/>
              </w:rPr>
              <w:t>Project C</w:t>
            </w:r>
          </w:p>
        </w:tc>
      </w:tr>
      <w:tr w:rsidR="006227CE" w14:paraId="3938EE04" w14:textId="77777777">
        <w:trPr>
          <w:trHeight w:val="770"/>
        </w:trPr>
        <w:tc>
          <w:tcPr>
            <w:tcW w:w="7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38EE00" w14:textId="77777777" w:rsidR="006227CE" w:rsidRDefault="006C5E69">
            <w:pPr>
              <w:jc w:val="center"/>
            </w:pPr>
            <w:r>
              <w:rPr>
                <w:b/>
                <w:bCs/>
              </w:rPr>
              <w:t>Year</w:t>
            </w:r>
          </w:p>
        </w:tc>
        <w:tc>
          <w:tcPr>
            <w:tcW w:w="27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38EE01" w14:textId="77777777" w:rsidR="006227CE" w:rsidRDefault="006C5E69">
            <w:pPr>
              <w:jc w:val="center"/>
            </w:pPr>
            <w:r>
              <w:rPr>
                <w:b/>
                <w:bCs/>
              </w:rPr>
              <w:t>Undiscounted Free Cash Flows (£m)</w:t>
            </w:r>
          </w:p>
        </w:tc>
        <w:tc>
          <w:tcPr>
            <w:tcW w:w="2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38EE02" w14:textId="77777777" w:rsidR="006227CE" w:rsidRDefault="006C5E69">
            <w:pPr>
              <w:jc w:val="center"/>
            </w:pPr>
            <w:r>
              <w:rPr>
                <w:b/>
                <w:bCs/>
              </w:rPr>
              <w:t>Discounted Free Cash Flows at 8% (£m)</w:t>
            </w:r>
          </w:p>
        </w:tc>
        <w:tc>
          <w:tcPr>
            <w:tcW w:w="31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38EE03" w14:textId="77777777" w:rsidR="006227CE" w:rsidRDefault="006C5E69">
            <w:pPr>
              <w:jc w:val="center"/>
            </w:pPr>
            <w:r>
              <w:rPr>
                <w:b/>
                <w:bCs/>
              </w:rPr>
              <w:t>Cumulative Discounted Free Cash Flows (£m)</w:t>
            </w:r>
          </w:p>
        </w:tc>
      </w:tr>
      <w:tr w:rsidR="006227CE" w14:paraId="3938EE09" w14:textId="77777777">
        <w:trPr>
          <w:trHeight w:val="500"/>
        </w:trPr>
        <w:tc>
          <w:tcPr>
            <w:tcW w:w="7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38EE05" w14:textId="77777777" w:rsidR="006227CE" w:rsidRDefault="006C5E69">
            <w:r>
              <w:t>0</w:t>
            </w:r>
          </w:p>
        </w:tc>
        <w:tc>
          <w:tcPr>
            <w:tcW w:w="27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38EE06" w14:textId="77777777" w:rsidR="006227CE" w:rsidRDefault="00000000">
            <w:sdt>
              <w:sdtPr>
                <w:tag w:val="goog_rdk_22"/>
                <w:id w:val="-1576442092"/>
              </w:sdtPr>
              <w:sdtContent>
                <w:r w:rsidR="006C5E69">
                  <w:rPr>
                    <w:rFonts w:ascii="Arial Unicode MS" w:eastAsia="Arial Unicode MS" w:hAnsi="Arial Unicode MS" w:cs="Arial Unicode MS"/>
                  </w:rPr>
                  <w:t>−50.00</w:t>
                </w:r>
              </w:sdtContent>
            </w:sdt>
          </w:p>
        </w:tc>
        <w:tc>
          <w:tcPr>
            <w:tcW w:w="2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38EE07" w14:textId="77777777" w:rsidR="006227CE" w:rsidRDefault="00000000">
            <w:sdt>
              <w:sdtPr>
                <w:tag w:val="goog_rdk_23"/>
                <w:id w:val="2025136553"/>
              </w:sdtPr>
              <w:sdtContent>
                <w:r w:rsidR="006C5E69">
                  <w:rPr>
                    <w:rFonts w:ascii="Arial Unicode MS" w:eastAsia="Arial Unicode MS" w:hAnsi="Arial Unicode MS" w:cs="Arial Unicode MS"/>
                  </w:rPr>
                  <w:t>−50.00</w:t>
                </w:r>
              </w:sdtContent>
            </w:sdt>
          </w:p>
        </w:tc>
        <w:tc>
          <w:tcPr>
            <w:tcW w:w="31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38EE08" w14:textId="77777777" w:rsidR="006227CE" w:rsidRDefault="00000000">
            <w:sdt>
              <w:sdtPr>
                <w:tag w:val="goog_rdk_24"/>
                <w:id w:val="119682910"/>
              </w:sdtPr>
              <w:sdtContent>
                <w:r w:rsidR="006C5E69">
                  <w:rPr>
                    <w:rFonts w:ascii="Arial Unicode MS" w:eastAsia="Arial Unicode MS" w:hAnsi="Arial Unicode MS" w:cs="Arial Unicode MS"/>
                  </w:rPr>
                  <w:t>−50.00</w:t>
                </w:r>
              </w:sdtContent>
            </w:sdt>
          </w:p>
        </w:tc>
      </w:tr>
      <w:tr w:rsidR="006227CE" w14:paraId="3938EE0E" w14:textId="77777777">
        <w:trPr>
          <w:trHeight w:val="500"/>
        </w:trPr>
        <w:tc>
          <w:tcPr>
            <w:tcW w:w="7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38EE0A" w14:textId="77777777" w:rsidR="006227CE" w:rsidRDefault="006C5E69">
            <w:r>
              <w:t>1</w:t>
            </w:r>
          </w:p>
        </w:tc>
        <w:tc>
          <w:tcPr>
            <w:tcW w:w="27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38EE0B" w14:textId="77777777" w:rsidR="006227CE" w:rsidRDefault="006C5E69">
            <w:r>
              <w:t>5.00</w:t>
            </w:r>
          </w:p>
        </w:tc>
        <w:tc>
          <w:tcPr>
            <w:tcW w:w="2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38EE0C" w14:textId="77777777" w:rsidR="006227CE" w:rsidRDefault="006C5E69">
            <w:r>
              <w:t>4.63</w:t>
            </w:r>
          </w:p>
        </w:tc>
        <w:tc>
          <w:tcPr>
            <w:tcW w:w="31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38EE0D" w14:textId="77777777" w:rsidR="006227CE" w:rsidRDefault="00000000">
            <w:sdt>
              <w:sdtPr>
                <w:tag w:val="goog_rdk_25"/>
                <w:id w:val="2048539511"/>
              </w:sdtPr>
              <w:sdtContent>
                <w:r w:rsidR="006C5E69">
                  <w:rPr>
                    <w:rFonts w:ascii="Arial Unicode MS" w:eastAsia="Arial Unicode MS" w:hAnsi="Arial Unicode MS" w:cs="Arial Unicode MS"/>
                  </w:rPr>
                  <w:t>−45.37</w:t>
                </w:r>
              </w:sdtContent>
            </w:sdt>
          </w:p>
        </w:tc>
      </w:tr>
      <w:tr w:rsidR="006227CE" w14:paraId="3938EE13" w14:textId="77777777">
        <w:trPr>
          <w:trHeight w:val="500"/>
        </w:trPr>
        <w:tc>
          <w:tcPr>
            <w:tcW w:w="7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38EE0F" w14:textId="77777777" w:rsidR="006227CE" w:rsidRDefault="006C5E69">
            <w:r>
              <w:t>2</w:t>
            </w:r>
          </w:p>
        </w:tc>
        <w:tc>
          <w:tcPr>
            <w:tcW w:w="27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38EE10" w14:textId="77777777" w:rsidR="006227CE" w:rsidRDefault="006C5E69">
            <w:r>
              <w:t>10.00</w:t>
            </w:r>
          </w:p>
        </w:tc>
        <w:tc>
          <w:tcPr>
            <w:tcW w:w="2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38EE11" w14:textId="77777777" w:rsidR="006227CE" w:rsidRDefault="006C5E69">
            <w:r>
              <w:t>8.57</w:t>
            </w:r>
          </w:p>
        </w:tc>
        <w:tc>
          <w:tcPr>
            <w:tcW w:w="31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38EE12" w14:textId="77777777" w:rsidR="006227CE" w:rsidRDefault="00000000">
            <w:sdt>
              <w:sdtPr>
                <w:tag w:val="goog_rdk_26"/>
                <w:id w:val="46160401"/>
              </w:sdtPr>
              <w:sdtContent>
                <w:r w:rsidR="006C5E69">
                  <w:rPr>
                    <w:rFonts w:ascii="Arial Unicode MS" w:eastAsia="Arial Unicode MS" w:hAnsi="Arial Unicode MS" w:cs="Arial Unicode MS"/>
                  </w:rPr>
                  <w:t>−36.80</w:t>
                </w:r>
              </w:sdtContent>
            </w:sdt>
          </w:p>
        </w:tc>
      </w:tr>
      <w:tr w:rsidR="006227CE" w14:paraId="3938EE18" w14:textId="77777777">
        <w:trPr>
          <w:trHeight w:val="500"/>
        </w:trPr>
        <w:tc>
          <w:tcPr>
            <w:tcW w:w="7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38EE14" w14:textId="77777777" w:rsidR="006227CE" w:rsidRDefault="006C5E69">
            <w:r>
              <w:t>3</w:t>
            </w:r>
          </w:p>
        </w:tc>
        <w:tc>
          <w:tcPr>
            <w:tcW w:w="27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38EE15" w14:textId="77777777" w:rsidR="006227CE" w:rsidRDefault="006C5E69">
            <w:r>
              <w:t>20.00</w:t>
            </w:r>
          </w:p>
        </w:tc>
        <w:tc>
          <w:tcPr>
            <w:tcW w:w="2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38EE16" w14:textId="77777777" w:rsidR="006227CE" w:rsidRDefault="006C5E69">
            <w:r>
              <w:t>15.88</w:t>
            </w:r>
          </w:p>
        </w:tc>
        <w:tc>
          <w:tcPr>
            <w:tcW w:w="31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38EE17" w14:textId="77777777" w:rsidR="006227CE" w:rsidRDefault="00000000">
            <w:sdt>
              <w:sdtPr>
                <w:tag w:val="goog_rdk_27"/>
                <w:id w:val="378134065"/>
              </w:sdtPr>
              <w:sdtContent>
                <w:r w:rsidR="006C5E69">
                  <w:rPr>
                    <w:rFonts w:ascii="Arial Unicode MS" w:eastAsia="Arial Unicode MS" w:hAnsi="Arial Unicode MS" w:cs="Arial Unicode MS"/>
                  </w:rPr>
                  <w:t>−20.92</w:t>
                </w:r>
              </w:sdtContent>
            </w:sdt>
          </w:p>
        </w:tc>
      </w:tr>
      <w:tr w:rsidR="006227CE" w14:paraId="3938EE1D" w14:textId="77777777">
        <w:trPr>
          <w:trHeight w:val="500"/>
        </w:trPr>
        <w:tc>
          <w:tcPr>
            <w:tcW w:w="7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38EE19" w14:textId="77777777" w:rsidR="006227CE" w:rsidRDefault="006C5E69">
            <w:r>
              <w:t>4</w:t>
            </w:r>
          </w:p>
        </w:tc>
        <w:tc>
          <w:tcPr>
            <w:tcW w:w="27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38EE1A" w14:textId="77777777" w:rsidR="006227CE" w:rsidRDefault="006C5E69">
            <w:r>
              <w:t>25.00</w:t>
            </w:r>
          </w:p>
        </w:tc>
        <w:tc>
          <w:tcPr>
            <w:tcW w:w="2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38EE1B" w14:textId="77777777" w:rsidR="006227CE" w:rsidRDefault="006C5E69">
            <w:r>
              <w:t>18.38</w:t>
            </w:r>
          </w:p>
        </w:tc>
        <w:tc>
          <w:tcPr>
            <w:tcW w:w="31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38EE1C" w14:textId="77777777" w:rsidR="006227CE" w:rsidRDefault="00000000">
            <w:sdt>
              <w:sdtPr>
                <w:tag w:val="goog_rdk_28"/>
                <w:id w:val="-615670196"/>
              </w:sdtPr>
              <w:sdtContent>
                <w:r w:rsidR="006C5E69">
                  <w:rPr>
                    <w:rFonts w:ascii="Arial Unicode MS" w:eastAsia="Arial Unicode MS" w:hAnsi="Arial Unicode MS" w:cs="Arial Unicode MS"/>
                  </w:rPr>
                  <w:t>−2.54</w:t>
                </w:r>
              </w:sdtContent>
            </w:sdt>
          </w:p>
        </w:tc>
      </w:tr>
      <w:tr w:rsidR="006227CE" w14:paraId="3938EE22" w14:textId="77777777">
        <w:trPr>
          <w:trHeight w:val="500"/>
        </w:trPr>
        <w:tc>
          <w:tcPr>
            <w:tcW w:w="7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38EE1E" w14:textId="77777777" w:rsidR="006227CE" w:rsidRDefault="006C5E69">
            <w:r>
              <w:lastRenderedPageBreak/>
              <w:t>5</w:t>
            </w:r>
          </w:p>
        </w:tc>
        <w:tc>
          <w:tcPr>
            <w:tcW w:w="27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38EE1F" w14:textId="77777777" w:rsidR="006227CE" w:rsidRDefault="006C5E69">
            <w:r>
              <w:t>5.00</w:t>
            </w:r>
          </w:p>
        </w:tc>
        <w:tc>
          <w:tcPr>
            <w:tcW w:w="2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38EE20" w14:textId="77777777" w:rsidR="006227CE" w:rsidRDefault="006C5E69">
            <w:r>
              <w:t>3.41</w:t>
            </w:r>
          </w:p>
        </w:tc>
        <w:tc>
          <w:tcPr>
            <w:tcW w:w="31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38EE21" w14:textId="77777777" w:rsidR="006227CE" w:rsidRDefault="006C5E69">
            <w:r>
              <w:t>0.87</w:t>
            </w:r>
          </w:p>
        </w:tc>
      </w:tr>
      <w:tr w:rsidR="006227CE" w14:paraId="3938EE27" w14:textId="77777777">
        <w:trPr>
          <w:trHeight w:val="500"/>
        </w:trPr>
        <w:tc>
          <w:tcPr>
            <w:tcW w:w="7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38EE23" w14:textId="77777777" w:rsidR="006227CE" w:rsidRDefault="006C5E69">
            <w:r>
              <w:rPr>
                <w:b/>
                <w:bCs/>
              </w:rPr>
              <w:t>Total</w:t>
            </w:r>
          </w:p>
        </w:tc>
        <w:tc>
          <w:tcPr>
            <w:tcW w:w="27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38EE24" w14:textId="77777777" w:rsidR="006227CE" w:rsidRDefault="006C5E69">
            <w:r>
              <w:rPr>
                <w:b/>
                <w:bCs/>
              </w:rPr>
              <w:t>65.00</w:t>
            </w:r>
          </w:p>
        </w:tc>
        <w:tc>
          <w:tcPr>
            <w:tcW w:w="2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38EE25" w14:textId="77777777" w:rsidR="006227CE" w:rsidRDefault="006C5E69">
            <w:r>
              <w:rPr>
                <w:b/>
                <w:bCs/>
              </w:rPr>
              <w:t>50.87</w:t>
            </w:r>
          </w:p>
        </w:tc>
        <w:tc>
          <w:tcPr>
            <w:tcW w:w="31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38EE26" w14:textId="77777777" w:rsidR="006227CE" w:rsidRDefault="006C5E69">
            <w:r>
              <w:rPr>
                <w:b/>
                <w:bCs/>
              </w:rPr>
              <w:t>0.87</w:t>
            </w:r>
          </w:p>
        </w:tc>
      </w:tr>
    </w:tbl>
    <w:p w14:paraId="3938EE28" w14:textId="77777777" w:rsidR="006227CE" w:rsidRDefault="006227CE">
      <w:pPr>
        <w:jc w:val="center"/>
      </w:pPr>
    </w:p>
    <w:p w14:paraId="3938EE29" w14:textId="77777777" w:rsidR="006227CE" w:rsidRDefault="006C5E69">
      <w:pPr>
        <w:pStyle w:val="Heading2"/>
      </w:pPr>
      <w:bookmarkStart w:id="70" w:name="_heading=h.hs88rar7q5tz" w:colFirst="0" w:colLast="0"/>
      <w:bookmarkEnd w:id="70"/>
      <w:r>
        <w:br w:type="page"/>
      </w:r>
    </w:p>
    <w:p w14:paraId="3938EE2A" w14:textId="77777777" w:rsidR="006227CE" w:rsidRDefault="006C5E69">
      <w:r>
        <w:lastRenderedPageBreak/>
        <w:t xml:space="preserve"> </w:t>
      </w:r>
    </w:p>
    <w:p w14:paraId="3938EE2B" w14:textId="77777777" w:rsidR="006227CE" w:rsidRDefault="006C5E69">
      <w:pPr>
        <w:pStyle w:val="Heading2"/>
      </w:pPr>
      <w:bookmarkStart w:id="71" w:name="_heading=h.6rkq3pxccyo7" w:colFirst="0" w:colLast="0"/>
      <w:bookmarkEnd w:id="71"/>
      <w:r>
        <w:br w:type="page"/>
      </w:r>
    </w:p>
    <w:p w14:paraId="3938EE2C" w14:textId="77777777" w:rsidR="006227CE" w:rsidRDefault="006227CE">
      <w:pPr>
        <w:pStyle w:val="Heading2"/>
      </w:pPr>
    </w:p>
    <w:sectPr w:rsidR="006227CE" w:rsidSect="00562958">
      <w:headerReference w:type="default" r:id="rId54"/>
      <w:footerReference w:type="default" r:id="rId55"/>
      <w:headerReference w:type="first" r:id="rId56"/>
      <w:footerReference w:type="first" r:id="rId57"/>
      <w:pgSz w:w="12240" w:h="15840"/>
      <w:pgMar w:top="1440" w:right="1440" w:bottom="1440" w:left="1440" w:header="720" w:footer="720" w:gutter="0"/>
      <w:pgBorders w:offsetFrom="page">
        <w:top w:val="triple" w:sz="4" w:space="24" w:color="auto"/>
        <w:left w:val="triple" w:sz="4" w:space="24" w:color="auto"/>
        <w:bottom w:val="triple" w:sz="4" w:space="24" w:color="auto"/>
        <w:right w:val="triple" w:sz="4" w:space="24" w:color="auto"/>
      </w:pgBorders>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A1891B" w14:textId="77777777" w:rsidR="009B3C3E" w:rsidRDefault="009B3C3E">
      <w:pPr>
        <w:spacing w:line="240" w:lineRule="auto"/>
      </w:pPr>
      <w:r>
        <w:separator/>
      </w:r>
    </w:p>
  </w:endnote>
  <w:endnote w:type="continuationSeparator" w:id="0">
    <w:p w14:paraId="2CF5B757" w14:textId="77777777" w:rsidR="009B3C3E" w:rsidRDefault="009B3C3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FB70A942-C640-45B1-B4E0-DA53F120E55B}"/>
  </w:font>
  <w:font w:name="Cambria">
    <w:panose1 w:val="02040503050406030204"/>
    <w:charset w:val="00"/>
    <w:family w:val="roman"/>
    <w:pitch w:val="variable"/>
    <w:sig w:usb0="E00006FF" w:usb1="420024FF" w:usb2="02000000" w:usb3="00000000" w:csb0="0000019F" w:csb1="00000000"/>
    <w:embedRegular r:id="rId2" w:fontKey="{862C7619-5BA8-46DD-B95D-29D239761522}"/>
  </w:font>
  <w:font w:name="Shruti">
    <w:panose1 w:val="020B0502040204020203"/>
    <w:charset w:val="00"/>
    <w:family w:val="swiss"/>
    <w:pitch w:val="variable"/>
    <w:sig w:usb0="00040003" w:usb1="00000000" w:usb2="00000000" w:usb3="00000000" w:csb0="00000001" w:csb1="00000000"/>
    <w:embedRegular r:id="rId3" w:fontKey="{CC5D2AC9-3678-4153-81C3-3CB93FCF9681}"/>
  </w:font>
  <w:font w:name="Arial Unicode MS">
    <w:panose1 w:val="020B0604020202020204"/>
    <w:charset w:val="80"/>
    <w:family w:val="swiss"/>
    <w:pitch w:val="variable"/>
    <w:sig w:usb0="F7FFAEFF" w:usb1="F9DFFFFF" w:usb2="0000007F" w:usb3="00000000" w:csb0="003F01FF" w:csb1="00000000"/>
    <w:embedRegular r:id="rId4" w:subsetted="1" w:fontKey="{5F2B9396-4914-4CD0-9FBC-11D241A27ECE}"/>
    <w:embedBold r:id="rId5" w:subsetted="1" w:fontKey="{2EABD055-C1CE-4E9C-9FFF-501FAA0F51B7}"/>
  </w:font>
  <w:font w:name="Calibri">
    <w:panose1 w:val="020F0502020204030204"/>
    <w:charset w:val="00"/>
    <w:family w:val="swiss"/>
    <w:pitch w:val="variable"/>
    <w:sig w:usb0="E4002EFF" w:usb1="C200247B" w:usb2="00000009" w:usb3="00000000" w:csb0="000001FF" w:csb1="00000000"/>
    <w:embedRegular r:id="rId6" w:fontKey="{EEA49045-B454-4E28-BAD5-14180969A25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8EE88" w14:textId="6043C59E" w:rsidR="006227CE" w:rsidRDefault="006C5E69">
    <w:pPr>
      <w:jc w:val="right"/>
    </w:pPr>
    <w:r>
      <w:fldChar w:fldCharType="begin"/>
    </w:r>
    <w:r>
      <w:instrText>PAGE</w:instrText>
    </w:r>
    <w:r>
      <w:fldChar w:fldCharType="separate"/>
    </w:r>
    <w:r w:rsidR="00413DB3">
      <w:rPr>
        <w:noProof/>
      </w:rPr>
      <w:t>3</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8EE8A" w14:textId="77777777" w:rsidR="006227CE" w:rsidRDefault="006227C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8482B2" w14:textId="77777777" w:rsidR="009B3C3E" w:rsidRDefault="009B3C3E">
      <w:pPr>
        <w:spacing w:line="240" w:lineRule="auto"/>
      </w:pPr>
      <w:r>
        <w:separator/>
      </w:r>
    </w:p>
  </w:footnote>
  <w:footnote w:type="continuationSeparator" w:id="0">
    <w:p w14:paraId="4B91E477" w14:textId="77777777" w:rsidR="009B3C3E" w:rsidRDefault="009B3C3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8EE87" w14:textId="77777777" w:rsidR="006227CE" w:rsidRDefault="006227C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8EE89" w14:textId="77777777" w:rsidR="006227CE" w:rsidRDefault="006227C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41742"/>
    <w:multiLevelType w:val="multilevel"/>
    <w:tmpl w:val="E47059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63639DB"/>
    <w:multiLevelType w:val="multilevel"/>
    <w:tmpl w:val="6B2847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9FD3A05"/>
    <w:multiLevelType w:val="multilevel"/>
    <w:tmpl w:val="09544E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5305B9F"/>
    <w:multiLevelType w:val="multilevel"/>
    <w:tmpl w:val="460EF5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9957F9C"/>
    <w:multiLevelType w:val="multilevel"/>
    <w:tmpl w:val="91AC07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E4250DF"/>
    <w:multiLevelType w:val="multilevel"/>
    <w:tmpl w:val="9454CA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44E1A29"/>
    <w:multiLevelType w:val="multilevel"/>
    <w:tmpl w:val="A7B209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BF71A58"/>
    <w:multiLevelType w:val="multilevel"/>
    <w:tmpl w:val="A15A74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0627A33"/>
    <w:multiLevelType w:val="multilevel"/>
    <w:tmpl w:val="70F274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1F01C7F"/>
    <w:multiLevelType w:val="multilevel"/>
    <w:tmpl w:val="E8E094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7756036"/>
    <w:multiLevelType w:val="multilevel"/>
    <w:tmpl w:val="9D5C71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20056FA"/>
    <w:multiLevelType w:val="multilevel"/>
    <w:tmpl w:val="135C1F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EA174E7"/>
    <w:multiLevelType w:val="multilevel"/>
    <w:tmpl w:val="48E291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8CC75A9"/>
    <w:multiLevelType w:val="multilevel"/>
    <w:tmpl w:val="6C6CFF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34524204">
    <w:abstractNumId w:val="10"/>
  </w:num>
  <w:num w:numId="2" w16cid:durableId="156767627">
    <w:abstractNumId w:val="4"/>
  </w:num>
  <w:num w:numId="3" w16cid:durableId="1167095469">
    <w:abstractNumId w:val="12"/>
  </w:num>
  <w:num w:numId="4" w16cid:durableId="634407483">
    <w:abstractNumId w:val="8"/>
  </w:num>
  <w:num w:numId="5" w16cid:durableId="1013150459">
    <w:abstractNumId w:val="13"/>
  </w:num>
  <w:num w:numId="6" w16cid:durableId="1842429422">
    <w:abstractNumId w:val="6"/>
  </w:num>
  <w:num w:numId="7" w16cid:durableId="393814980">
    <w:abstractNumId w:val="11"/>
  </w:num>
  <w:num w:numId="8" w16cid:durableId="1488281429">
    <w:abstractNumId w:val="9"/>
  </w:num>
  <w:num w:numId="9" w16cid:durableId="200359691">
    <w:abstractNumId w:val="5"/>
  </w:num>
  <w:num w:numId="10" w16cid:durableId="1393701208">
    <w:abstractNumId w:val="0"/>
  </w:num>
  <w:num w:numId="11" w16cid:durableId="16851072">
    <w:abstractNumId w:val="3"/>
  </w:num>
  <w:num w:numId="12" w16cid:durableId="1229146781">
    <w:abstractNumId w:val="2"/>
  </w:num>
  <w:num w:numId="13" w16cid:durableId="1436247834">
    <w:abstractNumId w:val="7"/>
  </w:num>
  <w:num w:numId="14" w16cid:durableId="10012790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227CE"/>
    <w:rsid w:val="000049F7"/>
    <w:rsid w:val="00413DB3"/>
    <w:rsid w:val="00456FA0"/>
    <w:rsid w:val="00562958"/>
    <w:rsid w:val="006227CE"/>
    <w:rsid w:val="006C5E69"/>
    <w:rsid w:val="009B3C3E"/>
    <w:rsid w:val="00C04550"/>
    <w:rsid w:val="00CB14A3"/>
    <w:rsid w:val="00E32E40"/>
    <w:rsid w:val="00E97369"/>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38EA00"/>
  <w15:docId w15:val="{F4DBB62B-0952-4668-95F6-575C315C72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sz w:val="26"/>
      <w:szCs w:val="26"/>
    </w:rPr>
  </w:style>
  <w:style w:type="paragraph" w:styleId="Heading3">
    <w:name w:val="heading 3"/>
    <w:basedOn w:val="Normal"/>
    <w:next w:val="Normal"/>
    <w:uiPriority w:val="9"/>
    <w:unhideWhenUsed/>
    <w:qFormat/>
    <w:pPr>
      <w:keepNext/>
      <w:keepLines/>
      <w:outlineLvl w:val="2"/>
    </w:pPr>
    <w:rPr>
      <w:b/>
      <w:b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table" w:customStyle="1" w:styleId="a">
    <w:basedOn w:val="TableNormal1"/>
    <w:tblPr>
      <w:tblStyleRowBandSize w:val="1"/>
      <w:tblStyleColBandSize w:val="1"/>
    </w:tblPr>
  </w:style>
  <w:style w:type="table" w:customStyle="1" w:styleId="a0">
    <w:basedOn w:val="TableNormal1"/>
    <w:tblPr>
      <w:tblStyleRowBandSize w:val="1"/>
      <w:tblStyleColBandSize w:val="1"/>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TOC1">
    <w:name w:val="toc 1"/>
    <w:basedOn w:val="Normal"/>
    <w:next w:val="Normal"/>
    <w:autoRedefine/>
    <w:uiPriority w:val="39"/>
    <w:unhideWhenUsed/>
    <w:rsid w:val="006F27E1"/>
    <w:pPr>
      <w:spacing w:after="100"/>
    </w:pPr>
  </w:style>
  <w:style w:type="paragraph" w:styleId="TOC2">
    <w:name w:val="toc 2"/>
    <w:basedOn w:val="Normal"/>
    <w:next w:val="Normal"/>
    <w:autoRedefine/>
    <w:uiPriority w:val="39"/>
    <w:unhideWhenUsed/>
    <w:rsid w:val="006F27E1"/>
    <w:pPr>
      <w:spacing w:after="100"/>
      <w:ind w:left="240"/>
    </w:pPr>
  </w:style>
  <w:style w:type="paragraph" w:styleId="TOC3">
    <w:name w:val="toc 3"/>
    <w:basedOn w:val="Normal"/>
    <w:next w:val="Normal"/>
    <w:autoRedefine/>
    <w:uiPriority w:val="39"/>
    <w:unhideWhenUsed/>
    <w:rsid w:val="006F27E1"/>
    <w:pPr>
      <w:spacing w:after="100"/>
      <w:ind w:left="480"/>
    </w:pPr>
  </w:style>
  <w:style w:type="character" w:styleId="Hyperlink">
    <w:name w:val="Hyperlink"/>
    <w:basedOn w:val="DefaultParagraphFont"/>
    <w:uiPriority w:val="99"/>
    <w:unhideWhenUsed/>
    <w:rsid w:val="006F27E1"/>
    <w:rPr>
      <w:color w:val="0000FF" w:themeColor="hyperlink"/>
      <w:u w:val="single"/>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paragraph" w:styleId="BalloonText">
    <w:name w:val="Balloon Text"/>
    <w:basedOn w:val="Normal"/>
    <w:link w:val="BalloonTextChar"/>
    <w:uiPriority w:val="99"/>
    <w:semiHidden/>
    <w:unhideWhenUsed/>
    <w:rsid w:val="00413DB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3DB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hyperlink" Target="https://finance.yahoo.com/markets/stocks/articles/whitbread-h2-earnings-call-highlights-132014600.html" TargetMode="External"/><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header" Target="header2.xml"/><Relationship Id="rId8" Type="http://schemas.openxmlformats.org/officeDocument/2006/relationships/image" Target="media/image1.png"/><Relationship Id="rId51" Type="http://schemas.openxmlformats.org/officeDocument/2006/relationships/image" Target="media/image44.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theme" Target="theme/theme1.xml"/><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footer" Target="footer2.xml"/><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gW0w8Iq+phptd0M+/peEpO93TUA==">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54</Pages>
  <Words>8293</Words>
  <Characters>47275</Characters>
  <Application>Microsoft Office Word</Application>
  <DocSecurity>0</DocSecurity>
  <Lines>393</Lines>
  <Paragraphs>110</Paragraphs>
  <ScaleCrop>false</ScaleCrop>
  <Company/>
  <LinksUpToDate>false</LinksUpToDate>
  <CharactersWithSpaces>55458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MILONI .</cp:lastModifiedBy>
  <cp:revision>7</cp:revision>
  <dcterms:created xsi:type="dcterms:W3CDTF">2026-07-31T12:03:00Z</dcterms:created>
  <dcterms:modified xsi:type="dcterms:W3CDTF">2026-08-12T23:07:00Z</dcterms:modified>
</cp:coreProperties>
</file>