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480" w:lineRule="auto"/>
        <w:jc w:val="both"/>
        <w:rPr>
          <w:rFonts w:ascii="Arial" w:hAnsi="Arial" w:cs="Arial"/>
          <w:b/>
          <w:bCs/>
          <w:color w:val="000000" w:themeColor="text1"/>
          <w:sz w:val="24"/>
          <w:szCs w:val="24"/>
        </w:rPr>
      </w:pPr>
    </w:p>
    <w:p>
      <w:pPr>
        <w:spacing w:line="480" w:lineRule="auto"/>
        <w:jc w:val="both"/>
        <w:rPr>
          <w:rFonts w:ascii="Arial" w:hAnsi="Arial" w:cs="Arial"/>
          <w:b/>
          <w:bCs/>
          <w:color w:val="000000" w:themeColor="text1"/>
          <w:sz w:val="24"/>
          <w:szCs w:val="24"/>
        </w:rPr>
      </w:pPr>
    </w:p>
    <w:p>
      <w:pPr>
        <w:spacing w:line="480" w:lineRule="auto"/>
        <w:jc w:val="both"/>
        <w:rPr>
          <w:rFonts w:ascii="Arial" w:hAnsi="Arial" w:cs="Arial"/>
          <w:b/>
          <w:bCs/>
          <w:color w:val="000000" w:themeColor="text1"/>
          <w:sz w:val="24"/>
          <w:szCs w:val="24"/>
        </w:rPr>
      </w:pPr>
    </w:p>
    <w:p>
      <w:pPr>
        <w:spacing w:line="480" w:lineRule="auto"/>
        <w:jc w:val="both"/>
        <w:rPr>
          <w:rFonts w:ascii="Arial" w:hAnsi="Arial" w:cs="Arial"/>
          <w:b/>
          <w:bCs/>
          <w:color w:val="000000" w:themeColor="text1"/>
          <w:sz w:val="24"/>
          <w:szCs w:val="24"/>
        </w:rPr>
      </w:pPr>
    </w:p>
    <w:p>
      <w:pPr>
        <w:spacing w:line="480" w:lineRule="auto"/>
        <w:jc w:val="both"/>
        <w:rPr>
          <w:rFonts w:ascii="Arial" w:hAnsi="Arial" w:cs="Arial"/>
          <w:b/>
          <w:bCs/>
          <w:color w:val="000000" w:themeColor="text1"/>
          <w:sz w:val="24"/>
          <w:szCs w:val="24"/>
        </w:rPr>
      </w:pPr>
    </w:p>
    <w:p>
      <w:pPr>
        <w:spacing w:line="480" w:lineRule="auto"/>
        <w:jc w:val="both"/>
        <w:rPr>
          <w:rFonts w:ascii="Arial" w:hAnsi="Arial" w:cs="Arial"/>
          <w:b/>
          <w:bCs/>
          <w:color w:val="000000" w:themeColor="text1"/>
          <w:sz w:val="24"/>
          <w:szCs w:val="24"/>
        </w:rPr>
      </w:pPr>
    </w:p>
    <w:p>
      <w:pPr>
        <w:spacing w:line="480" w:lineRule="auto"/>
        <w:jc w:val="center"/>
        <w:rPr>
          <w:rFonts w:ascii="Arial" w:hAnsi="Arial" w:cs="Arial"/>
          <w:b/>
          <w:bCs/>
          <w:color w:val="000000" w:themeColor="text1"/>
          <w:sz w:val="24"/>
          <w:szCs w:val="24"/>
        </w:rPr>
      </w:pPr>
      <w:r>
        <w:rPr>
          <w:rFonts w:ascii="Arial" w:hAnsi="Arial" w:cs="Arial"/>
          <w:b/>
          <w:bCs/>
          <w:color w:val="000000" w:themeColor="text1"/>
          <w:sz w:val="24"/>
          <w:szCs w:val="24"/>
        </w:rPr>
        <w:t>Leadership and Management, Theory and Practice</w:t>
      </w:r>
    </w:p>
    <w:p>
      <w:pPr>
        <w:spacing w:line="480" w:lineRule="auto"/>
        <w:jc w:val="center"/>
        <w:rPr>
          <w:rFonts w:ascii="Arial" w:hAnsi="Arial" w:cs="Arial"/>
          <w:b/>
          <w:bCs/>
          <w:color w:val="000000" w:themeColor="text1"/>
          <w:sz w:val="24"/>
          <w:szCs w:val="24"/>
        </w:rPr>
      </w:pPr>
      <w:r>
        <w:rPr>
          <w:rFonts w:ascii="Arial" w:hAnsi="Arial" w:cs="Arial"/>
          <w:b/>
          <w:bCs/>
          <w:color w:val="000000" w:themeColor="text1"/>
          <w:sz w:val="24"/>
          <w:szCs w:val="24"/>
        </w:rPr>
        <w:t>An analysis of effective leadership for the future of work</w:t>
      </w:r>
    </w:p>
    <w:p>
      <w:pPr>
        <w:spacing w:line="480" w:lineRule="auto"/>
        <w:jc w:val="center"/>
        <w:rPr>
          <w:rFonts w:hint="default" w:ascii="Arial" w:hAnsi="Arial" w:cs="Arial"/>
          <w:b/>
          <w:bCs/>
          <w:color w:val="000000" w:themeColor="text1"/>
          <w:sz w:val="24"/>
          <w:szCs w:val="24"/>
          <w:lang w:val="en-GB"/>
        </w:rPr>
      </w:pPr>
      <w:r>
        <w:rPr>
          <w:rFonts w:hint="default" w:ascii="Arial" w:hAnsi="Arial" w:cs="Arial"/>
          <w:b/>
          <w:bCs/>
          <w:color w:val="000000" w:themeColor="text1"/>
          <w:sz w:val="24"/>
          <w:szCs w:val="24"/>
          <w:lang w:val="en-GB"/>
        </w:rPr>
        <w:t>Zeinelabedeen Alkargholi</w:t>
      </w:r>
    </w:p>
    <w:p>
      <w:pPr>
        <w:spacing w:line="480" w:lineRule="auto"/>
        <w:jc w:val="center"/>
        <w:rPr>
          <w:rFonts w:hint="default" w:ascii="Arial" w:hAnsi="Arial" w:cs="Arial"/>
          <w:b/>
          <w:bCs/>
          <w:color w:val="000000" w:themeColor="text1"/>
          <w:sz w:val="24"/>
          <w:szCs w:val="24"/>
          <w:lang w:val="en-GB"/>
        </w:rPr>
      </w:pPr>
      <w:r>
        <w:rPr>
          <w:rFonts w:hint="default" w:ascii="Arial" w:hAnsi="Arial" w:cs="Arial"/>
          <w:b/>
          <w:bCs/>
          <w:color w:val="000000" w:themeColor="text1"/>
          <w:sz w:val="24"/>
          <w:szCs w:val="24"/>
          <w:lang w:val="en-GB"/>
        </w:rPr>
        <w:t>P149893</w:t>
      </w:r>
      <w:bookmarkStart w:id="39" w:name="_GoBack"/>
      <w:bookmarkEnd w:id="39"/>
    </w:p>
    <w:p>
      <w:pPr>
        <w:spacing w:line="480" w:lineRule="auto"/>
        <w:rPr>
          <w:rFonts w:ascii="Arial" w:hAnsi="Arial" w:cs="Arial"/>
          <w:color w:val="000000" w:themeColor="text1"/>
          <w:sz w:val="24"/>
          <w:szCs w:val="24"/>
        </w:rPr>
      </w:pPr>
      <w:r>
        <w:rPr>
          <w:rFonts w:ascii="Arial" w:hAnsi="Arial" w:cs="Arial"/>
          <w:color w:val="000000" w:themeColor="text1"/>
          <w:sz w:val="24"/>
          <w:szCs w:val="24"/>
        </w:rPr>
        <w:br w:type="page"/>
      </w:r>
    </w:p>
    <w:p>
      <w:pPr>
        <w:pStyle w:val="2"/>
        <w:spacing w:line="480" w:lineRule="auto"/>
        <w:jc w:val="center"/>
        <w:rPr>
          <w:rFonts w:ascii="Arial" w:hAnsi="Arial" w:cs="Arial"/>
          <w:b/>
          <w:bCs/>
          <w:color w:val="000000" w:themeColor="text1"/>
          <w:sz w:val="24"/>
          <w:szCs w:val="24"/>
        </w:rPr>
      </w:pPr>
      <w:bookmarkStart w:id="0" w:name="_Toc32925709"/>
      <w:r>
        <w:rPr>
          <w:rFonts w:ascii="Arial" w:hAnsi="Arial" w:cs="Arial"/>
          <w:b/>
          <w:bCs/>
          <w:color w:val="000000" w:themeColor="text1"/>
          <w:sz w:val="24"/>
          <w:szCs w:val="24"/>
        </w:rPr>
        <w:t>Executive Summary</w:t>
      </w:r>
      <w:bookmarkEnd w:id="0"/>
      <w:r>
        <w:rPr>
          <w:rFonts w:ascii="Arial" w:hAnsi="Arial" w:cs="Arial"/>
          <w:b/>
          <w:bCs/>
          <w:color w:val="000000" w:themeColor="text1"/>
          <w:sz w:val="24"/>
          <w:szCs w:val="24"/>
        </w:rPr>
        <w:t xml:space="preserve"> </w:t>
      </w:r>
    </w:p>
    <w:p>
      <w:pPr>
        <w:spacing w:line="480" w:lineRule="auto"/>
        <w:jc w:val="both"/>
        <w:rPr>
          <w:rFonts w:ascii="Arial" w:hAnsi="Arial" w:cs="Arial"/>
          <w:color w:val="000000" w:themeColor="text1"/>
          <w:sz w:val="24"/>
          <w:szCs w:val="24"/>
        </w:rPr>
      </w:pPr>
      <w:r>
        <w:rPr>
          <w:rFonts w:ascii="Arial" w:hAnsi="Arial" w:cs="Arial"/>
          <w:color w:val="000000" w:themeColor="text1"/>
          <w:sz w:val="24"/>
          <w:szCs w:val="24"/>
        </w:rPr>
        <w:t>This report aimed to present an in-depth analysis regarding complexities that are involved while managing and leading people in the company. The secondary information was gathered throughout the report and the published record shared by authors in the past was studied. The findings of the report reveal that the practical application about leadership and management principles and theories allows enhancing the effectiveness of managers and leaders in order to meet the need of organizations within the VUCA environment.</w:t>
      </w:r>
      <w:r>
        <w:rPr>
          <w:rFonts w:ascii="Arial" w:hAnsi="Arial" w:cs="Arial"/>
          <w:color w:val="000000" w:themeColor="text1"/>
          <w:sz w:val="24"/>
          <w:szCs w:val="24"/>
        </w:rPr>
        <w:br w:type="page"/>
      </w:r>
    </w:p>
    <w:sdt>
      <w:sdtPr>
        <w:rPr>
          <w:rFonts w:ascii="Arial" w:hAnsi="Arial" w:cs="Arial" w:eastAsiaTheme="minorHAnsi"/>
          <w:color w:val="000000" w:themeColor="text1"/>
          <w:sz w:val="24"/>
          <w:szCs w:val="24"/>
          <w:lang w:val="en-GB"/>
        </w:rPr>
        <w:id w:val="-341320312"/>
        <w:docPartObj>
          <w:docPartGallery w:val="Table of Contents"/>
          <w:docPartUnique/>
        </w:docPartObj>
      </w:sdtPr>
      <w:sdtEndPr>
        <w:rPr>
          <w:rFonts w:ascii="Arial" w:hAnsi="Arial" w:cs="Arial" w:eastAsiaTheme="minorHAnsi"/>
          <w:color w:val="000000" w:themeColor="text1"/>
          <w:sz w:val="24"/>
          <w:szCs w:val="24"/>
          <w:lang w:val="en-GB"/>
        </w:rPr>
      </w:sdtEndPr>
      <w:sdtContent>
        <w:p>
          <w:pPr>
            <w:pStyle w:val="13"/>
            <w:spacing w:line="480" w:lineRule="auto"/>
            <w:jc w:val="center"/>
            <w:rPr>
              <w:rFonts w:ascii="Arial" w:hAnsi="Arial" w:cs="Arial"/>
              <w:b/>
              <w:bCs/>
              <w:color w:val="000000" w:themeColor="text1"/>
              <w:sz w:val="24"/>
              <w:szCs w:val="24"/>
            </w:rPr>
          </w:pPr>
          <w:r>
            <w:rPr>
              <w:rFonts w:ascii="Arial" w:hAnsi="Arial" w:cs="Arial"/>
              <w:b/>
              <w:bCs/>
              <w:color w:val="000000" w:themeColor="text1"/>
              <w:sz w:val="24"/>
              <w:szCs w:val="24"/>
            </w:rPr>
            <w:t>Table of Contents</w:t>
          </w:r>
        </w:p>
        <w:p>
          <w:pPr>
            <w:pStyle w:val="5"/>
            <w:tabs>
              <w:tab w:val="right" w:leader="dot" w:pos="9016"/>
            </w:tabs>
            <w:spacing w:line="480" w:lineRule="auto"/>
            <w:rPr>
              <w:rFonts w:ascii="Arial" w:hAnsi="Arial" w:cs="Arial" w:eastAsiaTheme="minorEastAsia"/>
              <w:color w:val="000000" w:themeColor="text1"/>
              <w:sz w:val="24"/>
              <w:szCs w:val="24"/>
              <w:lang w:val="en-US"/>
            </w:rPr>
          </w:pPr>
          <w:r>
            <w:rPr>
              <w:rFonts w:ascii="Arial" w:hAnsi="Arial" w:cs="Arial"/>
              <w:color w:val="000000" w:themeColor="text1"/>
              <w:sz w:val="24"/>
              <w:szCs w:val="24"/>
            </w:rPr>
            <w:fldChar w:fldCharType="begin"/>
          </w:r>
          <w:r>
            <w:rPr>
              <w:rFonts w:ascii="Arial" w:hAnsi="Arial" w:cs="Arial"/>
              <w:color w:val="000000" w:themeColor="text1"/>
              <w:sz w:val="24"/>
              <w:szCs w:val="24"/>
            </w:rPr>
            <w:instrText xml:space="preserve"> TOC \o "1-3" \h \z \u </w:instrText>
          </w:r>
          <w:r>
            <w:rPr>
              <w:rFonts w:ascii="Arial" w:hAnsi="Arial" w:cs="Arial"/>
              <w:color w:val="000000" w:themeColor="text1"/>
              <w:sz w:val="24"/>
              <w:szCs w:val="24"/>
            </w:rPr>
            <w:fldChar w:fldCharType="separate"/>
          </w:r>
          <w:r>
            <w:fldChar w:fldCharType="begin"/>
          </w:r>
          <w:r>
            <w:instrText xml:space="preserve"> HYPERLINK \l "_Toc32925709" </w:instrText>
          </w:r>
          <w:r>
            <w:fldChar w:fldCharType="separate"/>
          </w:r>
          <w:r>
            <w:rPr>
              <w:rStyle w:val="7"/>
              <w:rFonts w:ascii="Arial" w:hAnsi="Arial" w:cs="Arial"/>
              <w:color w:val="000000" w:themeColor="text1"/>
              <w:sz w:val="24"/>
              <w:szCs w:val="24"/>
            </w:rPr>
            <w:t>Executive Summary</w:t>
          </w:r>
          <w:r>
            <w:rPr>
              <w:rFonts w:ascii="Arial" w:hAnsi="Arial" w:cs="Arial"/>
              <w:color w:val="000000" w:themeColor="text1"/>
              <w:sz w:val="24"/>
              <w:szCs w:val="24"/>
            </w:rPr>
            <w:tab/>
          </w:r>
          <w:r>
            <w:rPr>
              <w:rFonts w:ascii="Arial" w:hAnsi="Arial" w:cs="Arial"/>
              <w:color w:val="000000" w:themeColor="text1"/>
              <w:sz w:val="24"/>
              <w:szCs w:val="24"/>
            </w:rPr>
            <w:fldChar w:fldCharType="begin"/>
          </w:r>
          <w:r>
            <w:rPr>
              <w:rFonts w:ascii="Arial" w:hAnsi="Arial" w:cs="Arial"/>
              <w:color w:val="000000" w:themeColor="text1"/>
              <w:sz w:val="24"/>
              <w:szCs w:val="24"/>
            </w:rPr>
            <w:instrText xml:space="preserve"> PAGEREF _Toc32925709 \h </w:instrText>
          </w:r>
          <w:r>
            <w:rPr>
              <w:rFonts w:ascii="Arial" w:hAnsi="Arial" w:cs="Arial"/>
              <w:color w:val="000000" w:themeColor="text1"/>
              <w:sz w:val="24"/>
              <w:szCs w:val="24"/>
            </w:rPr>
            <w:fldChar w:fldCharType="separate"/>
          </w:r>
          <w:r>
            <w:rPr>
              <w:rFonts w:ascii="Arial" w:hAnsi="Arial" w:cs="Arial"/>
              <w:color w:val="000000" w:themeColor="text1"/>
              <w:sz w:val="24"/>
              <w:szCs w:val="24"/>
            </w:rPr>
            <w:t>2</w:t>
          </w:r>
          <w:r>
            <w:rPr>
              <w:rFonts w:ascii="Arial" w:hAnsi="Arial" w:cs="Arial"/>
              <w:color w:val="000000" w:themeColor="text1"/>
              <w:sz w:val="24"/>
              <w:szCs w:val="24"/>
            </w:rPr>
            <w:fldChar w:fldCharType="end"/>
          </w:r>
          <w:r>
            <w:rPr>
              <w:rFonts w:ascii="Arial" w:hAnsi="Arial" w:cs="Arial"/>
              <w:color w:val="000000" w:themeColor="text1"/>
              <w:sz w:val="24"/>
              <w:szCs w:val="24"/>
            </w:rPr>
            <w:fldChar w:fldCharType="end"/>
          </w:r>
        </w:p>
        <w:p>
          <w:pPr>
            <w:pStyle w:val="5"/>
            <w:tabs>
              <w:tab w:val="left" w:pos="440"/>
              <w:tab w:val="right" w:leader="dot" w:pos="9016"/>
            </w:tabs>
            <w:spacing w:line="480" w:lineRule="auto"/>
            <w:rPr>
              <w:rFonts w:ascii="Arial" w:hAnsi="Arial" w:cs="Arial" w:eastAsiaTheme="minorEastAsia"/>
              <w:color w:val="000000" w:themeColor="text1"/>
              <w:sz w:val="24"/>
              <w:szCs w:val="24"/>
              <w:lang w:val="en-US"/>
            </w:rPr>
          </w:pPr>
          <w:r>
            <w:fldChar w:fldCharType="begin"/>
          </w:r>
          <w:r>
            <w:instrText xml:space="preserve"> HYPERLINK \l "_Toc32925710" </w:instrText>
          </w:r>
          <w:r>
            <w:fldChar w:fldCharType="separate"/>
          </w:r>
          <w:r>
            <w:rPr>
              <w:rStyle w:val="7"/>
              <w:rFonts w:ascii="Arial" w:hAnsi="Arial" w:cs="Arial"/>
              <w:color w:val="000000" w:themeColor="text1"/>
              <w:sz w:val="24"/>
              <w:szCs w:val="24"/>
            </w:rPr>
            <w:t>1.</w:t>
          </w:r>
          <w:r>
            <w:rPr>
              <w:rFonts w:ascii="Arial" w:hAnsi="Arial" w:cs="Arial" w:eastAsiaTheme="minorEastAsia"/>
              <w:color w:val="000000" w:themeColor="text1"/>
              <w:sz w:val="24"/>
              <w:szCs w:val="24"/>
              <w:lang w:val="en-US"/>
            </w:rPr>
            <w:tab/>
          </w:r>
          <w:r>
            <w:rPr>
              <w:rStyle w:val="7"/>
              <w:rFonts w:ascii="Arial" w:hAnsi="Arial" w:cs="Arial"/>
              <w:color w:val="000000" w:themeColor="text1"/>
              <w:sz w:val="24"/>
              <w:szCs w:val="24"/>
            </w:rPr>
            <w:t>Introduction</w:t>
          </w:r>
          <w:r>
            <w:rPr>
              <w:rFonts w:ascii="Arial" w:hAnsi="Arial" w:cs="Arial"/>
              <w:color w:val="000000" w:themeColor="text1"/>
              <w:sz w:val="24"/>
              <w:szCs w:val="24"/>
            </w:rPr>
            <w:tab/>
          </w:r>
          <w:r>
            <w:rPr>
              <w:rFonts w:ascii="Arial" w:hAnsi="Arial" w:cs="Arial"/>
              <w:color w:val="000000" w:themeColor="text1"/>
              <w:sz w:val="24"/>
              <w:szCs w:val="24"/>
            </w:rPr>
            <w:fldChar w:fldCharType="begin"/>
          </w:r>
          <w:r>
            <w:rPr>
              <w:rFonts w:ascii="Arial" w:hAnsi="Arial" w:cs="Arial"/>
              <w:color w:val="000000" w:themeColor="text1"/>
              <w:sz w:val="24"/>
              <w:szCs w:val="24"/>
            </w:rPr>
            <w:instrText xml:space="preserve"> PAGEREF _Toc32925710 \h </w:instrText>
          </w:r>
          <w:r>
            <w:rPr>
              <w:rFonts w:ascii="Arial" w:hAnsi="Arial" w:cs="Arial"/>
              <w:color w:val="000000" w:themeColor="text1"/>
              <w:sz w:val="24"/>
              <w:szCs w:val="24"/>
            </w:rPr>
            <w:fldChar w:fldCharType="separate"/>
          </w:r>
          <w:r>
            <w:rPr>
              <w:rFonts w:ascii="Arial" w:hAnsi="Arial" w:cs="Arial"/>
              <w:color w:val="000000" w:themeColor="text1"/>
              <w:sz w:val="24"/>
              <w:szCs w:val="24"/>
            </w:rPr>
            <w:t>4</w:t>
          </w:r>
          <w:r>
            <w:rPr>
              <w:rFonts w:ascii="Arial" w:hAnsi="Arial" w:cs="Arial"/>
              <w:color w:val="000000" w:themeColor="text1"/>
              <w:sz w:val="24"/>
              <w:szCs w:val="24"/>
            </w:rPr>
            <w:fldChar w:fldCharType="end"/>
          </w:r>
          <w:r>
            <w:rPr>
              <w:rFonts w:ascii="Arial" w:hAnsi="Arial" w:cs="Arial"/>
              <w:color w:val="000000" w:themeColor="text1"/>
              <w:sz w:val="24"/>
              <w:szCs w:val="24"/>
            </w:rPr>
            <w:fldChar w:fldCharType="end"/>
          </w:r>
        </w:p>
        <w:p>
          <w:pPr>
            <w:pStyle w:val="5"/>
            <w:tabs>
              <w:tab w:val="left" w:pos="440"/>
              <w:tab w:val="right" w:leader="dot" w:pos="9016"/>
            </w:tabs>
            <w:spacing w:line="480" w:lineRule="auto"/>
            <w:rPr>
              <w:rFonts w:ascii="Arial" w:hAnsi="Arial" w:cs="Arial" w:eastAsiaTheme="minorEastAsia"/>
              <w:color w:val="000000" w:themeColor="text1"/>
              <w:sz w:val="24"/>
              <w:szCs w:val="24"/>
              <w:lang w:val="en-US"/>
            </w:rPr>
          </w:pPr>
          <w:r>
            <w:fldChar w:fldCharType="begin"/>
          </w:r>
          <w:r>
            <w:instrText xml:space="preserve"> HYPERLINK \l "_Toc32925711" </w:instrText>
          </w:r>
          <w:r>
            <w:fldChar w:fldCharType="separate"/>
          </w:r>
          <w:r>
            <w:rPr>
              <w:rStyle w:val="7"/>
              <w:rFonts w:ascii="Arial" w:hAnsi="Arial" w:cs="Arial"/>
              <w:color w:val="000000" w:themeColor="text1"/>
              <w:sz w:val="24"/>
              <w:szCs w:val="24"/>
            </w:rPr>
            <w:t>2.</w:t>
          </w:r>
          <w:r>
            <w:rPr>
              <w:rFonts w:ascii="Arial" w:hAnsi="Arial" w:cs="Arial" w:eastAsiaTheme="minorEastAsia"/>
              <w:color w:val="000000" w:themeColor="text1"/>
              <w:sz w:val="24"/>
              <w:szCs w:val="24"/>
              <w:lang w:val="en-US"/>
            </w:rPr>
            <w:tab/>
          </w:r>
          <w:r>
            <w:rPr>
              <w:rStyle w:val="7"/>
              <w:rFonts w:ascii="Arial" w:hAnsi="Arial" w:cs="Arial"/>
              <w:color w:val="000000" w:themeColor="text1"/>
              <w:sz w:val="24"/>
              <w:szCs w:val="24"/>
            </w:rPr>
            <w:t>The VUCA environment</w:t>
          </w:r>
          <w:r>
            <w:rPr>
              <w:rFonts w:ascii="Arial" w:hAnsi="Arial" w:cs="Arial"/>
              <w:color w:val="000000" w:themeColor="text1"/>
              <w:sz w:val="24"/>
              <w:szCs w:val="24"/>
            </w:rPr>
            <w:tab/>
          </w:r>
          <w:r>
            <w:rPr>
              <w:rFonts w:ascii="Arial" w:hAnsi="Arial" w:cs="Arial"/>
              <w:color w:val="000000" w:themeColor="text1"/>
              <w:sz w:val="24"/>
              <w:szCs w:val="24"/>
            </w:rPr>
            <w:fldChar w:fldCharType="begin"/>
          </w:r>
          <w:r>
            <w:rPr>
              <w:rFonts w:ascii="Arial" w:hAnsi="Arial" w:cs="Arial"/>
              <w:color w:val="000000" w:themeColor="text1"/>
              <w:sz w:val="24"/>
              <w:szCs w:val="24"/>
            </w:rPr>
            <w:instrText xml:space="preserve"> PAGEREF _Toc32925711 \h </w:instrText>
          </w:r>
          <w:r>
            <w:rPr>
              <w:rFonts w:ascii="Arial" w:hAnsi="Arial" w:cs="Arial"/>
              <w:color w:val="000000" w:themeColor="text1"/>
              <w:sz w:val="24"/>
              <w:szCs w:val="24"/>
            </w:rPr>
            <w:fldChar w:fldCharType="separate"/>
          </w:r>
          <w:r>
            <w:rPr>
              <w:rFonts w:ascii="Arial" w:hAnsi="Arial" w:cs="Arial"/>
              <w:color w:val="000000" w:themeColor="text1"/>
              <w:sz w:val="24"/>
              <w:szCs w:val="24"/>
            </w:rPr>
            <w:t>4</w:t>
          </w:r>
          <w:r>
            <w:rPr>
              <w:rFonts w:ascii="Arial" w:hAnsi="Arial" w:cs="Arial"/>
              <w:color w:val="000000" w:themeColor="text1"/>
              <w:sz w:val="24"/>
              <w:szCs w:val="24"/>
            </w:rPr>
            <w:fldChar w:fldCharType="end"/>
          </w:r>
          <w:r>
            <w:rPr>
              <w:rFonts w:ascii="Arial" w:hAnsi="Arial" w:cs="Arial"/>
              <w:color w:val="000000" w:themeColor="text1"/>
              <w:sz w:val="24"/>
              <w:szCs w:val="24"/>
            </w:rPr>
            <w:fldChar w:fldCharType="end"/>
          </w:r>
        </w:p>
        <w:p>
          <w:pPr>
            <w:pStyle w:val="5"/>
            <w:tabs>
              <w:tab w:val="left" w:pos="440"/>
              <w:tab w:val="right" w:leader="dot" w:pos="9016"/>
            </w:tabs>
            <w:spacing w:line="480" w:lineRule="auto"/>
            <w:rPr>
              <w:rFonts w:ascii="Arial" w:hAnsi="Arial" w:cs="Arial" w:eastAsiaTheme="minorEastAsia"/>
              <w:color w:val="000000" w:themeColor="text1"/>
              <w:sz w:val="24"/>
              <w:szCs w:val="24"/>
              <w:lang w:val="en-US"/>
            </w:rPr>
          </w:pPr>
          <w:r>
            <w:fldChar w:fldCharType="begin"/>
          </w:r>
          <w:r>
            <w:instrText xml:space="preserve"> HYPERLINK \l "_Toc32925712" </w:instrText>
          </w:r>
          <w:r>
            <w:fldChar w:fldCharType="separate"/>
          </w:r>
          <w:r>
            <w:rPr>
              <w:rStyle w:val="7"/>
              <w:rFonts w:ascii="Arial" w:hAnsi="Arial" w:cs="Arial"/>
              <w:color w:val="000000" w:themeColor="text1"/>
              <w:sz w:val="24"/>
              <w:szCs w:val="24"/>
            </w:rPr>
            <w:t>3.</w:t>
          </w:r>
          <w:r>
            <w:rPr>
              <w:rFonts w:ascii="Arial" w:hAnsi="Arial" w:cs="Arial" w:eastAsiaTheme="minorEastAsia"/>
              <w:color w:val="000000" w:themeColor="text1"/>
              <w:sz w:val="24"/>
              <w:szCs w:val="24"/>
              <w:lang w:val="en-US"/>
            </w:rPr>
            <w:tab/>
          </w:r>
          <w:r>
            <w:rPr>
              <w:rStyle w:val="7"/>
              <w:rFonts w:ascii="Arial" w:hAnsi="Arial" w:cs="Arial"/>
              <w:color w:val="000000" w:themeColor="text1"/>
              <w:sz w:val="24"/>
              <w:szCs w:val="24"/>
            </w:rPr>
            <w:t>Increasing the complex nature of organisations</w:t>
          </w:r>
          <w:r>
            <w:rPr>
              <w:rFonts w:ascii="Arial" w:hAnsi="Arial" w:cs="Arial"/>
              <w:color w:val="000000" w:themeColor="text1"/>
              <w:sz w:val="24"/>
              <w:szCs w:val="24"/>
            </w:rPr>
            <w:tab/>
          </w:r>
          <w:r>
            <w:rPr>
              <w:rFonts w:ascii="Arial" w:hAnsi="Arial" w:cs="Arial"/>
              <w:color w:val="000000" w:themeColor="text1"/>
              <w:sz w:val="24"/>
              <w:szCs w:val="24"/>
            </w:rPr>
            <w:fldChar w:fldCharType="begin"/>
          </w:r>
          <w:r>
            <w:rPr>
              <w:rFonts w:ascii="Arial" w:hAnsi="Arial" w:cs="Arial"/>
              <w:color w:val="000000" w:themeColor="text1"/>
              <w:sz w:val="24"/>
              <w:szCs w:val="24"/>
            </w:rPr>
            <w:instrText xml:space="preserve"> PAGEREF _Toc32925712 \h </w:instrText>
          </w:r>
          <w:r>
            <w:rPr>
              <w:rFonts w:ascii="Arial" w:hAnsi="Arial" w:cs="Arial"/>
              <w:color w:val="000000" w:themeColor="text1"/>
              <w:sz w:val="24"/>
              <w:szCs w:val="24"/>
            </w:rPr>
            <w:fldChar w:fldCharType="separate"/>
          </w:r>
          <w:r>
            <w:rPr>
              <w:rFonts w:ascii="Arial" w:hAnsi="Arial" w:cs="Arial"/>
              <w:color w:val="000000" w:themeColor="text1"/>
              <w:sz w:val="24"/>
              <w:szCs w:val="24"/>
            </w:rPr>
            <w:t>7</w:t>
          </w:r>
          <w:r>
            <w:rPr>
              <w:rFonts w:ascii="Arial" w:hAnsi="Arial" w:cs="Arial"/>
              <w:color w:val="000000" w:themeColor="text1"/>
              <w:sz w:val="24"/>
              <w:szCs w:val="24"/>
            </w:rPr>
            <w:fldChar w:fldCharType="end"/>
          </w:r>
          <w:r>
            <w:rPr>
              <w:rFonts w:ascii="Arial" w:hAnsi="Arial" w:cs="Arial"/>
              <w:color w:val="000000" w:themeColor="text1"/>
              <w:sz w:val="24"/>
              <w:szCs w:val="24"/>
            </w:rPr>
            <w:fldChar w:fldCharType="end"/>
          </w:r>
        </w:p>
        <w:p>
          <w:pPr>
            <w:pStyle w:val="5"/>
            <w:tabs>
              <w:tab w:val="left" w:pos="440"/>
              <w:tab w:val="right" w:leader="dot" w:pos="9016"/>
            </w:tabs>
            <w:spacing w:line="480" w:lineRule="auto"/>
            <w:rPr>
              <w:rFonts w:ascii="Arial" w:hAnsi="Arial" w:cs="Arial" w:eastAsiaTheme="minorEastAsia"/>
              <w:color w:val="000000" w:themeColor="text1"/>
              <w:sz w:val="24"/>
              <w:szCs w:val="24"/>
              <w:lang w:val="en-US"/>
            </w:rPr>
          </w:pPr>
          <w:r>
            <w:fldChar w:fldCharType="begin"/>
          </w:r>
          <w:r>
            <w:instrText xml:space="preserve"> HYPERLINK \l "_Toc32925713" </w:instrText>
          </w:r>
          <w:r>
            <w:fldChar w:fldCharType="separate"/>
          </w:r>
          <w:r>
            <w:rPr>
              <w:rStyle w:val="7"/>
              <w:rFonts w:ascii="Arial" w:hAnsi="Arial" w:cs="Arial"/>
              <w:color w:val="000000" w:themeColor="text1"/>
              <w:sz w:val="24"/>
              <w:szCs w:val="24"/>
            </w:rPr>
            <w:t>4.</w:t>
          </w:r>
          <w:r>
            <w:rPr>
              <w:rFonts w:ascii="Arial" w:hAnsi="Arial" w:cs="Arial" w:eastAsiaTheme="minorEastAsia"/>
              <w:color w:val="000000" w:themeColor="text1"/>
              <w:sz w:val="24"/>
              <w:szCs w:val="24"/>
              <w:lang w:val="en-US"/>
            </w:rPr>
            <w:tab/>
          </w:r>
          <w:r>
            <w:rPr>
              <w:rStyle w:val="7"/>
              <w:rFonts w:ascii="Arial" w:hAnsi="Arial" w:cs="Arial"/>
              <w:color w:val="000000" w:themeColor="text1"/>
              <w:sz w:val="24"/>
              <w:szCs w:val="24"/>
            </w:rPr>
            <w:t>Approaches to leadership to navigate the complexity</w:t>
          </w:r>
          <w:r>
            <w:rPr>
              <w:rFonts w:ascii="Arial" w:hAnsi="Arial" w:cs="Arial"/>
              <w:color w:val="000000" w:themeColor="text1"/>
              <w:sz w:val="24"/>
              <w:szCs w:val="24"/>
            </w:rPr>
            <w:tab/>
          </w:r>
          <w:r>
            <w:rPr>
              <w:rFonts w:ascii="Arial" w:hAnsi="Arial" w:cs="Arial"/>
              <w:color w:val="000000" w:themeColor="text1"/>
              <w:sz w:val="24"/>
              <w:szCs w:val="24"/>
            </w:rPr>
            <w:fldChar w:fldCharType="begin"/>
          </w:r>
          <w:r>
            <w:rPr>
              <w:rFonts w:ascii="Arial" w:hAnsi="Arial" w:cs="Arial"/>
              <w:color w:val="000000" w:themeColor="text1"/>
              <w:sz w:val="24"/>
              <w:szCs w:val="24"/>
            </w:rPr>
            <w:instrText xml:space="preserve"> PAGEREF _Toc32925713 \h </w:instrText>
          </w:r>
          <w:r>
            <w:rPr>
              <w:rFonts w:ascii="Arial" w:hAnsi="Arial" w:cs="Arial"/>
              <w:color w:val="000000" w:themeColor="text1"/>
              <w:sz w:val="24"/>
              <w:szCs w:val="24"/>
            </w:rPr>
            <w:fldChar w:fldCharType="separate"/>
          </w:r>
          <w:r>
            <w:rPr>
              <w:rFonts w:ascii="Arial" w:hAnsi="Arial" w:cs="Arial"/>
              <w:color w:val="000000" w:themeColor="text1"/>
              <w:sz w:val="24"/>
              <w:szCs w:val="24"/>
            </w:rPr>
            <w:t>8</w:t>
          </w:r>
          <w:r>
            <w:rPr>
              <w:rFonts w:ascii="Arial" w:hAnsi="Arial" w:cs="Arial"/>
              <w:color w:val="000000" w:themeColor="text1"/>
              <w:sz w:val="24"/>
              <w:szCs w:val="24"/>
            </w:rPr>
            <w:fldChar w:fldCharType="end"/>
          </w:r>
          <w:r>
            <w:rPr>
              <w:rFonts w:ascii="Arial" w:hAnsi="Arial" w:cs="Arial"/>
              <w:color w:val="000000" w:themeColor="text1"/>
              <w:sz w:val="24"/>
              <w:szCs w:val="24"/>
            </w:rPr>
            <w:fldChar w:fldCharType="end"/>
          </w:r>
        </w:p>
        <w:p>
          <w:pPr>
            <w:pStyle w:val="5"/>
            <w:tabs>
              <w:tab w:val="left" w:pos="440"/>
              <w:tab w:val="right" w:leader="dot" w:pos="9016"/>
            </w:tabs>
            <w:spacing w:line="480" w:lineRule="auto"/>
            <w:rPr>
              <w:rFonts w:ascii="Arial" w:hAnsi="Arial" w:cs="Arial" w:eastAsiaTheme="minorEastAsia"/>
              <w:color w:val="000000" w:themeColor="text1"/>
              <w:sz w:val="24"/>
              <w:szCs w:val="24"/>
              <w:lang w:val="en-US"/>
            </w:rPr>
          </w:pPr>
          <w:r>
            <w:fldChar w:fldCharType="begin"/>
          </w:r>
          <w:r>
            <w:instrText xml:space="preserve"> HYPERLINK \l "_Toc32925714" </w:instrText>
          </w:r>
          <w:r>
            <w:fldChar w:fldCharType="separate"/>
          </w:r>
          <w:r>
            <w:rPr>
              <w:rStyle w:val="7"/>
              <w:rFonts w:ascii="Arial" w:hAnsi="Arial" w:cs="Arial"/>
              <w:color w:val="000000" w:themeColor="text1"/>
              <w:sz w:val="24"/>
              <w:szCs w:val="24"/>
            </w:rPr>
            <w:t>5.</w:t>
          </w:r>
          <w:r>
            <w:rPr>
              <w:rFonts w:ascii="Arial" w:hAnsi="Arial" w:cs="Arial" w:eastAsiaTheme="minorEastAsia"/>
              <w:color w:val="000000" w:themeColor="text1"/>
              <w:sz w:val="24"/>
              <w:szCs w:val="24"/>
              <w:lang w:val="en-US"/>
            </w:rPr>
            <w:tab/>
          </w:r>
          <w:r>
            <w:rPr>
              <w:rStyle w:val="7"/>
              <w:rFonts w:ascii="Arial" w:hAnsi="Arial" w:cs="Arial"/>
              <w:color w:val="000000" w:themeColor="text1"/>
              <w:sz w:val="24"/>
              <w:szCs w:val="24"/>
            </w:rPr>
            <w:t>Leadership practices fostering innovation</w:t>
          </w:r>
          <w:r>
            <w:rPr>
              <w:rFonts w:ascii="Arial" w:hAnsi="Arial" w:cs="Arial"/>
              <w:color w:val="000000" w:themeColor="text1"/>
              <w:sz w:val="24"/>
              <w:szCs w:val="24"/>
            </w:rPr>
            <w:tab/>
          </w:r>
          <w:r>
            <w:rPr>
              <w:rFonts w:ascii="Arial" w:hAnsi="Arial" w:cs="Arial"/>
              <w:color w:val="000000" w:themeColor="text1"/>
              <w:sz w:val="24"/>
              <w:szCs w:val="24"/>
            </w:rPr>
            <w:fldChar w:fldCharType="begin"/>
          </w:r>
          <w:r>
            <w:rPr>
              <w:rFonts w:ascii="Arial" w:hAnsi="Arial" w:cs="Arial"/>
              <w:color w:val="000000" w:themeColor="text1"/>
              <w:sz w:val="24"/>
              <w:szCs w:val="24"/>
            </w:rPr>
            <w:instrText xml:space="preserve"> PAGEREF _Toc32925714 \h </w:instrText>
          </w:r>
          <w:r>
            <w:rPr>
              <w:rFonts w:ascii="Arial" w:hAnsi="Arial" w:cs="Arial"/>
              <w:color w:val="000000" w:themeColor="text1"/>
              <w:sz w:val="24"/>
              <w:szCs w:val="24"/>
            </w:rPr>
            <w:fldChar w:fldCharType="separate"/>
          </w:r>
          <w:r>
            <w:rPr>
              <w:rFonts w:ascii="Arial" w:hAnsi="Arial" w:cs="Arial"/>
              <w:color w:val="000000" w:themeColor="text1"/>
              <w:sz w:val="24"/>
              <w:szCs w:val="24"/>
            </w:rPr>
            <w:t>10</w:t>
          </w:r>
          <w:r>
            <w:rPr>
              <w:rFonts w:ascii="Arial" w:hAnsi="Arial" w:cs="Arial"/>
              <w:color w:val="000000" w:themeColor="text1"/>
              <w:sz w:val="24"/>
              <w:szCs w:val="24"/>
            </w:rPr>
            <w:fldChar w:fldCharType="end"/>
          </w:r>
          <w:r>
            <w:rPr>
              <w:rFonts w:ascii="Arial" w:hAnsi="Arial" w:cs="Arial"/>
              <w:color w:val="000000" w:themeColor="text1"/>
              <w:sz w:val="24"/>
              <w:szCs w:val="24"/>
            </w:rPr>
            <w:fldChar w:fldCharType="end"/>
          </w:r>
        </w:p>
        <w:p>
          <w:pPr>
            <w:pStyle w:val="5"/>
            <w:tabs>
              <w:tab w:val="left" w:pos="440"/>
              <w:tab w:val="right" w:leader="dot" w:pos="9016"/>
            </w:tabs>
            <w:spacing w:line="480" w:lineRule="auto"/>
            <w:rPr>
              <w:rFonts w:ascii="Arial" w:hAnsi="Arial" w:cs="Arial" w:eastAsiaTheme="minorEastAsia"/>
              <w:color w:val="000000" w:themeColor="text1"/>
              <w:sz w:val="24"/>
              <w:szCs w:val="24"/>
              <w:lang w:val="en-US"/>
            </w:rPr>
          </w:pPr>
          <w:r>
            <w:fldChar w:fldCharType="begin"/>
          </w:r>
          <w:r>
            <w:instrText xml:space="preserve"> HYPERLINK \l "_Toc32925715" </w:instrText>
          </w:r>
          <w:r>
            <w:fldChar w:fldCharType="separate"/>
          </w:r>
          <w:r>
            <w:rPr>
              <w:rStyle w:val="7"/>
              <w:rFonts w:ascii="Arial" w:hAnsi="Arial" w:cs="Arial"/>
              <w:color w:val="000000" w:themeColor="text1"/>
              <w:sz w:val="24"/>
              <w:szCs w:val="24"/>
            </w:rPr>
            <w:t>6.</w:t>
          </w:r>
          <w:r>
            <w:rPr>
              <w:rFonts w:ascii="Arial" w:hAnsi="Arial" w:cs="Arial" w:eastAsiaTheme="minorEastAsia"/>
              <w:color w:val="000000" w:themeColor="text1"/>
              <w:sz w:val="24"/>
              <w:szCs w:val="24"/>
              <w:lang w:val="en-US"/>
            </w:rPr>
            <w:tab/>
          </w:r>
          <w:r>
            <w:rPr>
              <w:rStyle w:val="7"/>
              <w:rFonts w:ascii="Arial" w:hAnsi="Arial" w:cs="Arial"/>
              <w:color w:val="000000" w:themeColor="text1"/>
              <w:sz w:val="24"/>
              <w:szCs w:val="24"/>
            </w:rPr>
            <w:t>Recommendations for micro experiments</w:t>
          </w:r>
          <w:r>
            <w:rPr>
              <w:rFonts w:ascii="Arial" w:hAnsi="Arial" w:cs="Arial"/>
              <w:color w:val="000000" w:themeColor="text1"/>
              <w:sz w:val="24"/>
              <w:szCs w:val="24"/>
            </w:rPr>
            <w:tab/>
          </w:r>
          <w:r>
            <w:rPr>
              <w:rFonts w:ascii="Arial" w:hAnsi="Arial" w:cs="Arial"/>
              <w:color w:val="000000" w:themeColor="text1"/>
              <w:sz w:val="24"/>
              <w:szCs w:val="24"/>
            </w:rPr>
            <w:fldChar w:fldCharType="begin"/>
          </w:r>
          <w:r>
            <w:rPr>
              <w:rFonts w:ascii="Arial" w:hAnsi="Arial" w:cs="Arial"/>
              <w:color w:val="000000" w:themeColor="text1"/>
              <w:sz w:val="24"/>
              <w:szCs w:val="24"/>
            </w:rPr>
            <w:instrText xml:space="preserve"> PAGEREF _Toc32925715 \h </w:instrText>
          </w:r>
          <w:r>
            <w:rPr>
              <w:rFonts w:ascii="Arial" w:hAnsi="Arial" w:cs="Arial"/>
              <w:color w:val="000000" w:themeColor="text1"/>
              <w:sz w:val="24"/>
              <w:szCs w:val="24"/>
            </w:rPr>
            <w:fldChar w:fldCharType="separate"/>
          </w:r>
          <w:r>
            <w:rPr>
              <w:rFonts w:ascii="Arial" w:hAnsi="Arial" w:cs="Arial"/>
              <w:color w:val="000000" w:themeColor="text1"/>
              <w:sz w:val="24"/>
              <w:szCs w:val="24"/>
            </w:rPr>
            <w:t>12</w:t>
          </w:r>
          <w:r>
            <w:rPr>
              <w:rFonts w:ascii="Arial" w:hAnsi="Arial" w:cs="Arial"/>
              <w:color w:val="000000" w:themeColor="text1"/>
              <w:sz w:val="24"/>
              <w:szCs w:val="24"/>
            </w:rPr>
            <w:fldChar w:fldCharType="end"/>
          </w:r>
          <w:r>
            <w:rPr>
              <w:rFonts w:ascii="Arial" w:hAnsi="Arial" w:cs="Arial"/>
              <w:color w:val="000000" w:themeColor="text1"/>
              <w:sz w:val="24"/>
              <w:szCs w:val="24"/>
            </w:rPr>
            <w:fldChar w:fldCharType="end"/>
          </w:r>
        </w:p>
        <w:p>
          <w:pPr>
            <w:pStyle w:val="5"/>
            <w:tabs>
              <w:tab w:val="left" w:pos="440"/>
              <w:tab w:val="right" w:leader="dot" w:pos="9016"/>
            </w:tabs>
            <w:spacing w:line="480" w:lineRule="auto"/>
            <w:rPr>
              <w:rFonts w:ascii="Arial" w:hAnsi="Arial" w:cs="Arial" w:eastAsiaTheme="minorEastAsia"/>
              <w:color w:val="000000" w:themeColor="text1"/>
              <w:sz w:val="24"/>
              <w:szCs w:val="24"/>
              <w:lang w:val="en-US"/>
            </w:rPr>
          </w:pPr>
          <w:r>
            <w:fldChar w:fldCharType="begin"/>
          </w:r>
          <w:r>
            <w:instrText xml:space="preserve"> HYPERLINK \l "_Toc32925716" </w:instrText>
          </w:r>
          <w:r>
            <w:fldChar w:fldCharType="separate"/>
          </w:r>
          <w:r>
            <w:rPr>
              <w:rStyle w:val="7"/>
              <w:rFonts w:ascii="Arial" w:hAnsi="Arial" w:cs="Arial"/>
              <w:color w:val="000000" w:themeColor="text1"/>
              <w:sz w:val="24"/>
              <w:szCs w:val="24"/>
            </w:rPr>
            <w:t>7.</w:t>
          </w:r>
          <w:r>
            <w:rPr>
              <w:rFonts w:ascii="Arial" w:hAnsi="Arial" w:cs="Arial" w:eastAsiaTheme="minorEastAsia"/>
              <w:color w:val="000000" w:themeColor="text1"/>
              <w:sz w:val="24"/>
              <w:szCs w:val="24"/>
              <w:lang w:val="en-US"/>
            </w:rPr>
            <w:tab/>
          </w:r>
          <w:r>
            <w:rPr>
              <w:rStyle w:val="7"/>
              <w:rFonts w:ascii="Arial" w:hAnsi="Arial" w:cs="Arial"/>
              <w:color w:val="000000" w:themeColor="text1"/>
              <w:sz w:val="24"/>
              <w:szCs w:val="24"/>
            </w:rPr>
            <w:t>Conclusion</w:t>
          </w:r>
          <w:r>
            <w:rPr>
              <w:rFonts w:ascii="Arial" w:hAnsi="Arial" w:cs="Arial"/>
              <w:color w:val="000000" w:themeColor="text1"/>
              <w:sz w:val="24"/>
              <w:szCs w:val="24"/>
            </w:rPr>
            <w:tab/>
          </w:r>
          <w:r>
            <w:rPr>
              <w:rFonts w:ascii="Arial" w:hAnsi="Arial" w:cs="Arial"/>
              <w:color w:val="000000" w:themeColor="text1"/>
              <w:sz w:val="24"/>
              <w:szCs w:val="24"/>
            </w:rPr>
            <w:fldChar w:fldCharType="begin"/>
          </w:r>
          <w:r>
            <w:rPr>
              <w:rFonts w:ascii="Arial" w:hAnsi="Arial" w:cs="Arial"/>
              <w:color w:val="000000" w:themeColor="text1"/>
              <w:sz w:val="24"/>
              <w:szCs w:val="24"/>
            </w:rPr>
            <w:instrText xml:space="preserve"> PAGEREF _Toc32925716 \h </w:instrText>
          </w:r>
          <w:r>
            <w:rPr>
              <w:rFonts w:ascii="Arial" w:hAnsi="Arial" w:cs="Arial"/>
              <w:color w:val="000000" w:themeColor="text1"/>
              <w:sz w:val="24"/>
              <w:szCs w:val="24"/>
            </w:rPr>
            <w:fldChar w:fldCharType="separate"/>
          </w:r>
          <w:r>
            <w:rPr>
              <w:rFonts w:ascii="Arial" w:hAnsi="Arial" w:cs="Arial"/>
              <w:color w:val="000000" w:themeColor="text1"/>
              <w:sz w:val="24"/>
              <w:szCs w:val="24"/>
            </w:rPr>
            <w:t>14</w:t>
          </w:r>
          <w:r>
            <w:rPr>
              <w:rFonts w:ascii="Arial" w:hAnsi="Arial" w:cs="Arial"/>
              <w:color w:val="000000" w:themeColor="text1"/>
              <w:sz w:val="24"/>
              <w:szCs w:val="24"/>
            </w:rPr>
            <w:fldChar w:fldCharType="end"/>
          </w:r>
          <w:r>
            <w:rPr>
              <w:rFonts w:ascii="Arial" w:hAnsi="Arial" w:cs="Arial"/>
              <w:color w:val="000000" w:themeColor="text1"/>
              <w:sz w:val="24"/>
              <w:szCs w:val="24"/>
            </w:rPr>
            <w:fldChar w:fldCharType="end"/>
          </w:r>
        </w:p>
        <w:p>
          <w:pPr>
            <w:pStyle w:val="5"/>
            <w:tabs>
              <w:tab w:val="right" w:leader="dot" w:pos="9016"/>
            </w:tabs>
            <w:spacing w:line="480" w:lineRule="auto"/>
            <w:rPr>
              <w:rFonts w:ascii="Arial" w:hAnsi="Arial" w:cs="Arial" w:eastAsiaTheme="minorEastAsia"/>
              <w:color w:val="000000" w:themeColor="text1"/>
              <w:sz w:val="24"/>
              <w:szCs w:val="24"/>
              <w:lang w:val="en-US"/>
            </w:rPr>
          </w:pPr>
          <w:r>
            <w:fldChar w:fldCharType="begin"/>
          </w:r>
          <w:r>
            <w:instrText xml:space="preserve"> HYPERLINK \l "_Toc32925717" </w:instrText>
          </w:r>
          <w:r>
            <w:fldChar w:fldCharType="separate"/>
          </w:r>
          <w:r>
            <w:rPr>
              <w:rStyle w:val="7"/>
              <w:rFonts w:ascii="Arial" w:hAnsi="Arial" w:cs="Arial"/>
              <w:color w:val="000000" w:themeColor="text1"/>
              <w:sz w:val="24"/>
              <w:szCs w:val="24"/>
            </w:rPr>
            <w:t>References</w:t>
          </w:r>
          <w:r>
            <w:rPr>
              <w:rFonts w:ascii="Arial" w:hAnsi="Arial" w:cs="Arial"/>
              <w:color w:val="000000" w:themeColor="text1"/>
              <w:sz w:val="24"/>
              <w:szCs w:val="24"/>
            </w:rPr>
            <w:tab/>
          </w:r>
          <w:r>
            <w:rPr>
              <w:rFonts w:ascii="Arial" w:hAnsi="Arial" w:cs="Arial"/>
              <w:color w:val="000000" w:themeColor="text1"/>
              <w:sz w:val="24"/>
              <w:szCs w:val="24"/>
            </w:rPr>
            <w:fldChar w:fldCharType="begin"/>
          </w:r>
          <w:r>
            <w:rPr>
              <w:rFonts w:ascii="Arial" w:hAnsi="Arial" w:cs="Arial"/>
              <w:color w:val="000000" w:themeColor="text1"/>
              <w:sz w:val="24"/>
              <w:szCs w:val="24"/>
            </w:rPr>
            <w:instrText xml:space="preserve"> PAGEREF _Toc32925717 \h </w:instrText>
          </w:r>
          <w:r>
            <w:rPr>
              <w:rFonts w:ascii="Arial" w:hAnsi="Arial" w:cs="Arial"/>
              <w:color w:val="000000" w:themeColor="text1"/>
              <w:sz w:val="24"/>
              <w:szCs w:val="24"/>
            </w:rPr>
            <w:fldChar w:fldCharType="separate"/>
          </w:r>
          <w:r>
            <w:rPr>
              <w:rFonts w:ascii="Arial" w:hAnsi="Arial" w:cs="Arial"/>
              <w:color w:val="000000" w:themeColor="text1"/>
              <w:sz w:val="24"/>
              <w:szCs w:val="24"/>
            </w:rPr>
            <w:t>15</w:t>
          </w:r>
          <w:r>
            <w:rPr>
              <w:rFonts w:ascii="Arial" w:hAnsi="Arial" w:cs="Arial"/>
              <w:color w:val="000000" w:themeColor="text1"/>
              <w:sz w:val="24"/>
              <w:szCs w:val="24"/>
            </w:rPr>
            <w:fldChar w:fldCharType="end"/>
          </w:r>
          <w:r>
            <w:rPr>
              <w:rFonts w:ascii="Arial" w:hAnsi="Arial" w:cs="Arial"/>
              <w:color w:val="000000" w:themeColor="text1"/>
              <w:sz w:val="24"/>
              <w:szCs w:val="24"/>
            </w:rPr>
            <w:fldChar w:fldCharType="end"/>
          </w:r>
        </w:p>
        <w:p>
          <w:pPr>
            <w:spacing w:line="480" w:lineRule="auto"/>
            <w:jc w:val="both"/>
            <w:rPr>
              <w:rFonts w:ascii="Arial" w:hAnsi="Arial" w:cs="Arial"/>
              <w:color w:val="000000" w:themeColor="text1"/>
              <w:sz w:val="24"/>
              <w:szCs w:val="24"/>
            </w:rPr>
          </w:pPr>
          <w:r>
            <w:rPr>
              <w:rFonts w:ascii="Arial" w:hAnsi="Arial" w:cs="Arial"/>
              <w:color w:val="000000" w:themeColor="text1"/>
              <w:sz w:val="24"/>
              <w:szCs w:val="24"/>
            </w:rPr>
            <w:fldChar w:fldCharType="end"/>
          </w:r>
        </w:p>
      </w:sdtContent>
    </w:sdt>
    <w:p>
      <w:pPr>
        <w:spacing w:line="480" w:lineRule="auto"/>
        <w:jc w:val="both"/>
        <w:rPr>
          <w:rFonts w:ascii="Arial" w:hAnsi="Arial" w:cs="Arial" w:eastAsiaTheme="majorEastAsia"/>
          <w:color w:val="000000" w:themeColor="text1"/>
          <w:sz w:val="24"/>
          <w:szCs w:val="24"/>
        </w:rPr>
      </w:pPr>
      <w:r>
        <w:rPr>
          <w:rFonts w:ascii="Arial" w:hAnsi="Arial" w:cs="Arial"/>
          <w:color w:val="000000" w:themeColor="text1"/>
          <w:sz w:val="24"/>
          <w:szCs w:val="24"/>
        </w:rPr>
        <w:br w:type="page"/>
      </w:r>
    </w:p>
    <w:p>
      <w:pPr>
        <w:pStyle w:val="2"/>
        <w:numPr>
          <w:ilvl w:val="0"/>
          <w:numId w:val="1"/>
        </w:numPr>
        <w:spacing w:line="480" w:lineRule="auto"/>
        <w:contextualSpacing/>
        <w:jc w:val="both"/>
        <w:rPr>
          <w:rFonts w:ascii="Arial" w:hAnsi="Arial" w:cs="Arial"/>
          <w:b/>
          <w:bCs/>
          <w:color w:val="000000" w:themeColor="text1"/>
          <w:sz w:val="24"/>
          <w:szCs w:val="24"/>
        </w:rPr>
      </w:pPr>
      <w:bookmarkStart w:id="1" w:name="_Toc32925710"/>
      <w:r>
        <w:rPr>
          <w:rFonts w:ascii="Arial" w:hAnsi="Arial" w:cs="Arial"/>
          <w:b/>
          <w:bCs/>
          <w:color w:val="000000" w:themeColor="text1"/>
          <w:sz w:val="24"/>
          <w:szCs w:val="24"/>
        </w:rPr>
        <w:t>Introduction</w:t>
      </w:r>
      <w:bookmarkEnd w:id="1"/>
      <w:r>
        <w:rPr>
          <w:rFonts w:ascii="Arial" w:hAnsi="Arial" w:cs="Arial"/>
          <w:b/>
          <w:bCs/>
          <w:color w:val="000000" w:themeColor="text1"/>
          <w:sz w:val="24"/>
          <w:szCs w:val="24"/>
        </w:rPr>
        <w:t xml:space="preserve"> </w:t>
      </w:r>
    </w:p>
    <w:p>
      <w:pPr>
        <w:spacing w:line="480" w:lineRule="auto"/>
        <w:contextualSpacing/>
        <w:jc w:val="both"/>
        <w:rPr>
          <w:rFonts w:ascii="Arial" w:hAnsi="Arial" w:cs="Arial"/>
          <w:color w:val="000000" w:themeColor="text1"/>
          <w:sz w:val="24"/>
          <w:szCs w:val="24"/>
        </w:rPr>
      </w:pPr>
      <w:r>
        <w:rPr>
          <w:rFonts w:ascii="Arial" w:hAnsi="Arial" w:cs="Arial"/>
          <w:color w:val="000000" w:themeColor="text1"/>
          <w:sz w:val="24"/>
          <w:szCs w:val="24"/>
        </w:rPr>
        <w:t>This report aims to present analysis about recognizing and evaluating complexities that are involved in managing and leading people within the organisations. The report reveals practical application about leadership and management principles and theories and evaluates the design and the implementation strategies that allows enhancing the effectiveness of managers and leaders in order to meet the existing and future need of organisations. The research in this report is conducted from a complexity perspective, which suggests that in the 21</w:t>
      </w:r>
      <w:r>
        <w:rPr>
          <w:rFonts w:ascii="Arial" w:hAnsi="Arial" w:cs="Arial"/>
          <w:color w:val="000000" w:themeColor="text1"/>
          <w:sz w:val="24"/>
          <w:szCs w:val="24"/>
          <w:vertAlign w:val="superscript"/>
        </w:rPr>
        <w:t>st</w:t>
      </w:r>
      <w:r>
        <w:rPr>
          <w:rFonts w:ascii="Arial" w:hAnsi="Arial" w:cs="Arial"/>
          <w:color w:val="000000" w:themeColor="text1"/>
          <w:sz w:val="24"/>
          <w:szCs w:val="24"/>
        </w:rPr>
        <w:t xml:space="preserve"> century, the organizations are operating in a complex environment and composed of a complex system in which the interacting agents adapt, learn or co-evolve (</w:t>
      </w:r>
      <w:r>
        <w:rPr>
          <w:rFonts w:ascii="Arial" w:hAnsi="Arial" w:eastAsia="Times New Roman" w:cs="Arial"/>
          <w:color w:val="000000" w:themeColor="text1"/>
          <w:sz w:val="24"/>
          <w:szCs w:val="24"/>
          <w:lang w:val="en-US"/>
        </w:rPr>
        <w:t>Cutts, 2015)</w:t>
      </w:r>
      <w:r>
        <w:rPr>
          <w:rFonts w:ascii="Arial" w:hAnsi="Arial" w:cs="Arial"/>
          <w:color w:val="000000" w:themeColor="text1"/>
          <w:sz w:val="24"/>
          <w:szCs w:val="24"/>
        </w:rPr>
        <w:t xml:space="preserve">. Organisations need to foster innovation in order to facilitate adaptation in changing the business environment to meet the necessities and understand dynamics. Therefore, by exercising leadership, the managers can nurture innovation become adaptative and ensure high performance over time. </w:t>
      </w:r>
    </w:p>
    <w:p>
      <w:pPr>
        <w:spacing w:line="480" w:lineRule="auto"/>
        <w:contextualSpacing/>
        <w:jc w:val="both"/>
        <w:rPr>
          <w:rFonts w:ascii="Arial" w:hAnsi="Arial" w:cs="Arial"/>
          <w:color w:val="000000" w:themeColor="text1"/>
          <w:sz w:val="24"/>
          <w:szCs w:val="24"/>
        </w:rPr>
      </w:pPr>
      <w:r>
        <w:rPr>
          <w:rFonts w:ascii="Arial" w:hAnsi="Arial" w:cs="Arial"/>
          <w:color w:val="000000" w:themeColor="text1"/>
          <w:sz w:val="24"/>
          <w:szCs w:val="24"/>
        </w:rPr>
        <w:t>The report is categorized into various parts. In the first part, the VUCA environment is presented, and the second part reveals about increasingly complex nature of the organisations in the 21</w:t>
      </w:r>
      <w:r>
        <w:rPr>
          <w:rFonts w:ascii="Arial" w:hAnsi="Arial" w:cs="Arial"/>
          <w:color w:val="000000" w:themeColor="text1"/>
          <w:sz w:val="24"/>
          <w:szCs w:val="24"/>
          <w:vertAlign w:val="superscript"/>
        </w:rPr>
        <w:t>st</w:t>
      </w:r>
      <w:r>
        <w:rPr>
          <w:rFonts w:ascii="Arial" w:hAnsi="Arial" w:cs="Arial"/>
          <w:color w:val="000000" w:themeColor="text1"/>
          <w:sz w:val="24"/>
          <w:szCs w:val="24"/>
        </w:rPr>
        <w:t xml:space="preserve"> century. The third section presents approaches to leadership and the fourth part reveals leadership practices that foster innovation. Lastly, the report concludes with recommendations that can be implemented by organisations to implement the strategies. </w:t>
      </w:r>
    </w:p>
    <w:p>
      <w:pPr>
        <w:pStyle w:val="2"/>
        <w:numPr>
          <w:ilvl w:val="0"/>
          <w:numId w:val="1"/>
        </w:numPr>
        <w:spacing w:line="480" w:lineRule="auto"/>
        <w:contextualSpacing/>
        <w:jc w:val="both"/>
        <w:rPr>
          <w:rFonts w:ascii="Arial" w:hAnsi="Arial" w:cs="Arial"/>
          <w:b/>
          <w:bCs/>
          <w:color w:val="000000" w:themeColor="text1"/>
          <w:sz w:val="24"/>
          <w:szCs w:val="24"/>
        </w:rPr>
      </w:pPr>
      <w:bookmarkStart w:id="2" w:name="_Toc32925711"/>
      <w:r>
        <w:rPr>
          <w:rFonts w:ascii="Arial" w:hAnsi="Arial" w:cs="Arial"/>
          <w:b/>
          <w:bCs/>
          <w:color w:val="000000" w:themeColor="text1"/>
          <w:sz w:val="24"/>
          <w:szCs w:val="24"/>
        </w:rPr>
        <w:t>The VUCA environment</w:t>
      </w:r>
      <w:bookmarkEnd w:id="2"/>
      <w:r>
        <w:rPr>
          <w:rFonts w:ascii="Arial" w:hAnsi="Arial" w:cs="Arial"/>
          <w:b/>
          <w:bCs/>
          <w:color w:val="000000" w:themeColor="text1"/>
          <w:sz w:val="24"/>
          <w:szCs w:val="24"/>
        </w:rPr>
        <w:t xml:space="preserve"> </w:t>
      </w:r>
    </w:p>
    <w:p>
      <w:pPr>
        <w:spacing w:line="480" w:lineRule="auto"/>
        <w:contextualSpacing/>
        <w:jc w:val="both"/>
        <w:rPr>
          <w:rFonts w:ascii="Arial" w:hAnsi="Arial" w:cs="Arial"/>
          <w:color w:val="000000" w:themeColor="text1"/>
          <w:sz w:val="24"/>
          <w:szCs w:val="24"/>
        </w:rPr>
      </w:pPr>
      <w:r>
        <w:rPr>
          <w:rFonts w:ascii="Arial" w:hAnsi="Arial" w:cs="Arial"/>
          <w:color w:val="000000" w:themeColor="text1"/>
          <w:sz w:val="24"/>
          <w:szCs w:val="24"/>
        </w:rPr>
        <w:t>Today, the organisations are operating in a society where the complexity and change are increasing day-by-day. Since past decades the concept of the VUCA environment has emerged as the term adopted from military to other management concepts. The four-key factor of volatility, uncertainty, complexly, and ambiguity are the most common elements in the nature of the business environment of the 21</w:t>
      </w:r>
      <w:r>
        <w:rPr>
          <w:rFonts w:ascii="Arial" w:hAnsi="Arial" w:cs="Arial"/>
          <w:color w:val="000000" w:themeColor="text1"/>
          <w:sz w:val="24"/>
          <w:szCs w:val="24"/>
          <w:vertAlign w:val="superscript"/>
        </w:rPr>
        <w:t>st</w:t>
      </w:r>
      <w:r>
        <w:rPr>
          <w:rFonts w:ascii="Arial" w:hAnsi="Arial" w:cs="Arial"/>
          <w:color w:val="000000" w:themeColor="text1"/>
          <w:sz w:val="24"/>
          <w:szCs w:val="24"/>
        </w:rPr>
        <w:t xml:space="preserve"> century (</w:t>
      </w:r>
      <w:r>
        <w:rPr>
          <w:rFonts w:ascii="Arial" w:hAnsi="Arial" w:eastAsia="Times New Roman" w:cs="Arial"/>
          <w:color w:val="000000" w:themeColor="text1"/>
          <w:sz w:val="24"/>
          <w:szCs w:val="24"/>
          <w:lang w:val="en-US"/>
        </w:rPr>
        <w:t>Interaction Design Foundation, 2019)</w:t>
      </w:r>
      <w:r>
        <w:rPr>
          <w:rFonts w:ascii="Arial" w:hAnsi="Arial" w:cs="Arial"/>
          <w:color w:val="000000" w:themeColor="text1"/>
          <w:sz w:val="24"/>
          <w:szCs w:val="24"/>
        </w:rPr>
        <w:t xml:space="preserve">. Today, the organisations operating are facing a more dynamic and constantly changing environment. This is often in the context of the absence of innovation and the effective operations of business and leadership are about the management of complexity at the workplace. The phenomena of VUCA includes distinctive challenges along with the four diffident responses by which the organisations might ensure progress while going through these challenges. </w:t>
      </w:r>
    </w:p>
    <w:p>
      <w:pPr>
        <w:spacing w:line="480" w:lineRule="auto"/>
        <w:contextualSpacing/>
        <w:jc w:val="both"/>
        <w:rPr>
          <w:rFonts w:ascii="Arial" w:hAnsi="Arial" w:cs="Arial"/>
          <w:color w:val="000000" w:themeColor="text1"/>
          <w:sz w:val="24"/>
          <w:szCs w:val="24"/>
        </w:rPr>
      </w:pPr>
      <w:r>
        <w:rPr>
          <w:rFonts w:ascii="Arial" w:hAnsi="Arial" w:cs="Arial"/>
          <w:color w:val="000000" w:themeColor="text1"/>
          <w:sz w:val="24"/>
          <w:szCs w:val="24"/>
        </w:rPr>
        <w:t>Organisations are operating in a volatile environment where the changes are constant. The volatile environment is characterised by unstable or unexpected events with the unknown durations (</w:t>
      </w:r>
      <w:r>
        <w:rPr>
          <w:rFonts w:ascii="Arial" w:hAnsi="Arial" w:eastAsia="Times New Roman" w:cs="Arial"/>
          <w:color w:val="000000" w:themeColor="text1"/>
          <w:sz w:val="24"/>
          <w:szCs w:val="24"/>
          <w:lang w:val="en-US"/>
        </w:rPr>
        <w:t>Conger, 2015; Kovacs and Corrie, 2017)</w:t>
      </w:r>
      <w:r>
        <w:rPr>
          <w:rFonts w:ascii="Arial" w:hAnsi="Arial" w:cs="Arial"/>
          <w:color w:val="000000" w:themeColor="text1"/>
          <w:sz w:val="24"/>
          <w:szCs w:val="24"/>
        </w:rPr>
        <w:t>. In this type of environment, the strategy adopted by organisations is often evolving with solid degrees of agility and adaptability. The capacity of organizations to move further from the fixed goals towards the agile organisation with strong communication and clear vision becomes crucial. The flexibility of companies with regard to adaptability and agility helps to achieve the vision and during the experiences of volatility, the organisation creates some slack in the system in order to make their resources readily available for the response (</w:t>
      </w:r>
      <w:r>
        <w:rPr>
          <w:rFonts w:ascii="Arial" w:hAnsi="Arial" w:eastAsia="Times New Roman" w:cs="Arial"/>
          <w:color w:val="000000" w:themeColor="text1"/>
          <w:sz w:val="24"/>
          <w:szCs w:val="24"/>
          <w:lang w:val="en-US"/>
        </w:rPr>
        <w:t>McDaniel, 2007; Northouse, 2018)</w:t>
      </w:r>
      <w:r>
        <w:rPr>
          <w:rFonts w:ascii="Arial" w:hAnsi="Arial" w:cs="Arial"/>
          <w:color w:val="000000" w:themeColor="text1"/>
          <w:sz w:val="24"/>
          <w:szCs w:val="24"/>
        </w:rPr>
        <w:t xml:space="preserve">. Therefore, organisations operating in volatility are at risk because the environment can be expensive, and the investment of the organisation must match the level of risk faced by the organisation. </w:t>
      </w:r>
    </w:p>
    <w:p>
      <w:pPr>
        <w:spacing w:line="480" w:lineRule="auto"/>
        <w:contextualSpacing/>
        <w:jc w:val="both"/>
        <w:rPr>
          <w:rFonts w:ascii="Arial" w:hAnsi="Arial" w:cs="Arial"/>
          <w:color w:val="000000" w:themeColor="text1"/>
          <w:sz w:val="24"/>
          <w:szCs w:val="24"/>
        </w:rPr>
      </w:pPr>
      <w:r>
        <w:rPr>
          <w:rFonts w:ascii="Arial" w:hAnsi="Arial" w:cs="Arial"/>
          <w:color w:val="000000" w:themeColor="text1"/>
          <w:sz w:val="24"/>
          <w:szCs w:val="24"/>
        </w:rPr>
        <w:t>With regard to uncertainty, there is a huge number of factors that create challenges for organisations to operate. The organisations operating in the higher uncertain environment can find various ways and potential opportunities to meet challenging situations (</w:t>
      </w:r>
      <w:r>
        <w:rPr>
          <w:rFonts w:ascii="Arial" w:hAnsi="Arial" w:eastAsia="Times New Roman" w:cs="Arial"/>
          <w:color w:val="000000" w:themeColor="text1"/>
          <w:sz w:val="24"/>
          <w:szCs w:val="24"/>
          <w:lang w:val="en-US"/>
        </w:rPr>
        <w:t>Paudel, 2019)</w:t>
      </w:r>
      <w:r>
        <w:rPr>
          <w:rFonts w:ascii="Arial" w:hAnsi="Arial" w:cs="Arial"/>
          <w:color w:val="000000" w:themeColor="text1"/>
          <w:sz w:val="24"/>
          <w:szCs w:val="24"/>
        </w:rPr>
        <w:t xml:space="preserve">. The uncertainty further encourages organisations to invest in the knowledge building and information sharing capabilities to increase resources and to mitigate the effect of uncertainty on the organisational environment. </w:t>
      </w:r>
      <w:r>
        <w:rPr>
          <w:rFonts w:ascii="Arial" w:hAnsi="Arial" w:eastAsia="Times New Roman" w:cs="Arial"/>
          <w:color w:val="000000" w:themeColor="text1"/>
          <w:sz w:val="24"/>
          <w:szCs w:val="24"/>
          <w:lang w:val="en-US"/>
        </w:rPr>
        <w:t xml:space="preserve">McDaniel (2007), </w:t>
      </w:r>
      <w:r>
        <w:rPr>
          <w:rFonts w:ascii="Arial" w:hAnsi="Arial" w:cs="Arial"/>
          <w:color w:val="000000" w:themeColor="text1"/>
          <w:sz w:val="24"/>
          <w:szCs w:val="24"/>
        </w:rPr>
        <w:t>stated that likewise uncertainty and volatility, complexity is another aspect which derived from various factors that are interdepend and interconnected. In the complex environment, the organisations are facing difficulty in processing which limits the capability to control. In such an environment, the organisations need to step up and develop the right environment where the success can be ensured and by facilitating and developing specialist organisations the complexity can be addressed through specialist advice (</w:t>
      </w:r>
      <w:r>
        <w:rPr>
          <w:rFonts w:ascii="Arial" w:hAnsi="Arial" w:eastAsia="Times New Roman" w:cs="Arial"/>
          <w:color w:val="000000" w:themeColor="text1"/>
          <w:sz w:val="24"/>
          <w:szCs w:val="24"/>
          <w:lang w:val="en-US"/>
        </w:rPr>
        <w:t>Bawany, 2016)</w:t>
      </w:r>
      <w:r>
        <w:rPr>
          <w:rFonts w:ascii="Arial" w:hAnsi="Arial" w:cs="Arial"/>
          <w:color w:val="000000" w:themeColor="text1"/>
          <w:sz w:val="24"/>
          <w:szCs w:val="24"/>
        </w:rPr>
        <w:t>. Lastly, ambiguity is the situation that can be explained as a lack of defined goals. For organisations, it is essential to resolve ambiguity but in resolving ambiguity, the organisations require system thinking in order to understand about nature of complexities and capacity and willingness to experiment, test and learn from the experiences. The goal of the organisation is to adapt challenges so that they can work successfully in a volatile, uncertain, complex and ambiguous environment (</w:t>
      </w:r>
      <w:r>
        <w:rPr>
          <w:rFonts w:ascii="Arial" w:hAnsi="Arial" w:eastAsia="Times New Roman" w:cs="Arial"/>
          <w:color w:val="000000" w:themeColor="text1"/>
          <w:sz w:val="24"/>
          <w:szCs w:val="24"/>
          <w:lang w:val="en-US"/>
        </w:rPr>
        <w:t>Mikkelsen, 2016)</w:t>
      </w:r>
      <w:r>
        <w:rPr>
          <w:rFonts w:ascii="Arial" w:hAnsi="Arial" w:cs="Arial"/>
          <w:color w:val="000000" w:themeColor="text1"/>
          <w:sz w:val="24"/>
          <w:szCs w:val="24"/>
        </w:rPr>
        <w:t>.</w:t>
      </w:r>
    </w:p>
    <w:p>
      <w:pPr>
        <w:spacing w:line="480" w:lineRule="auto"/>
        <w:contextualSpacing/>
        <w:jc w:val="both"/>
        <w:rPr>
          <w:rFonts w:ascii="Arial" w:hAnsi="Arial" w:cs="Arial"/>
          <w:color w:val="000000" w:themeColor="text1"/>
          <w:sz w:val="24"/>
          <w:szCs w:val="24"/>
        </w:rPr>
      </w:pPr>
      <w:r>
        <w:rPr>
          <w:rFonts w:ascii="Arial" w:hAnsi="Arial" w:cs="Arial"/>
          <w:color w:val="000000" w:themeColor="text1"/>
          <w:sz w:val="24"/>
          <w:szCs w:val="24"/>
        </w:rPr>
        <w:t xml:space="preserve">According to </w:t>
      </w:r>
      <w:r>
        <w:rPr>
          <w:rFonts w:ascii="Arial" w:hAnsi="Arial" w:eastAsia="Times New Roman" w:cs="Arial"/>
          <w:color w:val="000000" w:themeColor="text1"/>
          <w:sz w:val="24"/>
          <w:szCs w:val="24"/>
          <w:lang w:val="en-US"/>
        </w:rPr>
        <w:t xml:space="preserve">Codreanu (2016), </w:t>
      </w:r>
      <w:r>
        <w:rPr>
          <w:rFonts w:ascii="Arial" w:hAnsi="Arial" w:cs="Arial"/>
          <w:color w:val="000000" w:themeColor="text1"/>
          <w:sz w:val="24"/>
          <w:szCs w:val="24"/>
        </w:rPr>
        <w:t xml:space="preserve">the organisations operating in the VUCA environment need to build the capability of their workers to work in such an environment while remaining agile and flexible to cope up with the increasing demand for operating in the high-pressure environment. By developing capabilities such as coping ability, building resilience, creation, anticipation, and planning for responding to change and adopting can help to meet challenges successfully. Besides this, </w:t>
      </w:r>
      <w:r>
        <w:rPr>
          <w:rFonts w:ascii="Arial" w:hAnsi="Arial" w:eastAsia="Times New Roman" w:cs="Arial"/>
          <w:color w:val="000000" w:themeColor="text1"/>
          <w:sz w:val="24"/>
          <w:szCs w:val="24"/>
          <w:lang w:val="en-US"/>
        </w:rPr>
        <w:t xml:space="preserve">Du and Chen (2018), </w:t>
      </w:r>
      <w:r>
        <w:rPr>
          <w:rFonts w:ascii="Arial" w:hAnsi="Arial" w:cs="Arial"/>
          <w:color w:val="000000" w:themeColor="text1"/>
          <w:sz w:val="24"/>
          <w:szCs w:val="24"/>
        </w:rPr>
        <w:t xml:space="preserve">stated that the organisations also need to manage to compete for demand, and prioritize challenges in order to ensure innovation. By building the network and through developing a positive relationship, the organisations can lead successfully in a VUCA environment. </w:t>
      </w:r>
    </w:p>
    <w:p>
      <w:pPr>
        <w:pStyle w:val="2"/>
        <w:numPr>
          <w:ilvl w:val="0"/>
          <w:numId w:val="1"/>
        </w:numPr>
        <w:spacing w:line="480" w:lineRule="auto"/>
        <w:contextualSpacing/>
        <w:jc w:val="both"/>
        <w:rPr>
          <w:rFonts w:ascii="Arial" w:hAnsi="Arial" w:cs="Arial"/>
          <w:b/>
          <w:bCs/>
          <w:color w:val="000000" w:themeColor="text1"/>
          <w:sz w:val="24"/>
          <w:szCs w:val="24"/>
        </w:rPr>
      </w:pPr>
      <w:bookmarkStart w:id="3" w:name="_Toc32925712"/>
      <w:r>
        <w:rPr>
          <w:rFonts w:ascii="Arial" w:hAnsi="Arial" w:cs="Arial"/>
          <w:b/>
          <w:bCs/>
          <w:color w:val="000000" w:themeColor="text1"/>
          <w:sz w:val="24"/>
          <w:szCs w:val="24"/>
        </w:rPr>
        <w:t>Increasing the complex nature of organisations</w:t>
      </w:r>
      <w:bookmarkEnd w:id="3"/>
      <w:r>
        <w:rPr>
          <w:rFonts w:ascii="Arial" w:hAnsi="Arial" w:cs="Arial"/>
          <w:b/>
          <w:bCs/>
          <w:color w:val="000000" w:themeColor="text1"/>
          <w:sz w:val="24"/>
          <w:szCs w:val="24"/>
        </w:rPr>
        <w:t xml:space="preserve"> </w:t>
      </w:r>
    </w:p>
    <w:p>
      <w:pPr>
        <w:spacing w:line="480" w:lineRule="auto"/>
        <w:contextualSpacing/>
        <w:jc w:val="both"/>
        <w:rPr>
          <w:rFonts w:ascii="Arial" w:hAnsi="Arial" w:cs="Arial"/>
          <w:color w:val="000000" w:themeColor="text1"/>
          <w:sz w:val="24"/>
          <w:szCs w:val="24"/>
        </w:rPr>
      </w:pPr>
      <w:r>
        <w:rPr>
          <w:rFonts w:ascii="Arial" w:hAnsi="Arial" w:eastAsia="Times New Roman" w:cs="Arial"/>
          <w:color w:val="000000" w:themeColor="text1"/>
          <w:sz w:val="24"/>
          <w:szCs w:val="24"/>
          <w:lang w:val="en-US"/>
        </w:rPr>
        <w:t xml:space="preserve">Cousins (2018), </w:t>
      </w:r>
      <w:r>
        <w:rPr>
          <w:rFonts w:ascii="Arial" w:hAnsi="Arial" w:cs="Arial"/>
          <w:color w:val="000000" w:themeColor="text1"/>
          <w:sz w:val="24"/>
          <w:szCs w:val="24"/>
        </w:rPr>
        <w:t>change is no longer interpreted as the term which is used for defining steady, gradual, linear, progressive innovation but rather it is defined as the term which revolves around the disruption, lexicon of hyper-fast, non-linear and transformative. The complexity is the component which is interdependent and interconnected. The controlling of the environment deliberately is unexpected because of the non-linear interaction (</w:t>
      </w:r>
      <w:r>
        <w:rPr>
          <w:rFonts w:ascii="Arial" w:hAnsi="Arial" w:eastAsia="Times New Roman" w:cs="Arial"/>
          <w:color w:val="000000" w:themeColor="text1"/>
          <w:sz w:val="24"/>
          <w:szCs w:val="24"/>
          <w:lang w:val="en-US"/>
        </w:rPr>
        <w:t>Chawla and Lenka, 2018)</w:t>
      </w:r>
      <w:r>
        <w:rPr>
          <w:rFonts w:ascii="Arial" w:hAnsi="Arial" w:cs="Arial"/>
          <w:color w:val="000000" w:themeColor="text1"/>
          <w:sz w:val="24"/>
          <w:szCs w:val="24"/>
        </w:rPr>
        <w:t xml:space="preserve">. The interdependencies among different categories and different groups further increase the complexity, and today, the complexity added multiple layers of different components with regard to challenges and identities.  The complex organisations may not thrive in a complex environment because the certainty does not imply that there need to be controlled. The organisational that are complex are often having control throughout their system and subsystem. Therefore, the complexity cannot be managed but by ensuing coevolved with the increase in complexity, the organisations are not capable of becoming effective in the complex environment. </w:t>
      </w:r>
    </w:p>
    <w:p>
      <w:pPr>
        <w:spacing w:line="480" w:lineRule="auto"/>
        <w:contextualSpacing/>
        <w:jc w:val="both"/>
        <w:rPr>
          <w:rFonts w:ascii="Arial" w:hAnsi="Arial" w:cs="Arial"/>
          <w:color w:val="000000" w:themeColor="text1"/>
          <w:sz w:val="24"/>
          <w:szCs w:val="24"/>
        </w:rPr>
      </w:pPr>
      <w:r>
        <w:rPr>
          <w:rFonts w:ascii="Arial" w:hAnsi="Arial" w:eastAsia="Times New Roman" w:cs="Arial"/>
          <w:color w:val="000000" w:themeColor="text1"/>
          <w:sz w:val="24"/>
          <w:szCs w:val="24"/>
          <w:lang w:val="en-US"/>
        </w:rPr>
        <w:t xml:space="preserve">Saleh and Watson (2017), </w:t>
      </w:r>
      <w:r>
        <w:rPr>
          <w:rFonts w:ascii="Arial" w:hAnsi="Arial" w:cs="Arial"/>
          <w:color w:val="000000" w:themeColor="text1"/>
          <w:sz w:val="24"/>
          <w:szCs w:val="24"/>
        </w:rPr>
        <w:t xml:space="preserve">stated that the uncertainty is amplified by the phenomena of complexity. The adoption of modern technology connected the people together and it created more loop of feedback and ensured interdependencies. The multi-layered network and intricate action create unintended consequences that are unpredictable. The organisations that are purpose driven are more likely to ensure adaptively and they become more complex in nature. However, by developing the shared belief, every member of the organisation can work under the social framework and participate in the system. By understanding the nature of complexity, the organisations can work well functionally and mitigate complexity at every level that emergences. However, </w:t>
      </w:r>
      <w:r>
        <w:rPr>
          <w:rFonts w:ascii="Arial" w:hAnsi="Arial" w:eastAsia="Times New Roman" w:cs="Arial"/>
          <w:color w:val="000000" w:themeColor="text1"/>
          <w:sz w:val="24"/>
          <w:szCs w:val="24"/>
          <w:lang w:val="en-US"/>
        </w:rPr>
        <w:t xml:space="preserve">Pu (2017), </w:t>
      </w:r>
      <w:r>
        <w:rPr>
          <w:rFonts w:ascii="Arial" w:hAnsi="Arial" w:cs="Arial"/>
          <w:color w:val="000000" w:themeColor="text1"/>
          <w:sz w:val="24"/>
          <w:szCs w:val="24"/>
        </w:rPr>
        <w:t>argued that if the organisational essence is based on the complex adaptive system of coordinated actions that the complexity is unmanageable. With regard to the complexity, these organisations need to disrupt their thinking and transform the roles of managers in order to make their system more productive throughout the complex environment.</w:t>
      </w:r>
    </w:p>
    <w:p>
      <w:pPr>
        <w:spacing w:line="480" w:lineRule="auto"/>
        <w:contextualSpacing/>
        <w:jc w:val="both"/>
        <w:rPr>
          <w:rFonts w:ascii="Arial" w:hAnsi="Arial" w:cs="Arial"/>
          <w:color w:val="000000" w:themeColor="text1"/>
          <w:sz w:val="24"/>
          <w:szCs w:val="24"/>
        </w:rPr>
      </w:pPr>
      <w:r>
        <w:rPr>
          <w:rFonts w:ascii="Arial" w:hAnsi="Arial" w:eastAsia="Times New Roman" w:cs="Arial"/>
          <w:color w:val="000000" w:themeColor="text1"/>
          <w:sz w:val="24"/>
          <w:szCs w:val="24"/>
          <w:lang w:val="en-US"/>
        </w:rPr>
        <w:t xml:space="preserve">Cheong (2017), </w:t>
      </w:r>
      <w:r>
        <w:rPr>
          <w:rFonts w:ascii="Arial" w:hAnsi="Arial" w:cs="Arial"/>
          <w:color w:val="000000" w:themeColor="text1"/>
          <w:sz w:val="24"/>
          <w:szCs w:val="24"/>
        </w:rPr>
        <w:t>defined that the nature of complexity is defined by the interaction among members of organisations and the relationship is often fundamental. This merely does not mean that everyone in the organisation needs to be nicer to one another or vice versa. For instance, the self-organisation does take place and there is some form of competition which is required. This means that things do not happen during interaction nor they happen in isolation, but the organisations must lead and focus on efforts in order to change the people thinking and their behaviour by training or mentoring (</w:t>
      </w:r>
      <w:r>
        <w:rPr>
          <w:rFonts w:ascii="Arial" w:hAnsi="Arial" w:eastAsia="Times New Roman" w:cs="Arial"/>
          <w:color w:val="000000" w:themeColor="text1"/>
          <w:sz w:val="24"/>
          <w:szCs w:val="24"/>
          <w:lang w:val="en-US"/>
        </w:rPr>
        <w:t>Williams, 2017)</w:t>
      </w:r>
      <w:r>
        <w:rPr>
          <w:rFonts w:ascii="Arial" w:hAnsi="Arial" w:cs="Arial"/>
          <w:color w:val="000000" w:themeColor="text1"/>
          <w:sz w:val="24"/>
          <w:szCs w:val="24"/>
        </w:rPr>
        <w:t>. For instance, an organisation that wanted to innovate is focusing on how to develop and change the workers and the connected thing. These organisations make their people less or more proximate in order to change the environment and to increase the likelihood of unanticipated encounters. The shift in the interaction and its nature does create an impact on the workers and it ensures a more collaborative and creative environment in the organisation (</w:t>
      </w:r>
      <w:r>
        <w:rPr>
          <w:rFonts w:ascii="Arial" w:hAnsi="Arial" w:eastAsia="Times New Roman" w:cs="Arial"/>
          <w:color w:val="000000" w:themeColor="text1"/>
          <w:sz w:val="24"/>
          <w:szCs w:val="24"/>
          <w:lang w:val="en-US"/>
        </w:rPr>
        <w:t>Ruksana and Ahmed, 2019)</w:t>
      </w:r>
      <w:r>
        <w:rPr>
          <w:rFonts w:ascii="Arial" w:hAnsi="Arial" w:cs="Arial"/>
          <w:color w:val="000000" w:themeColor="text1"/>
          <w:sz w:val="24"/>
          <w:szCs w:val="24"/>
        </w:rPr>
        <w:t>. Therefore, from CAS perspective, by managing the complex nature of the environment the organisations become adaptive and the independent source of ideas, information, thinking, energy, innovation and exchanges are life forces that have organisations intelligent (</w:t>
      </w:r>
      <w:r>
        <w:rPr>
          <w:rFonts w:ascii="Arial" w:hAnsi="Arial" w:eastAsia="Times New Roman" w:cs="Arial"/>
          <w:color w:val="000000" w:themeColor="text1"/>
          <w:sz w:val="24"/>
          <w:szCs w:val="24"/>
          <w:lang w:val="en-US"/>
        </w:rPr>
        <w:t>Elkington et al., 2017)</w:t>
      </w:r>
      <w:r>
        <w:rPr>
          <w:rFonts w:ascii="Arial" w:hAnsi="Arial" w:cs="Arial"/>
          <w:color w:val="000000" w:themeColor="text1"/>
          <w:sz w:val="24"/>
          <w:szCs w:val="24"/>
        </w:rPr>
        <w:t xml:space="preserve">.  </w:t>
      </w:r>
    </w:p>
    <w:p>
      <w:pPr>
        <w:pStyle w:val="2"/>
        <w:numPr>
          <w:ilvl w:val="0"/>
          <w:numId w:val="1"/>
        </w:numPr>
        <w:spacing w:line="480" w:lineRule="auto"/>
        <w:contextualSpacing/>
        <w:jc w:val="both"/>
        <w:rPr>
          <w:rFonts w:ascii="Arial" w:hAnsi="Arial" w:cs="Arial"/>
          <w:b/>
          <w:bCs/>
          <w:color w:val="000000" w:themeColor="text1"/>
          <w:sz w:val="24"/>
          <w:szCs w:val="24"/>
        </w:rPr>
      </w:pPr>
      <w:bookmarkStart w:id="4" w:name="_Toc32925713"/>
      <w:r>
        <w:rPr>
          <w:rFonts w:ascii="Arial" w:hAnsi="Arial" w:cs="Arial"/>
          <w:b/>
          <w:bCs/>
          <w:color w:val="000000" w:themeColor="text1"/>
          <w:sz w:val="24"/>
          <w:szCs w:val="24"/>
        </w:rPr>
        <w:t>Approaches to leadership to navigate the complexity</w:t>
      </w:r>
      <w:bookmarkEnd w:id="4"/>
    </w:p>
    <w:p>
      <w:pPr>
        <w:spacing w:line="480" w:lineRule="auto"/>
        <w:contextualSpacing/>
        <w:jc w:val="both"/>
        <w:rPr>
          <w:rFonts w:ascii="Arial" w:hAnsi="Arial" w:cs="Arial"/>
          <w:color w:val="000000" w:themeColor="text1"/>
          <w:sz w:val="24"/>
          <w:szCs w:val="24"/>
        </w:rPr>
      </w:pPr>
      <w:r>
        <w:rPr>
          <w:rFonts w:ascii="Arial" w:hAnsi="Arial" w:cs="Arial"/>
          <w:color w:val="000000" w:themeColor="text1"/>
          <w:sz w:val="24"/>
          <w:szCs w:val="24"/>
        </w:rPr>
        <w:t xml:space="preserve">According to </w:t>
      </w:r>
      <w:r>
        <w:rPr>
          <w:rFonts w:ascii="Arial" w:hAnsi="Arial" w:eastAsia="Times New Roman" w:cs="Arial"/>
          <w:color w:val="000000" w:themeColor="text1"/>
          <w:sz w:val="24"/>
          <w:szCs w:val="24"/>
          <w:lang w:val="en-US"/>
        </w:rPr>
        <w:t xml:space="preserve">Abidi  and Nakagawa (2018), </w:t>
      </w:r>
      <w:r>
        <w:rPr>
          <w:rFonts w:ascii="Arial" w:hAnsi="Arial" w:cs="Arial"/>
          <w:color w:val="000000" w:themeColor="text1"/>
          <w:sz w:val="24"/>
          <w:szCs w:val="24"/>
        </w:rPr>
        <w:t>as CAS is characterised  based on co-evolve environment, diverse agents that learn, self-organize, non-linear interaction and contains emergent properties; thus, the agents which are made n CAS are information processor with the strong capacity to customize or modify the behaviors which are based on the knowledge or information that are received (</w:t>
      </w:r>
      <w:r>
        <w:rPr>
          <w:rFonts w:ascii="Arial" w:hAnsi="Arial" w:eastAsia="Times New Roman" w:cs="Arial"/>
          <w:color w:val="000000" w:themeColor="text1"/>
          <w:sz w:val="24"/>
          <w:szCs w:val="24"/>
          <w:lang w:val="en-US"/>
        </w:rPr>
        <w:t>Ngwenya, 2017)</w:t>
      </w:r>
      <w:r>
        <w:rPr>
          <w:rFonts w:ascii="Arial" w:hAnsi="Arial" w:cs="Arial"/>
          <w:color w:val="000000" w:themeColor="text1"/>
          <w:sz w:val="24"/>
          <w:szCs w:val="24"/>
        </w:rPr>
        <w:t>. These agents are highly diverse from one another and diversity is the primary source of creativity that is essential for survival (</w:t>
      </w:r>
      <w:r>
        <w:rPr>
          <w:rFonts w:ascii="Arial" w:hAnsi="Arial" w:eastAsia="Times New Roman" w:cs="Arial"/>
          <w:color w:val="000000" w:themeColor="text1"/>
          <w:sz w:val="24"/>
          <w:szCs w:val="24"/>
          <w:lang w:val="en-US"/>
        </w:rPr>
        <w:t>Millar, Groth, and Mahon, 2018)</w:t>
      </w:r>
      <w:r>
        <w:rPr>
          <w:rFonts w:ascii="Arial" w:hAnsi="Arial" w:cs="Arial"/>
          <w:color w:val="000000" w:themeColor="text1"/>
          <w:sz w:val="24"/>
          <w:szCs w:val="24"/>
        </w:rPr>
        <w:t>. The Cynefin framework is one of the widely applied leadership management frameworks that aid decision making within complex, chaotic, complicated, and disorder environments (</w:t>
      </w:r>
      <w:r>
        <w:rPr>
          <w:rFonts w:ascii="Arial" w:hAnsi="Arial" w:eastAsia="Times New Roman" w:cs="Arial"/>
          <w:color w:val="000000" w:themeColor="text1"/>
          <w:sz w:val="24"/>
          <w:szCs w:val="24"/>
          <w:lang w:val="en-US"/>
        </w:rPr>
        <w:t>Cognitive Edge, 2020)</w:t>
      </w:r>
      <w:r>
        <w:rPr>
          <w:rFonts w:ascii="Arial" w:hAnsi="Arial" w:cs="Arial"/>
          <w:color w:val="000000" w:themeColor="text1"/>
          <w:sz w:val="24"/>
          <w:szCs w:val="24"/>
        </w:rPr>
        <w:t>. The Cynefin framework is one of the most effective leadership approaches that navigate complexity in an organisation. The framework includes five decision making context that allows managers or leaders to explore and identify how they can perceive the situation and make sense towards others and their self-behavior.  In the framework, the domain of simple, clear or obvious, reveals about known what is known (</w:t>
      </w:r>
      <w:r>
        <w:rPr>
          <w:rFonts w:ascii="Arial" w:hAnsi="Arial" w:eastAsia="Times New Roman" w:cs="Arial"/>
          <w:color w:val="000000" w:themeColor="text1"/>
          <w:sz w:val="24"/>
          <w:szCs w:val="24"/>
          <w:lang w:val="en-US"/>
        </w:rPr>
        <w:t>Joshi, 2017)</w:t>
      </w:r>
      <w:r>
        <w:rPr>
          <w:rFonts w:ascii="Arial" w:hAnsi="Arial" w:cs="Arial"/>
          <w:color w:val="000000" w:themeColor="text1"/>
          <w:sz w:val="24"/>
          <w:szCs w:val="24"/>
        </w:rPr>
        <w:t>. It means that there are specific rules in the place or there are various best practices where the situation is clear and the relationship in terms of cause and effect are known or apparent (</w:t>
      </w:r>
      <w:r>
        <w:rPr>
          <w:rFonts w:ascii="Arial" w:hAnsi="Arial" w:eastAsia="Times New Roman" w:cs="Arial"/>
          <w:color w:val="000000" w:themeColor="text1"/>
          <w:sz w:val="24"/>
          <w:szCs w:val="24"/>
          <w:lang w:val="en-US"/>
        </w:rPr>
        <w:t>Bils, 2018)</w:t>
      </w:r>
      <w:r>
        <w:rPr>
          <w:rFonts w:ascii="Arial" w:hAnsi="Arial" w:cs="Arial"/>
          <w:color w:val="000000" w:themeColor="text1"/>
          <w:sz w:val="24"/>
          <w:szCs w:val="24"/>
        </w:rPr>
        <w:t>. Therefore, the leaders making advice in such situations are ensuing self-categorize responses and they establish facts.  By applying the rules of best practices towards complex problems and by providing a leader with an effective communication channel, the workforce can be directed or guided (</w:t>
      </w:r>
      <w:r>
        <w:rPr>
          <w:rFonts w:ascii="Arial" w:hAnsi="Arial" w:eastAsia="Times New Roman" w:cs="Arial"/>
          <w:color w:val="000000" w:themeColor="text1"/>
          <w:sz w:val="24"/>
          <w:szCs w:val="24"/>
          <w:lang w:val="en-US"/>
        </w:rPr>
        <w:t>Mahlomotja, 2019)</w:t>
      </w:r>
      <w:r>
        <w:rPr>
          <w:rFonts w:ascii="Arial" w:hAnsi="Arial" w:cs="Arial"/>
          <w:color w:val="000000" w:themeColor="text1"/>
          <w:sz w:val="24"/>
          <w:szCs w:val="24"/>
        </w:rPr>
        <w:t>. The leadership in such a situation ensures clarity and focuses on what is important and matter. By building a trustworthy relationship, ensuring transparency, developing connections, complex situations are identified and resolved.</w:t>
      </w:r>
    </w:p>
    <w:p>
      <w:pPr>
        <w:spacing w:line="480" w:lineRule="auto"/>
        <w:contextualSpacing/>
        <w:jc w:val="both"/>
        <w:rPr>
          <w:rFonts w:ascii="Arial" w:hAnsi="Arial" w:cs="Arial"/>
          <w:color w:val="000000" w:themeColor="text1"/>
          <w:sz w:val="24"/>
          <w:szCs w:val="24"/>
        </w:rPr>
      </w:pPr>
      <w:r>
        <w:rPr>
          <w:rFonts w:ascii="Arial" w:hAnsi="Arial" w:cs="Arial"/>
          <w:color w:val="000000" w:themeColor="text1"/>
          <w:sz w:val="24"/>
          <w:szCs w:val="24"/>
        </w:rPr>
        <w:t>In the Cynefin framework, the domain of complicated contains the known and unknowns. The domain reveals the relationship between the cause and effect which often requires the expertise and analysis in order to reach the right answers. The sense analyses respond by leadership helps to access the facts, analyse the complexity and apply the most appropriate strategy in order to operate effectively. In this domain, the leadership approach is often rational towards the decision making but the leader often uses their expertise and judgment traits in order to navigate the complexity occurring from a particular situation or environment (</w:t>
      </w:r>
      <w:r>
        <w:rPr>
          <w:rFonts w:ascii="Arial" w:hAnsi="Arial" w:eastAsia="Times New Roman" w:cs="Arial"/>
          <w:color w:val="000000" w:themeColor="text1"/>
          <w:sz w:val="24"/>
          <w:szCs w:val="24"/>
          <w:lang w:val="en-US"/>
        </w:rPr>
        <w:t>Dhir, 2018)</w:t>
      </w:r>
      <w:r>
        <w:rPr>
          <w:rFonts w:ascii="Arial" w:hAnsi="Arial" w:cs="Arial"/>
          <w:color w:val="000000" w:themeColor="text1"/>
          <w:sz w:val="24"/>
          <w:szCs w:val="24"/>
        </w:rPr>
        <w:t>. In the Cynefin framework, another domain is complex which is critical as it represents the unknown to unknown complexity. In this type of domain, the causes and their effects can only be deducted in retrospect and there are not any right answers. The instructive patterns can be often emerging in this domain and the leader conducts multiple experiments that can often fail. The leadership approach can be problem sense-making respond to this domain to navigate complexity and the actions may change the situation in randomly (</w:t>
      </w:r>
      <w:r>
        <w:rPr>
          <w:rFonts w:ascii="Arial" w:hAnsi="Arial" w:eastAsia="Times New Roman" w:cs="Arial"/>
          <w:color w:val="000000" w:themeColor="text1"/>
          <w:sz w:val="24"/>
          <w:szCs w:val="24"/>
          <w:lang w:val="en-US"/>
        </w:rPr>
        <w:t>Shalbafan, Leigh, Pollack and Sankaran, 2018)</w:t>
      </w:r>
      <w:r>
        <w:rPr>
          <w:rFonts w:ascii="Arial" w:hAnsi="Arial" w:cs="Arial"/>
          <w:color w:val="000000" w:themeColor="text1"/>
          <w:sz w:val="24"/>
          <w:szCs w:val="24"/>
        </w:rPr>
        <w:t>.  Lastly, the domain of chaos often refers to the domain in which the causes and their effects are unclear. The events happening within the chaotic domain are confusing and the leadership approach requires knowledge-based responses to navigate complexity. The act-sense response helps to act as per the established order and the senses where there is stability; the responses then turn the chaotic situation into complex problems, but in chaotic situations, the problems decision making is often paralyzed (</w:t>
      </w:r>
      <w:r>
        <w:rPr>
          <w:rFonts w:ascii="Arial" w:hAnsi="Arial" w:eastAsia="Times New Roman" w:cs="Arial"/>
          <w:color w:val="000000" w:themeColor="text1"/>
          <w:sz w:val="24"/>
          <w:szCs w:val="24"/>
          <w:lang w:val="en-US"/>
        </w:rPr>
        <w:t>Wootten and Kaslow, 2020)</w:t>
      </w:r>
      <w:r>
        <w:rPr>
          <w:rFonts w:ascii="Arial" w:hAnsi="Arial" w:cs="Arial"/>
          <w:color w:val="000000" w:themeColor="text1"/>
          <w:sz w:val="24"/>
          <w:szCs w:val="24"/>
        </w:rPr>
        <w:t>. Among all the domains, the dark or confusion domain is in the center of Cynefin framework which reveals the situation where there is a lack of clarity about what domain needs to be applied. In this domain, the factional leader often argues with one another and they apply discord rules (</w:t>
      </w:r>
      <w:r>
        <w:rPr>
          <w:rFonts w:ascii="Arial" w:hAnsi="Arial" w:eastAsia="Times New Roman" w:cs="Arial"/>
          <w:color w:val="000000" w:themeColor="text1"/>
          <w:sz w:val="24"/>
          <w:szCs w:val="24"/>
          <w:lang w:val="en-US"/>
        </w:rPr>
        <w:t>Rimita, Hoon and Levasseur, 2020)</w:t>
      </w:r>
      <w:r>
        <w:rPr>
          <w:rFonts w:ascii="Arial" w:hAnsi="Arial" w:cs="Arial"/>
          <w:color w:val="000000" w:themeColor="text1"/>
          <w:sz w:val="24"/>
          <w:szCs w:val="24"/>
        </w:rPr>
        <w:t xml:space="preserve">. </w:t>
      </w:r>
    </w:p>
    <w:p>
      <w:pPr>
        <w:pStyle w:val="2"/>
        <w:numPr>
          <w:ilvl w:val="0"/>
          <w:numId w:val="1"/>
        </w:numPr>
        <w:spacing w:line="480" w:lineRule="auto"/>
        <w:contextualSpacing/>
        <w:jc w:val="both"/>
        <w:rPr>
          <w:rFonts w:ascii="Arial" w:hAnsi="Arial" w:cs="Arial"/>
          <w:b/>
          <w:bCs/>
          <w:color w:val="000000" w:themeColor="text1"/>
          <w:sz w:val="24"/>
          <w:szCs w:val="24"/>
        </w:rPr>
      </w:pPr>
      <w:bookmarkStart w:id="5" w:name="_Toc32925714"/>
      <w:r>
        <w:rPr>
          <w:rFonts w:ascii="Arial" w:hAnsi="Arial" w:cs="Arial"/>
          <w:b/>
          <w:bCs/>
          <w:color w:val="000000" w:themeColor="text1"/>
          <w:sz w:val="24"/>
          <w:szCs w:val="24"/>
        </w:rPr>
        <w:t>Leadership practices fostering innovation</w:t>
      </w:r>
      <w:bookmarkEnd w:id="5"/>
    </w:p>
    <w:p>
      <w:pPr>
        <w:spacing w:line="480" w:lineRule="auto"/>
        <w:contextualSpacing/>
        <w:jc w:val="both"/>
        <w:rPr>
          <w:rFonts w:ascii="Arial" w:hAnsi="Arial" w:cs="Arial"/>
          <w:color w:val="000000" w:themeColor="text1"/>
          <w:sz w:val="24"/>
          <w:szCs w:val="24"/>
        </w:rPr>
      </w:pPr>
      <w:r>
        <w:rPr>
          <w:rFonts w:ascii="Arial" w:hAnsi="Arial" w:cs="Arial"/>
          <w:color w:val="000000" w:themeColor="text1"/>
          <w:sz w:val="24"/>
          <w:szCs w:val="24"/>
        </w:rPr>
        <w:t xml:space="preserve">Leadership in the VUCA environment is about having the ability to create an impact and to influence the workers in the company so that they are engaged towards achieving the results within the organisation. The organisations are operating in a globalized environment that is increasingly volatile, complex, uncertain and ambiguous. According to </w:t>
      </w:r>
      <w:r>
        <w:rPr>
          <w:rFonts w:ascii="Arial" w:hAnsi="Arial" w:eastAsia="Times New Roman" w:cs="Arial"/>
          <w:color w:val="000000" w:themeColor="text1"/>
          <w:sz w:val="24"/>
          <w:szCs w:val="24"/>
          <w:lang w:val="en-US"/>
        </w:rPr>
        <w:t xml:space="preserve">Rimita, Hoon, and Levasseur (2020), </w:t>
      </w:r>
      <w:r>
        <w:rPr>
          <w:rFonts w:ascii="Arial" w:hAnsi="Arial" w:cs="Arial"/>
          <w:color w:val="000000" w:themeColor="text1"/>
          <w:sz w:val="24"/>
          <w:szCs w:val="24"/>
        </w:rPr>
        <w:t>various leadership competencies are pointed out which range from social intelligence, emotional intelligence, managerial coaching, effective negotiation, team performances, cross-cultural communication, conflict management and diversity management. These competencies drive the results and achieve the organisational success within the high-performance organisation (</w:t>
      </w:r>
      <w:r>
        <w:rPr>
          <w:rFonts w:ascii="Arial" w:hAnsi="Arial" w:eastAsia="Times New Roman" w:cs="Arial"/>
          <w:color w:val="000000" w:themeColor="text1"/>
          <w:sz w:val="24"/>
          <w:szCs w:val="24"/>
          <w:lang w:val="en-US"/>
        </w:rPr>
        <w:t>Rosenhead et al., 2019)</w:t>
      </w:r>
      <w:r>
        <w:rPr>
          <w:rFonts w:ascii="Arial" w:hAnsi="Arial" w:cs="Arial"/>
          <w:color w:val="000000" w:themeColor="text1"/>
          <w:sz w:val="24"/>
          <w:szCs w:val="24"/>
        </w:rPr>
        <w:t xml:space="preserve">. </w:t>
      </w:r>
    </w:p>
    <w:p>
      <w:pPr>
        <w:spacing w:line="480" w:lineRule="auto"/>
        <w:contextualSpacing/>
        <w:jc w:val="both"/>
        <w:rPr>
          <w:rFonts w:ascii="Arial" w:hAnsi="Arial" w:cs="Arial"/>
          <w:color w:val="000000" w:themeColor="text1"/>
          <w:sz w:val="24"/>
          <w:szCs w:val="24"/>
        </w:rPr>
      </w:pPr>
      <w:r>
        <w:rPr>
          <w:rFonts w:ascii="Arial" w:hAnsi="Arial" w:cs="Arial"/>
          <w:color w:val="000000" w:themeColor="text1"/>
          <w:sz w:val="24"/>
          <w:szCs w:val="24"/>
        </w:rPr>
        <w:t xml:space="preserve">According to </w:t>
      </w:r>
      <w:r>
        <w:rPr>
          <w:rFonts w:ascii="Arial" w:hAnsi="Arial" w:eastAsia="Times New Roman" w:cs="Arial"/>
          <w:color w:val="000000" w:themeColor="text1"/>
          <w:sz w:val="24"/>
          <w:szCs w:val="24"/>
          <w:lang w:val="en-US"/>
        </w:rPr>
        <w:t>Ruksana and Ahmed (2019),</w:t>
      </w:r>
      <w:r>
        <w:rPr>
          <w:rFonts w:ascii="Arial" w:hAnsi="Arial" w:cs="Arial"/>
          <w:color w:val="000000" w:themeColor="text1"/>
          <w:sz w:val="24"/>
          <w:szCs w:val="24"/>
        </w:rPr>
        <w:t xml:space="preserve"> cognitive readiness is one of the effective leadership practices that allow fostering innovation in the company. Previously the traditional critical thinking provided the ability to the leader in order to recognize the assumptions and evaluate the arguments to conclude (</w:t>
      </w:r>
      <w:r>
        <w:rPr>
          <w:rFonts w:ascii="Arial" w:hAnsi="Arial" w:eastAsia="Times New Roman" w:cs="Arial"/>
          <w:color w:val="000000" w:themeColor="text1"/>
          <w:sz w:val="24"/>
          <w:szCs w:val="24"/>
          <w:lang w:val="en-US"/>
        </w:rPr>
        <w:t>Nandram  and Bindlish, 2017)</w:t>
      </w:r>
      <w:r>
        <w:rPr>
          <w:rFonts w:ascii="Arial" w:hAnsi="Arial" w:cs="Arial"/>
          <w:color w:val="000000" w:themeColor="text1"/>
          <w:sz w:val="24"/>
          <w:szCs w:val="24"/>
        </w:rPr>
        <w:t>. The leaders were often creative, strategic, and problem solver but the cognitive readiness ensures mental, interpersonal emotional preparedness to meet the risk and uncertainty. It ensures innovation based on critical thinking which is non-logical, non-rational and the leaders are sensemaking, intuitive, adaptative and ensures agility to deal with ambiguity and manage emotions alongside</w:t>
      </w:r>
      <w:r>
        <w:rPr>
          <w:rFonts w:ascii="Arial" w:hAnsi="Arial" w:eastAsia="Times New Roman" w:cs="Arial"/>
          <w:color w:val="000000" w:themeColor="text1"/>
          <w:sz w:val="24"/>
          <w:szCs w:val="24"/>
          <w:lang w:val="en-US"/>
        </w:rPr>
        <w:t xml:space="preserve"> (Al-Jaroudi, 2017)</w:t>
      </w:r>
      <w:r>
        <w:rPr>
          <w:rFonts w:ascii="Arial" w:hAnsi="Arial" w:cs="Arial"/>
          <w:color w:val="000000" w:themeColor="text1"/>
          <w:sz w:val="24"/>
          <w:szCs w:val="24"/>
        </w:rPr>
        <w:t>. The cognitive readiness helps the leader to maintain better and effective self-control within the stressful situations (</w:t>
      </w:r>
      <w:r>
        <w:rPr>
          <w:rFonts w:ascii="Arial" w:hAnsi="Arial" w:eastAsia="Times New Roman" w:cs="Arial"/>
          <w:color w:val="000000" w:themeColor="text1"/>
          <w:sz w:val="24"/>
          <w:szCs w:val="24"/>
          <w:lang w:val="en-US"/>
        </w:rPr>
        <w:t>Clegg, Voss and Chen, 2019)</w:t>
      </w:r>
      <w:r>
        <w:rPr>
          <w:rFonts w:ascii="Arial" w:hAnsi="Arial" w:cs="Arial"/>
          <w:color w:val="000000" w:themeColor="text1"/>
          <w:sz w:val="24"/>
          <w:szCs w:val="24"/>
        </w:rPr>
        <w:t xml:space="preserve">. </w:t>
      </w:r>
    </w:p>
    <w:p>
      <w:pPr>
        <w:spacing w:line="480" w:lineRule="auto"/>
        <w:jc w:val="both"/>
        <w:rPr>
          <w:rFonts w:ascii="Arial" w:hAnsi="Arial" w:cs="Arial"/>
          <w:color w:val="000000" w:themeColor="text1"/>
          <w:sz w:val="24"/>
          <w:szCs w:val="24"/>
        </w:rPr>
      </w:pPr>
      <w:r>
        <w:rPr>
          <w:rFonts w:ascii="Arial" w:hAnsi="Arial" w:cs="Arial"/>
          <w:color w:val="000000" w:themeColor="text1"/>
          <w:sz w:val="24"/>
          <w:szCs w:val="24"/>
        </w:rPr>
        <w:t xml:space="preserve">The critical thinking is one of the most common and the tactical thinking skills which involves strategies as well as problem solving, creative thinking and decision-making thinking. The cognitive readiness ensures practical thinking by which the leaders lead through developing mental capability in order to innovate. The creative thinking allows to employ and to accelerate in VUCA environment.  </w:t>
      </w:r>
      <w:r>
        <w:rPr>
          <w:rFonts w:ascii="Arial" w:hAnsi="Arial" w:eastAsia="Times New Roman" w:cs="Arial"/>
          <w:color w:val="000000" w:themeColor="text1"/>
          <w:sz w:val="24"/>
          <w:szCs w:val="24"/>
          <w:lang w:val="en-US"/>
        </w:rPr>
        <w:t xml:space="preserve">Codreanu (2016), </w:t>
      </w:r>
      <w:r>
        <w:rPr>
          <w:rFonts w:ascii="Arial" w:hAnsi="Arial" w:cs="Arial"/>
          <w:color w:val="000000" w:themeColor="text1"/>
          <w:sz w:val="24"/>
          <w:szCs w:val="24"/>
        </w:rPr>
        <w:t xml:space="preserve">stated that in order to lead successfully the leader must LEAP through demonstrating the core cognitive competitiveness that based on traits of liberal where they are open towards new opinion and behavior. In innovation, the openness ensures creativity that further determines the willingness to adapt or to discard the existing values </w:t>
      </w:r>
    </w:p>
    <w:p>
      <w:pPr>
        <w:spacing w:line="480" w:lineRule="auto"/>
        <w:contextualSpacing/>
        <w:jc w:val="both"/>
        <w:rPr>
          <w:rFonts w:ascii="Arial" w:hAnsi="Arial" w:cs="Arial"/>
          <w:color w:val="000000" w:themeColor="text1"/>
          <w:sz w:val="24"/>
          <w:szCs w:val="24"/>
        </w:rPr>
      </w:pPr>
      <w:r>
        <w:rPr>
          <w:rFonts w:ascii="Arial" w:hAnsi="Arial" w:eastAsia="Times New Roman" w:cs="Arial"/>
          <w:color w:val="000000" w:themeColor="text1"/>
          <w:sz w:val="24"/>
          <w:szCs w:val="24"/>
          <w:lang w:val="en-US"/>
        </w:rPr>
        <w:t>(Brodie, 2019)</w:t>
      </w:r>
      <w:r>
        <w:rPr>
          <w:rFonts w:ascii="Arial" w:hAnsi="Arial" w:cs="Arial"/>
          <w:color w:val="000000" w:themeColor="text1"/>
          <w:sz w:val="24"/>
          <w:szCs w:val="24"/>
        </w:rPr>
        <w:t>. The leader that is liberal does promote new ideas and they are more adaptive to change in order to lead in a complex and volatile environment (</w:t>
      </w:r>
      <w:r>
        <w:rPr>
          <w:rFonts w:ascii="Arial" w:hAnsi="Arial" w:eastAsia="Times New Roman" w:cs="Arial"/>
          <w:color w:val="000000" w:themeColor="text1"/>
          <w:sz w:val="24"/>
          <w:szCs w:val="24"/>
          <w:lang w:val="en-US"/>
        </w:rPr>
        <w:t>Elkington, Van der Steege, Glick-Smith and Breen, 2017)</w:t>
      </w:r>
      <w:r>
        <w:rPr>
          <w:rFonts w:ascii="Arial" w:hAnsi="Arial" w:cs="Arial"/>
          <w:color w:val="000000" w:themeColor="text1"/>
          <w:sz w:val="24"/>
          <w:szCs w:val="24"/>
        </w:rPr>
        <w:t>. The leaders are further exuberant and they have a strong sense of optimism and passion. They engage the team and the other members in order to find novel ideas and solutions in order to ensure organisational competitiveness. The positive nature and dynamic responses do maintain a trustworthy relationship throughout the innovation process and it helps to deal with uncertainty more effective manner (</w:t>
      </w:r>
      <w:r>
        <w:rPr>
          <w:rFonts w:ascii="Arial" w:hAnsi="Arial" w:eastAsia="Times New Roman" w:cs="Arial"/>
          <w:color w:val="000000" w:themeColor="text1"/>
          <w:sz w:val="24"/>
          <w:szCs w:val="24"/>
          <w:lang w:val="en-US"/>
        </w:rPr>
        <w:t>Bird, 2018)</w:t>
      </w:r>
      <w:r>
        <w:rPr>
          <w:rFonts w:ascii="Arial" w:hAnsi="Arial" w:cs="Arial"/>
          <w:color w:val="000000" w:themeColor="text1"/>
          <w:sz w:val="24"/>
          <w:szCs w:val="24"/>
        </w:rPr>
        <w:t>. In order to evolve and proficiently change, the leader must have a trait of agility. The agility ensures that the leaders are supporting learning organisational goals that ensure next-generation leadership competencies that are emotional, social intelligence, or critical thinking that are essential for the continuous improvement and innovation (</w:t>
      </w:r>
      <w:r>
        <w:rPr>
          <w:rFonts w:ascii="Arial" w:hAnsi="Arial" w:eastAsia="Times New Roman" w:cs="Arial"/>
          <w:color w:val="000000" w:themeColor="text1"/>
          <w:sz w:val="24"/>
          <w:szCs w:val="24"/>
          <w:lang w:val="en-US"/>
        </w:rPr>
        <w:t>Raghuramapatruni and Kosuri, 2017; Bushe and Marshak, 2017)</w:t>
      </w:r>
      <w:r>
        <w:rPr>
          <w:rFonts w:ascii="Arial" w:hAnsi="Arial" w:cs="Arial"/>
          <w:color w:val="000000" w:themeColor="text1"/>
          <w:sz w:val="24"/>
          <w:szCs w:val="24"/>
        </w:rPr>
        <w:t>. Lastly, the leaders adopt partnership practices and build a trust-based relationship with teams and external stakeholders (</w:t>
      </w:r>
      <w:r>
        <w:rPr>
          <w:rFonts w:ascii="Arial" w:hAnsi="Arial" w:eastAsia="Times New Roman" w:cs="Arial"/>
          <w:color w:val="000000" w:themeColor="text1"/>
          <w:sz w:val="24"/>
          <w:szCs w:val="24"/>
          <w:lang w:val="en-US"/>
        </w:rPr>
        <w:t>Chawla and Lenka, 2018)</w:t>
      </w:r>
      <w:r>
        <w:rPr>
          <w:rFonts w:ascii="Arial" w:hAnsi="Arial" w:cs="Arial"/>
          <w:color w:val="000000" w:themeColor="text1"/>
          <w:sz w:val="24"/>
          <w:szCs w:val="24"/>
        </w:rPr>
        <w:t>. Therefore, the cognitive readiness practices as a leadership approach do allows leaders to ensure organisational innovation that is based on the leader’s ability to determine the aspect that leads towards success in an organisation.</w:t>
      </w:r>
    </w:p>
    <w:p>
      <w:pPr>
        <w:pStyle w:val="2"/>
        <w:numPr>
          <w:ilvl w:val="0"/>
          <w:numId w:val="1"/>
        </w:numPr>
        <w:spacing w:line="480" w:lineRule="auto"/>
        <w:contextualSpacing/>
        <w:jc w:val="both"/>
        <w:rPr>
          <w:rFonts w:ascii="Arial" w:hAnsi="Arial" w:cs="Arial"/>
          <w:b/>
          <w:bCs/>
          <w:color w:val="000000" w:themeColor="text1"/>
          <w:sz w:val="24"/>
          <w:szCs w:val="24"/>
        </w:rPr>
      </w:pPr>
      <w:bookmarkStart w:id="6" w:name="_Toc32925715"/>
      <w:r>
        <w:rPr>
          <w:rFonts w:ascii="Arial" w:hAnsi="Arial" w:cs="Arial"/>
          <w:b/>
          <w:bCs/>
          <w:color w:val="000000" w:themeColor="text1"/>
          <w:sz w:val="24"/>
          <w:szCs w:val="24"/>
        </w:rPr>
        <w:t>Recommendations for micro experiments</w:t>
      </w:r>
      <w:bookmarkEnd w:id="6"/>
    </w:p>
    <w:p>
      <w:pPr>
        <w:pStyle w:val="11"/>
        <w:numPr>
          <w:ilvl w:val="0"/>
          <w:numId w:val="2"/>
        </w:numPr>
        <w:spacing w:line="480" w:lineRule="auto"/>
        <w:jc w:val="both"/>
        <w:rPr>
          <w:rFonts w:ascii="Arial" w:hAnsi="Arial" w:cs="Arial"/>
          <w:color w:val="000000" w:themeColor="text1"/>
          <w:sz w:val="24"/>
          <w:szCs w:val="24"/>
        </w:rPr>
      </w:pPr>
      <w:r>
        <w:rPr>
          <w:rFonts w:ascii="Arial" w:hAnsi="Arial" w:cs="Arial"/>
          <w:color w:val="000000" w:themeColor="text1"/>
          <w:sz w:val="24"/>
          <w:szCs w:val="24"/>
        </w:rPr>
        <w:t xml:space="preserve">According to </w:t>
      </w:r>
      <w:r>
        <w:rPr>
          <w:rFonts w:ascii="Arial" w:hAnsi="Arial" w:cs="Arial"/>
          <w:color w:val="000000" w:themeColor="text1"/>
          <w:sz w:val="24"/>
          <w:szCs w:val="24"/>
          <w:lang w:val="en-US" w:eastAsia="en-US"/>
        </w:rPr>
        <w:t xml:space="preserve">Dombrowski and Henningsen (2019), </w:t>
      </w:r>
      <w:r>
        <w:rPr>
          <w:rFonts w:ascii="Arial" w:hAnsi="Arial" w:cs="Arial"/>
          <w:color w:val="000000" w:themeColor="text1"/>
          <w:sz w:val="24"/>
          <w:szCs w:val="24"/>
        </w:rPr>
        <w:t>the shift from an approach based on problem-solving does help to make progress and actively engage throughout uncertainty. The organisations are required to have a higher level of leadership and managerial agility by which they can lead effectively throughout the UVCA environment. Below are the recommendations that can be adopted as micro experiments in order to lead effectively throughout the VUCA environment:</w:t>
      </w:r>
    </w:p>
    <w:p>
      <w:pPr>
        <w:pStyle w:val="11"/>
        <w:numPr>
          <w:ilvl w:val="0"/>
          <w:numId w:val="2"/>
        </w:numPr>
        <w:spacing w:line="480" w:lineRule="auto"/>
        <w:jc w:val="both"/>
        <w:rPr>
          <w:rFonts w:ascii="Arial" w:hAnsi="Arial" w:cs="Arial"/>
          <w:color w:val="000000" w:themeColor="text1"/>
          <w:sz w:val="24"/>
          <w:szCs w:val="24"/>
        </w:rPr>
      </w:pPr>
      <w:r>
        <w:rPr>
          <w:rFonts w:ascii="Arial" w:hAnsi="Arial" w:cs="Arial"/>
          <w:color w:val="000000" w:themeColor="text1"/>
          <w:sz w:val="24"/>
          <w:szCs w:val="24"/>
        </w:rPr>
        <w:t xml:space="preserve">The company can retain a clear vision against which the judgments can be one. With the agility to the flexibility and by responding accurately towards rapidly unfolding events r situations the organisations can successfully deliver their strategy </w:t>
      </w:r>
    </w:p>
    <w:p>
      <w:pPr>
        <w:pStyle w:val="11"/>
        <w:numPr>
          <w:ilvl w:val="0"/>
          <w:numId w:val="2"/>
        </w:numPr>
        <w:spacing w:line="480" w:lineRule="auto"/>
        <w:jc w:val="both"/>
        <w:rPr>
          <w:rFonts w:ascii="Arial" w:hAnsi="Arial" w:cs="Arial"/>
          <w:color w:val="000000" w:themeColor="text1"/>
          <w:sz w:val="24"/>
          <w:szCs w:val="24"/>
        </w:rPr>
      </w:pPr>
      <w:r>
        <w:rPr>
          <w:rFonts w:ascii="Arial" w:hAnsi="Arial" w:cs="Arial"/>
          <w:color w:val="000000" w:themeColor="text1"/>
          <w:sz w:val="24"/>
          <w:szCs w:val="24"/>
        </w:rPr>
        <w:t>The new virtual modes for communication can be adopted to provide clear directions and by ensuing consistet messages the prioritise can be shifted continually in order to achieve the strategic goal</w:t>
      </w:r>
    </w:p>
    <w:p>
      <w:pPr>
        <w:pStyle w:val="11"/>
        <w:numPr>
          <w:ilvl w:val="0"/>
          <w:numId w:val="2"/>
        </w:numPr>
        <w:spacing w:line="480" w:lineRule="auto"/>
        <w:jc w:val="both"/>
        <w:rPr>
          <w:rFonts w:ascii="Arial" w:hAnsi="Arial" w:cs="Arial"/>
          <w:color w:val="000000" w:themeColor="text1"/>
          <w:sz w:val="24"/>
          <w:szCs w:val="24"/>
        </w:rPr>
      </w:pPr>
      <w:r>
        <w:rPr>
          <w:rFonts w:ascii="Arial" w:hAnsi="Arial" w:cs="Arial"/>
          <w:color w:val="000000" w:themeColor="text1"/>
          <w:sz w:val="24"/>
          <w:szCs w:val="24"/>
        </w:rPr>
        <w:t>The organisation can anticipate risk, but avoiding investing time on risk, too much can help to focus on long-term strategic planning. The organisation not only need to rely on the past solution but they also increase their focus towards temporary solutions in order to respond towards an unpredictable environment and ensure strategic achievement of goals</w:t>
      </w:r>
    </w:p>
    <w:p>
      <w:pPr>
        <w:pStyle w:val="11"/>
        <w:numPr>
          <w:ilvl w:val="0"/>
          <w:numId w:val="2"/>
        </w:numPr>
        <w:spacing w:line="480" w:lineRule="auto"/>
        <w:jc w:val="both"/>
        <w:rPr>
          <w:rFonts w:ascii="Arial" w:hAnsi="Arial" w:cs="Arial"/>
          <w:color w:val="000000" w:themeColor="text1"/>
          <w:sz w:val="24"/>
          <w:szCs w:val="24"/>
        </w:rPr>
      </w:pPr>
      <w:r>
        <w:rPr>
          <w:rFonts w:ascii="Arial" w:hAnsi="Arial" w:cs="Arial"/>
          <w:color w:val="000000" w:themeColor="text1"/>
          <w:sz w:val="24"/>
          <w:szCs w:val="24"/>
        </w:rPr>
        <w:t xml:space="preserve">By capitalizing complexity, the organisations can work across their talent management strategy. This enables the company to break down any uncertain or challenging situation rapidly, and by trusting on specialist advice, the ultimate strategy can be achieved </w:t>
      </w:r>
    </w:p>
    <w:p>
      <w:pPr>
        <w:pStyle w:val="11"/>
        <w:numPr>
          <w:ilvl w:val="0"/>
          <w:numId w:val="2"/>
        </w:numPr>
        <w:spacing w:line="480" w:lineRule="auto"/>
        <w:jc w:val="both"/>
        <w:rPr>
          <w:rFonts w:ascii="Arial" w:hAnsi="Arial" w:cs="Arial"/>
          <w:color w:val="000000" w:themeColor="text1"/>
          <w:sz w:val="24"/>
          <w:szCs w:val="24"/>
        </w:rPr>
      </w:pPr>
      <w:r>
        <w:rPr>
          <w:rFonts w:ascii="Arial" w:hAnsi="Arial" w:cs="Arial"/>
          <w:color w:val="000000" w:themeColor="text1"/>
          <w:sz w:val="24"/>
          <w:szCs w:val="24"/>
        </w:rPr>
        <w:t xml:space="preserve">As the uncertainty often increase the opportunities for bold moves from the organisation; thus, the leaders can seize the opportunities and take chances in order to innovative </w:t>
      </w:r>
    </w:p>
    <w:p>
      <w:pPr>
        <w:pStyle w:val="11"/>
        <w:numPr>
          <w:ilvl w:val="0"/>
          <w:numId w:val="2"/>
        </w:numPr>
        <w:spacing w:line="480" w:lineRule="auto"/>
        <w:jc w:val="both"/>
        <w:rPr>
          <w:rFonts w:ascii="Arial" w:hAnsi="Arial" w:cs="Arial"/>
          <w:color w:val="000000" w:themeColor="text1"/>
          <w:sz w:val="24"/>
          <w:szCs w:val="24"/>
        </w:rPr>
      </w:pPr>
      <w:r>
        <w:rPr>
          <w:rFonts w:ascii="Arial" w:hAnsi="Arial" w:cs="Arial"/>
          <w:color w:val="000000" w:themeColor="text1"/>
          <w:sz w:val="24"/>
          <w:szCs w:val="24"/>
        </w:rPr>
        <w:t xml:space="preserve">By encouraging networks rather than hierarchies, the organisation can reach towards new level and maintain inter-connectedness in order to deal with a more competitive environment </w:t>
      </w:r>
    </w:p>
    <w:p>
      <w:pPr>
        <w:pStyle w:val="2"/>
        <w:numPr>
          <w:ilvl w:val="0"/>
          <w:numId w:val="1"/>
        </w:numPr>
        <w:spacing w:line="480" w:lineRule="auto"/>
        <w:contextualSpacing/>
        <w:jc w:val="both"/>
        <w:rPr>
          <w:rFonts w:ascii="Arial" w:hAnsi="Arial" w:cs="Arial"/>
          <w:b/>
          <w:bCs/>
          <w:color w:val="000000" w:themeColor="text1"/>
          <w:sz w:val="24"/>
          <w:szCs w:val="24"/>
        </w:rPr>
      </w:pPr>
      <w:bookmarkStart w:id="7" w:name="_Toc32925716"/>
      <w:r>
        <w:rPr>
          <w:rFonts w:ascii="Arial" w:hAnsi="Arial" w:cs="Arial"/>
          <w:b/>
          <w:bCs/>
          <w:color w:val="000000" w:themeColor="text1"/>
          <w:sz w:val="24"/>
          <w:szCs w:val="24"/>
        </w:rPr>
        <w:t>Conclusion</w:t>
      </w:r>
      <w:bookmarkEnd w:id="7"/>
    </w:p>
    <w:p>
      <w:pPr>
        <w:spacing w:line="480" w:lineRule="auto"/>
        <w:jc w:val="both"/>
        <w:rPr>
          <w:rFonts w:ascii="Arial" w:hAnsi="Arial" w:cs="Arial"/>
          <w:color w:val="000000" w:themeColor="text1"/>
          <w:sz w:val="24"/>
          <w:szCs w:val="24"/>
        </w:rPr>
      </w:pPr>
      <w:r>
        <w:rPr>
          <w:rFonts w:ascii="Arial" w:hAnsi="Arial" w:cs="Arial"/>
          <w:color w:val="000000" w:themeColor="text1"/>
          <w:sz w:val="24"/>
          <w:szCs w:val="24"/>
        </w:rPr>
        <w:t>Conclusively, it is concluded that the environment of the 21</w:t>
      </w:r>
      <w:r>
        <w:rPr>
          <w:rFonts w:ascii="Arial" w:hAnsi="Arial" w:cs="Arial"/>
          <w:color w:val="000000" w:themeColor="text1"/>
          <w:sz w:val="24"/>
          <w:szCs w:val="24"/>
          <w:vertAlign w:val="superscript"/>
        </w:rPr>
        <w:t>st</w:t>
      </w:r>
      <w:r>
        <w:rPr>
          <w:rFonts w:ascii="Arial" w:hAnsi="Arial" w:cs="Arial"/>
          <w:color w:val="000000" w:themeColor="text1"/>
          <w:sz w:val="24"/>
          <w:szCs w:val="24"/>
        </w:rPr>
        <w:t xml:space="preserve"> century is highly complex and it is often characterised by the evolving nature of globalization, technology, consumer shift and advancement of a multi-generational workforce. The organisation is required to deal with new complexities that bring out significant uncertainty and ambiguity. The complexity in the past century was considered a negative outcome, but the evolving nature has shifted the behaviour of companies from negative to opportunity base perspective. The complex environment often provides companies to find new opportunities and gain a competitive advantage by maintaining differentiation. In the complex adaptive system, the leaders are often facing significant challenges while negotiating risk. The risk navigation is in the hand of leaders and they are responsible for strategic implications. Therefore, the CAS changed the role of managed and leaders which further changed the command and controlling aspect in the organisation. The adaptive nature of leaders and cognitive readiness does allow leaders to cultivate an environment in order to find innovative solutions that emerge from the interrelationship and interactions among the number of agents in the organisation. Conclusively, the ability of leaders to remain adaptive and flexible does help to maintain competitiveness and the flexible approaches help to respond towards organisational needs.</w:t>
      </w:r>
    </w:p>
    <w:p>
      <w:pPr>
        <w:spacing w:line="480" w:lineRule="auto"/>
        <w:jc w:val="both"/>
        <w:rPr>
          <w:rFonts w:ascii="Arial" w:hAnsi="Arial" w:cs="Arial" w:eastAsiaTheme="majorEastAsia"/>
          <w:b/>
          <w:bCs/>
          <w:color w:val="000000" w:themeColor="text1"/>
          <w:sz w:val="24"/>
          <w:szCs w:val="24"/>
        </w:rPr>
      </w:pPr>
      <w:r>
        <w:rPr>
          <w:rFonts w:ascii="Arial" w:hAnsi="Arial" w:cs="Arial"/>
          <w:b/>
          <w:bCs/>
          <w:color w:val="000000" w:themeColor="text1"/>
          <w:sz w:val="24"/>
          <w:szCs w:val="24"/>
        </w:rPr>
        <w:br w:type="page"/>
      </w:r>
    </w:p>
    <w:p>
      <w:pPr>
        <w:pStyle w:val="2"/>
        <w:spacing w:line="480" w:lineRule="auto"/>
        <w:jc w:val="both"/>
        <w:rPr>
          <w:rFonts w:ascii="Arial" w:hAnsi="Arial" w:cs="Arial"/>
          <w:b/>
          <w:bCs/>
          <w:color w:val="000000" w:themeColor="text1"/>
          <w:sz w:val="24"/>
          <w:szCs w:val="24"/>
        </w:rPr>
      </w:pPr>
      <w:bookmarkStart w:id="8" w:name="_Toc32925717"/>
      <w:r>
        <w:rPr>
          <w:rFonts w:ascii="Arial" w:hAnsi="Arial" w:cs="Arial"/>
          <w:b/>
          <w:bCs/>
          <w:color w:val="000000" w:themeColor="text1"/>
          <w:sz w:val="24"/>
          <w:szCs w:val="24"/>
        </w:rPr>
        <w:t>References</w:t>
      </w:r>
      <w:bookmarkEnd w:id="8"/>
      <w:r>
        <w:rPr>
          <w:rFonts w:ascii="Arial" w:hAnsi="Arial" w:cs="Arial"/>
          <w:b/>
          <w:bCs/>
          <w:color w:val="000000" w:themeColor="text1"/>
          <w:sz w:val="24"/>
          <w:szCs w:val="24"/>
        </w:rPr>
        <w:t xml:space="preserve"> </w:t>
      </w:r>
    </w:p>
    <w:p>
      <w:pPr>
        <w:pStyle w:val="11"/>
        <w:numPr>
          <w:ilvl w:val="0"/>
          <w:numId w:val="3"/>
        </w:numPr>
        <w:spacing w:after="200" w:line="480" w:lineRule="auto"/>
        <w:jc w:val="both"/>
        <w:rPr>
          <w:rFonts w:ascii="Arial" w:hAnsi="Arial" w:cs="Arial"/>
          <w:color w:val="000000" w:themeColor="text1"/>
          <w:sz w:val="24"/>
          <w:szCs w:val="24"/>
          <w:lang w:val="en-US" w:eastAsia="en-US"/>
        </w:rPr>
      </w:pPr>
      <w:bookmarkStart w:id="9" w:name="_Hlk32325116"/>
      <w:r>
        <w:rPr>
          <w:rFonts w:ascii="Arial" w:hAnsi="Arial" w:cs="Arial"/>
          <w:color w:val="000000" w:themeColor="text1"/>
          <w:sz w:val="24"/>
          <w:szCs w:val="24"/>
          <w:lang w:val="en-US" w:eastAsia="en-US"/>
        </w:rPr>
        <w:t>Abidi, D. and Nakagawa, K., 2018</w:t>
      </w:r>
      <w:bookmarkEnd w:id="9"/>
      <w:r>
        <w:rPr>
          <w:rFonts w:ascii="Arial" w:hAnsi="Arial" w:cs="Arial"/>
          <w:color w:val="000000" w:themeColor="text1"/>
          <w:sz w:val="24"/>
          <w:szCs w:val="24"/>
          <w:lang w:val="en-US" w:eastAsia="en-US"/>
        </w:rPr>
        <w:t xml:space="preserve">. Innovation in the VUCA world: evidence from Tunisian firms in a post-revolution context. </w:t>
      </w:r>
      <w:r>
        <w:rPr>
          <w:rFonts w:ascii="Arial" w:hAnsi="Arial" w:cs="Arial"/>
          <w:i/>
          <w:iCs/>
          <w:color w:val="000000" w:themeColor="text1"/>
          <w:sz w:val="24"/>
          <w:szCs w:val="24"/>
          <w:lang w:val="en-US" w:eastAsia="en-US"/>
        </w:rPr>
        <w:t>International Journal of Business and Emerging Markets</w:t>
      </w:r>
      <w:r>
        <w:rPr>
          <w:rFonts w:ascii="Arial" w:hAnsi="Arial" w:cs="Arial"/>
          <w:color w:val="000000" w:themeColor="text1"/>
          <w:sz w:val="24"/>
          <w:szCs w:val="24"/>
          <w:lang w:val="en-US" w:eastAsia="en-US"/>
        </w:rPr>
        <w:t xml:space="preserve">, </w:t>
      </w:r>
      <w:r>
        <w:rPr>
          <w:rFonts w:ascii="Arial" w:hAnsi="Arial" w:cs="Arial"/>
          <w:i/>
          <w:iCs/>
          <w:color w:val="000000" w:themeColor="text1"/>
          <w:sz w:val="24"/>
          <w:szCs w:val="24"/>
          <w:lang w:val="en-US" w:eastAsia="en-US"/>
        </w:rPr>
        <w:t>10</w:t>
      </w:r>
      <w:r>
        <w:rPr>
          <w:rFonts w:ascii="Arial" w:hAnsi="Arial" w:cs="Arial"/>
          <w:color w:val="000000" w:themeColor="text1"/>
          <w:sz w:val="24"/>
          <w:szCs w:val="24"/>
          <w:lang w:val="en-US" w:eastAsia="en-US"/>
        </w:rPr>
        <w:t>(4), pp.319-340.</w:t>
      </w:r>
    </w:p>
    <w:p>
      <w:pPr>
        <w:pStyle w:val="11"/>
        <w:numPr>
          <w:ilvl w:val="0"/>
          <w:numId w:val="3"/>
        </w:numPr>
        <w:spacing w:line="480" w:lineRule="auto"/>
        <w:jc w:val="both"/>
        <w:rPr>
          <w:rFonts w:ascii="Arial" w:hAnsi="Arial" w:cs="Arial"/>
          <w:color w:val="000000" w:themeColor="text1"/>
          <w:sz w:val="24"/>
          <w:szCs w:val="24"/>
          <w:lang w:val="en-US"/>
        </w:rPr>
      </w:pPr>
      <w:r>
        <w:rPr>
          <w:rFonts w:ascii="Arial" w:hAnsi="Arial" w:cs="Arial"/>
          <w:color w:val="000000" w:themeColor="text1"/>
          <w:sz w:val="24"/>
          <w:szCs w:val="24"/>
          <w:lang w:val="en-US"/>
        </w:rPr>
        <w:t xml:space="preserve">Al-Jaroudi, D., 2017. Improving Team Work through Leadership Practices. </w:t>
      </w:r>
      <w:r>
        <w:rPr>
          <w:rFonts w:ascii="Arial" w:hAnsi="Arial" w:cs="Arial"/>
          <w:i/>
          <w:iCs/>
          <w:color w:val="000000" w:themeColor="text1"/>
          <w:sz w:val="24"/>
          <w:szCs w:val="24"/>
          <w:lang w:val="en-US"/>
        </w:rPr>
        <w:t>Gynecol Obstet Open Acc: OBOA-106. DOI</w:t>
      </w:r>
      <w:r>
        <w:rPr>
          <w:rFonts w:ascii="Arial" w:hAnsi="Arial" w:cs="Arial"/>
          <w:color w:val="000000" w:themeColor="text1"/>
          <w:sz w:val="24"/>
          <w:szCs w:val="24"/>
          <w:lang w:val="en-US"/>
        </w:rPr>
        <w:t xml:space="preserve">, </w:t>
      </w:r>
      <w:r>
        <w:rPr>
          <w:rFonts w:ascii="Arial" w:hAnsi="Arial" w:cs="Arial"/>
          <w:i/>
          <w:iCs/>
          <w:color w:val="000000" w:themeColor="text1"/>
          <w:sz w:val="24"/>
          <w:szCs w:val="24"/>
          <w:lang w:val="en-US"/>
        </w:rPr>
        <w:t>10</w:t>
      </w:r>
      <w:r>
        <w:rPr>
          <w:rFonts w:ascii="Arial" w:hAnsi="Arial" w:cs="Arial"/>
          <w:color w:val="000000" w:themeColor="text1"/>
          <w:sz w:val="24"/>
          <w:szCs w:val="24"/>
          <w:lang w:val="en-US"/>
        </w:rPr>
        <w:t>.</w:t>
      </w:r>
    </w:p>
    <w:p>
      <w:pPr>
        <w:numPr>
          <w:ilvl w:val="0"/>
          <w:numId w:val="3"/>
        </w:numPr>
        <w:spacing w:after="0" w:line="480" w:lineRule="auto"/>
        <w:jc w:val="both"/>
        <w:rPr>
          <w:rFonts w:ascii="Arial" w:hAnsi="Arial" w:eastAsia="Times New Roman" w:cs="Arial"/>
          <w:color w:val="000000" w:themeColor="text1"/>
          <w:sz w:val="24"/>
          <w:szCs w:val="24"/>
          <w:lang w:val="en-US"/>
        </w:rPr>
      </w:pPr>
      <w:bookmarkStart w:id="10" w:name="_Hlk32324939"/>
      <w:r>
        <w:rPr>
          <w:rFonts w:ascii="Arial" w:hAnsi="Arial" w:cs="Arial"/>
          <w:color w:val="000000" w:themeColor="text1"/>
          <w:sz w:val="24"/>
          <w:szCs w:val="24"/>
          <w:lang w:val="en-US"/>
        </w:rPr>
        <w:t>Bawany, S. 2016</w:t>
      </w:r>
      <w:bookmarkEnd w:id="10"/>
      <w:r>
        <w:rPr>
          <w:rFonts w:ascii="Arial" w:hAnsi="Arial" w:cs="Arial"/>
          <w:color w:val="000000" w:themeColor="text1"/>
          <w:sz w:val="24"/>
          <w:szCs w:val="24"/>
          <w:lang w:val="en-US"/>
        </w:rPr>
        <w:t>. Leading in VUCA world [Online] Available at:</w:t>
      </w:r>
      <w:r>
        <w:fldChar w:fldCharType="begin"/>
      </w:r>
      <w:r>
        <w:instrText xml:space="preserve"> HYPERLINK "https://www.executivedevelopment.com/leading-vuca-world/" </w:instrText>
      </w:r>
      <w:r>
        <w:fldChar w:fldCharType="separate"/>
      </w:r>
      <w:r>
        <w:rPr>
          <w:rStyle w:val="7"/>
          <w:rFonts w:ascii="Arial" w:hAnsi="Arial" w:cs="Arial"/>
          <w:color w:val="000000" w:themeColor="text1"/>
          <w:sz w:val="24"/>
          <w:szCs w:val="24"/>
          <w:lang w:val="en-US"/>
        </w:rPr>
        <w:t>https://www.executivedevelopment.com/leading-vuca-world/</w:t>
      </w:r>
      <w:r>
        <w:rPr>
          <w:rStyle w:val="7"/>
          <w:rFonts w:ascii="Arial" w:hAnsi="Arial" w:cs="Arial"/>
          <w:color w:val="000000" w:themeColor="text1"/>
          <w:sz w:val="24"/>
          <w:szCs w:val="24"/>
          <w:lang w:val="en-US"/>
        </w:rPr>
        <w:fldChar w:fldCharType="end"/>
      </w:r>
      <w:r>
        <w:rPr>
          <w:rFonts w:ascii="Arial" w:hAnsi="Arial" w:cs="Arial"/>
          <w:color w:val="000000" w:themeColor="text1"/>
          <w:sz w:val="24"/>
          <w:szCs w:val="24"/>
          <w:lang w:val="en-US"/>
        </w:rPr>
        <w:t xml:space="preserve"> </w:t>
      </w:r>
      <w:r>
        <w:rPr>
          <w:rFonts w:ascii="Arial" w:hAnsi="Arial" w:eastAsia="Times New Roman" w:cs="Arial"/>
          <w:color w:val="000000" w:themeColor="text1"/>
          <w:sz w:val="24"/>
          <w:szCs w:val="24"/>
        </w:rPr>
        <w:t>(Accessed on: 10</w:t>
      </w:r>
      <w:r>
        <w:rPr>
          <w:rFonts w:ascii="Arial" w:hAnsi="Arial" w:eastAsia="Times New Roman" w:cs="Arial"/>
          <w:color w:val="000000" w:themeColor="text1"/>
          <w:sz w:val="24"/>
          <w:szCs w:val="24"/>
          <w:vertAlign w:val="superscript"/>
        </w:rPr>
        <w:t xml:space="preserve">th </w:t>
      </w:r>
      <w:r>
        <w:rPr>
          <w:rFonts w:ascii="Arial" w:hAnsi="Arial" w:eastAsia="Times New Roman" w:cs="Arial"/>
          <w:color w:val="000000" w:themeColor="text1"/>
          <w:sz w:val="24"/>
          <w:szCs w:val="24"/>
        </w:rPr>
        <w:t xml:space="preserve"> February 2020).</w:t>
      </w:r>
    </w:p>
    <w:p>
      <w:pPr>
        <w:pStyle w:val="11"/>
        <w:numPr>
          <w:ilvl w:val="0"/>
          <w:numId w:val="3"/>
        </w:numPr>
        <w:spacing w:line="480" w:lineRule="auto"/>
        <w:jc w:val="both"/>
        <w:rPr>
          <w:rFonts w:ascii="Arial" w:hAnsi="Arial" w:cs="Arial"/>
          <w:color w:val="000000" w:themeColor="text1"/>
          <w:sz w:val="24"/>
          <w:szCs w:val="24"/>
          <w:lang w:val="en-US"/>
        </w:rPr>
      </w:pPr>
      <w:r>
        <w:rPr>
          <w:rFonts w:ascii="Arial" w:hAnsi="Arial" w:cs="Arial"/>
          <w:color w:val="000000" w:themeColor="text1"/>
          <w:sz w:val="24"/>
          <w:szCs w:val="24"/>
          <w:lang w:val="en-US"/>
        </w:rPr>
        <w:t xml:space="preserve">Bils, A., 2018, June. Probing, Sensing, Responding-How to implement digital learning innovations by using the Cynefin framework. In </w:t>
      </w:r>
      <w:r>
        <w:rPr>
          <w:rFonts w:ascii="Arial" w:hAnsi="Arial" w:cs="Arial"/>
          <w:i/>
          <w:iCs/>
          <w:color w:val="000000" w:themeColor="text1"/>
          <w:sz w:val="24"/>
          <w:szCs w:val="24"/>
          <w:lang w:val="en-US"/>
        </w:rPr>
        <w:t>EdMedia+ Innovate Learning</w:t>
      </w:r>
      <w:r>
        <w:rPr>
          <w:rFonts w:ascii="Arial" w:hAnsi="Arial" w:cs="Arial"/>
          <w:color w:val="000000" w:themeColor="text1"/>
          <w:sz w:val="24"/>
          <w:szCs w:val="24"/>
          <w:lang w:val="en-US"/>
        </w:rPr>
        <w:t xml:space="preserve"> (pp. 2010-2015). Association for the Advancement of Computing in Education (AACE).</w:t>
      </w:r>
    </w:p>
    <w:p>
      <w:pPr>
        <w:pStyle w:val="11"/>
        <w:numPr>
          <w:ilvl w:val="0"/>
          <w:numId w:val="3"/>
        </w:numPr>
        <w:spacing w:after="200" w:line="480" w:lineRule="auto"/>
        <w:jc w:val="both"/>
        <w:rPr>
          <w:rFonts w:ascii="Arial" w:hAnsi="Arial" w:cs="Arial"/>
          <w:color w:val="000000" w:themeColor="text1"/>
          <w:sz w:val="24"/>
          <w:szCs w:val="24"/>
          <w:lang w:val="en-US" w:eastAsia="en-US"/>
        </w:rPr>
      </w:pPr>
      <w:bookmarkStart w:id="11" w:name="_Hlk32325416"/>
      <w:r>
        <w:rPr>
          <w:rFonts w:ascii="Arial" w:hAnsi="Arial" w:cs="Arial"/>
          <w:color w:val="000000" w:themeColor="text1"/>
          <w:sz w:val="24"/>
          <w:szCs w:val="24"/>
          <w:lang w:val="en-US" w:eastAsia="en-US"/>
        </w:rPr>
        <w:t>Bird, R.C., 2018</w:t>
      </w:r>
      <w:bookmarkEnd w:id="11"/>
      <w:r>
        <w:rPr>
          <w:rFonts w:ascii="Arial" w:hAnsi="Arial" w:cs="Arial"/>
          <w:color w:val="000000" w:themeColor="text1"/>
          <w:sz w:val="24"/>
          <w:szCs w:val="24"/>
          <w:lang w:val="en-US" w:eastAsia="en-US"/>
        </w:rPr>
        <w:t xml:space="preserve">. VUCA and the Legal Environment of Business. </w:t>
      </w:r>
      <w:r>
        <w:rPr>
          <w:rFonts w:ascii="Arial" w:hAnsi="Arial" w:cs="Arial"/>
          <w:i/>
          <w:iCs/>
          <w:color w:val="000000" w:themeColor="text1"/>
          <w:sz w:val="24"/>
          <w:szCs w:val="24"/>
          <w:lang w:val="en-US" w:eastAsia="en-US"/>
        </w:rPr>
        <w:t>University of Connecticut School of Business Research Paper</w:t>
      </w:r>
      <w:r>
        <w:rPr>
          <w:rFonts w:ascii="Arial" w:hAnsi="Arial" w:cs="Arial"/>
          <w:color w:val="000000" w:themeColor="text1"/>
          <w:sz w:val="24"/>
          <w:szCs w:val="24"/>
          <w:lang w:val="en-US" w:eastAsia="en-US"/>
        </w:rPr>
        <w:t>, (18-09).</w:t>
      </w:r>
    </w:p>
    <w:p>
      <w:pPr>
        <w:pStyle w:val="11"/>
        <w:numPr>
          <w:ilvl w:val="0"/>
          <w:numId w:val="3"/>
        </w:numPr>
        <w:spacing w:after="200" w:line="480" w:lineRule="auto"/>
        <w:jc w:val="both"/>
        <w:rPr>
          <w:rFonts w:ascii="Arial" w:hAnsi="Arial" w:cs="Arial"/>
          <w:color w:val="000000" w:themeColor="text1"/>
          <w:sz w:val="24"/>
          <w:szCs w:val="24"/>
          <w:lang w:val="en-US" w:eastAsia="en-US"/>
        </w:rPr>
      </w:pPr>
      <w:r>
        <w:rPr>
          <w:rFonts w:ascii="Arial" w:hAnsi="Arial" w:cs="Arial"/>
          <w:color w:val="000000" w:themeColor="text1"/>
          <w:sz w:val="24"/>
          <w:szCs w:val="24"/>
          <w:lang w:val="en-US" w:eastAsia="en-US"/>
        </w:rPr>
        <w:t xml:space="preserve">Brodie, V.K., 2019. </w:t>
      </w:r>
      <w:r>
        <w:rPr>
          <w:rFonts w:ascii="Arial" w:hAnsi="Arial" w:cs="Arial"/>
          <w:i/>
          <w:iCs/>
          <w:color w:val="000000" w:themeColor="text1"/>
          <w:sz w:val="24"/>
          <w:szCs w:val="24"/>
          <w:lang w:val="en-US" w:eastAsia="en-US"/>
        </w:rPr>
        <w:t>Disrupted Leadership: Strategies and Practices of Leaders in a VUCA World</w:t>
      </w:r>
      <w:r>
        <w:rPr>
          <w:rFonts w:ascii="Arial" w:hAnsi="Arial" w:cs="Arial"/>
          <w:color w:val="000000" w:themeColor="text1"/>
          <w:sz w:val="24"/>
          <w:szCs w:val="24"/>
          <w:lang w:val="en-US" w:eastAsia="en-US"/>
        </w:rPr>
        <w:t xml:space="preserve"> (Doctoral dissertation, Pepperdine University).</w:t>
      </w:r>
    </w:p>
    <w:p>
      <w:pPr>
        <w:pStyle w:val="11"/>
        <w:numPr>
          <w:ilvl w:val="0"/>
          <w:numId w:val="3"/>
        </w:numPr>
        <w:spacing w:after="200" w:line="480" w:lineRule="auto"/>
        <w:jc w:val="both"/>
        <w:rPr>
          <w:rFonts w:ascii="Arial" w:hAnsi="Arial" w:cs="Arial"/>
          <w:color w:val="000000" w:themeColor="text1"/>
          <w:sz w:val="24"/>
          <w:szCs w:val="24"/>
          <w:lang w:val="en-US" w:eastAsia="en-US"/>
        </w:rPr>
      </w:pPr>
      <w:bookmarkStart w:id="12" w:name="_Hlk32925147"/>
      <w:r>
        <w:rPr>
          <w:rFonts w:ascii="Arial" w:hAnsi="Arial" w:cs="Arial"/>
          <w:color w:val="000000" w:themeColor="text1"/>
          <w:sz w:val="24"/>
          <w:szCs w:val="24"/>
          <w:lang w:val="en-US" w:eastAsia="en-US"/>
        </w:rPr>
        <w:t>Bushe, G.R. and Marshak, R.J., 2017</w:t>
      </w:r>
      <w:bookmarkEnd w:id="12"/>
      <w:r>
        <w:rPr>
          <w:rFonts w:ascii="Arial" w:hAnsi="Arial" w:cs="Arial"/>
          <w:color w:val="000000" w:themeColor="text1"/>
          <w:sz w:val="24"/>
          <w:szCs w:val="24"/>
          <w:lang w:val="en-US" w:eastAsia="en-US"/>
        </w:rPr>
        <w:t>. Transforming Leadership.</w:t>
      </w:r>
    </w:p>
    <w:p>
      <w:pPr>
        <w:pStyle w:val="11"/>
        <w:numPr>
          <w:ilvl w:val="0"/>
          <w:numId w:val="3"/>
        </w:numPr>
        <w:spacing w:after="200" w:line="480" w:lineRule="auto"/>
        <w:jc w:val="both"/>
        <w:rPr>
          <w:rFonts w:ascii="Arial" w:hAnsi="Arial" w:cs="Arial"/>
          <w:color w:val="000000" w:themeColor="text1"/>
          <w:sz w:val="24"/>
          <w:szCs w:val="24"/>
          <w:lang w:val="en-US" w:eastAsia="en-US"/>
        </w:rPr>
      </w:pPr>
      <w:bookmarkStart w:id="13" w:name="_Hlk32325005"/>
      <w:r>
        <w:rPr>
          <w:rFonts w:ascii="Arial" w:hAnsi="Arial" w:cs="Arial"/>
          <w:color w:val="000000" w:themeColor="text1"/>
          <w:sz w:val="24"/>
          <w:szCs w:val="24"/>
          <w:lang w:val="en-US" w:eastAsia="en-US"/>
        </w:rPr>
        <w:t>Chawla, S. and Lenka, U., 2018</w:t>
      </w:r>
      <w:bookmarkEnd w:id="13"/>
      <w:r>
        <w:rPr>
          <w:rFonts w:ascii="Arial" w:hAnsi="Arial" w:cs="Arial"/>
          <w:color w:val="000000" w:themeColor="text1"/>
          <w:sz w:val="24"/>
          <w:szCs w:val="24"/>
          <w:lang w:val="en-US" w:eastAsia="en-US"/>
        </w:rPr>
        <w:t xml:space="preserve">. Leadership in VUCA environment. the </w:t>
      </w:r>
      <w:r>
        <w:rPr>
          <w:rFonts w:ascii="Arial" w:hAnsi="Arial" w:cs="Arial"/>
          <w:i/>
          <w:iCs/>
          <w:color w:val="000000" w:themeColor="text1"/>
          <w:sz w:val="24"/>
          <w:szCs w:val="24"/>
          <w:lang w:val="en-US" w:eastAsia="en-US"/>
        </w:rPr>
        <w:t>Flexible strategies in VUCA markets</w:t>
      </w:r>
      <w:r>
        <w:rPr>
          <w:rFonts w:ascii="Arial" w:hAnsi="Arial" w:cs="Arial"/>
          <w:color w:val="000000" w:themeColor="text1"/>
          <w:sz w:val="24"/>
          <w:szCs w:val="24"/>
          <w:lang w:val="en-US" w:eastAsia="en-US"/>
        </w:rPr>
        <w:t xml:space="preserve"> (pp. 213-224). Springer, Singapore.</w:t>
      </w:r>
    </w:p>
    <w:p>
      <w:pPr>
        <w:pStyle w:val="11"/>
        <w:numPr>
          <w:ilvl w:val="0"/>
          <w:numId w:val="3"/>
        </w:numPr>
        <w:spacing w:after="200" w:line="480" w:lineRule="auto"/>
        <w:jc w:val="both"/>
        <w:rPr>
          <w:rFonts w:ascii="Arial" w:hAnsi="Arial" w:cs="Arial"/>
          <w:color w:val="000000" w:themeColor="text1"/>
          <w:sz w:val="24"/>
          <w:szCs w:val="24"/>
          <w:lang w:val="en-US" w:eastAsia="en-US"/>
        </w:rPr>
      </w:pPr>
      <w:bookmarkStart w:id="14" w:name="_Hlk32325059"/>
      <w:r>
        <w:rPr>
          <w:rFonts w:ascii="Arial" w:hAnsi="Arial" w:cs="Arial"/>
          <w:color w:val="000000" w:themeColor="text1"/>
          <w:sz w:val="24"/>
          <w:szCs w:val="24"/>
          <w:lang w:val="en-US" w:eastAsia="en-US"/>
        </w:rPr>
        <w:t>Cheong, B.Z.P., 2017</w:t>
      </w:r>
      <w:bookmarkEnd w:id="14"/>
      <w:r>
        <w:rPr>
          <w:rFonts w:ascii="Arial" w:hAnsi="Arial" w:cs="Arial"/>
          <w:color w:val="000000" w:themeColor="text1"/>
          <w:sz w:val="24"/>
          <w:szCs w:val="24"/>
          <w:lang w:val="en-US" w:eastAsia="en-US"/>
        </w:rPr>
        <w:t>. Growth strategies for rail networks in a volatile, uncertain, complex and ambiguous (VUCA) environment.</w:t>
      </w:r>
    </w:p>
    <w:p>
      <w:pPr>
        <w:pStyle w:val="11"/>
        <w:numPr>
          <w:ilvl w:val="0"/>
          <w:numId w:val="3"/>
        </w:numPr>
        <w:spacing w:after="200" w:line="480" w:lineRule="auto"/>
        <w:jc w:val="both"/>
        <w:rPr>
          <w:rFonts w:ascii="Arial" w:hAnsi="Arial" w:cs="Arial"/>
          <w:color w:val="000000" w:themeColor="text1"/>
          <w:sz w:val="24"/>
          <w:szCs w:val="24"/>
          <w:lang w:val="en-US" w:eastAsia="en-US"/>
        </w:rPr>
      </w:pPr>
      <w:bookmarkStart w:id="15" w:name="_Hlk32325375"/>
      <w:r>
        <w:rPr>
          <w:rFonts w:ascii="Arial" w:hAnsi="Arial" w:cs="Arial"/>
          <w:color w:val="000000" w:themeColor="text1"/>
          <w:sz w:val="24"/>
          <w:szCs w:val="24"/>
          <w:lang w:val="en-US" w:eastAsia="en-US"/>
        </w:rPr>
        <w:t>Clegg, L.J., Voss, H. and Chen, L., 2019</w:t>
      </w:r>
      <w:bookmarkEnd w:id="15"/>
      <w:r>
        <w:rPr>
          <w:rFonts w:ascii="Arial" w:hAnsi="Arial" w:cs="Arial"/>
          <w:color w:val="000000" w:themeColor="text1"/>
          <w:sz w:val="24"/>
          <w:szCs w:val="24"/>
          <w:lang w:val="en-US" w:eastAsia="en-US"/>
        </w:rPr>
        <w:t xml:space="preserve">. Can VUCA Help Us Generate New Theory within International Business?. </w:t>
      </w:r>
      <w:r>
        <w:rPr>
          <w:rFonts w:ascii="Arial" w:hAnsi="Arial" w:cs="Arial"/>
          <w:i/>
          <w:iCs/>
          <w:color w:val="000000" w:themeColor="text1"/>
          <w:sz w:val="24"/>
          <w:szCs w:val="24"/>
          <w:lang w:val="en-US" w:eastAsia="en-US"/>
        </w:rPr>
        <w:t>International Business in a VUCA World: The Changing Role of States and Firms (Progress in International Business Research, Vol. 14), Emerald Publishing Limited</w:t>
      </w:r>
      <w:r>
        <w:rPr>
          <w:rFonts w:ascii="Arial" w:hAnsi="Arial" w:cs="Arial"/>
          <w:color w:val="000000" w:themeColor="text1"/>
          <w:sz w:val="24"/>
          <w:szCs w:val="24"/>
          <w:lang w:val="en-US" w:eastAsia="en-US"/>
        </w:rPr>
        <w:t>, pp.55-66.</w:t>
      </w:r>
    </w:p>
    <w:p>
      <w:pPr>
        <w:pStyle w:val="11"/>
        <w:numPr>
          <w:ilvl w:val="0"/>
          <w:numId w:val="3"/>
        </w:numPr>
        <w:spacing w:after="200" w:line="480" w:lineRule="auto"/>
        <w:jc w:val="both"/>
        <w:rPr>
          <w:rFonts w:ascii="Arial" w:hAnsi="Arial" w:cs="Arial"/>
          <w:color w:val="000000" w:themeColor="text1"/>
          <w:sz w:val="24"/>
          <w:szCs w:val="24"/>
          <w:lang w:val="en-US" w:eastAsia="en-US"/>
        </w:rPr>
      </w:pPr>
      <w:bookmarkStart w:id="16" w:name="_Hlk32324957"/>
      <w:r>
        <w:rPr>
          <w:rFonts w:ascii="Arial" w:hAnsi="Arial" w:cs="Arial"/>
          <w:color w:val="000000" w:themeColor="text1"/>
          <w:sz w:val="24"/>
          <w:szCs w:val="24"/>
          <w:lang w:val="en-US" w:eastAsia="en-US"/>
        </w:rPr>
        <w:t xml:space="preserve">Codreanu, A., 2016. </w:t>
      </w:r>
      <w:bookmarkEnd w:id="16"/>
      <w:r>
        <w:rPr>
          <w:rFonts w:ascii="Arial" w:hAnsi="Arial" w:cs="Arial"/>
          <w:color w:val="000000" w:themeColor="text1"/>
          <w:sz w:val="24"/>
          <w:szCs w:val="24"/>
          <w:lang w:val="en-US" w:eastAsia="en-US"/>
        </w:rPr>
        <w:t xml:space="preserve">A VUCA action framework for a VUCA environment. Leadership challenges and solutions. </w:t>
      </w:r>
      <w:r>
        <w:rPr>
          <w:rFonts w:ascii="Arial" w:hAnsi="Arial" w:cs="Arial"/>
          <w:i/>
          <w:iCs/>
          <w:color w:val="000000" w:themeColor="text1"/>
          <w:sz w:val="24"/>
          <w:szCs w:val="24"/>
          <w:lang w:val="en-US" w:eastAsia="en-US"/>
        </w:rPr>
        <w:t>Journal of Defense Resources Management (JoDRM)</w:t>
      </w:r>
      <w:r>
        <w:rPr>
          <w:rFonts w:ascii="Arial" w:hAnsi="Arial" w:cs="Arial"/>
          <w:color w:val="000000" w:themeColor="text1"/>
          <w:sz w:val="24"/>
          <w:szCs w:val="24"/>
          <w:lang w:val="en-US" w:eastAsia="en-US"/>
        </w:rPr>
        <w:t xml:space="preserve">, </w:t>
      </w:r>
      <w:r>
        <w:rPr>
          <w:rFonts w:ascii="Arial" w:hAnsi="Arial" w:cs="Arial"/>
          <w:i/>
          <w:iCs/>
          <w:color w:val="000000" w:themeColor="text1"/>
          <w:sz w:val="24"/>
          <w:szCs w:val="24"/>
          <w:lang w:val="en-US" w:eastAsia="en-US"/>
        </w:rPr>
        <w:t>7</w:t>
      </w:r>
      <w:r>
        <w:rPr>
          <w:rFonts w:ascii="Arial" w:hAnsi="Arial" w:cs="Arial"/>
          <w:color w:val="000000" w:themeColor="text1"/>
          <w:sz w:val="24"/>
          <w:szCs w:val="24"/>
          <w:lang w:val="en-US" w:eastAsia="en-US"/>
        </w:rPr>
        <w:t>(2), pp.31-38.</w:t>
      </w:r>
    </w:p>
    <w:p>
      <w:pPr>
        <w:numPr>
          <w:ilvl w:val="0"/>
          <w:numId w:val="3"/>
        </w:numPr>
        <w:spacing w:after="0" w:line="480" w:lineRule="auto"/>
        <w:jc w:val="both"/>
        <w:rPr>
          <w:rFonts w:ascii="Arial" w:hAnsi="Arial" w:eastAsia="Times New Roman" w:cs="Arial"/>
          <w:color w:val="000000" w:themeColor="text1"/>
          <w:sz w:val="24"/>
          <w:szCs w:val="24"/>
          <w:lang w:val="en-US"/>
        </w:rPr>
      </w:pPr>
      <w:r>
        <w:rPr>
          <w:rFonts w:ascii="Arial" w:hAnsi="Arial" w:eastAsia="Times New Roman" w:cs="Arial"/>
          <w:color w:val="000000" w:themeColor="text1"/>
          <w:sz w:val="24"/>
          <w:szCs w:val="24"/>
          <w:lang w:val="en-US"/>
        </w:rPr>
        <w:t xml:space="preserve">Cognitive Edge. 2020. Cynefin Framework Introduction. [Online] Available at: </w:t>
      </w:r>
      <w:r>
        <w:fldChar w:fldCharType="begin"/>
      </w:r>
      <w:r>
        <w:instrText xml:space="preserve"> HYPERLINK "https://cognitive-edge.com/videos/cynefin-framework-introduction/" </w:instrText>
      </w:r>
      <w:r>
        <w:fldChar w:fldCharType="separate"/>
      </w:r>
      <w:r>
        <w:rPr>
          <w:rStyle w:val="7"/>
          <w:rFonts w:ascii="Arial" w:hAnsi="Arial" w:eastAsia="Times New Roman" w:cs="Arial"/>
          <w:color w:val="000000" w:themeColor="text1"/>
          <w:sz w:val="24"/>
          <w:szCs w:val="24"/>
        </w:rPr>
        <w:t>https</w:t>
      </w:r>
      <w:r>
        <w:rPr>
          <w:rStyle w:val="7"/>
          <w:rFonts w:ascii="Arial" w:hAnsi="Arial" w:eastAsia="Times New Roman" w:cs="Arial"/>
          <w:color w:val="000000" w:themeColor="text1"/>
          <w:sz w:val="24"/>
          <w:szCs w:val="24"/>
        </w:rPr>
        <w:fldChar w:fldCharType="end"/>
      </w:r>
      <w:r>
        <w:fldChar w:fldCharType="begin"/>
      </w:r>
      <w:r>
        <w:instrText xml:space="preserve"> HYPERLINK "https://cognitive-edge.com/videos/cynefin-framework-introduction/" </w:instrText>
      </w:r>
      <w:r>
        <w:fldChar w:fldCharType="separate"/>
      </w:r>
      <w:r>
        <w:rPr>
          <w:rStyle w:val="7"/>
          <w:rFonts w:ascii="Arial" w:hAnsi="Arial" w:eastAsia="Times New Roman" w:cs="Arial"/>
          <w:color w:val="000000" w:themeColor="text1"/>
          <w:sz w:val="24"/>
          <w:szCs w:val="24"/>
        </w:rPr>
        <w:t>://cognitive-edge.com/videos/cynefin-framework-introduction</w:t>
      </w:r>
      <w:r>
        <w:rPr>
          <w:rStyle w:val="7"/>
          <w:rFonts w:ascii="Arial" w:hAnsi="Arial" w:eastAsia="Times New Roman" w:cs="Arial"/>
          <w:color w:val="000000" w:themeColor="text1"/>
          <w:sz w:val="24"/>
          <w:szCs w:val="24"/>
        </w:rPr>
        <w:fldChar w:fldCharType="end"/>
      </w:r>
      <w:r>
        <w:fldChar w:fldCharType="begin"/>
      </w:r>
      <w:r>
        <w:instrText xml:space="preserve"> HYPERLINK "https://cognitive-edge.com/videos/cynefin-framework-introduction/" </w:instrText>
      </w:r>
      <w:r>
        <w:fldChar w:fldCharType="separate"/>
      </w:r>
      <w:r>
        <w:rPr>
          <w:rStyle w:val="7"/>
          <w:rFonts w:ascii="Arial" w:hAnsi="Arial" w:eastAsia="Times New Roman" w:cs="Arial"/>
          <w:color w:val="000000" w:themeColor="text1"/>
          <w:sz w:val="24"/>
          <w:szCs w:val="24"/>
        </w:rPr>
        <w:t>/</w:t>
      </w:r>
      <w:r>
        <w:rPr>
          <w:rStyle w:val="7"/>
          <w:rFonts w:ascii="Arial" w:hAnsi="Arial" w:eastAsia="Times New Roman" w:cs="Arial"/>
          <w:color w:val="000000" w:themeColor="text1"/>
          <w:sz w:val="24"/>
          <w:szCs w:val="24"/>
        </w:rPr>
        <w:fldChar w:fldCharType="end"/>
      </w:r>
      <w:r>
        <w:rPr>
          <w:rFonts w:ascii="Arial" w:hAnsi="Arial" w:eastAsia="Times New Roman" w:cs="Arial"/>
          <w:color w:val="000000" w:themeColor="text1"/>
          <w:sz w:val="24"/>
          <w:szCs w:val="24"/>
        </w:rPr>
        <w:t xml:space="preserve"> (Accessed on: 11</w:t>
      </w:r>
      <w:r>
        <w:rPr>
          <w:rFonts w:ascii="Arial" w:hAnsi="Arial" w:eastAsia="Times New Roman" w:cs="Arial"/>
          <w:color w:val="000000" w:themeColor="text1"/>
          <w:sz w:val="24"/>
          <w:szCs w:val="24"/>
          <w:vertAlign w:val="superscript"/>
        </w:rPr>
        <w:t>th</w:t>
      </w:r>
      <w:r>
        <w:rPr>
          <w:rFonts w:ascii="Arial" w:hAnsi="Arial" w:eastAsia="Times New Roman" w:cs="Arial"/>
          <w:color w:val="000000" w:themeColor="text1"/>
          <w:sz w:val="24"/>
          <w:szCs w:val="24"/>
        </w:rPr>
        <w:t xml:space="preserve"> February 2020).</w:t>
      </w:r>
    </w:p>
    <w:p>
      <w:pPr>
        <w:pStyle w:val="11"/>
        <w:numPr>
          <w:ilvl w:val="0"/>
          <w:numId w:val="3"/>
        </w:numPr>
        <w:spacing w:after="200" w:line="480" w:lineRule="auto"/>
        <w:jc w:val="both"/>
        <w:rPr>
          <w:rFonts w:ascii="Arial" w:hAnsi="Arial" w:cs="Arial"/>
          <w:color w:val="000000" w:themeColor="text1"/>
          <w:sz w:val="24"/>
          <w:szCs w:val="24"/>
          <w:lang w:val="en-US" w:eastAsia="en-US"/>
        </w:rPr>
      </w:pPr>
      <w:bookmarkStart w:id="17" w:name="_Hlk32924944"/>
      <w:r>
        <w:rPr>
          <w:rFonts w:ascii="Arial" w:hAnsi="Arial" w:cs="Arial"/>
          <w:color w:val="000000" w:themeColor="text1"/>
          <w:sz w:val="24"/>
          <w:szCs w:val="24"/>
          <w:lang w:val="en-US" w:eastAsia="en-US"/>
        </w:rPr>
        <w:t>Conger, J., 2015</w:t>
      </w:r>
      <w:bookmarkEnd w:id="17"/>
      <w:r>
        <w:rPr>
          <w:rFonts w:ascii="Arial" w:hAnsi="Arial" w:cs="Arial"/>
          <w:color w:val="000000" w:themeColor="text1"/>
          <w:sz w:val="24"/>
          <w:szCs w:val="24"/>
          <w:lang w:val="en-US" w:eastAsia="en-US"/>
        </w:rPr>
        <w:t xml:space="preserve">. Charismatic leadership. </w:t>
      </w:r>
      <w:r>
        <w:rPr>
          <w:rFonts w:ascii="Arial" w:hAnsi="Arial" w:cs="Arial"/>
          <w:i/>
          <w:iCs/>
          <w:color w:val="000000" w:themeColor="text1"/>
          <w:sz w:val="24"/>
          <w:szCs w:val="24"/>
          <w:lang w:val="en-US" w:eastAsia="en-US"/>
        </w:rPr>
        <w:t>Wiley encyclopedia of management</w:t>
      </w:r>
      <w:r>
        <w:rPr>
          <w:rFonts w:ascii="Arial" w:hAnsi="Arial" w:cs="Arial"/>
          <w:color w:val="000000" w:themeColor="text1"/>
          <w:sz w:val="24"/>
          <w:szCs w:val="24"/>
          <w:lang w:val="en-US" w:eastAsia="en-US"/>
        </w:rPr>
        <w:t>, pp.1-2.</w:t>
      </w:r>
    </w:p>
    <w:p>
      <w:pPr>
        <w:pStyle w:val="11"/>
        <w:numPr>
          <w:ilvl w:val="0"/>
          <w:numId w:val="3"/>
        </w:numPr>
        <w:spacing w:after="200" w:line="480" w:lineRule="auto"/>
        <w:jc w:val="both"/>
        <w:rPr>
          <w:rFonts w:ascii="Arial" w:hAnsi="Arial" w:cs="Arial"/>
          <w:color w:val="000000" w:themeColor="text1"/>
          <w:sz w:val="24"/>
          <w:szCs w:val="24"/>
          <w:lang w:val="en-US" w:eastAsia="en-US"/>
        </w:rPr>
      </w:pPr>
      <w:bookmarkStart w:id="18" w:name="_Hlk32324991"/>
      <w:r>
        <w:rPr>
          <w:rFonts w:ascii="Arial" w:hAnsi="Arial" w:cs="Arial"/>
          <w:color w:val="000000" w:themeColor="text1"/>
          <w:sz w:val="24"/>
          <w:szCs w:val="24"/>
          <w:lang w:val="en-US" w:eastAsia="en-US"/>
        </w:rPr>
        <w:t>Cousins, B., 2018</w:t>
      </w:r>
      <w:bookmarkEnd w:id="18"/>
      <w:r>
        <w:rPr>
          <w:rFonts w:ascii="Arial" w:hAnsi="Arial" w:cs="Arial"/>
          <w:color w:val="000000" w:themeColor="text1"/>
          <w:sz w:val="24"/>
          <w:szCs w:val="24"/>
          <w:lang w:val="en-US" w:eastAsia="en-US"/>
        </w:rPr>
        <w:t xml:space="preserve">. Design thinking: Organizational learning in VUCA environments. </w:t>
      </w:r>
      <w:r>
        <w:rPr>
          <w:rFonts w:ascii="Arial" w:hAnsi="Arial" w:cs="Arial"/>
          <w:i/>
          <w:iCs/>
          <w:color w:val="000000" w:themeColor="text1"/>
          <w:sz w:val="24"/>
          <w:szCs w:val="24"/>
          <w:lang w:val="en-US" w:eastAsia="en-US"/>
        </w:rPr>
        <w:t>Academy of Strategic Management Journal</w:t>
      </w:r>
      <w:r>
        <w:rPr>
          <w:rFonts w:ascii="Arial" w:hAnsi="Arial" w:cs="Arial"/>
          <w:color w:val="000000" w:themeColor="text1"/>
          <w:sz w:val="24"/>
          <w:szCs w:val="24"/>
          <w:lang w:val="en-US" w:eastAsia="en-US"/>
        </w:rPr>
        <w:t>.</w:t>
      </w:r>
    </w:p>
    <w:p>
      <w:pPr>
        <w:numPr>
          <w:ilvl w:val="0"/>
          <w:numId w:val="3"/>
        </w:numPr>
        <w:spacing w:after="0" w:line="480" w:lineRule="auto"/>
        <w:jc w:val="both"/>
        <w:rPr>
          <w:rFonts w:ascii="Arial" w:hAnsi="Arial" w:eastAsia="Times New Roman" w:cs="Arial"/>
          <w:color w:val="000000" w:themeColor="text1"/>
          <w:sz w:val="24"/>
          <w:szCs w:val="24"/>
          <w:lang w:val="en-US"/>
        </w:rPr>
      </w:pPr>
      <w:r>
        <w:rPr>
          <w:rFonts w:ascii="Arial" w:hAnsi="Arial" w:eastAsia="Times New Roman" w:cs="Arial"/>
          <w:color w:val="000000" w:themeColor="text1"/>
          <w:sz w:val="24"/>
          <w:szCs w:val="24"/>
          <w:lang w:val="en-US"/>
        </w:rPr>
        <w:t>Cutts, S. 2015. What is the VUCA environment</w:t>
      </w:r>
      <w:r>
        <w:rPr>
          <w:rFonts w:ascii="Arial" w:hAnsi="Arial" w:cs="Arial"/>
          <w:color w:val="000000" w:themeColor="text1"/>
          <w:sz w:val="24"/>
          <w:szCs w:val="24"/>
          <w:lang w:val="en-US"/>
        </w:rPr>
        <w:t xml:space="preserve"> [Online] Available at:</w:t>
      </w:r>
      <w:r>
        <w:rPr>
          <w:rFonts w:ascii="Arial" w:hAnsi="Arial" w:eastAsia="Times New Roman" w:cs="Arial"/>
          <w:color w:val="000000" w:themeColor="text1"/>
          <w:sz w:val="24"/>
          <w:szCs w:val="24"/>
          <w:lang w:val="en-US"/>
        </w:rPr>
        <w:t xml:space="preserve"> </w:t>
      </w:r>
      <w:r>
        <w:fldChar w:fldCharType="begin"/>
      </w:r>
      <w:r>
        <w:instrText xml:space="preserve"> HYPERLINK "http://iadapte.com/change-capability/vuca-environment-leadership/" </w:instrText>
      </w:r>
      <w:r>
        <w:fldChar w:fldCharType="separate"/>
      </w:r>
      <w:r>
        <w:rPr>
          <w:rStyle w:val="7"/>
          <w:rFonts w:ascii="Arial" w:hAnsi="Arial" w:eastAsia="Times New Roman" w:cs="Arial"/>
          <w:color w:val="000000" w:themeColor="text1"/>
          <w:sz w:val="24"/>
          <w:szCs w:val="24"/>
          <w:lang w:val="en-US"/>
        </w:rPr>
        <w:t>http://iadapte.com/change-capability/vuca-environment-leadership/</w:t>
      </w:r>
      <w:r>
        <w:rPr>
          <w:rStyle w:val="7"/>
          <w:rFonts w:ascii="Arial" w:hAnsi="Arial" w:eastAsia="Times New Roman" w:cs="Arial"/>
          <w:color w:val="000000" w:themeColor="text1"/>
          <w:sz w:val="24"/>
          <w:szCs w:val="24"/>
          <w:lang w:val="en-US"/>
        </w:rPr>
        <w:fldChar w:fldCharType="end"/>
      </w:r>
      <w:r>
        <w:rPr>
          <w:rStyle w:val="7"/>
          <w:rFonts w:ascii="Arial" w:hAnsi="Arial" w:cs="Arial"/>
          <w:color w:val="000000" w:themeColor="text1"/>
          <w:sz w:val="24"/>
          <w:szCs w:val="24"/>
          <w:lang w:val="en-US"/>
        </w:rPr>
        <w:t xml:space="preserve"> </w:t>
      </w:r>
      <w:r>
        <w:rPr>
          <w:rFonts w:ascii="Arial" w:hAnsi="Arial" w:eastAsia="Times New Roman" w:cs="Arial"/>
          <w:color w:val="000000" w:themeColor="text1"/>
          <w:sz w:val="24"/>
          <w:szCs w:val="24"/>
        </w:rPr>
        <w:t>(Accessed on: 10</w:t>
      </w:r>
      <w:r>
        <w:rPr>
          <w:rFonts w:ascii="Arial" w:hAnsi="Arial" w:eastAsia="Times New Roman" w:cs="Arial"/>
          <w:color w:val="000000" w:themeColor="text1"/>
          <w:sz w:val="24"/>
          <w:szCs w:val="24"/>
          <w:vertAlign w:val="superscript"/>
        </w:rPr>
        <w:t xml:space="preserve">th </w:t>
      </w:r>
      <w:r>
        <w:rPr>
          <w:rFonts w:ascii="Arial" w:hAnsi="Arial" w:eastAsia="Times New Roman" w:cs="Arial"/>
          <w:color w:val="000000" w:themeColor="text1"/>
          <w:sz w:val="24"/>
          <w:szCs w:val="24"/>
        </w:rPr>
        <w:t xml:space="preserve"> February 2020).</w:t>
      </w:r>
    </w:p>
    <w:p>
      <w:pPr>
        <w:pStyle w:val="11"/>
        <w:numPr>
          <w:ilvl w:val="0"/>
          <w:numId w:val="3"/>
        </w:numPr>
        <w:spacing w:after="200" w:line="480" w:lineRule="auto"/>
        <w:jc w:val="both"/>
        <w:rPr>
          <w:rFonts w:ascii="Arial" w:hAnsi="Arial" w:cs="Arial"/>
          <w:color w:val="000000" w:themeColor="text1"/>
          <w:sz w:val="24"/>
          <w:szCs w:val="24"/>
          <w:lang w:val="en-US" w:eastAsia="en-US"/>
        </w:rPr>
      </w:pPr>
      <w:bookmarkStart w:id="19" w:name="_Hlk32325206"/>
      <w:r>
        <w:rPr>
          <w:rFonts w:ascii="Arial" w:hAnsi="Arial" w:cs="Arial"/>
          <w:color w:val="000000" w:themeColor="text1"/>
          <w:sz w:val="24"/>
          <w:szCs w:val="24"/>
          <w:lang w:val="en-US" w:eastAsia="en-US"/>
        </w:rPr>
        <w:t>Dhir, S. ed., 2018</w:t>
      </w:r>
      <w:bookmarkEnd w:id="19"/>
      <w:r>
        <w:rPr>
          <w:rFonts w:ascii="Arial" w:hAnsi="Arial" w:cs="Arial"/>
          <w:color w:val="000000" w:themeColor="text1"/>
          <w:sz w:val="24"/>
          <w:szCs w:val="24"/>
          <w:lang w:val="en-US" w:eastAsia="en-US"/>
        </w:rPr>
        <w:t xml:space="preserve">. </w:t>
      </w:r>
      <w:r>
        <w:rPr>
          <w:rFonts w:ascii="Arial" w:hAnsi="Arial" w:cs="Arial"/>
          <w:i/>
          <w:iCs/>
          <w:color w:val="000000" w:themeColor="text1"/>
          <w:sz w:val="24"/>
          <w:szCs w:val="24"/>
          <w:lang w:val="en-US" w:eastAsia="en-US"/>
        </w:rPr>
        <w:t>Flexible Strategies in VUCA Markets</w:t>
      </w:r>
      <w:r>
        <w:rPr>
          <w:rFonts w:ascii="Arial" w:hAnsi="Arial" w:cs="Arial"/>
          <w:color w:val="000000" w:themeColor="text1"/>
          <w:sz w:val="24"/>
          <w:szCs w:val="24"/>
          <w:lang w:val="en-US" w:eastAsia="en-US"/>
        </w:rPr>
        <w:t>. Springer.</w:t>
      </w:r>
    </w:p>
    <w:p>
      <w:pPr>
        <w:pStyle w:val="11"/>
        <w:numPr>
          <w:ilvl w:val="0"/>
          <w:numId w:val="3"/>
        </w:numPr>
        <w:spacing w:after="200" w:line="480" w:lineRule="auto"/>
        <w:jc w:val="both"/>
        <w:rPr>
          <w:rFonts w:ascii="Arial" w:hAnsi="Arial" w:cs="Arial"/>
          <w:color w:val="000000" w:themeColor="text1"/>
          <w:sz w:val="24"/>
          <w:szCs w:val="24"/>
          <w:lang w:val="en-US" w:eastAsia="en-US"/>
        </w:rPr>
      </w:pPr>
      <w:bookmarkStart w:id="20" w:name="_Hlk32325458"/>
      <w:r>
        <w:rPr>
          <w:rFonts w:ascii="Arial" w:hAnsi="Arial" w:cs="Arial"/>
          <w:color w:val="000000" w:themeColor="text1"/>
          <w:sz w:val="24"/>
          <w:szCs w:val="24"/>
          <w:lang w:val="en-US" w:eastAsia="en-US"/>
        </w:rPr>
        <w:t>Dombrowski, U. and Henningsen, N., 2019</w:t>
      </w:r>
      <w:bookmarkEnd w:id="20"/>
      <w:r>
        <w:rPr>
          <w:rFonts w:ascii="Arial" w:hAnsi="Arial" w:cs="Arial"/>
          <w:color w:val="000000" w:themeColor="text1"/>
          <w:sz w:val="24"/>
          <w:szCs w:val="24"/>
          <w:lang w:val="en-US" w:eastAsia="en-US"/>
        </w:rPr>
        <w:t xml:space="preserve">, October. Systems of objectives in a VUCA world within the Lean Enterprise. In </w:t>
      </w:r>
      <w:r>
        <w:rPr>
          <w:rFonts w:ascii="Arial" w:hAnsi="Arial" w:cs="Arial"/>
          <w:i/>
          <w:iCs/>
          <w:color w:val="000000" w:themeColor="text1"/>
          <w:sz w:val="24"/>
          <w:szCs w:val="24"/>
          <w:lang w:val="en-US" w:eastAsia="en-US"/>
        </w:rPr>
        <w:t>2019 International Symposium on Systems Engineering (ISSE)</w:t>
      </w:r>
      <w:r>
        <w:rPr>
          <w:rFonts w:ascii="Arial" w:hAnsi="Arial" w:cs="Arial"/>
          <w:color w:val="000000" w:themeColor="text1"/>
          <w:sz w:val="24"/>
          <w:szCs w:val="24"/>
          <w:lang w:val="en-US" w:eastAsia="en-US"/>
        </w:rPr>
        <w:t xml:space="preserve"> (pp. 1-7). IEEE.</w:t>
      </w:r>
    </w:p>
    <w:p>
      <w:pPr>
        <w:pStyle w:val="11"/>
        <w:numPr>
          <w:ilvl w:val="0"/>
          <w:numId w:val="3"/>
        </w:numPr>
        <w:spacing w:after="200" w:line="480" w:lineRule="auto"/>
        <w:jc w:val="both"/>
        <w:rPr>
          <w:rFonts w:ascii="Arial" w:hAnsi="Arial" w:cs="Arial"/>
          <w:color w:val="000000" w:themeColor="text1"/>
          <w:sz w:val="24"/>
          <w:szCs w:val="24"/>
          <w:lang w:val="en-US"/>
        </w:rPr>
      </w:pPr>
      <w:bookmarkStart w:id="21" w:name="_Hlk32324972"/>
      <w:r>
        <w:rPr>
          <w:rFonts w:ascii="Arial" w:hAnsi="Arial" w:cs="Arial"/>
          <w:color w:val="000000" w:themeColor="text1"/>
          <w:sz w:val="24"/>
          <w:szCs w:val="24"/>
          <w:lang w:val="en-US" w:eastAsia="en-US"/>
        </w:rPr>
        <w:t>Du, J. and Chen, Z., 2018</w:t>
      </w:r>
      <w:bookmarkEnd w:id="21"/>
      <w:r>
        <w:rPr>
          <w:rFonts w:ascii="Arial" w:hAnsi="Arial" w:cs="Arial"/>
          <w:color w:val="000000" w:themeColor="text1"/>
          <w:sz w:val="24"/>
          <w:szCs w:val="24"/>
          <w:lang w:val="en-US" w:eastAsia="en-US"/>
        </w:rPr>
        <w:t xml:space="preserve">. Applying Organizational Ambidexterity in strategic management under a “VUCA” environment: Evidence from high tech companies in China. </w:t>
      </w:r>
      <w:r>
        <w:rPr>
          <w:rFonts w:ascii="Arial" w:hAnsi="Arial" w:cs="Arial"/>
          <w:i/>
          <w:iCs/>
          <w:color w:val="000000" w:themeColor="text1"/>
          <w:sz w:val="24"/>
          <w:szCs w:val="24"/>
          <w:lang w:val="en-US" w:eastAsia="en-US"/>
        </w:rPr>
        <w:t>International Journal of Innovation Studies</w:t>
      </w:r>
      <w:r>
        <w:rPr>
          <w:rFonts w:ascii="Arial" w:hAnsi="Arial" w:cs="Arial"/>
          <w:color w:val="000000" w:themeColor="text1"/>
          <w:sz w:val="24"/>
          <w:szCs w:val="24"/>
          <w:lang w:val="en-US" w:eastAsia="en-US"/>
        </w:rPr>
        <w:t xml:space="preserve">, </w:t>
      </w:r>
      <w:r>
        <w:rPr>
          <w:rFonts w:ascii="Arial" w:hAnsi="Arial" w:cs="Arial"/>
          <w:i/>
          <w:iCs/>
          <w:color w:val="000000" w:themeColor="text1"/>
          <w:sz w:val="24"/>
          <w:szCs w:val="24"/>
          <w:lang w:val="en-US" w:eastAsia="en-US"/>
        </w:rPr>
        <w:t>2</w:t>
      </w:r>
      <w:r>
        <w:rPr>
          <w:rFonts w:ascii="Arial" w:hAnsi="Arial" w:cs="Arial"/>
          <w:color w:val="000000" w:themeColor="text1"/>
          <w:sz w:val="24"/>
          <w:szCs w:val="24"/>
          <w:lang w:val="en-US" w:eastAsia="en-US"/>
        </w:rPr>
        <w:t>(1), pp.42-52.</w:t>
      </w:r>
    </w:p>
    <w:p>
      <w:pPr>
        <w:pStyle w:val="11"/>
        <w:numPr>
          <w:ilvl w:val="0"/>
          <w:numId w:val="3"/>
        </w:numPr>
        <w:spacing w:after="200" w:line="480" w:lineRule="auto"/>
        <w:jc w:val="both"/>
        <w:rPr>
          <w:rFonts w:ascii="Arial" w:hAnsi="Arial" w:cs="Arial"/>
          <w:color w:val="000000" w:themeColor="text1"/>
          <w:sz w:val="24"/>
          <w:szCs w:val="24"/>
          <w:lang w:val="en-US" w:eastAsia="en-US"/>
        </w:rPr>
      </w:pPr>
      <w:bookmarkStart w:id="22" w:name="_Hlk32325482"/>
      <w:r>
        <w:rPr>
          <w:rFonts w:ascii="Arial" w:hAnsi="Arial" w:cs="Arial"/>
          <w:color w:val="000000" w:themeColor="text1"/>
          <w:sz w:val="24"/>
          <w:szCs w:val="24"/>
          <w:lang w:val="en-US" w:eastAsia="en-US"/>
        </w:rPr>
        <w:t>Elkington, R., Van der Steege, M., Glick-Smith, J. and Breen, J.M. eds., 2017</w:t>
      </w:r>
      <w:bookmarkEnd w:id="22"/>
      <w:r>
        <w:rPr>
          <w:rFonts w:ascii="Arial" w:hAnsi="Arial" w:cs="Arial"/>
          <w:color w:val="000000" w:themeColor="text1"/>
          <w:sz w:val="24"/>
          <w:szCs w:val="24"/>
          <w:lang w:val="en-US" w:eastAsia="en-US"/>
        </w:rPr>
        <w:t xml:space="preserve">. </w:t>
      </w:r>
      <w:r>
        <w:rPr>
          <w:rFonts w:ascii="Arial" w:hAnsi="Arial" w:cs="Arial"/>
          <w:i/>
          <w:iCs/>
          <w:color w:val="000000" w:themeColor="text1"/>
          <w:sz w:val="24"/>
          <w:szCs w:val="24"/>
          <w:lang w:val="en-US" w:eastAsia="en-US"/>
        </w:rPr>
        <w:t>Visionary leadership in a turbulent world: Thriving in the new VUCA context</w:t>
      </w:r>
      <w:r>
        <w:rPr>
          <w:rFonts w:ascii="Arial" w:hAnsi="Arial" w:cs="Arial"/>
          <w:color w:val="000000" w:themeColor="text1"/>
          <w:sz w:val="24"/>
          <w:szCs w:val="24"/>
          <w:lang w:val="en-US" w:eastAsia="en-US"/>
        </w:rPr>
        <w:t>. Emerald Group Publishing.</w:t>
      </w:r>
    </w:p>
    <w:p>
      <w:pPr>
        <w:pStyle w:val="11"/>
        <w:numPr>
          <w:ilvl w:val="0"/>
          <w:numId w:val="3"/>
        </w:numPr>
        <w:spacing w:after="200" w:line="480" w:lineRule="auto"/>
        <w:jc w:val="both"/>
        <w:rPr>
          <w:rFonts w:ascii="Arial" w:hAnsi="Arial" w:cs="Arial"/>
          <w:color w:val="000000" w:themeColor="text1"/>
          <w:sz w:val="24"/>
          <w:szCs w:val="24"/>
          <w:lang w:val="en-US" w:eastAsia="en-US"/>
        </w:rPr>
      </w:pPr>
      <w:bookmarkStart w:id="23" w:name="_Hlk32925335"/>
      <w:r>
        <w:rPr>
          <w:rFonts w:ascii="Arial" w:hAnsi="Arial" w:cs="Arial"/>
          <w:color w:val="000000" w:themeColor="text1"/>
          <w:sz w:val="24"/>
          <w:szCs w:val="24"/>
          <w:lang w:val="en-US" w:eastAsia="en-US"/>
        </w:rPr>
        <w:t>Elkington, R., van der Steege, M., Glick-Smith, J. and Moss Breen, J., 2017</w:t>
      </w:r>
      <w:bookmarkEnd w:id="23"/>
      <w:r>
        <w:rPr>
          <w:rFonts w:ascii="Arial" w:hAnsi="Arial" w:cs="Arial"/>
          <w:color w:val="000000" w:themeColor="text1"/>
          <w:sz w:val="24"/>
          <w:szCs w:val="24"/>
          <w:lang w:val="en-US" w:eastAsia="en-US"/>
        </w:rPr>
        <w:t xml:space="preserve">. </w:t>
      </w:r>
      <w:r>
        <w:rPr>
          <w:rFonts w:ascii="Arial" w:hAnsi="Arial" w:cs="Arial"/>
          <w:i/>
          <w:iCs/>
          <w:color w:val="000000" w:themeColor="text1"/>
          <w:sz w:val="24"/>
          <w:szCs w:val="24"/>
          <w:lang w:val="en-US" w:eastAsia="en-US"/>
        </w:rPr>
        <w:t>Visionary leadership in a turbulent world</w:t>
      </w:r>
      <w:r>
        <w:rPr>
          <w:rFonts w:ascii="Arial" w:hAnsi="Arial" w:cs="Arial"/>
          <w:color w:val="000000" w:themeColor="text1"/>
          <w:sz w:val="24"/>
          <w:szCs w:val="24"/>
          <w:lang w:val="en-US" w:eastAsia="en-US"/>
        </w:rPr>
        <w:t>. Emerald Publishing Limited.</w:t>
      </w:r>
    </w:p>
    <w:p>
      <w:pPr>
        <w:numPr>
          <w:ilvl w:val="0"/>
          <w:numId w:val="3"/>
        </w:numPr>
        <w:spacing w:after="0" w:line="480" w:lineRule="auto"/>
        <w:jc w:val="both"/>
        <w:rPr>
          <w:rFonts w:ascii="Arial" w:hAnsi="Arial" w:eastAsia="Times New Roman" w:cs="Arial"/>
          <w:color w:val="000000" w:themeColor="text1"/>
          <w:sz w:val="24"/>
          <w:szCs w:val="24"/>
          <w:lang w:val="en-US"/>
        </w:rPr>
      </w:pPr>
      <w:r>
        <w:rPr>
          <w:rFonts w:ascii="Arial" w:hAnsi="Arial" w:eastAsia="Times New Roman" w:cs="Arial"/>
          <w:color w:val="000000" w:themeColor="text1"/>
          <w:sz w:val="24"/>
          <w:szCs w:val="24"/>
          <w:lang w:val="en-US"/>
        </w:rPr>
        <w:t xml:space="preserve">Interaction Design Foundation. 2019. </w:t>
      </w:r>
      <w:r>
        <w:rPr>
          <w:rFonts w:ascii="Arial" w:hAnsi="Arial" w:eastAsia="Times New Roman" w:cs="Arial"/>
          <w:i/>
          <w:iCs/>
          <w:color w:val="000000" w:themeColor="text1"/>
          <w:sz w:val="24"/>
          <w:szCs w:val="24"/>
          <w:lang w:val="en-US"/>
        </w:rPr>
        <w:t>Design Thinking</w:t>
      </w:r>
      <w:r>
        <w:rPr>
          <w:rFonts w:ascii="Arial" w:hAnsi="Arial" w:eastAsia="Times New Roman" w:cs="Arial"/>
          <w:color w:val="000000" w:themeColor="text1"/>
          <w:sz w:val="24"/>
          <w:szCs w:val="24"/>
          <w:lang w:val="en-US"/>
        </w:rPr>
        <w:t>.</w:t>
      </w:r>
      <w:r>
        <w:rPr>
          <w:rFonts w:ascii="Arial" w:hAnsi="Arial" w:cs="Arial"/>
          <w:color w:val="000000" w:themeColor="text1"/>
          <w:sz w:val="24"/>
          <w:szCs w:val="24"/>
          <w:lang w:val="en-US"/>
        </w:rPr>
        <w:t xml:space="preserve"> [Online] Available at:</w:t>
      </w:r>
      <w:r>
        <w:rPr>
          <w:rFonts w:ascii="Arial" w:hAnsi="Arial" w:eastAsia="Times New Roman" w:cs="Arial"/>
          <w:color w:val="000000" w:themeColor="text1"/>
          <w:sz w:val="24"/>
          <w:szCs w:val="24"/>
          <w:lang w:val="en-US"/>
        </w:rPr>
        <w:t xml:space="preserve">  </w:t>
      </w:r>
      <w:r>
        <w:fldChar w:fldCharType="begin"/>
      </w:r>
      <w:r>
        <w:instrText xml:space="preserve"> HYPERLINK "https://www.interaction-design.org/literature/topics/design-thinking" </w:instrText>
      </w:r>
      <w:r>
        <w:fldChar w:fldCharType="separate"/>
      </w:r>
      <w:r>
        <w:rPr>
          <w:rStyle w:val="7"/>
          <w:rFonts w:ascii="Arial" w:hAnsi="Arial" w:eastAsia="Times New Roman" w:cs="Arial"/>
          <w:color w:val="000000" w:themeColor="text1"/>
          <w:sz w:val="24"/>
          <w:szCs w:val="24"/>
        </w:rPr>
        <w:t>https://</w:t>
      </w:r>
      <w:r>
        <w:rPr>
          <w:rStyle w:val="7"/>
          <w:rFonts w:ascii="Arial" w:hAnsi="Arial" w:eastAsia="Times New Roman" w:cs="Arial"/>
          <w:color w:val="000000" w:themeColor="text1"/>
          <w:sz w:val="24"/>
          <w:szCs w:val="24"/>
        </w:rPr>
        <w:fldChar w:fldCharType="end"/>
      </w:r>
      <w:r>
        <w:fldChar w:fldCharType="begin"/>
      </w:r>
      <w:r>
        <w:instrText xml:space="preserve"> HYPERLINK "https://www.interaction-design.org/literature/topics/design-thinking" </w:instrText>
      </w:r>
      <w:r>
        <w:fldChar w:fldCharType="separate"/>
      </w:r>
      <w:r>
        <w:rPr>
          <w:rStyle w:val="7"/>
          <w:rFonts w:ascii="Arial" w:hAnsi="Arial" w:eastAsia="Times New Roman" w:cs="Arial"/>
          <w:color w:val="000000" w:themeColor="text1"/>
          <w:sz w:val="24"/>
          <w:szCs w:val="24"/>
        </w:rPr>
        <w:t>www.interaction-design.org/literature/topics/design-thinking</w:t>
      </w:r>
      <w:r>
        <w:rPr>
          <w:rStyle w:val="7"/>
          <w:rFonts w:ascii="Arial" w:hAnsi="Arial" w:eastAsia="Times New Roman" w:cs="Arial"/>
          <w:color w:val="000000" w:themeColor="text1"/>
          <w:sz w:val="24"/>
          <w:szCs w:val="24"/>
        </w:rPr>
        <w:fldChar w:fldCharType="end"/>
      </w:r>
      <w:r>
        <w:rPr>
          <w:rFonts w:ascii="Arial" w:hAnsi="Arial" w:eastAsia="Times New Roman" w:cs="Arial"/>
          <w:color w:val="000000" w:themeColor="text1"/>
          <w:sz w:val="24"/>
          <w:szCs w:val="24"/>
        </w:rPr>
        <w:t xml:space="preserve">  (Accessed on: 11</w:t>
      </w:r>
      <w:r>
        <w:rPr>
          <w:rFonts w:ascii="Arial" w:hAnsi="Arial" w:eastAsia="Times New Roman" w:cs="Arial"/>
          <w:color w:val="000000" w:themeColor="text1"/>
          <w:sz w:val="24"/>
          <w:szCs w:val="24"/>
          <w:vertAlign w:val="superscript"/>
        </w:rPr>
        <w:t>th</w:t>
      </w:r>
      <w:r>
        <w:rPr>
          <w:rFonts w:ascii="Arial" w:hAnsi="Arial" w:eastAsia="Times New Roman" w:cs="Arial"/>
          <w:color w:val="000000" w:themeColor="text1"/>
          <w:sz w:val="24"/>
          <w:szCs w:val="24"/>
        </w:rPr>
        <w:t xml:space="preserve"> February 2020).</w:t>
      </w:r>
    </w:p>
    <w:p>
      <w:pPr>
        <w:pStyle w:val="11"/>
        <w:numPr>
          <w:ilvl w:val="0"/>
          <w:numId w:val="3"/>
        </w:numPr>
        <w:spacing w:after="200" w:line="480" w:lineRule="auto"/>
        <w:jc w:val="both"/>
        <w:rPr>
          <w:rFonts w:ascii="Arial" w:hAnsi="Arial" w:cs="Arial"/>
          <w:color w:val="000000" w:themeColor="text1"/>
          <w:sz w:val="24"/>
          <w:szCs w:val="24"/>
          <w:lang w:val="en-US" w:eastAsia="en-US"/>
        </w:rPr>
      </w:pPr>
      <w:bookmarkStart w:id="24" w:name="_Hlk32325168"/>
      <w:r>
        <w:rPr>
          <w:rFonts w:ascii="Arial" w:hAnsi="Arial" w:cs="Arial"/>
          <w:color w:val="000000" w:themeColor="text1"/>
          <w:sz w:val="24"/>
          <w:szCs w:val="24"/>
          <w:lang w:val="en-US" w:eastAsia="en-US"/>
        </w:rPr>
        <w:t>Joshi, M., 2017</w:t>
      </w:r>
      <w:bookmarkEnd w:id="24"/>
      <w:r>
        <w:rPr>
          <w:rFonts w:ascii="Arial" w:hAnsi="Arial" w:cs="Arial"/>
          <w:color w:val="000000" w:themeColor="text1"/>
          <w:sz w:val="24"/>
          <w:szCs w:val="24"/>
          <w:lang w:val="en-US" w:eastAsia="en-US"/>
        </w:rPr>
        <w:t xml:space="preserve">. Invention, innovation and innovative practices: A reason to study in a VUCA perspective. </w:t>
      </w:r>
      <w:r>
        <w:rPr>
          <w:rFonts w:ascii="Arial" w:hAnsi="Arial" w:cs="Arial"/>
          <w:i/>
          <w:iCs/>
          <w:color w:val="000000" w:themeColor="text1"/>
          <w:sz w:val="24"/>
          <w:szCs w:val="24"/>
          <w:lang w:val="en-US" w:eastAsia="en-US"/>
        </w:rPr>
        <w:t>Journal of Entrepreneurship, Business and Economics, ISSN</w:t>
      </w:r>
      <w:r>
        <w:rPr>
          <w:rFonts w:ascii="Arial" w:hAnsi="Arial" w:cs="Arial"/>
          <w:color w:val="000000" w:themeColor="text1"/>
          <w:sz w:val="24"/>
          <w:szCs w:val="24"/>
          <w:lang w:val="en-US" w:eastAsia="en-US"/>
        </w:rPr>
        <w:t>, pp.2345-4695.</w:t>
      </w:r>
    </w:p>
    <w:p>
      <w:pPr>
        <w:numPr>
          <w:ilvl w:val="0"/>
          <w:numId w:val="3"/>
        </w:numPr>
        <w:spacing w:after="0" w:line="480" w:lineRule="auto"/>
        <w:jc w:val="both"/>
        <w:rPr>
          <w:rFonts w:ascii="Arial" w:hAnsi="Arial" w:eastAsia="Times New Roman" w:cs="Arial"/>
          <w:color w:val="000000" w:themeColor="text1"/>
          <w:sz w:val="24"/>
          <w:szCs w:val="24"/>
          <w:lang w:val="en-US"/>
        </w:rPr>
      </w:pPr>
      <w:r>
        <w:rPr>
          <w:rFonts w:ascii="Arial" w:hAnsi="Arial" w:eastAsia="Times New Roman" w:cs="Arial"/>
          <w:color w:val="000000" w:themeColor="text1"/>
          <w:sz w:val="24"/>
          <w:szCs w:val="24"/>
          <w:lang w:val="en-US"/>
        </w:rPr>
        <w:t xml:space="preserve">Kovacs, L. C. and Corrie, S. 2017. Executive coaching in an era of complexity. Study 1. Does executive coaching work and if so how? A realistic evaluation. </w:t>
      </w:r>
      <w:r>
        <w:rPr>
          <w:rFonts w:ascii="Arial" w:hAnsi="Arial" w:eastAsia="Times New Roman" w:cs="Arial"/>
          <w:i/>
          <w:iCs/>
          <w:color w:val="000000" w:themeColor="text1"/>
          <w:sz w:val="24"/>
          <w:szCs w:val="24"/>
        </w:rPr>
        <w:t>International Coaching Psychology Review.</w:t>
      </w:r>
      <w:r>
        <w:rPr>
          <w:rFonts w:ascii="Arial" w:hAnsi="Arial" w:eastAsia="Times New Roman" w:cs="Arial"/>
          <w:color w:val="000000" w:themeColor="text1"/>
          <w:sz w:val="24"/>
          <w:szCs w:val="24"/>
          <w:lang w:val="en-US"/>
        </w:rPr>
        <w:t xml:space="preserve"> 12(2), pp. 74-89.</w:t>
      </w:r>
    </w:p>
    <w:p>
      <w:pPr>
        <w:pStyle w:val="11"/>
        <w:numPr>
          <w:ilvl w:val="0"/>
          <w:numId w:val="3"/>
        </w:numPr>
        <w:spacing w:after="200" w:line="480" w:lineRule="auto"/>
        <w:jc w:val="both"/>
        <w:rPr>
          <w:rFonts w:ascii="Arial" w:hAnsi="Arial" w:cs="Arial"/>
          <w:color w:val="000000" w:themeColor="text1"/>
          <w:sz w:val="24"/>
          <w:szCs w:val="24"/>
          <w:lang w:val="en-US" w:eastAsia="en-US"/>
        </w:rPr>
      </w:pPr>
      <w:bookmarkStart w:id="25" w:name="_Hlk32325190"/>
      <w:r>
        <w:rPr>
          <w:rFonts w:ascii="Arial" w:hAnsi="Arial" w:cs="Arial"/>
          <w:color w:val="000000" w:themeColor="text1"/>
          <w:sz w:val="24"/>
          <w:szCs w:val="24"/>
          <w:lang w:val="en-US" w:eastAsia="en-US"/>
        </w:rPr>
        <w:t>Mahlomotja, R.G., 2019</w:t>
      </w:r>
      <w:bookmarkEnd w:id="25"/>
      <w:r>
        <w:rPr>
          <w:rFonts w:ascii="Arial" w:hAnsi="Arial" w:cs="Arial"/>
          <w:color w:val="000000" w:themeColor="text1"/>
          <w:sz w:val="24"/>
          <w:szCs w:val="24"/>
          <w:lang w:val="en-US" w:eastAsia="en-US"/>
        </w:rPr>
        <w:t xml:space="preserve">. </w:t>
      </w:r>
      <w:r>
        <w:rPr>
          <w:rFonts w:ascii="Arial" w:hAnsi="Arial" w:cs="Arial"/>
          <w:i/>
          <w:iCs/>
          <w:color w:val="000000" w:themeColor="text1"/>
          <w:sz w:val="24"/>
          <w:szCs w:val="24"/>
          <w:lang w:val="en-US" w:eastAsia="en-US"/>
        </w:rPr>
        <w:t>Leadership dynamics in a VUCA business world</w:t>
      </w:r>
      <w:r>
        <w:rPr>
          <w:rFonts w:ascii="Arial" w:hAnsi="Arial" w:cs="Arial"/>
          <w:color w:val="000000" w:themeColor="text1"/>
          <w:sz w:val="24"/>
          <w:szCs w:val="24"/>
          <w:lang w:val="en-US" w:eastAsia="en-US"/>
        </w:rPr>
        <w:t xml:space="preserve"> (Doctoral dissertation, University of Pretoria).</w:t>
      </w:r>
    </w:p>
    <w:p>
      <w:pPr>
        <w:numPr>
          <w:ilvl w:val="0"/>
          <w:numId w:val="3"/>
        </w:numPr>
        <w:spacing w:after="0" w:line="480" w:lineRule="auto"/>
        <w:jc w:val="both"/>
        <w:rPr>
          <w:rFonts w:ascii="Arial" w:hAnsi="Arial" w:eastAsia="Times New Roman" w:cs="Arial"/>
          <w:color w:val="000000" w:themeColor="text1"/>
          <w:sz w:val="24"/>
          <w:szCs w:val="24"/>
          <w:lang w:val="en-US"/>
        </w:rPr>
      </w:pPr>
      <w:r>
        <w:rPr>
          <w:rFonts w:ascii="Arial" w:hAnsi="Arial" w:eastAsia="Times New Roman" w:cs="Arial"/>
          <w:color w:val="000000" w:themeColor="text1"/>
          <w:sz w:val="24"/>
          <w:szCs w:val="24"/>
          <w:lang w:val="en-US"/>
        </w:rPr>
        <w:t xml:space="preserve">McDaniel, R. R. 2007. Management Strategies for Complex Adaptive Systems. </w:t>
      </w:r>
      <w:r>
        <w:rPr>
          <w:rFonts w:ascii="Arial" w:hAnsi="Arial" w:eastAsia="Times New Roman" w:cs="Arial"/>
          <w:i/>
          <w:iCs/>
          <w:color w:val="000000" w:themeColor="text1"/>
          <w:sz w:val="24"/>
          <w:szCs w:val="24"/>
          <w:lang w:val="en-US"/>
        </w:rPr>
        <w:t xml:space="preserve">Performance Improvement Quarterly, </w:t>
      </w:r>
      <w:r>
        <w:rPr>
          <w:rFonts w:ascii="Arial" w:hAnsi="Arial" w:eastAsia="Times New Roman" w:cs="Arial"/>
          <w:color w:val="000000" w:themeColor="text1"/>
          <w:sz w:val="24"/>
          <w:szCs w:val="24"/>
          <w:lang w:val="en-US"/>
        </w:rPr>
        <w:t>20(2), pp. 21-42.</w:t>
      </w:r>
    </w:p>
    <w:p>
      <w:pPr>
        <w:pStyle w:val="11"/>
        <w:numPr>
          <w:ilvl w:val="0"/>
          <w:numId w:val="3"/>
        </w:numPr>
        <w:spacing w:line="480" w:lineRule="auto"/>
        <w:jc w:val="both"/>
        <w:rPr>
          <w:rFonts w:ascii="Arial" w:hAnsi="Arial" w:cs="Arial"/>
          <w:color w:val="000000" w:themeColor="text1"/>
          <w:sz w:val="24"/>
          <w:szCs w:val="24"/>
          <w:lang w:val="en-US"/>
        </w:rPr>
      </w:pPr>
      <w:r>
        <w:rPr>
          <w:rFonts w:ascii="Arial" w:hAnsi="Arial" w:cs="Arial"/>
          <w:color w:val="000000" w:themeColor="text1"/>
          <w:sz w:val="24"/>
          <w:szCs w:val="24"/>
          <w:lang w:val="en-US"/>
        </w:rPr>
        <w:t>Mikkelsen, M.F., 2016. How to Cope with Complexity?-a Review of Project Complexity Literature Using the Cynefin Framework as Theoretical Lens.</w:t>
      </w:r>
    </w:p>
    <w:p>
      <w:pPr>
        <w:pStyle w:val="11"/>
        <w:numPr>
          <w:ilvl w:val="0"/>
          <w:numId w:val="3"/>
        </w:numPr>
        <w:spacing w:after="200" w:line="480" w:lineRule="auto"/>
        <w:jc w:val="both"/>
        <w:rPr>
          <w:rFonts w:ascii="Arial" w:hAnsi="Arial" w:cs="Arial"/>
          <w:color w:val="000000" w:themeColor="text1"/>
          <w:sz w:val="24"/>
          <w:szCs w:val="24"/>
          <w:lang w:val="en-US" w:eastAsia="en-US"/>
        </w:rPr>
      </w:pPr>
      <w:bookmarkStart w:id="26" w:name="_Hlk32325141"/>
      <w:r>
        <w:rPr>
          <w:rFonts w:ascii="Arial" w:hAnsi="Arial" w:cs="Arial"/>
          <w:color w:val="000000" w:themeColor="text1"/>
          <w:sz w:val="24"/>
          <w:szCs w:val="24"/>
          <w:lang w:val="en-US" w:eastAsia="en-US"/>
        </w:rPr>
        <w:t>Millar, C.C., Groth, O. and Mahon, J.F., 2018</w:t>
      </w:r>
      <w:bookmarkEnd w:id="26"/>
      <w:r>
        <w:rPr>
          <w:rFonts w:ascii="Arial" w:hAnsi="Arial" w:cs="Arial"/>
          <w:color w:val="000000" w:themeColor="text1"/>
          <w:sz w:val="24"/>
          <w:szCs w:val="24"/>
          <w:lang w:val="en-US" w:eastAsia="en-US"/>
        </w:rPr>
        <w:t xml:space="preserve">. Management innovation in a VUCA world: Challenges and recommendations. </w:t>
      </w:r>
      <w:r>
        <w:rPr>
          <w:rFonts w:ascii="Arial" w:hAnsi="Arial" w:cs="Arial"/>
          <w:i/>
          <w:iCs/>
          <w:color w:val="000000" w:themeColor="text1"/>
          <w:sz w:val="24"/>
          <w:szCs w:val="24"/>
          <w:lang w:val="en-US" w:eastAsia="en-US"/>
        </w:rPr>
        <w:t>California Management Review</w:t>
      </w:r>
      <w:r>
        <w:rPr>
          <w:rFonts w:ascii="Arial" w:hAnsi="Arial" w:cs="Arial"/>
          <w:color w:val="000000" w:themeColor="text1"/>
          <w:sz w:val="24"/>
          <w:szCs w:val="24"/>
          <w:lang w:val="en-US" w:eastAsia="en-US"/>
        </w:rPr>
        <w:t xml:space="preserve">, </w:t>
      </w:r>
      <w:r>
        <w:rPr>
          <w:rFonts w:ascii="Arial" w:hAnsi="Arial" w:cs="Arial"/>
          <w:i/>
          <w:iCs/>
          <w:color w:val="000000" w:themeColor="text1"/>
          <w:sz w:val="24"/>
          <w:szCs w:val="24"/>
          <w:lang w:val="en-US" w:eastAsia="en-US"/>
        </w:rPr>
        <w:t>61</w:t>
      </w:r>
      <w:r>
        <w:rPr>
          <w:rFonts w:ascii="Arial" w:hAnsi="Arial" w:cs="Arial"/>
          <w:color w:val="000000" w:themeColor="text1"/>
          <w:sz w:val="24"/>
          <w:szCs w:val="24"/>
          <w:lang w:val="en-US" w:eastAsia="en-US"/>
        </w:rPr>
        <w:t>(1), pp.5-14.</w:t>
      </w:r>
    </w:p>
    <w:p>
      <w:pPr>
        <w:pStyle w:val="11"/>
        <w:numPr>
          <w:ilvl w:val="0"/>
          <w:numId w:val="3"/>
        </w:numPr>
        <w:spacing w:after="200" w:line="480" w:lineRule="auto"/>
        <w:jc w:val="both"/>
        <w:rPr>
          <w:rFonts w:ascii="Arial" w:hAnsi="Arial" w:cs="Arial"/>
          <w:color w:val="000000" w:themeColor="text1"/>
          <w:sz w:val="24"/>
          <w:szCs w:val="24"/>
          <w:lang w:val="en-US" w:eastAsia="en-US"/>
        </w:rPr>
      </w:pPr>
      <w:bookmarkStart w:id="27" w:name="_Hlk32925181"/>
      <w:r>
        <w:rPr>
          <w:rFonts w:ascii="Arial" w:hAnsi="Arial" w:cs="Arial"/>
          <w:color w:val="000000" w:themeColor="text1"/>
          <w:sz w:val="24"/>
          <w:szCs w:val="24"/>
          <w:lang w:val="en-US" w:eastAsia="en-US"/>
        </w:rPr>
        <w:t xml:space="preserve">Nandram, S.S. and Bindlish, P.K., 2017. </w:t>
      </w:r>
      <w:bookmarkEnd w:id="27"/>
      <w:r>
        <w:rPr>
          <w:rFonts w:ascii="Arial" w:hAnsi="Arial" w:cs="Arial"/>
          <w:i/>
          <w:iCs/>
          <w:color w:val="000000" w:themeColor="text1"/>
          <w:sz w:val="24"/>
          <w:szCs w:val="24"/>
          <w:lang w:val="en-US" w:eastAsia="en-US"/>
        </w:rPr>
        <w:t>Managing VUCA through integrative self-management</w:t>
      </w:r>
      <w:r>
        <w:rPr>
          <w:rFonts w:ascii="Arial" w:hAnsi="Arial" w:cs="Arial"/>
          <w:color w:val="000000" w:themeColor="text1"/>
          <w:sz w:val="24"/>
          <w:szCs w:val="24"/>
          <w:lang w:val="en-US" w:eastAsia="en-US"/>
        </w:rPr>
        <w:t>. Berlin: Springer.</w:t>
      </w:r>
    </w:p>
    <w:p>
      <w:pPr>
        <w:pStyle w:val="11"/>
        <w:numPr>
          <w:ilvl w:val="0"/>
          <w:numId w:val="3"/>
        </w:numPr>
        <w:spacing w:after="200" w:line="480" w:lineRule="auto"/>
        <w:jc w:val="both"/>
        <w:rPr>
          <w:rFonts w:ascii="Arial" w:hAnsi="Arial" w:cs="Arial"/>
          <w:color w:val="000000" w:themeColor="text1"/>
          <w:sz w:val="24"/>
          <w:szCs w:val="24"/>
          <w:lang w:val="en-US"/>
        </w:rPr>
      </w:pPr>
      <w:bookmarkStart w:id="28" w:name="_Hlk32925304"/>
      <w:r>
        <w:rPr>
          <w:rFonts w:ascii="Arial" w:hAnsi="Arial" w:cs="Arial"/>
          <w:color w:val="000000" w:themeColor="text1"/>
          <w:sz w:val="24"/>
          <w:szCs w:val="24"/>
          <w:lang w:val="en-US" w:eastAsia="en-US"/>
        </w:rPr>
        <w:t>Ngwenya, N., 201</w:t>
      </w:r>
      <w:bookmarkEnd w:id="28"/>
      <w:r>
        <w:rPr>
          <w:rFonts w:ascii="Arial" w:hAnsi="Arial" w:cs="Arial"/>
          <w:color w:val="000000" w:themeColor="text1"/>
          <w:sz w:val="24"/>
          <w:szCs w:val="24"/>
          <w:lang w:val="en-US" w:eastAsia="en-US"/>
        </w:rPr>
        <w:t xml:space="preserve">7. </w:t>
      </w:r>
      <w:r>
        <w:rPr>
          <w:rFonts w:ascii="Arial" w:hAnsi="Arial" w:cs="Arial"/>
          <w:i/>
          <w:iCs/>
          <w:color w:val="000000" w:themeColor="text1"/>
          <w:sz w:val="24"/>
          <w:szCs w:val="24"/>
          <w:lang w:val="en-US" w:eastAsia="en-US"/>
        </w:rPr>
        <w:t>What are the challenges faced by departments within a South African Asset Management company when creating product or service differential advantages in a VUCA world?</w:t>
      </w:r>
      <w:r>
        <w:rPr>
          <w:rFonts w:ascii="Arial" w:hAnsi="Arial" w:cs="Arial"/>
          <w:color w:val="000000" w:themeColor="text1"/>
          <w:sz w:val="24"/>
          <w:szCs w:val="24"/>
          <w:lang w:val="en-US" w:eastAsia="en-US"/>
        </w:rPr>
        <w:t xml:space="preserve"> (Doctoral dissertation, University of Cape Town).</w:t>
      </w:r>
    </w:p>
    <w:p>
      <w:pPr>
        <w:pStyle w:val="11"/>
        <w:numPr>
          <w:ilvl w:val="0"/>
          <w:numId w:val="3"/>
        </w:numPr>
        <w:spacing w:after="200" w:line="480" w:lineRule="auto"/>
        <w:jc w:val="both"/>
        <w:rPr>
          <w:rFonts w:ascii="Arial" w:hAnsi="Arial" w:cs="Arial"/>
          <w:color w:val="000000" w:themeColor="text1"/>
          <w:sz w:val="24"/>
          <w:szCs w:val="24"/>
          <w:lang w:val="en-US" w:eastAsia="en-US"/>
        </w:rPr>
      </w:pPr>
      <w:bookmarkStart w:id="29" w:name="_Hlk32924984"/>
      <w:r>
        <w:rPr>
          <w:rFonts w:ascii="Arial" w:hAnsi="Arial" w:cs="Arial"/>
          <w:color w:val="000000" w:themeColor="text1"/>
          <w:sz w:val="24"/>
          <w:szCs w:val="24"/>
          <w:lang w:val="en-US" w:eastAsia="en-US"/>
        </w:rPr>
        <w:t>Northouse, P.G., 2018</w:t>
      </w:r>
      <w:bookmarkEnd w:id="29"/>
      <w:r>
        <w:rPr>
          <w:rFonts w:ascii="Arial" w:hAnsi="Arial" w:cs="Arial"/>
          <w:color w:val="000000" w:themeColor="text1"/>
          <w:sz w:val="24"/>
          <w:szCs w:val="24"/>
          <w:lang w:val="en-US" w:eastAsia="en-US"/>
        </w:rPr>
        <w:t xml:space="preserve">. </w:t>
      </w:r>
      <w:r>
        <w:rPr>
          <w:rFonts w:ascii="Arial" w:hAnsi="Arial" w:cs="Arial"/>
          <w:i/>
          <w:iCs/>
          <w:color w:val="000000" w:themeColor="text1"/>
          <w:sz w:val="24"/>
          <w:szCs w:val="24"/>
          <w:lang w:val="en-US" w:eastAsia="en-US"/>
        </w:rPr>
        <w:t>Leadership: Theory and practice</w:t>
      </w:r>
      <w:r>
        <w:rPr>
          <w:rFonts w:ascii="Arial" w:hAnsi="Arial" w:cs="Arial"/>
          <w:color w:val="000000" w:themeColor="text1"/>
          <w:sz w:val="24"/>
          <w:szCs w:val="24"/>
          <w:lang w:val="en-US" w:eastAsia="en-US"/>
        </w:rPr>
        <w:t>. Sage publications.</w:t>
      </w:r>
    </w:p>
    <w:p>
      <w:pPr>
        <w:pStyle w:val="11"/>
        <w:numPr>
          <w:ilvl w:val="0"/>
          <w:numId w:val="3"/>
        </w:numPr>
        <w:spacing w:after="200" w:line="480" w:lineRule="auto"/>
        <w:jc w:val="both"/>
        <w:rPr>
          <w:rFonts w:ascii="Arial" w:hAnsi="Arial" w:cs="Arial"/>
          <w:color w:val="000000" w:themeColor="text1"/>
          <w:sz w:val="24"/>
          <w:szCs w:val="24"/>
          <w:lang w:val="en-US" w:eastAsia="en-US"/>
        </w:rPr>
      </w:pPr>
      <w:bookmarkStart w:id="30" w:name="_Hlk32925019"/>
      <w:r>
        <w:rPr>
          <w:rFonts w:ascii="Arial" w:hAnsi="Arial" w:cs="Arial"/>
          <w:color w:val="000000" w:themeColor="text1"/>
          <w:sz w:val="24"/>
          <w:szCs w:val="24"/>
          <w:lang w:val="en-US" w:eastAsia="en-US"/>
        </w:rPr>
        <w:t>Paudel, S., 2019</w:t>
      </w:r>
      <w:bookmarkEnd w:id="30"/>
      <w:r>
        <w:rPr>
          <w:rFonts w:ascii="Arial" w:hAnsi="Arial" w:cs="Arial"/>
          <w:color w:val="000000" w:themeColor="text1"/>
          <w:sz w:val="24"/>
          <w:szCs w:val="24"/>
          <w:lang w:val="en-US" w:eastAsia="en-US"/>
        </w:rPr>
        <w:t xml:space="preserve">. Entrepreneurial leadership and business performance. </w:t>
      </w:r>
      <w:r>
        <w:rPr>
          <w:rFonts w:ascii="Arial" w:hAnsi="Arial" w:cs="Arial"/>
          <w:i/>
          <w:iCs/>
          <w:color w:val="000000" w:themeColor="text1"/>
          <w:sz w:val="24"/>
          <w:szCs w:val="24"/>
          <w:lang w:val="en-US" w:eastAsia="en-US"/>
        </w:rPr>
        <w:t>South Asian Journal of Business Studies</w:t>
      </w:r>
      <w:r>
        <w:rPr>
          <w:rFonts w:ascii="Arial" w:hAnsi="Arial" w:cs="Arial"/>
          <w:color w:val="000000" w:themeColor="text1"/>
          <w:sz w:val="24"/>
          <w:szCs w:val="24"/>
          <w:lang w:val="en-US" w:eastAsia="en-US"/>
        </w:rPr>
        <w:t>.</w:t>
      </w:r>
    </w:p>
    <w:p>
      <w:pPr>
        <w:pStyle w:val="11"/>
        <w:numPr>
          <w:ilvl w:val="0"/>
          <w:numId w:val="3"/>
        </w:numPr>
        <w:spacing w:after="200" w:line="480" w:lineRule="auto"/>
        <w:jc w:val="both"/>
        <w:rPr>
          <w:rFonts w:ascii="Arial" w:hAnsi="Arial" w:cs="Arial"/>
          <w:color w:val="000000" w:themeColor="text1"/>
          <w:sz w:val="24"/>
          <w:szCs w:val="24"/>
          <w:lang w:val="en-US" w:eastAsia="en-US"/>
        </w:rPr>
      </w:pPr>
      <w:bookmarkStart w:id="31" w:name="_Hlk32325041"/>
      <w:r>
        <w:rPr>
          <w:rFonts w:ascii="Arial" w:hAnsi="Arial" w:cs="Arial"/>
          <w:color w:val="000000" w:themeColor="text1"/>
          <w:sz w:val="24"/>
          <w:szCs w:val="24"/>
          <w:lang w:val="en-US" w:eastAsia="en-US"/>
        </w:rPr>
        <w:t>Pu, Y., 2017</w:t>
      </w:r>
      <w:bookmarkEnd w:id="31"/>
      <w:r>
        <w:rPr>
          <w:rFonts w:ascii="Arial" w:hAnsi="Arial" w:cs="Arial"/>
          <w:color w:val="000000" w:themeColor="text1"/>
          <w:sz w:val="24"/>
          <w:szCs w:val="24"/>
          <w:lang w:val="en-US" w:eastAsia="en-US"/>
        </w:rPr>
        <w:t>. Growth strategies for rail networks in a volatile, uncertain, complex and ambiguous (VUCA) environment.</w:t>
      </w:r>
    </w:p>
    <w:p>
      <w:pPr>
        <w:pStyle w:val="11"/>
        <w:numPr>
          <w:ilvl w:val="0"/>
          <w:numId w:val="3"/>
        </w:numPr>
        <w:spacing w:after="200" w:line="480" w:lineRule="auto"/>
        <w:jc w:val="both"/>
        <w:rPr>
          <w:rFonts w:ascii="Arial" w:hAnsi="Arial" w:cs="Arial"/>
          <w:color w:val="000000" w:themeColor="text1"/>
          <w:sz w:val="24"/>
          <w:szCs w:val="24"/>
          <w:lang w:val="en-US" w:eastAsia="en-US"/>
        </w:rPr>
      </w:pPr>
      <w:bookmarkStart w:id="32" w:name="_Hlk32925106"/>
      <w:r>
        <w:rPr>
          <w:rFonts w:ascii="Arial" w:hAnsi="Arial" w:cs="Arial"/>
          <w:color w:val="000000" w:themeColor="text1"/>
          <w:sz w:val="24"/>
          <w:szCs w:val="24"/>
          <w:lang w:val="en-US" w:eastAsia="en-US"/>
        </w:rPr>
        <w:t>Raghuramapatruni, R. and Kosuri, S., 2017</w:t>
      </w:r>
      <w:bookmarkEnd w:id="32"/>
      <w:r>
        <w:rPr>
          <w:rFonts w:ascii="Arial" w:hAnsi="Arial" w:cs="Arial"/>
          <w:color w:val="000000" w:themeColor="text1"/>
          <w:sz w:val="24"/>
          <w:szCs w:val="24"/>
          <w:lang w:val="en-US" w:eastAsia="en-US"/>
        </w:rPr>
        <w:t xml:space="preserve">. The straits of success in a VUCA world. </w:t>
      </w:r>
      <w:r>
        <w:rPr>
          <w:rFonts w:ascii="Arial" w:hAnsi="Arial" w:cs="Arial"/>
          <w:i/>
          <w:iCs/>
          <w:color w:val="000000" w:themeColor="text1"/>
          <w:sz w:val="24"/>
          <w:szCs w:val="24"/>
          <w:lang w:val="en-US" w:eastAsia="en-US"/>
        </w:rPr>
        <w:t>IOSR Journal of Business and Management</w:t>
      </w:r>
      <w:r>
        <w:rPr>
          <w:rFonts w:ascii="Arial" w:hAnsi="Arial" w:cs="Arial"/>
          <w:color w:val="000000" w:themeColor="text1"/>
          <w:sz w:val="24"/>
          <w:szCs w:val="24"/>
          <w:lang w:val="en-US" w:eastAsia="en-US"/>
        </w:rPr>
        <w:t xml:space="preserve">, </w:t>
      </w:r>
      <w:r>
        <w:rPr>
          <w:rFonts w:ascii="Arial" w:hAnsi="Arial" w:cs="Arial"/>
          <w:i/>
          <w:iCs/>
          <w:color w:val="000000" w:themeColor="text1"/>
          <w:sz w:val="24"/>
          <w:szCs w:val="24"/>
          <w:lang w:val="en-US" w:eastAsia="en-US"/>
        </w:rPr>
        <w:t>19</w:t>
      </w:r>
      <w:r>
        <w:rPr>
          <w:rFonts w:ascii="Arial" w:hAnsi="Arial" w:cs="Arial"/>
          <w:color w:val="000000" w:themeColor="text1"/>
          <w:sz w:val="24"/>
          <w:szCs w:val="24"/>
          <w:lang w:val="en-US" w:eastAsia="en-US"/>
        </w:rPr>
        <w:t>, pp.16-22.</w:t>
      </w:r>
    </w:p>
    <w:p>
      <w:pPr>
        <w:pStyle w:val="11"/>
        <w:numPr>
          <w:ilvl w:val="0"/>
          <w:numId w:val="3"/>
        </w:numPr>
        <w:spacing w:after="200" w:line="480" w:lineRule="auto"/>
        <w:jc w:val="both"/>
        <w:rPr>
          <w:rFonts w:ascii="Arial" w:hAnsi="Arial" w:cs="Arial"/>
          <w:color w:val="000000" w:themeColor="text1"/>
          <w:sz w:val="24"/>
          <w:szCs w:val="24"/>
          <w:lang w:val="en-US"/>
        </w:rPr>
      </w:pPr>
      <w:bookmarkStart w:id="33" w:name="_Hlk32325227"/>
      <w:r>
        <w:rPr>
          <w:rFonts w:ascii="Arial" w:hAnsi="Arial" w:cs="Arial"/>
          <w:color w:val="000000" w:themeColor="text1"/>
          <w:sz w:val="24"/>
          <w:szCs w:val="24"/>
          <w:lang w:val="en-US" w:eastAsia="en-US"/>
        </w:rPr>
        <w:t>Rimita, K., Hoon, S.N. and Levasseur, R., 2020</w:t>
      </w:r>
      <w:bookmarkEnd w:id="33"/>
      <w:r>
        <w:rPr>
          <w:rFonts w:ascii="Arial" w:hAnsi="Arial" w:cs="Arial"/>
          <w:color w:val="000000" w:themeColor="text1"/>
          <w:sz w:val="24"/>
          <w:szCs w:val="24"/>
          <w:lang w:val="en-US" w:eastAsia="en-US"/>
        </w:rPr>
        <w:t xml:space="preserve">. Leader Readiness in a Volatile, Uncertain, Complex, and Ambiguous Business Environment. </w:t>
      </w:r>
      <w:r>
        <w:rPr>
          <w:rFonts w:ascii="Arial" w:hAnsi="Arial" w:cs="Arial"/>
          <w:i/>
          <w:iCs/>
          <w:color w:val="000000" w:themeColor="text1"/>
          <w:sz w:val="24"/>
          <w:szCs w:val="24"/>
          <w:lang w:val="en-US" w:eastAsia="en-US"/>
        </w:rPr>
        <w:t>Journal of Social Change</w:t>
      </w:r>
      <w:r>
        <w:rPr>
          <w:rFonts w:ascii="Arial" w:hAnsi="Arial" w:cs="Arial"/>
          <w:color w:val="000000" w:themeColor="text1"/>
          <w:sz w:val="24"/>
          <w:szCs w:val="24"/>
          <w:lang w:val="en-US" w:eastAsia="en-US"/>
        </w:rPr>
        <w:t xml:space="preserve">, </w:t>
      </w:r>
      <w:r>
        <w:rPr>
          <w:rFonts w:ascii="Arial" w:hAnsi="Arial" w:cs="Arial"/>
          <w:i/>
          <w:iCs/>
          <w:color w:val="000000" w:themeColor="text1"/>
          <w:sz w:val="24"/>
          <w:szCs w:val="24"/>
          <w:lang w:val="en-US" w:eastAsia="en-US"/>
        </w:rPr>
        <w:t>12</w:t>
      </w:r>
      <w:r>
        <w:rPr>
          <w:rFonts w:ascii="Arial" w:hAnsi="Arial" w:cs="Arial"/>
          <w:color w:val="000000" w:themeColor="text1"/>
          <w:sz w:val="24"/>
          <w:szCs w:val="24"/>
          <w:lang w:val="en-US" w:eastAsia="en-US"/>
        </w:rPr>
        <w:t>(1), p.2.</w:t>
      </w:r>
    </w:p>
    <w:p>
      <w:pPr>
        <w:pStyle w:val="11"/>
        <w:numPr>
          <w:ilvl w:val="0"/>
          <w:numId w:val="3"/>
        </w:numPr>
        <w:spacing w:line="480" w:lineRule="auto"/>
        <w:jc w:val="both"/>
        <w:rPr>
          <w:rFonts w:ascii="Arial" w:hAnsi="Arial" w:cs="Arial"/>
          <w:color w:val="000000" w:themeColor="text1"/>
          <w:sz w:val="24"/>
          <w:szCs w:val="24"/>
          <w:lang w:val="en-US"/>
        </w:rPr>
      </w:pPr>
      <w:r>
        <w:rPr>
          <w:rFonts w:ascii="Arial" w:hAnsi="Arial" w:cs="Arial"/>
          <w:color w:val="000000" w:themeColor="text1"/>
          <w:sz w:val="24"/>
          <w:szCs w:val="24"/>
          <w:lang w:val="en-US"/>
        </w:rPr>
        <w:t xml:space="preserve">Rosenhead, J., Franco, L.A., Grint, K. and Friedland, B., 2019. Complexity theory and leadership practice: A review, a critique, and some recommendations. </w:t>
      </w:r>
      <w:r>
        <w:rPr>
          <w:rFonts w:ascii="Arial" w:hAnsi="Arial" w:cs="Arial"/>
          <w:i/>
          <w:iCs/>
          <w:color w:val="000000" w:themeColor="text1"/>
          <w:sz w:val="24"/>
          <w:szCs w:val="24"/>
          <w:lang w:val="en-US"/>
        </w:rPr>
        <w:t>The Leadership Quarterly</w:t>
      </w:r>
      <w:r>
        <w:rPr>
          <w:rFonts w:ascii="Arial" w:hAnsi="Arial" w:cs="Arial"/>
          <w:color w:val="000000" w:themeColor="text1"/>
          <w:sz w:val="24"/>
          <w:szCs w:val="24"/>
          <w:lang w:val="en-US"/>
        </w:rPr>
        <w:t xml:space="preserve">, </w:t>
      </w:r>
      <w:r>
        <w:rPr>
          <w:rFonts w:ascii="Arial" w:hAnsi="Arial" w:cs="Arial"/>
          <w:i/>
          <w:iCs/>
          <w:color w:val="000000" w:themeColor="text1"/>
          <w:sz w:val="24"/>
          <w:szCs w:val="24"/>
          <w:lang w:val="en-US"/>
        </w:rPr>
        <w:t>30</w:t>
      </w:r>
      <w:r>
        <w:rPr>
          <w:rFonts w:ascii="Arial" w:hAnsi="Arial" w:cs="Arial"/>
          <w:color w:val="000000" w:themeColor="text1"/>
          <w:sz w:val="24"/>
          <w:szCs w:val="24"/>
          <w:lang w:val="en-US"/>
        </w:rPr>
        <w:t>(5), p.101304.</w:t>
      </w:r>
    </w:p>
    <w:p>
      <w:pPr>
        <w:pStyle w:val="11"/>
        <w:numPr>
          <w:ilvl w:val="0"/>
          <w:numId w:val="3"/>
        </w:numPr>
        <w:spacing w:after="200" w:line="480" w:lineRule="auto"/>
        <w:jc w:val="both"/>
        <w:rPr>
          <w:rFonts w:ascii="Arial" w:hAnsi="Arial" w:cs="Arial"/>
          <w:color w:val="000000" w:themeColor="text1"/>
          <w:sz w:val="24"/>
          <w:szCs w:val="24"/>
          <w:lang w:val="en-US" w:eastAsia="en-US"/>
        </w:rPr>
      </w:pPr>
      <w:bookmarkStart w:id="34" w:name="_Hlk32325093"/>
      <w:r>
        <w:rPr>
          <w:rFonts w:ascii="Arial" w:hAnsi="Arial" w:cs="Arial"/>
          <w:color w:val="000000" w:themeColor="text1"/>
          <w:sz w:val="24"/>
          <w:szCs w:val="24"/>
          <w:lang w:val="en-US" w:eastAsia="en-US"/>
        </w:rPr>
        <w:t>Ruksana, S. and Ahmed, B., 2019</w:t>
      </w:r>
      <w:bookmarkEnd w:id="34"/>
      <w:r>
        <w:rPr>
          <w:rFonts w:ascii="Arial" w:hAnsi="Arial" w:cs="Arial"/>
          <w:color w:val="000000" w:themeColor="text1"/>
          <w:sz w:val="24"/>
          <w:szCs w:val="24"/>
          <w:lang w:val="en-US" w:eastAsia="en-US"/>
        </w:rPr>
        <w:t xml:space="preserve">. DEVELOPING LEADERS IN VUCA: A CASE STUDY. </w:t>
      </w:r>
      <w:r>
        <w:rPr>
          <w:rFonts w:ascii="Arial" w:hAnsi="Arial" w:cs="Arial"/>
          <w:i/>
          <w:iCs/>
          <w:color w:val="000000" w:themeColor="text1"/>
          <w:sz w:val="24"/>
          <w:szCs w:val="24"/>
          <w:lang w:val="en-US" w:eastAsia="en-US"/>
        </w:rPr>
        <w:t>Advance and Innovative Research</w:t>
      </w:r>
      <w:r>
        <w:rPr>
          <w:rFonts w:ascii="Arial" w:hAnsi="Arial" w:cs="Arial"/>
          <w:color w:val="000000" w:themeColor="text1"/>
          <w:sz w:val="24"/>
          <w:szCs w:val="24"/>
          <w:lang w:val="en-US" w:eastAsia="en-US"/>
        </w:rPr>
        <w:t>, p.16.</w:t>
      </w:r>
    </w:p>
    <w:p>
      <w:pPr>
        <w:pStyle w:val="11"/>
        <w:numPr>
          <w:ilvl w:val="0"/>
          <w:numId w:val="3"/>
        </w:numPr>
        <w:spacing w:after="200" w:line="480" w:lineRule="auto"/>
        <w:jc w:val="both"/>
        <w:rPr>
          <w:rFonts w:ascii="Arial" w:hAnsi="Arial" w:cs="Arial"/>
          <w:color w:val="000000" w:themeColor="text1"/>
          <w:sz w:val="24"/>
          <w:szCs w:val="24"/>
          <w:lang w:val="en-US" w:eastAsia="en-US"/>
        </w:rPr>
      </w:pPr>
      <w:bookmarkStart w:id="35" w:name="_Hlk32325025"/>
      <w:r>
        <w:rPr>
          <w:rFonts w:ascii="Arial" w:hAnsi="Arial" w:cs="Arial"/>
          <w:color w:val="000000" w:themeColor="text1"/>
          <w:sz w:val="24"/>
          <w:szCs w:val="24"/>
          <w:lang w:val="en-US" w:eastAsia="en-US"/>
        </w:rPr>
        <w:t>Saleh, A. and Watson, R., 2017</w:t>
      </w:r>
      <w:bookmarkEnd w:id="35"/>
      <w:r>
        <w:rPr>
          <w:rFonts w:ascii="Arial" w:hAnsi="Arial" w:cs="Arial"/>
          <w:color w:val="000000" w:themeColor="text1"/>
          <w:sz w:val="24"/>
          <w:szCs w:val="24"/>
          <w:lang w:val="en-US" w:eastAsia="en-US"/>
        </w:rPr>
        <w:t xml:space="preserve">. Business excellence in a volatile, uncertain, complex and ambiguous environment (BEVUCA). </w:t>
      </w:r>
      <w:r>
        <w:rPr>
          <w:rFonts w:ascii="Arial" w:hAnsi="Arial" w:cs="Arial"/>
          <w:i/>
          <w:iCs/>
          <w:color w:val="000000" w:themeColor="text1"/>
          <w:sz w:val="24"/>
          <w:szCs w:val="24"/>
          <w:lang w:val="en-US" w:eastAsia="en-US"/>
        </w:rPr>
        <w:t>The TQM Journal</w:t>
      </w:r>
      <w:r>
        <w:rPr>
          <w:rFonts w:ascii="Arial" w:hAnsi="Arial" w:cs="Arial"/>
          <w:color w:val="000000" w:themeColor="text1"/>
          <w:sz w:val="24"/>
          <w:szCs w:val="24"/>
          <w:lang w:val="en-US" w:eastAsia="en-US"/>
        </w:rPr>
        <w:t>.</w:t>
      </w:r>
    </w:p>
    <w:p>
      <w:pPr>
        <w:pStyle w:val="11"/>
        <w:numPr>
          <w:ilvl w:val="0"/>
          <w:numId w:val="3"/>
        </w:numPr>
        <w:spacing w:after="200" w:line="480" w:lineRule="auto"/>
        <w:jc w:val="both"/>
        <w:rPr>
          <w:rFonts w:ascii="Arial" w:hAnsi="Arial" w:cs="Arial"/>
          <w:color w:val="000000" w:themeColor="text1"/>
          <w:sz w:val="24"/>
          <w:szCs w:val="24"/>
          <w:lang w:val="en-US" w:eastAsia="en-US"/>
        </w:rPr>
      </w:pPr>
      <w:bookmarkStart w:id="36" w:name="_Hlk32325303"/>
      <w:r>
        <w:rPr>
          <w:rFonts w:ascii="Arial" w:hAnsi="Arial" w:cs="Arial"/>
          <w:color w:val="000000" w:themeColor="text1"/>
          <w:sz w:val="24"/>
          <w:szCs w:val="24"/>
          <w:lang w:val="en-US" w:eastAsia="en-US"/>
        </w:rPr>
        <w:t xml:space="preserve">Shalbafan, S., Leigh, E., Pollack, J. and Sankaran, S., 2018. </w:t>
      </w:r>
      <w:bookmarkEnd w:id="36"/>
      <w:r>
        <w:rPr>
          <w:rFonts w:ascii="Arial" w:hAnsi="Arial" w:cs="Arial"/>
          <w:color w:val="000000" w:themeColor="text1"/>
          <w:sz w:val="24"/>
          <w:szCs w:val="24"/>
          <w:lang w:val="en-US" w:eastAsia="en-US"/>
        </w:rPr>
        <w:t xml:space="preserve">Decision-making in project portfolio management: using the Cynefin framework to understand the impact of complexity. </w:t>
      </w:r>
      <w:r>
        <w:rPr>
          <w:rFonts w:ascii="Arial" w:hAnsi="Arial" w:cs="Arial"/>
          <w:i/>
          <w:iCs/>
          <w:color w:val="000000" w:themeColor="text1"/>
          <w:sz w:val="24"/>
          <w:szCs w:val="24"/>
          <w:lang w:val="en-US" w:eastAsia="en-US"/>
        </w:rPr>
        <w:t>International Research Network on Organizing by Projects</w:t>
      </w:r>
      <w:r>
        <w:rPr>
          <w:rFonts w:ascii="Arial" w:hAnsi="Arial" w:cs="Arial"/>
          <w:color w:val="000000" w:themeColor="text1"/>
          <w:sz w:val="24"/>
          <w:szCs w:val="24"/>
          <w:lang w:val="en-US" w:eastAsia="en-US"/>
        </w:rPr>
        <w:t>.</w:t>
      </w:r>
    </w:p>
    <w:p>
      <w:pPr>
        <w:pStyle w:val="11"/>
        <w:numPr>
          <w:ilvl w:val="0"/>
          <w:numId w:val="3"/>
        </w:numPr>
        <w:spacing w:after="200" w:line="480" w:lineRule="auto"/>
        <w:jc w:val="both"/>
        <w:rPr>
          <w:rFonts w:ascii="Arial" w:hAnsi="Arial" w:cs="Arial"/>
          <w:color w:val="000000" w:themeColor="text1"/>
          <w:sz w:val="24"/>
          <w:szCs w:val="24"/>
          <w:lang w:val="en-US" w:eastAsia="en-US"/>
        </w:rPr>
      </w:pPr>
      <w:bookmarkStart w:id="37" w:name="_Hlk32325075"/>
      <w:r>
        <w:rPr>
          <w:rFonts w:ascii="Arial" w:hAnsi="Arial" w:cs="Arial"/>
          <w:color w:val="000000" w:themeColor="text1"/>
          <w:sz w:val="24"/>
          <w:szCs w:val="24"/>
          <w:lang w:val="en-US" w:eastAsia="en-US"/>
        </w:rPr>
        <w:t>Williams, P., 2017</w:t>
      </w:r>
      <w:bookmarkEnd w:id="37"/>
      <w:r>
        <w:rPr>
          <w:rFonts w:ascii="Arial" w:hAnsi="Arial" w:cs="Arial"/>
          <w:color w:val="000000" w:themeColor="text1"/>
          <w:sz w:val="24"/>
          <w:szCs w:val="24"/>
          <w:lang w:val="en-US" w:eastAsia="en-US"/>
        </w:rPr>
        <w:t xml:space="preserve">. What are the challenges of introducing internal coaching in a VUCA context?. </w:t>
      </w:r>
      <w:r>
        <w:rPr>
          <w:rFonts w:ascii="Arial" w:hAnsi="Arial" w:cs="Arial"/>
          <w:i/>
          <w:iCs/>
          <w:color w:val="000000" w:themeColor="text1"/>
          <w:sz w:val="24"/>
          <w:szCs w:val="24"/>
          <w:lang w:val="en-US" w:eastAsia="en-US"/>
        </w:rPr>
        <w:t>International Journal of Evidence Based Coaching &amp; Mentoring</w:t>
      </w:r>
      <w:r>
        <w:rPr>
          <w:rFonts w:ascii="Arial" w:hAnsi="Arial" w:cs="Arial"/>
          <w:color w:val="000000" w:themeColor="text1"/>
          <w:sz w:val="24"/>
          <w:szCs w:val="24"/>
          <w:lang w:val="en-US" w:eastAsia="en-US"/>
        </w:rPr>
        <w:t xml:space="preserve">, </w:t>
      </w:r>
      <w:r>
        <w:rPr>
          <w:rFonts w:ascii="Arial" w:hAnsi="Arial" w:cs="Arial"/>
          <w:i/>
          <w:iCs/>
          <w:color w:val="000000" w:themeColor="text1"/>
          <w:sz w:val="24"/>
          <w:szCs w:val="24"/>
          <w:lang w:val="en-US" w:eastAsia="en-US"/>
        </w:rPr>
        <w:t>15</w:t>
      </w:r>
      <w:r>
        <w:rPr>
          <w:rFonts w:ascii="Arial" w:hAnsi="Arial" w:cs="Arial"/>
          <w:color w:val="000000" w:themeColor="text1"/>
          <w:sz w:val="24"/>
          <w:szCs w:val="24"/>
          <w:lang w:val="en-US" w:eastAsia="en-US"/>
        </w:rPr>
        <w:t>.</w:t>
      </w:r>
    </w:p>
    <w:p>
      <w:pPr>
        <w:pStyle w:val="11"/>
        <w:numPr>
          <w:ilvl w:val="0"/>
          <w:numId w:val="3"/>
        </w:numPr>
        <w:spacing w:after="200" w:line="480" w:lineRule="auto"/>
        <w:jc w:val="both"/>
        <w:rPr>
          <w:rFonts w:ascii="Arial" w:hAnsi="Arial" w:cs="Arial"/>
          <w:color w:val="000000" w:themeColor="text1"/>
          <w:sz w:val="24"/>
          <w:szCs w:val="24"/>
          <w:lang w:val="en-US" w:eastAsia="en-US"/>
        </w:rPr>
      </w:pPr>
      <w:bookmarkStart w:id="38" w:name="_Hlk32925269"/>
      <w:r>
        <w:rPr>
          <w:rFonts w:ascii="Arial" w:hAnsi="Arial" w:cs="Arial"/>
          <w:color w:val="000000" w:themeColor="text1"/>
          <w:sz w:val="24"/>
          <w:szCs w:val="24"/>
          <w:lang w:val="en-US" w:eastAsia="en-US"/>
        </w:rPr>
        <w:t>Wootten, J. and Kaslow, N.J., 2020</w:t>
      </w:r>
      <w:bookmarkEnd w:id="38"/>
      <w:r>
        <w:rPr>
          <w:rFonts w:ascii="Arial" w:hAnsi="Arial" w:cs="Arial"/>
          <w:color w:val="000000" w:themeColor="text1"/>
          <w:sz w:val="24"/>
          <w:szCs w:val="24"/>
          <w:lang w:val="en-US" w:eastAsia="en-US"/>
        </w:rPr>
        <w:t>. Consultation in leadership.</w:t>
      </w:r>
    </w:p>
    <w:p>
      <w:pPr>
        <w:pStyle w:val="11"/>
        <w:numPr>
          <w:numId w:val="0"/>
        </w:numPr>
        <w:spacing w:after="200" w:line="480" w:lineRule="auto"/>
        <w:ind w:left="360" w:leftChars="0"/>
        <w:jc w:val="both"/>
        <w:rPr>
          <w:rFonts w:ascii="Arial" w:hAnsi="Arial" w:cs="Arial"/>
          <w:color w:val="000000" w:themeColor="text1"/>
          <w:sz w:val="24"/>
          <w:szCs w:val="24"/>
          <w:lang w:val="en-US" w:eastAsia="en-US"/>
        </w:rPr>
      </w:pPr>
    </w:p>
    <w:p>
      <w:pPr>
        <w:spacing w:line="480" w:lineRule="auto"/>
        <w:ind w:left="360"/>
        <w:jc w:val="both"/>
        <w:rPr>
          <w:rFonts w:ascii="Arial" w:hAnsi="Arial" w:cs="Arial"/>
          <w:color w:val="000000" w:themeColor="text1"/>
          <w:sz w:val="24"/>
          <w:szCs w:val="24"/>
          <w:lang w:val="en-US"/>
        </w:rPr>
      </w:pPr>
    </w:p>
    <w:sectPr>
      <w:footerReference r:id="rId3" w:type="default"/>
      <w:pgSz w:w="11906" w:h="16838"/>
      <w:pgMar w:top="1440" w:right="1440" w:bottom="1440" w:left="1440" w:header="720" w:footer="720" w:gutter="0"/>
      <w:cols w:space="720" w:num="1"/>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0"/>
    <w:family w:val="swiss"/>
    <w:pitch w:val="default"/>
    <w:sig w:usb0="E0002EFF" w:usb1="C000785B" w:usb2="00000009" w:usb3="00000000" w:csb0="400001FF" w:csb1="FFFF0000"/>
  </w:font>
  <w:font w:name="黑体">
    <w:altName w:val="SimSun"/>
    <w:panose1 w:val="02010600030101010101"/>
    <w:charset w:val="86"/>
    <w:family w:val="auto"/>
    <w:pitch w:val="default"/>
    <w:sig w:usb0="00000001" w:usb1="080E0000" w:usb2="00000010" w:usb3="00000000" w:csb0="00040000" w:csb1="00000000"/>
  </w:font>
  <w:font w:name="Courier New">
    <w:panose1 w:val="02070309020205020404"/>
    <w:charset w:val="00"/>
    <w:family w:val="modern"/>
    <w:pitch w:val="default"/>
    <w:sig w:usb0="E0002EFF" w:usb1="C0007843" w:usb2="00000009" w:usb3="00000000" w:csb0="400001FF" w:csb1="FFFF0000"/>
  </w:font>
  <w:font w:name="Calibri">
    <w:panose1 w:val="020F0502020204030204"/>
    <w:charset w:val="86"/>
    <w:family w:val="swiss"/>
    <w:pitch w:val="default"/>
    <w:sig w:usb0="E0002EFF" w:usb1="C000247B" w:usb2="00000009" w:usb3="00000000" w:csb0="200001FF" w:csb1="00000000"/>
  </w:font>
  <w:font w:name="Calibri">
    <w:panose1 w:val="020F0502020204030204"/>
    <w:charset w:val="00"/>
    <w:family w:val="auto"/>
    <w:pitch w:val="default"/>
    <w:sig w:usb0="E0002EFF" w:usb1="C0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Symbol">
    <w:panose1 w:val="05050102010706020507"/>
    <w:charset w:val="02"/>
    <w:family w:val="roman"/>
    <w:pitch w:val="default"/>
    <w:sig w:usb0="00000000" w:usb1="00000000" w:usb2="00000000" w:usb3="00000000" w:csb0="8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1795012795"/>
      <w:docPartObj>
        <w:docPartGallery w:val="AutoText"/>
      </w:docPartObj>
    </w:sdtPr>
    <w:sdtContent>
      <w:p>
        <w:pPr>
          <w:pStyle w:val="3"/>
          <w:jc w:val="center"/>
        </w:pPr>
        <w:r>
          <w:fldChar w:fldCharType="begin"/>
        </w:r>
        <w:r>
          <w:instrText xml:space="preserve"> PAGE   \* MERGEFORMAT </w:instrText>
        </w:r>
        <w:r>
          <w:fldChar w:fldCharType="separate"/>
        </w:r>
        <w:r>
          <w:t>2</w:t>
        </w:r>
        <w:r>
          <w:fldChar w:fldCharType="end"/>
        </w:r>
      </w:p>
    </w:sdtContent>
  </w:sdt>
  <w:p>
    <w:pPr>
      <w:pStyle w:val="3"/>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0C3431E"/>
    <w:multiLevelType w:val="multilevel"/>
    <w:tmpl w:val="10C3431E"/>
    <w:lvl w:ilvl="0" w:tentative="0">
      <w:start w:val="1"/>
      <w:numFmt w:val="bullet"/>
      <w:lvlText w:val=""/>
      <w:lvlJc w:val="left"/>
      <w:pPr>
        <w:ind w:left="720" w:hanging="360"/>
      </w:pPr>
      <w:rPr>
        <w:rFonts w:hint="default" w:ascii="Wingdings" w:hAnsi="Wingdings"/>
      </w:rPr>
    </w:lvl>
    <w:lvl w:ilvl="1" w:tentative="0">
      <w:start w:val="1"/>
      <w:numFmt w:val="bullet"/>
      <w:lvlText w:val="o"/>
      <w:lvlJc w:val="left"/>
      <w:pPr>
        <w:ind w:left="1440" w:hanging="360"/>
      </w:pPr>
      <w:rPr>
        <w:rFonts w:hint="default" w:ascii="Courier New" w:hAnsi="Courier New" w:cs="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cs="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cs="Courier New"/>
      </w:rPr>
    </w:lvl>
    <w:lvl w:ilvl="8" w:tentative="0">
      <w:start w:val="1"/>
      <w:numFmt w:val="bullet"/>
      <w:lvlText w:val=""/>
      <w:lvlJc w:val="left"/>
      <w:pPr>
        <w:ind w:left="6480" w:hanging="360"/>
      </w:pPr>
      <w:rPr>
        <w:rFonts w:hint="default" w:ascii="Wingdings" w:hAnsi="Wingdings"/>
      </w:rPr>
    </w:lvl>
  </w:abstractNum>
  <w:abstractNum w:abstractNumId="1">
    <w:nsid w:val="195336AE"/>
    <w:multiLevelType w:val="multilevel"/>
    <w:tmpl w:val="195336AE"/>
    <w:lvl w:ilvl="0" w:tentative="0">
      <w:start w:val="1"/>
      <w:numFmt w:val="decimal"/>
      <w:lvlText w:val="%1."/>
      <w:lvlJc w:val="left"/>
      <w:pPr>
        <w:ind w:left="720" w:hanging="360"/>
      </w:pPr>
      <w:rPr>
        <w:rFonts w:hint="default"/>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2">
    <w:nsid w:val="4E28145E"/>
    <w:multiLevelType w:val="multilevel"/>
    <w:tmpl w:val="4E28145E"/>
    <w:lvl w:ilvl="0" w:tentative="0">
      <w:start w:val="1"/>
      <w:numFmt w:val="decimal"/>
      <w:lvlText w:val="%1."/>
      <w:lvlJc w:val="left"/>
      <w:pPr>
        <w:ind w:left="720" w:hanging="360"/>
      </w:p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removePersonalInformation/>
  <w:doNotDisplayPageBoundaries w:val="1"/>
  <w:documentProtection w:enforcement="0"/>
  <w:defaultTabStop w:val="720"/>
  <w:characterSpacingControl w:val="doNotCompress"/>
  <w:compat>
    <w:compatSetting w:name="compatibilityMode" w:uri="http://schemas.microsoft.com/office/word" w:val="12"/>
  </w:compat>
  <w:docVars>
    <w:docVar w:name="__Grammarly_42____i" w:val="H4sIAAAAAAAEAKtWckksSQxILCpxzi/NK1GyMqwFAAEhoTITAAAA"/>
    <w:docVar w:name="__Grammarly_42___1" w:val="H4sIAAAAAAAEAKtWcslP9kxRslIyNDYyMrUwsDQ2MzA3MjIyMTdT0lEKTi0uzszPAykwrwUAFD/6DywAAAA="/>
  </w:docVars>
  <w:rsids>
    <w:rsidRoot w:val="00995CB9"/>
    <w:rsid w:val="00001D59"/>
    <w:rsid w:val="00003EBF"/>
    <w:rsid w:val="000161A8"/>
    <w:rsid w:val="00024B1B"/>
    <w:rsid w:val="00025154"/>
    <w:rsid w:val="00045957"/>
    <w:rsid w:val="000530D9"/>
    <w:rsid w:val="00053188"/>
    <w:rsid w:val="00064B40"/>
    <w:rsid w:val="00065C56"/>
    <w:rsid w:val="000728F4"/>
    <w:rsid w:val="00084065"/>
    <w:rsid w:val="0008461D"/>
    <w:rsid w:val="000A7292"/>
    <w:rsid w:val="000B76D8"/>
    <w:rsid w:val="00103811"/>
    <w:rsid w:val="00124BEF"/>
    <w:rsid w:val="00134634"/>
    <w:rsid w:val="001346F2"/>
    <w:rsid w:val="00136A31"/>
    <w:rsid w:val="0014058B"/>
    <w:rsid w:val="00140F6E"/>
    <w:rsid w:val="00141F95"/>
    <w:rsid w:val="00165DB5"/>
    <w:rsid w:val="00166518"/>
    <w:rsid w:val="00187121"/>
    <w:rsid w:val="001B1786"/>
    <w:rsid w:val="001B33CB"/>
    <w:rsid w:val="001C133B"/>
    <w:rsid w:val="001C288E"/>
    <w:rsid w:val="001C41EE"/>
    <w:rsid w:val="001C5F01"/>
    <w:rsid w:val="001D14D0"/>
    <w:rsid w:val="001E4502"/>
    <w:rsid w:val="001F493A"/>
    <w:rsid w:val="001F6D7E"/>
    <w:rsid w:val="00200244"/>
    <w:rsid w:val="002056BC"/>
    <w:rsid w:val="00220A03"/>
    <w:rsid w:val="0022380B"/>
    <w:rsid w:val="00224362"/>
    <w:rsid w:val="00234D77"/>
    <w:rsid w:val="002362BF"/>
    <w:rsid w:val="0025080A"/>
    <w:rsid w:val="00257614"/>
    <w:rsid w:val="00266628"/>
    <w:rsid w:val="00270230"/>
    <w:rsid w:val="002B4080"/>
    <w:rsid w:val="002B450A"/>
    <w:rsid w:val="002B6C1A"/>
    <w:rsid w:val="002C37B5"/>
    <w:rsid w:val="002D1306"/>
    <w:rsid w:val="002E3C79"/>
    <w:rsid w:val="002F4AAF"/>
    <w:rsid w:val="003064EE"/>
    <w:rsid w:val="00326149"/>
    <w:rsid w:val="00327263"/>
    <w:rsid w:val="003351AB"/>
    <w:rsid w:val="0033599B"/>
    <w:rsid w:val="00350B8D"/>
    <w:rsid w:val="003531B7"/>
    <w:rsid w:val="00367AE0"/>
    <w:rsid w:val="003706FC"/>
    <w:rsid w:val="0038689C"/>
    <w:rsid w:val="0039035C"/>
    <w:rsid w:val="003B0E4E"/>
    <w:rsid w:val="003B35D8"/>
    <w:rsid w:val="003B5F14"/>
    <w:rsid w:val="003C6042"/>
    <w:rsid w:val="00413E12"/>
    <w:rsid w:val="00431FF5"/>
    <w:rsid w:val="00445A04"/>
    <w:rsid w:val="00467841"/>
    <w:rsid w:val="004B4119"/>
    <w:rsid w:val="004C2B44"/>
    <w:rsid w:val="004C3A4A"/>
    <w:rsid w:val="004D329C"/>
    <w:rsid w:val="004E3AD3"/>
    <w:rsid w:val="004F7FA7"/>
    <w:rsid w:val="005039CE"/>
    <w:rsid w:val="00516068"/>
    <w:rsid w:val="00516F1D"/>
    <w:rsid w:val="00537D2F"/>
    <w:rsid w:val="00545783"/>
    <w:rsid w:val="00587E8B"/>
    <w:rsid w:val="005A4FB4"/>
    <w:rsid w:val="005B0AA1"/>
    <w:rsid w:val="005C5D45"/>
    <w:rsid w:val="005F139D"/>
    <w:rsid w:val="00607A29"/>
    <w:rsid w:val="00611F7F"/>
    <w:rsid w:val="006179AD"/>
    <w:rsid w:val="006320F0"/>
    <w:rsid w:val="00632AF4"/>
    <w:rsid w:val="00650DD0"/>
    <w:rsid w:val="006707F2"/>
    <w:rsid w:val="0067134D"/>
    <w:rsid w:val="00697581"/>
    <w:rsid w:val="006A5CE6"/>
    <w:rsid w:val="006C51AE"/>
    <w:rsid w:val="006C6454"/>
    <w:rsid w:val="006C767B"/>
    <w:rsid w:val="006F2ACA"/>
    <w:rsid w:val="006F6E86"/>
    <w:rsid w:val="00711840"/>
    <w:rsid w:val="00725D2C"/>
    <w:rsid w:val="007264D5"/>
    <w:rsid w:val="0073241C"/>
    <w:rsid w:val="00732E4D"/>
    <w:rsid w:val="0074243D"/>
    <w:rsid w:val="00754D83"/>
    <w:rsid w:val="00761871"/>
    <w:rsid w:val="0077244F"/>
    <w:rsid w:val="00775654"/>
    <w:rsid w:val="0078379F"/>
    <w:rsid w:val="007A001A"/>
    <w:rsid w:val="007A48AD"/>
    <w:rsid w:val="007B0E8D"/>
    <w:rsid w:val="007C5DAF"/>
    <w:rsid w:val="007C6636"/>
    <w:rsid w:val="007D7558"/>
    <w:rsid w:val="007E6D06"/>
    <w:rsid w:val="0080321D"/>
    <w:rsid w:val="0081429B"/>
    <w:rsid w:val="00822D48"/>
    <w:rsid w:val="0082539B"/>
    <w:rsid w:val="008266A8"/>
    <w:rsid w:val="008334BE"/>
    <w:rsid w:val="008351AA"/>
    <w:rsid w:val="00840FC5"/>
    <w:rsid w:val="00842FF4"/>
    <w:rsid w:val="0085159D"/>
    <w:rsid w:val="0085283A"/>
    <w:rsid w:val="00857467"/>
    <w:rsid w:val="0087586A"/>
    <w:rsid w:val="0087660A"/>
    <w:rsid w:val="00887061"/>
    <w:rsid w:val="00892B27"/>
    <w:rsid w:val="00892DD2"/>
    <w:rsid w:val="00894CA0"/>
    <w:rsid w:val="008951E4"/>
    <w:rsid w:val="00897F9E"/>
    <w:rsid w:val="008A541C"/>
    <w:rsid w:val="008B304E"/>
    <w:rsid w:val="008E6739"/>
    <w:rsid w:val="008E6E33"/>
    <w:rsid w:val="009021F4"/>
    <w:rsid w:val="00917E76"/>
    <w:rsid w:val="0092284B"/>
    <w:rsid w:val="00923882"/>
    <w:rsid w:val="00923C1A"/>
    <w:rsid w:val="00940D74"/>
    <w:rsid w:val="0095032C"/>
    <w:rsid w:val="00951A92"/>
    <w:rsid w:val="00953694"/>
    <w:rsid w:val="00956C2C"/>
    <w:rsid w:val="00963DE8"/>
    <w:rsid w:val="00966F44"/>
    <w:rsid w:val="00973BA1"/>
    <w:rsid w:val="00974A97"/>
    <w:rsid w:val="00983682"/>
    <w:rsid w:val="00995CB9"/>
    <w:rsid w:val="009B6CA1"/>
    <w:rsid w:val="009C1DDA"/>
    <w:rsid w:val="009C7C42"/>
    <w:rsid w:val="009E2D85"/>
    <w:rsid w:val="009E4E2F"/>
    <w:rsid w:val="009E63CD"/>
    <w:rsid w:val="00A15670"/>
    <w:rsid w:val="00A67FD5"/>
    <w:rsid w:val="00A723D1"/>
    <w:rsid w:val="00A90B1B"/>
    <w:rsid w:val="00A95984"/>
    <w:rsid w:val="00AB5368"/>
    <w:rsid w:val="00AB5F40"/>
    <w:rsid w:val="00AD2BD6"/>
    <w:rsid w:val="00AD5877"/>
    <w:rsid w:val="00AE2869"/>
    <w:rsid w:val="00AF3787"/>
    <w:rsid w:val="00B233EF"/>
    <w:rsid w:val="00B5202C"/>
    <w:rsid w:val="00B81C5E"/>
    <w:rsid w:val="00BD009F"/>
    <w:rsid w:val="00C052F7"/>
    <w:rsid w:val="00C06E2B"/>
    <w:rsid w:val="00C23E79"/>
    <w:rsid w:val="00C46039"/>
    <w:rsid w:val="00C567ED"/>
    <w:rsid w:val="00C626B5"/>
    <w:rsid w:val="00C733C0"/>
    <w:rsid w:val="00C8211B"/>
    <w:rsid w:val="00C8697A"/>
    <w:rsid w:val="00C95CDF"/>
    <w:rsid w:val="00CA7675"/>
    <w:rsid w:val="00CB2258"/>
    <w:rsid w:val="00CB3D8B"/>
    <w:rsid w:val="00CF10A6"/>
    <w:rsid w:val="00CF3D09"/>
    <w:rsid w:val="00CF4744"/>
    <w:rsid w:val="00D0121C"/>
    <w:rsid w:val="00D21607"/>
    <w:rsid w:val="00D268AE"/>
    <w:rsid w:val="00D3385F"/>
    <w:rsid w:val="00D51079"/>
    <w:rsid w:val="00D63743"/>
    <w:rsid w:val="00D6396A"/>
    <w:rsid w:val="00D71DCA"/>
    <w:rsid w:val="00D84337"/>
    <w:rsid w:val="00DA19F7"/>
    <w:rsid w:val="00DB5AD8"/>
    <w:rsid w:val="00DC48F2"/>
    <w:rsid w:val="00DC59A7"/>
    <w:rsid w:val="00DD08B5"/>
    <w:rsid w:val="00DE5717"/>
    <w:rsid w:val="00DF0A1F"/>
    <w:rsid w:val="00E10871"/>
    <w:rsid w:val="00E22501"/>
    <w:rsid w:val="00E31238"/>
    <w:rsid w:val="00E35AC0"/>
    <w:rsid w:val="00E37F1E"/>
    <w:rsid w:val="00E401D2"/>
    <w:rsid w:val="00E45B06"/>
    <w:rsid w:val="00E479F2"/>
    <w:rsid w:val="00E53DC8"/>
    <w:rsid w:val="00E664CF"/>
    <w:rsid w:val="00E721AF"/>
    <w:rsid w:val="00E73E88"/>
    <w:rsid w:val="00E81594"/>
    <w:rsid w:val="00E852B8"/>
    <w:rsid w:val="00E8773C"/>
    <w:rsid w:val="00E965A9"/>
    <w:rsid w:val="00ED0D74"/>
    <w:rsid w:val="00EE4CFC"/>
    <w:rsid w:val="00EE4F4F"/>
    <w:rsid w:val="00F10736"/>
    <w:rsid w:val="00F120F7"/>
    <w:rsid w:val="00F21993"/>
    <w:rsid w:val="00F424DA"/>
    <w:rsid w:val="00F4642B"/>
    <w:rsid w:val="00F616FA"/>
    <w:rsid w:val="00F63D5F"/>
    <w:rsid w:val="00F70F9B"/>
    <w:rsid w:val="00F732CA"/>
    <w:rsid w:val="00F760FB"/>
    <w:rsid w:val="00F8136C"/>
    <w:rsid w:val="00F816D3"/>
    <w:rsid w:val="00F84F0D"/>
    <w:rsid w:val="00F93CD3"/>
    <w:rsid w:val="00F95F8B"/>
    <w:rsid w:val="00FB1E74"/>
    <w:rsid w:val="00FC35D9"/>
    <w:rsid w:val="00FC438F"/>
    <w:rsid w:val="00FD04FD"/>
    <w:rsid w:val="00FF054C"/>
    <w:rsid w:val="00FF7DF6"/>
    <w:rsid w:val="45FC447F"/>
    <w:rsid w:val="72A75D2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heme="minorHAnsi" w:hAnsiTheme="minorHAnsi" w:eastAsiaTheme="minorHAnsi" w:cstheme="minorBidi"/>
      </w:rPr>
    </w:r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spacing w:after="200" w:line="276" w:lineRule="auto"/>
    </w:pPr>
    <w:rPr>
      <w:rFonts w:asciiTheme="minorHAnsi" w:hAnsiTheme="minorHAnsi" w:eastAsiaTheme="minorHAnsi" w:cstheme="minorBidi"/>
      <w:sz w:val="22"/>
      <w:szCs w:val="22"/>
      <w:lang w:val="en-GB" w:eastAsia="en-US" w:bidi="ar-SA"/>
    </w:rPr>
  </w:style>
  <w:style w:type="paragraph" w:styleId="2">
    <w:name w:val="heading 1"/>
    <w:basedOn w:val="1"/>
    <w:next w:val="1"/>
    <w:link w:val="12"/>
    <w:qFormat/>
    <w:uiPriority w:val="9"/>
    <w:pPr>
      <w:keepNext/>
      <w:keepLines/>
      <w:spacing w:before="240" w:after="0"/>
      <w:outlineLvl w:val="0"/>
    </w:pPr>
    <w:rPr>
      <w:rFonts w:asciiTheme="majorHAnsi" w:hAnsiTheme="majorHAnsi" w:eastAsiaTheme="majorEastAsia" w:cstheme="majorBidi"/>
      <w:color w:val="366091" w:themeColor="accent1" w:themeShade="BF"/>
      <w:sz w:val="32"/>
      <w:szCs w:val="32"/>
    </w:rPr>
  </w:style>
  <w:style w:type="character" w:default="1" w:styleId="6">
    <w:name w:val="Default Paragraph Font"/>
    <w:semiHidden/>
    <w:unhideWhenUsed/>
    <w:uiPriority w:val="1"/>
  </w:style>
  <w:style w:type="table" w:default="1" w:styleId="8">
    <w:name w:val="Normal Table"/>
    <w:semiHidden/>
    <w:unhideWhenUsed/>
    <w:qFormat/>
    <w:uiPriority w:val="99"/>
    <w:tblPr>
      <w:tblCellMar>
        <w:top w:w="0" w:type="dxa"/>
        <w:left w:w="108" w:type="dxa"/>
        <w:bottom w:w="0" w:type="dxa"/>
        <w:right w:w="108" w:type="dxa"/>
      </w:tblCellMar>
    </w:tblPr>
  </w:style>
  <w:style w:type="paragraph" w:styleId="3">
    <w:name w:val="footer"/>
    <w:basedOn w:val="1"/>
    <w:link w:val="10"/>
    <w:unhideWhenUsed/>
    <w:qFormat/>
    <w:uiPriority w:val="99"/>
    <w:pPr>
      <w:tabs>
        <w:tab w:val="center" w:pos="4680"/>
        <w:tab w:val="right" w:pos="9360"/>
      </w:tabs>
      <w:spacing w:after="0" w:line="240" w:lineRule="auto"/>
    </w:pPr>
  </w:style>
  <w:style w:type="paragraph" w:styleId="4">
    <w:name w:val="header"/>
    <w:basedOn w:val="1"/>
    <w:link w:val="9"/>
    <w:unhideWhenUsed/>
    <w:qFormat/>
    <w:uiPriority w:val="99"/>
    <w:pPr>
      <w:tabs>
        <w:tab w:val="center" w:pos="4680"/>
        <w:tab w:val="right" w:pos="9360"/>
      </w:tabs>
      <w:spacing w:after="0" w:line="240" w:lineRule="auto"/>
    </w:pPr>
  </w:style>
  <w:style w:type="paragraph" w:styleId="5">
    <w:name w:val="toc 1"/>
    <w:basedOn w:val="1"/>
    <w:next w:val="1"/>
    <w:unhideWhenUsed/>
    <w:qFormat/>
    <w:uiPriority w:val="39"/>
    <w:pPr>
      <w:spacing w:after="100"/>
    </w:pPr>
  </w:style>
  <w:style w:type="character" w:styleId="7">
    <w:name w:val="Hyperlink"/>
    <w:basedOn w:val="6"/>
    <w:unhideWhenUsed/>
    <w:qFormat/>
    <w:uiPriority w:val="99"/>
    <w:rPr>
      <w:color w:val="0000FF"/>
      <w:u w:val="single"/>
    </w:rPr>
  </w:style>
  <w:style w:type="character" w:customStyle="1" w:styleId="9">
    <w:name w:val="Header Char"/>
    <w:basedOn w:val="6"/>
    <w:link w:val="4"/>
    <w:qFormat/>
    <w:uiPriority w:val="99"/>
    <w:rPr>
      <w:lang w:val="en-GB"/>
    </w:rPr>
  </w:style>
  <w:style w:type="character" w:customStyle="1" w:styleId="10">
    <w:name w:val="Footer Char"/>
    <w:basedOn w:val="6"/>
    <w:link w:val="3"/>
    <w:uiPriority w:val="99"/>
    <w:rPr>
      <w:lang w:val="en-GB"/>
    </w:rPr>
  </w:style>
  <w:style w:type="paragraph" w:styleId="11">
    <w:name w:val="List Paragraph"/>
    <w:basedOn w:val="1"/>
    <w:qFormat/>
    <w:uiPriority w:val="34"/>
    <w:pPr>
      <w:spacing w:after="0" w:line="240" w:lineRule="auto"/>
      <w:ind w:left="720"/>
      <w:contextualSpacing/>
    </w:pPr>
    <w:rPr>
      <w:rFonts w:ascii="Times New Roman" w:hAnsi="Times New Roman" w:eastAsia="Times New Roman" w:cs="Times New Roman"/>
      <w:sz w:val="20"/>
      <w:szCs w:val="20"/>
      <w:lang w:eastAsia="en-GB"/>
    </w:rPr>
  </w:style>
  <w:style w:type="character" w:customStyle="1" w:styleId="12">
    <w:name w:val="Heading 1 Char"/>
    <w:basedOn w:val="6"/>
    <w:link w:val="2"/>
    <w:qFormat/>
    <w:uiPriority w:val="9"/>
    <w:rPr>
      <w:rFonts w:asciiTheme="majorHAnsi" w:hAnsiTheme="majorHAnsi" w:eastAsiaTheme="majorEastAsia" w:cstheme="majorBidi"/>
      <w:color w:val="366091" w:themeColor="accent1" w:themeShade="BF"/>
      <w:sz w:val="32"/>
      <w:szCs w:val="32"/>
      <w:lang w:val="en-GB"/>
    </w:rPr>
  </w:style>
  <w:style w:type="paragraph" w:customStyle="1" w:styleId="13">
    <w:name w:val="TOC Heading"/>
    <w:basedOn w:val="2"/>
    <w:next w:val="1"/>
    <w:unhideWhenUsed/>
    <w:qFormat/>
    <w:uiPriority w:val="39"/>
    <w:pPr>
      <w:spacing w:line="259" w:lineRule="auto"/>
      <w:outlineLvl w:val="9"/>
    </w:pPr>
    <w:rPr>
      <w:lang w:val="en-US"/>
    </w:r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customXml" Target="../customXml/item2.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op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502E90D6-8D2E-43FE-9B26-1C351A41953E}">
  <ds:schemaRefs/>
</ds:datastoreItem>
</file>

<file path=docProps/app.xml><?xml version="1.0" encoding="utf-8"?>
<Properties xmlns="http://schemas.openxmlformats.org/officeDocument/2006/extended-properties" xmlns:vt="http://schemas.openxmlformats.org/officeDocument/2006/docPropsVTypes">
  <Template>Normal</Template>
  <Pages>19</Pages>
  <Words>4325</Words>
  <Characters>24659</Characters>
  <Lines>205</Lines>
  <Paragraphs>57</Paragraphs>
  <TotalTime>1</TotalTime>
  <ScaleCrop>false</ScaleCrop>
  <LinksUpToDate>false</LinksUpToDate>
  <CharactersWithSpaces>28927</CharactersWithSpaces>
  <Application>WPS Office_11.2.0.9085_F1E327BC-269C-435d-A152-05C5408002CA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2020-02-11T14:48:00Z</dcterms:created>
  <dcterms:modified xsi:type="dcterms:W3CDTF">2020-03-10T20:33:33Z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2057-11.2.0.9085</vt:lpwstr>
  </property>
</Properties>
</file>