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F4EF107" w:rsidR="0092196E" w:rsidRDefault="00C95E0C">
      <w:pPr>
        <w:pStyle w:val="Title"/>
        <w:rPr>
          <w:color w:val="002060"/>
          <w:sz w:val="144"/>
          <w:szCs w:val="144"/>
        </w:rPr>
      </w:pPr>
      <w:r w:rsidRPr="00C95E0C">
        <w:rPr>
          <w:color w:val="002060"/>
          <w:sz w:val="144"/>
          <w:szCs w:val="144"/>
        </w:rPr>
        <w:t>ACADEMIC AND EMPLOYABILITY SKILLS</w:t>
      </w:r>
    </w:p>
    <w:p w14:paraId="0281793B" w14:textId="3C147E30" w:rsidR="00C95E0C" w:rsidRDefault="00C95E0C" w:rsidP="00C95E0C"/>
    <w:p w14:paraId="7939C24A" w14:textId="37DF9355" w:rsidR="00C95E0C" w:rsidRDefault="00C95E0C" w:rsidP="00C95E0C"/>
    <w:p w14:paraId="172406DD" w14:textId="6F506B20" w:rsidR="00C95E0C" w:rsidRPr="00C95E0C" w:rsidRDefault="00C95E0C" w:rsidP="00C95E0C">
      <w:pPr>
        <w:rPr>
          <w:b/>
          <w:bCs/>
          <w:sz w:val="40"/>
          <w:szCs w:val="40"/>
        </w:rPr>
      </w:pPr>
      <w:r w:rsidRPr="00C95E0C">
        <w:rPr>
          <w:b/>
          <w:bCs/>
          <w:sz w:val="40"/>
          <w:szCs w:val="40"/>
        </w:rPr>
        <w:t xml:space="preserve">Lecturer- </w:t>
      </w:r>
      <w:proofErr w:type="spellStart"/>
      <w:r w:rsidRPr="00C95E0C">
        <w:rPr>
          <w:b/>
          <w:bCs/>
          <w:sz w:val="40"/>
          <w:szCs w:val="40"/>
        </w:rPr>
        <w:t>Adesewa</w:t>
      </w:r>
      <w:proofErr w:type="spellEnd"/>
      <w:r w:rsidRPr="00C95E0C">
        <w:rPr>
          <w:b/>
          <w:bCs/>
          <w:sz w:val="40"/>
          <w:szCs w:val="40"/>
        </w:rPr>
        <w:t xml:space="preserve"> Ajayi</w:t>
      </w:r>
    </w:p>
    <w:p w14:paraId="7B2A940C" w14:textId="3C532025" w:rsidR="00C95E0C" w:rsidRPr="00C95E0C" w:rsidRDefault="00C95E0C" w:rsidP="00C95E0C">
      <w:pPr>
        <w:rPr>
          <w:b/>
          <w:bCs/>
          <w:sz w:val="40"/>
          <w:szCs w:val="40"/>
        </w:rPr>
      </w:pPr>
      <w:r w:rsidRPr="00C95E0C">
        <w:rPr>
          <w:b/>
          <w:bCs/>
          <w:sz w:val="40"/>
          <w:szCs w:val="40"/>
        </w:rPr>
        <w:t>Student – Lilia Triboi(2027089)</w:t>
      </w:r>
    </w:p>
    <w:p w14:paraId="00000002" w14:textId="77777777" w:rsidR="0092196E" w:rsidRDefault="00C95E0C">
      <w:pPr>
        <w:spacing w:line="259" w:lineRule="auto"/>
        <w:jc w:val="left"/>
      </w:pPr>
      <w:r>
        <w:br w:type="page"/>
      </w:r>
    </w:p>
    <w:p w14:paraId="00000003" w14:textId="77777777" w:rsidR="0092196E" w:rsidRDefault="00C95E0C">
      <w:pPr>
        <w:keepNext/>
        <w:keepLines/>
        <w:pBdr>
          <w:top w:val="nil"/>
          <w:left w:val="nil"/>
          <w:bottom w:val="nil"/>
          <w:right w:val="nil"/>
          <w:between w:val="nil"/>
        </w:pBdr>
        <w:spacing w:before="240" w:after="0" w:line="259" w:lineRule="auto"/>
        <w:jc w:val="left"/>
        <w:rPr>
          <w:rFonts w:ascii="Calibri Light" w:eastAsia="Calibri Light" w:hAnsi="Calibri Light" w:cs="Calibri Light"/>
          <w:color w:val="2F5496"/>
          <w:sz w:val="32"/>
          <w:szCs w:val="32"/>
        </w:rPr>
      </w:pPr>
      <w:r>
        <w:rPr>
          <w:rFonts w:ascii="Calibri Light" w:eastAsia="Calibri Light" w:hAnsi="Calibri Light" w:cs="Calibri Light"/>
          <w:color w:val="2F5496"/>
          <w:sz w:val="32"/>
          <w:szCs w:val="32"/>
        </w:rPr>
        <w:lastRenderedPageBreak/>
        <w:t>Table of Contents</w:t>
      </w:r>
    </w:p>
    <w:sdt>
      <w:sdtPr>
        <w:id w:val="-458871914"/>
        <w:docPartObj>
          <w:docPartGallery w:val="Table of Contents"/>
          <w:docPartUnique/>
        </w:docPartObj>
      </w:sdtPr>
      <w:sdtEndPr/>
      <w:sdtContent>
        <w:p w14:paraId="00000004" w14:textId="77777777" w:rsidR="0092196E" w:rsidRDefault="00C95E0C">
          <w:pPr>
            <w:pBdr>
              <w:top w:val="nil"/>
              <w:left w:val="nil"/>
              <w:bottom w:val="nil"/>
              <w:right w:val="nil"/>
              <w:between w:val="nil"/>
            </w:pBdr>
            <w:tabs>
              <w:tab w:val="right" w:pos="9016"/>
            </w:tabs>
            <w:spacing w:after="100"/>
            <w:rPr>
              <w:color w:val="000000"/>
            </w:rPr>
          </w:pPr>
          <w:r>
            <w:fldChar w:fldCharType="begin"/>
          </w:r>
          <w:r>
            <w:instrText xml:space="preserve"> TOC \h \u \z </w:instrText>
          </w:r>
          <w:r>
            <w:fldChar w:fldCharType="separate"/>
          </w:r>
          <w:hyperlink w:anchor="_heading=h.gjdgxs">
            <w:r>
              <w:rPr>
                <w:color w:val="000000"/>
              </w:rPr>
              <w:t>INTRODUCTION</w:t>
            </w:r>
            <w:r>
              <w:rPr>
                <w:color w:val="000000"/>
              </w:rPr>
              <w:tab/>
              <w:t>3</w:t>
            </w:r>
          </w:hyperlink>
        </w:p>
        <w:p w14:paraId="00000005" w14:textId="2EA3B159" w:rsidR="0092196E" w:rsidRDefault="00C95E0C">
          <w:pPr>
            <w:pBdr>
              <w:top w:val="nil"/>
              <w:left w:val="nil"/>
              <w:bottom w:val="nil"/>
              <w:right w:val="nil"/>
              <w:between w:val="nil"/>
            </w:pBdr>
            <w:tabs>
              <w:tab w:val="right" w:pos="9016"/>
            </w:tabs>
            <w:spacing w:after="100"/>
            <w:rPr>
              <w:color w:val="000000"/>
            </w:rPr>
          </w:pPr>
          <w:hyperlink w:anchor="_heading=h.30j0zll">
            <w:r>
              <w:rPr>
                <w:color w:val="000000"/>
              </w:rPr>
              <w:t>INTRODUCTION</w:t>
            </w:r>
            <w:r>
              <w:rPr>
                <w:color w:val="000000"/>
              </w:rPr>
              <w:tab/>
              <w:t>4</w:t>
            </w:r>
          </w:hyperlink>
        </w:p>
        <w:p w14:paraId="00000006" w14:textId="77777777" w:rsidR="0092196E" w:rsidRDefault="00C95E0C">
          <w:pPr>
            <w:pBdr>
              <w:top w:val="nil"/>
              <w:left w:val="nil"/>
              <w:bottom w:val="nil"/>
              <w:right w:val="nil"/>
              <w:between w:val="nil"/>
            </w:pBdr>
            <w:tabs>
              <w:tab w:val="right" w:pos="9016"/>
            </w:tabs>
            <w:spacing w:after="100"/>
            <w:rPr>
              <w:color w:val="000000"/>
            </w:rPr>
          </w:pPr>
          <w:hyperlink w:anchor="_heading=h.1fob9te">
            <w:r>
              <w:rPr>
                <w:color w:val="000000"/>
              </w:rPr>
              <w:t>CONCLUSION</w:t>
            </w:r>
            <w:r>
              <w:rPr>
                <w:color w:val="000000"/>
              </w:rPr>
              <w:tab/>
              <w:t>9</w:t>
            </w:r>
          </w:hyperlink>
        </w:p>
        <w:p w14:paraId="00000007" w14:textId="77777777" w:rsidR="0092196E" w:rsidRDefault="00C95E0C">
          <w:pPr>
            <w:pBdr>
              <w:top w:val="nil"/>
              <w:left w:val="nil"/>
              <w:bottom w:val="nil"/>
              <w:right w:val="nil"/>
              <w:between w:val="nil"/>
            </w:pBdr>
            <w:tabs>
              <w:tab w:val="right" w:pos="9016"/>
            </w:tabs>
            <w:spacing w:after="100"/>
            <w:rPr>
              <w:color w:val="000000"/>
            </w:rPr>
          </w:pPr>
          <w:hyperlink w:anchor="_heading=h.3znysh7">
            <w:r>
              <w:rPr>
                <w:color w:val="000000"/>
              </w:rPr>
              <w:t>REFERENCES</w:t>
            </w:r>
            <w:r>
              <w:rPr>
                <w:color w:val="000000"/>
              </w:rPr>
              <w:tab/>
              <w:t>10</w:t>
            </w:r>
          </w:hyperlink>
        </w:p>
        <w:p w14:paraId="00000008" w14:textId="77777777" w:rsidR="0092196E" w:rsidRDefault="00C95E0C">
          <w:r>
            <w:fldChar w:fldCharType="end"/>
          </w:r>
        </w:p>
      </w:sdtContent>
    </w:sdt>
    <w:p w14:paraId="00000009" w14:textId="77777777" w:rsidR="0092196E" w:rsidRDefault="0092196E"/>
    <w:p w14:paraId="0000000A" w14:textId="77777777" w:rsidR="0092196E" w:rsidRDefault="0092196E"/>
    <w:p w14:paraId="0000000B" w14:textId="77777777" w:rsidR="0092196E" w:rsidRDefault="00C95E0C">
      <w:pPr>
        <w:spacing w:line="259" w:lineRule="auto"/>
        <w:jc w:val="left"/>
        <w:rPr>
          <w:rFonts w:ascii="Calibri Light" w:eastAsia="Calibri Light" w:hAnsi="Calibri Light" w:cs="Calibri Light"/>
          <w:color w:val="2F5496"/>
          <w:sz w:val="32"/>
          <w:szCs w:val="32"/>
        </w:rPr>
      </w:pPr>
      <w:r>
        <w:br w:type="page"/>
      </w:r>
    </w:p>
    <w:p w14:paraId="0000000C" w14:textId="77777777" w:rsidR="0092196E" w:rsidRDefault="00C95E0C">
      <w:pPr>
        <w:pStyle w:val="Heading1"/>
      </w:pPr>
      <w:bookmarkStart w:id="0" w:name="_heading=h.gjdgxs" w:colFirst="0" w:colLast="0"/>
      <w:bookmarkEnd w:id="0"/>
      <w:r>
        <w:lastRenderedPageBreak/>
        <w:t>INTRODUCTION</w:t>
      </w:r>
    </w:p>
    <w:p w14:paraId="0000000D" w14:textId="77777777" w:rsidR="0092196E" w:rsidRDefault="00C95E0C">
      <w:r>
        <w:t xml:space="preserve">In this report, I will reflect on the learning process linked with higher education which can be performed for enriching academic and professional careers. With the application of </w:t>
      </w:r>
      <w:r>
        <w:t>Gibbs Model of reflection to be chosen by addressing critical thoughts (</w:t>
      </w:r>
      <w:proofErr w:type="spellStart"/>
      <w:r>
        <w:t>Bubnys</w:t>
      </w:r>
      <w:proofErr w:type="spellEnd"/>
      <w:r>
        <w:t xml:space="preserve"> and </w:t>
      </w:r>
      <w:proofErr w:type="spellStart"/>
      <w:r>
        <w:t>Žydžiūnaitė</w:t>
      </w:r>
      <w:proofErr w:type="spellEnd"/>
      <w:r>
        <w:t>, 2010). The Gibbs model includes the area which would help in evoking those actions. I will utilize reflective practice within the continuous professional develo</w:t>
      </w:r>
      <w:r>
        <w:t xml:space="preserve">pment of the knowledge of skills that I have gained during this module. </w:t>
      </w:r>
    </w:p>
    <w:p w14:paraId="0000000E" w14:textId="77777777" w:rsidR="0092196E" w:rsidRDefault="0092196E"/>
    <w:p w14:paraId="0000000F" w14:textId="77777777" w:rsidR="0092196E" w:rsidRDefault="00C95E0C">
      <w:pPr>
        <w:spacing w:line="259" w:lineRule="auto"/>
        <w:jc w:val="left"/>
      </w:pPr>
      <w:r>
        <w:br w:type="page"/>
      </w:r>
    </w:p>
    <w:p w14:paraId="00000010" w14:textId="69176E03" w:rsidR="0092196E" w:rsidRDefault="0092196E">
      <w:pPr>
        <w:pStyle w:val="Heading1"/>
      </w:pPr>
      <w:bookmarkStart w:id="1" w:name="_heading=h.30j0zll" w:colFirst="0" w:colLast="0"/>
      <w:bookmarkEnd w:id="1"/>
    </w:p>
    <w:p w14:paraId="00000011" w14:textId="77777777" w:rsidR="0092196E" w:rsidRDefault="00C95E0C">
      <w:pPr>
        <w:rPr>
          <w:b/>
        </w:rPr>
      </w:pPr>
      <w:r>
        <w:rPr>
          <w:b/>
        </w:rPr>
        <w:t xml:space="preserve">DESCRIPTION </w:t>
      </w:r>
    </w:p>
    <w:p w14:paraId="00000012" w14:textId="77777777" w:rsidR="0092196E" w:rsidRDefault="00C95E0C">
      <w:r>
        <w:t>The module named Academic and Employability skills have added various kinds of skills that are essential for the professional as well as personal development of the individual in the academic life (</w:t>
      </w:r>
      <w:proofErr w:type="spellStart"/>
      <w:r>
        <w:t>Blaxell</w:t>
      </w:r>
      <w:proofErr w:type="spellEnd"/>
      <w:r>
        <w:t xml:space="preserve"> and Moore, 2012). This has helped me to learn skil</w:t>
      </w:r>
      <w:r>
        <w:t xml:space="preserve">ls like time management, Paraphrasing, public speaking and others. With the help of these skills, I can learn regarding managing my time and providing the best results out of it. The information which is relevant for research and researching both academic </w:t>
      </w:r>
      <w:r>
        <w:t>and employability life has been covered and taught in respective modules (</w:t>
      </w:r>
      <w:proofErr w:type="spellStart"/>
      <w:r>
        <w:t>Blaxell</w:t>
      </w:r>
      <w:proofErr w:type="spellEnd"/>
      <w:r>
        <w:t xml:space="preserve"> and Moore, 2012). This would help in performing academic writing by framing the structure of paragraphs, sentences and reflective essays as well as making references and cita</w:t>
      </w:r>
      <w:r>
        <w:t xml:space="preserve">tions in a report efficiently. </w:t>
      </w:r>
    </w:p>
    <w:p w14:paraId="00000013" w14:textId="77777777" w:rsidR="0092196E" w:rsidRDefault="00C95E0C">
      <w:r>
        <w:t>I will be able to learn from the module how online learning can improve my skills to write an academic report and better study. Through the module, I learned to pass all types of interviews as it has to help me to question a</w:t>
      </w:r>
      <w:r>
        <w:t>nd public speaking for things to attain future goals and encompassing presentation skills (</w:t>
      </w:r>
      <w:proofErr w:type="spellStart"/>
      <w:r>
        <w:t>Lerman</w:t>
      </w:r>
      <w:proofErr w:type="spellEnd"/>
      <w:r>
        <w:t xml:space="preserve">, 2013). </w:t>
      </w:r>
    </w:p>
    <w:p w14:paraId="00000014" w14:textId="77777777" w:rsidR="0092196E" w:rsidRDefault="00C95E0C">
      <w:r>
        <w:t xml:space="preserve">Through this module, I will build confidence in public speaking and adding frontally to the audience with the right process. Apart from this, I also </w:t>
      </w:r>
      <w:r>
        <w:t>learned different ways and methods for writing cover letters and CVs for applying for the job profile. There is a significant thing that I learnt through this module that will enhance my analytical thinking skills for better decision-making in future (Gill</w:t>
      </w:r>
      <w:r>
        <w:t>, 2018). Through this, I will analyse my problem arising in front of the public. Through the course, the lecturer will be taught various concepts which will help us develop skills and utilize the development plan within the maximization of the time as a st</w:t>
      </w:r>
      <w:r>
        <w:t>udent. The implications have a to-do list with the time management approaches and styles (Speight et al., 2013). The relevant information would be undertaken on good scholarly sources, acceptable sources and assessing the information from websites. In my o</w:t>
      </w:r>
      <w:r>
        <w:t>pinion, I will gain more understanding of grammar and language use with the borrowing and using vocabulary practices. This has also developed the sentence structure and body paragraphs with the skills by understanding the instructions and advancement of th</w:t>
      </w:r>
      <w:r>
        <w:t xml:space="preserve">e writing in a different context (Jackson, 2012). </w:t>
      </w:r>
    </w:p>
    <w:p w14:paraId="00000015" w14:textId="77777777" w:rsidR="0092196E" w:rsidRDefault="00C95E0C">
      <w:r>
        <w:lastRenderedPageBreak/>
        <w:t xml:space="preserve">I have also focused on the paraphrasing aspects of learning to meet the requirement of academic writing. I think that the Harvard referencing techniques would scale on the differences between an essay and </w:t>
      </w:r>
      <w:r>
        <w:t xml:space="preserve">a report with the summarized source either paraphrasing or summarizing to the module (Tymon, 2013). Towards the end of term one, we studied how to make and deliver PowerPoint representations and techniques to meet the public speaking skills. This has also </w:t>
      </w:r>
      <w:r>
        <w:t>added ways to advance my presentations through the role of things about people or audiences that the speaker must be understanding (</w:t>
      </w:r>
      <w:proofErr w:type="spellStart"/>
      <w:r>
        <w:t>Cotronei</w:t>
      </w:r>
      <w:proofErr w:type="spellEnd"/>
      <w:r>
        <w:t xml:space="preserve">-Baird, 2020). </w:t>
      </w:r>
    </w:p>
    <w:p w14:paraId="00000016" w14:textId="77777777" w:rsidR="0092196E" w:rsidRDefault="00C95E0C">
      <w:r>
        <w:t>In term two, I have focused on the important things to consider when designing a CV with the one-pag</w:t>
      </w:r>
      <w:r>
        <w:t>e leaves a good impression with the brief and point out to it. I have learned the various ways to encompass the interview with the prospects with weak and strong points (Sarkar et al., 2020). This has added a write to an excellent and professional cover le</w:t>
      </w:r>
      <w:r>
        <w:t xml:space="preserve">tter for a job application. </w:t>
      </w:r>
    </w:p>
    <w:p w14:paraId="00000017" w14:textId="77777777" w:rsidR="0092196E" w:rsidRDefault="00C95E0C">
      <w:r>
        <w:t>There has been a simple selection of the controllable research topics and developing a good topic with the exercises to learn and manage the research. This has explored reflective writing by introducing the concepts, the steps needed with the application o</w:t>
      </w:r>
      <w:r>
        <w:t>f reflective practice and using the learning reflective model (</w:t>
      </w:r>
      <w:proofErr w:type="spellStart"/>
      <w:r>
        <w:t>Adeani</w:t>
      </w:r>
      <w:proofErr w:type="spellEnd"/>
      <w:r>
        <w:t xml:space="preserve"> et al., 2020). </w:t>
      </w:r>
    </w:p>
    <w:p w14:paraId="00000018" w14:textId="77777777" w:rsidR="0092196E" w:rsidRDefault="00C95E0C">
      <w:r>
        <w:rPr>
          <w:b/>
        </w:rPr>
        <w:t xml:space="preserve">FEELINGS </w:t>
      </w:r>
    </w:p>
    <w:p w14:paraId="00000019" w14:textId="77777777" w:rsidR="0092196E" w:rsidRDefault="00C95E0C">
      <w:r>
        <w:t>My feelings have somehow managed to provide me with the difference in academic skill development. Especially in academic writing, I have found that employabilit</w:t>
      </w:r>
      <w:r>
        <w:t>y turns to be important as it adds future responsiveness. For instance, the writing measures have added the refined way for vocabulary, grammar and other practices have met on meeting the details (</w:t>
      </w:r>
      <w:proofErr w:type="spellStart"/>
      <w:r>
        <w:t>Bubnys</w:t>
      </w:r>
      <w:proofErr w:type="spellEnd"/>
      <w:r>
        <w:t xml:space="preserve"> and </w:t>
      </w:r>
      <w:proofErr w:type="spellStart"/>
      <w:r>
        <w:t>Žydžiūnaitė</w:t>
      </w:r>
      <w:proofErr w:type="spellEnd"/>
      <w:r>
        <w:t>, 2010). In several respects, I learn</w:t>
      </w:r>
      <w:r>
        <w:t xml:space="preserve">ed that academic writing is unique from others of writing. This can also demand the unique yet refined manner to develop grammar, sentences, body paragraphs and sentence clauses (La </w:t>
      </w:r>
      <w:proofErr w:type="spellStart"/>
      <w:r>
        <w:t>Prade</w:t>
      </w:r>
      <w:proofErr w:type="spellEnd"/>
      <w:r>
        <w:t xml:space="preserve"> et al., 2014). I found the preferences to approach on the academic w</w:t>
      </w:r>
      <w:r>
        <w:t xml:space="preserve">riting and meeting the objectives of gaining applications. I have been confused about academic writing to which discourse of the functions within time (Leigh, 2016). </w:t>
      </w:r>
    </w:p>
    <w:p w14:paraId="0000001A" w14:textId="77777777" w:rsidR="0092196E" w:rsidRDefault="00C95E0C">
      <w:r>
        <w:t>Meanwhile, I have added a referencing skill through which I have realized that validating</w:t>
      </w:r>
      <w:r>
        <w:t xml:space="preserve"> academic writing and instance to meet the manner of a writer and using the work in an efficient way (</w:t>
      </w:r>
      <w:proofErr w:type="spellStart"/>
      <w:r>
        <w:t>Lerman</w:t>
      </w:r>
      <w:proofErr w:type="spellEnd"/>
      <w:r>
        <w:t xml:space="preserve">, 2013). I learned that failure to cite the works of other authors might add to plagiarism and using the acknowledgement in a serious offence </w:t>
      </w:r>
      <w:r>
        <w:lastRenderedPageBreak/>
        <w:t xml:space="preserve">There </w:t>
      </w:r>
      <w:r>
        <w:t xml:space="preserve">have been proofs to back up claims and arguments in academic writing. In my opinion, I use reliable citations revealing the adequate research of academic and online sources. I need to add the references to the details that I have gathered. This would help </w:t>
      </w:r>
      <w:r>
        <w:t xml:space="preserve">me to track the sources and include them in the reference to the list and bibliographies (Gill, 2018). </w:t>
      </w:r>
    </w:p>
    <w:p w14:paraId="0000001B" w14:textId="77777777" w:rsidR="0092196E" w:rsidRDefault="00C95E0C">
      <w:r>
        <w:t xml:space="preserve">On meeting the referenced way to provide the hard validating writing ways through writer borrows. The use of the authors has acknowledged management to </w:t>
      </w:r>
      <w:r>
        <w:t xml:space="preserve">serious offence in the lead to termination. The use of the references would direct on the past experiences (Speight et al., 2013). </w:t>
      </w:r>
    </w:p>
    <w:p w14:paraId="0000001C" w14:textId="77777777" w:rsidR="0092196E" w:rsidRDefault="00C95E0C">
      <w:pPr>
        <w:rPr>
          <w:b/>
        </w:rPr>
      </w:pPr>
      <w:r>
        <w:rPr>
          <w:b/>
        </w:rPr>
        <w:t xml:space="preserve">EVALUATION </w:t>
      </w:r>
    </w:p>
    <w:p w14:paraId="0000001D" w14:textId="77777777" w:rsidR="0092196E" w:rsidRDefault="00C95E0C">
      <w:r>
        <w:t>I have believed in academic and employability skills to attain the structure of the sentence. This has been a lo</w:t>
      </w:r>
      <w:r>
        <w:t>t of knowledge with the sentences and vocabulary and grammar to meet the research questions and relevant sources and apply their body paragraphs and sentence clauses with the appeal to be passionate about academic writing (Tymon, 2013). This has also manag</w:t>
      </w:r>
      <w:r>
        <w:t>ed the development with the uncomfortable yet referenced and a course focused on the Harvard referencing style. There are many other references to the MLA, Chicago and APA among others. I can add the different disciplines demand the use of dissimilar writi</w:t>
      </w:r>
      <w:r>
        <w:t>ng formats. I faced a challenge with comprehensive information through scholars (</w:t>
      </w:r>
      <w:proofErr w:type="spellStart"/>
      <w:r>
        <w:t>Cotronei</w:t>
      </w:r>
      <w:proofErr w:type="spellEnd"/>
      <w:r>
        <w:t>-Baird, 2020). According to summarizing or paraphrasing the works properly. I need to add on the experience and challenge of the difference between scholarly and unrel</w:t>
      </w:r>
      <w:r>
        <w:t xml:space="preserve">iable source materials. </w:t>
      </w:r>
    </w:p>
    <w:p w14:paraId="0000001E" w14:textId="77777777" w:rsidR="0092196E" w:rsidRDefault="00C95E0C">
      <w:r>
        <w:t>I often prefer to write with the scholarly book sources where I can make mistakes to which source to sustain it with the ideas and claims (</w:t>
      </w:r>
      <w:proofErr w:type="spellStart"/>
      <w:r>
        <w:t>Adeani</w:t>
      </w:r>
      <w:proofErr w:type="spellEnd"/>
      <w:r>
        <w:t xml:space="preserve"> et al., 2020). I have learned ways to attribute the information to proper scholars wi</w:t>
      </w:r>
      <w:r>
        <w:t xml:space="preserve">th the train myself and acknowledge with the suitable needs sources (La </w:t>
      </w:r>
      <w:proofErr w:type="spellStart"/>
      <w:r>
        <w:t>Prade</w:t>
      </w:r>
      <w:proofErr w:type="spellEnd"/>
      <w:r>
        <w:t xml:space="preserve"> et al., 2014). I have also gained a lot of knowledge about grammar and vocabulary sentence structures. In the past, I might not be able to understand the relevant theme and sourc</w:t>
      </w:r>
      <w:r>
        <w:t xml:space="preserve">es that are to be applied and still be confusing with but should have developed a disciple in the demand for the different styles. I experience that appealing academic writing has been established through the identified note-taking aspects during lectures </w:t>
      </w:r>
      <w:r>
        <w:t xml:space="preserve">and from </w:t>
      </w:r>
      <w:r>
        <w:lastRenderedPageBreak/>
        <w:t xml:space="preserve">reading. This has also helped in gaining the grammar and language in a better way (Leigh, 2016). </w:t>
      </w:r>
    </w:p>
    <w:p w14:paraId="0000001F" w14:textId="77777777" w:rsidR="0092196E" w:rsidRDefault="00C95E0C">
      <w:pPr>
        <w:rPr>
          <w:b/>
        </w:rPr>
      </w:pPr>
      <w:r>
        <w:rPr>
          <w:b/>
        </w:rPr>
        <w:t>ANALYSIS</w:t>
      </w:r>
    </w:p>
    <w:p w14:paraId="00000020" w14:textId="77777777" w:rsidR="0092196E" w:rsidRDefault="00C95E0C">
      <w:r>
        <w:t>In course of time, I have focused on the employability skills to business preferences. I have employability skills to manage sources and add</w:t>
      </w:r>
      <w:r>
        <w:t xml:space="preserve">ing the information to the reliable ideas in the required details. This has created outline, drafts and edit to the details (La </w:t>
      </w:r>
      <w:proofErr w:type="spellStart"/>
      <w:r>
        <w:t>Prade</w:t>
      </w:r>
      <w:proofErr w:type="spellEnd"/>
      <w:r>
        <w:t xml:space="preserve"> et al., 2014). I refer to the process and write on the project in record time. The methods might be examined to determine </w:t>
      </w:r>
      <w:r>
        <w:t>the assignment with efficiency. I prefer to add on the validated course of actions through conclusions within the management of the improved ways. This has also added on the procrastination of the things to meet the ideas in the subtle writing areas (Sarka</w:t>
      </w:r>
      <w:r>
        <w:t xml:space="preserve">r et al., 2020). I have identified several gaps that require improved ways with the use of the referencing styles in the areas with the improved academic paper.  </w:t>
      </w:r>
    </w:p>
    <w:p w14:paraId="00000021" w14:textId="77777777" w:rsidR="0092196E" w:rsidRDefault="00C95E0C">
      <w:pPr>
        <w:rPr>
          <w:b/>
        </w:rPr>
      </w:pPr>
      <w:r>
        <w:rPr>
          <w:b/>
        </w:rPr>
        <w:t xml:space="preserve">CONCLUSION </w:t>
      </w:r>
    </w:p>
    <w:p w14:paraId="00000022" w14:textId="77777777" w:rsidR="0092196E" w:rsidRDefault="00C95E0C">
      <w:r>
        <w:t>I have concluded that academic writing has added preferences of referencing techn</w:t>
      </w:r>
      <w:r>
        <w:t>iques. Through this, I have improved on the skills with time management in applying my development plan to execute my daily activities (</w:t>
      </w:r>
      <w:proofErr w:type="spellStart"/>
      <w:r>
        <w:t>Lerman</w:t>
      </w:r>
      <w:proofErr w:type="spellEnd"/>
      <w:r>
        <w:t>, 2013). These skills will not only help in the future workplace setting. I have become time-efficient with result</w:t>
      </w:r>
      <w:r>
        <w:t>-oriented activities. This can relate the academic skills to a real-life situation. While pursuing higher education, I have efficiently addressed critical, reflective and analytical thinking (Gill, 2018). I found the adequate skills where communication ski</w:t>
      </w:r>
      <w:r>
        <w:t xml:space="preserve">lls can be research-based evidence to be prospective. I think that academic paper to manage CV to approach on the academic and employed skills to attain the objectives (Gill, 2018). </w:t>
      </w:r>
    </w:p>
    <w:p w14:paraId="00000023" w14:textId="77777777" w:rsidR="0092196E" w:rsidRDefault="00C95E0C">
      <w:r>
        <w:t>I have been doing well at managing my self-study. I need to attain the im</w:t>
      </w:r>
      <w:r>
        <w:t xml:space="preserve">proved specialised packages through which decision-making and applied management and other features can be added (Speight et al., 2013). I currently might have no employment experience but I will face the sides of them and good solutions for them with the </w:t>
      </w:r>
      <w:r>
        <w:t xml:space="preserve">recruited graduates and overseas experience. The talent might be explosive to enjoy a variety of preferential policies and overseas details. I faced a backlog with the reported attainment of the details (Speight et al., 2013). </w:t>
      </w:r>
    </w:p>
    <w:p w14:paraId="00000024" w14:textId="77777777" w:rsidR="0092196E" w:rsidRDefault="00C95E0C">
      <w:r>
        <w:rPr>
          <w:b/>
        </w:rPr>
        <w:lastRenderedPageBreak/>
        <w:t xml:space="preserve">ACTION PLAN </w:t>
      </w:r>
    </w:p>
    <w:p w14:paraId="00000025" w14:textId="77777777" w:rsidR="0092196E" w:rsidRDefault="00C95E0C">
      <w:r>
        <w:t>I decided to im</w:t>
      </w:r>
      <w:r>
        <w:t>prove my academic writing skills with grades and applied the techniques in several steps where I need to rewrite the sentences and check the grammar and spelling mistakes. This would again add time and check the details. I have also grouped the sections wi</w:t>
      </w:r>
      <w:r>
        <w:t>th the reader to understand the details and remain unnoticed with the spellings and mistakes (Jackson, 2012). To improve my employability skills and control my performance, I am going to undertake a self-improvement knowledge test. This would intimately he</w:t>
      </w:r>
      <w:r>
        <w:t>lp me in learning about the inner feelings, weaknesses and motivation along with the desires along with the skills. There has been a well-developed yet increased success to the chances with the confidence or set our priorities for creating new skills (</w:t>
      </w:r>
      <w:proofErr w:type="spellStart"/>
      <w:r>
        <w:t>Cotr</w:t>
      </w:r>
      <w:r>
        <w:t>onei</w:t>
      </w:r>
      <w:proofErr w:type="spellEnd"/>
      <w:r>
        <w:t xml:space="preserve">-Baird, 2020). </w:t>
      </w:r>
    </w:p>
    <w:p w14:paraId="00000026" w14:textId="77777777" w:rsidR="0092196E" w:rsidRDefault="00C95E0C">
      <w:r>
        <w:t>To understand more about myself, I need to self-evaluate the tasks with psychometric testing. I will write my feelings in the diary to analyse my feelings towards the situation (</w:t>
      </w:r>
      <w:proofErr w:type="spellStart"/>
      <w:r>
        <w:t>Cotronei</w:t>
      </w:r>
      <w:proofErr w:type="spellEnd"/>
      <w:r>
        <w:t>-Baird, 2020). Both academic and employment life s</w:t>
      </w:r>
      <w:r>
        <w:t xml:space="preserve">killset have added on huge implications not only providing the quality of work. I am determined to add productivity and uniquely managing the poor use of referencing and attaining various exercises and methods (Tymon, 2013). </w:t>
      </w:r>
    </w:p>
    <w:p w14:paraId="00000027" w14:textId="77777777" w:rsidR="0092196E" w:rsidRDefault="00C95E0C">
      <w:pPr>
        <w:spacing w:line="259" w:lineRule="auto"/>
        <w:jc w:val="left"/>
        <w:rPr>
          <w:rFonts w:ascii="Calibri Light" w:eastAsia="Calibri Light" w:hAnsi="Calibri Light" w:cs="Calibri Light"/>
          <w:color w:val="2F5496"/>
          <w:sz w:val="32"/>
          <w:szCs w:val="32"/>
        </w:rPr>
      </w:pPr>
      <w:r>
        <w:br w:type="page"/>
      </w:r>
    </w:p>
    <w:p w14:paraId="00000028" w14:textId="77777777" w:rsidR="0092196E" w:rsidRDefault="00C95E0C">
      <w:pPr>
        <w:pStyle w:val="Heading1"/>
      </w:pPr>
      <w:bookmarkStart w:id="2" w:name="_heading=h.1fob9te" w:colFirst="0" w:colLast="0"/>
      <w:bookmarkEnd w:id="2"/>
      <w:r>
        <w:lastRenderedPageBreak/>
        <w:t xml:space="preserve">CONCLUSION </w:t>
      </w:r>
    </w:p>
    <w:p w14:paraId="00000029" w14:textId="77777777" w:rsidR="0092196E" w:rsidRDefault="00C95E0C">
      <w:r>
        <w:t xml:space="preserve">The analysis of </w:t>
      </w:r>
      <w:r>
        <w:t>higher education skills and effective strategies for students have been covered in the study. I have enabled the skills and gaining confidence along with effective employability skills development. I have pointed on the presentation skills, time management</w:t>
      </w:r>
      <w:r>
        <w:t xml:space="preserve"> as well as academic report to which structured academic writing has been covered. Time management, paraphrasing, CV writing, referencing and reflection have been covered in the study. </w:t>
      </w:r>
    </w:p>
    <w:p w14:paraId="0000002A" w14:textId="77777777" w:rsidR="0092196E" w:rsidRDefault="00C95E0C">
      <w:pPr>
        <w:spacing w:line="259" w:lineRule="auto"/>
        <w:jc w:val="left"/>
      </w:pPr>
      <w:r>
        <w:br w:type="page"/>
      </w:r>
    </w:p>
    <w:p w14:paraId="0000002B" w14:textId="77777777" w:rsidR="0092196E" w:rsidRPr="00C95E0C" w:rsidRDefault="00C95E0C">
      <w:pPr>
        <w:pStyle w:val="Heading1"/>
        <w:rPr>
          <w:lang w:val="it-IT"/>
        </w:rPr>
      </w:pPr>
      <w:bookmarkStart w:id="3" w:name="_heading=h.3znysh7" w:colFirst="0" w:colLast="0"/>
      <w:bookmarkEnd w:id="3"/>
      <w:r w:rsidRPr="00C95E0C">
        <w:rPr>
          <w:lang w:val="it-IT"/>
        </w:rPr>
        <w:lastRenderedPageBreak/>
        <w:t xml:space="preserve">REFERENCES </w:t>
      </w:r>
    </w:p>
    <w:p w14:paraId="0000002C" w14:textId="77777777" w:rsidR="0092196E" w:rsidRDefault="00C95E0C">
      <w:proofErr w:type="spellStart"/>
      <w:r w:rsidRPr="00C95E0C">
        <w:rPr>
          <w:lang w:val="it-IT"/>
        </w:rPr>
        <w:t>Adeani</w:t>
      </w:r>
      <w:proofErr w:type="spellEnd"/>
      <w:r w:rsidRPr="00C95E0C">
        <w:rPr>
          <w:lang w:val="it-IT"/>
        </w:rPr>
        <w:t xml:space="preserve">, I. S., </w:t>
      </w:r>
      <w:proofErr w:type="spellStart"/>
      <w:r w:rsidRPr="00C95E0C">
        <w:rPr>
          <w:lang w:val="it-IT"/>
        </w:rPr>
        <w:t>Febriani</w:t>
      </w:r>
      <w:proofErr w:type="spellEnd"/>
      <w:r w:rsidRPr="00C95E0C">
        <w:rPr>
          <w:lang w:val="it-IT"/>
        </w:rPr>
        <w:t xml:space="preserve">, R. B., &amp; </w:t>
      </w:r>
      <w:proofErr w:type="spellStart"/>
      <w:r w:rsidRPr="00C95E0C">
        <w:rPr>
          <w:lang w:val="it-IT"/>
        </w:rPr>
        <w:t>Syafryadin</w:t>
      </w:r>
      <w:proofErr w:type="spellEnd"/>
      <w:r w:rsidRPr="00C95E0C">
        <w:rPr>
          <w:lang w:val="it-IT"/>
        </w:rPr>
        <w:t xml:space="preserve">, S. (2020). </w:t>
      </w:r>
      <w:r>
        <w:t>USING GIBBS’REFLECTIVE CYCLE IN MAKING REFLECTIONS OF LITERARY ANALYSIS. </w:t>
      </w:r>
      <w:r>
        <w:rPr>
          <w:i/>
        </w:rPr>
        <w:t>Indonesian EFL Journal</w:t>
      </w:r>
      <w:r>
        <w:t>, </w:t>
      </w:r>
      <w:r>
        <w:rPr>
          <w:i/>
        </w:rPr>
        <w:t>6</w:t>
      </w:r>
      <w:r>
        <w:t>(2), 139-148.</w:t>
      </w:r>
    </w:p>
    <w:p w14:paraId="0000002D" w14:textId="77777777" w:rsidR="0092196E" w:rsidRDefault="00C95E0C">
      <w:proofErr w:type="spellStart"/>
      <w:r>
        <w:t>Blaxell</w:t>
      </w:r>
      <w:proofErr w:type="spellEnd"/>
      <w:r>
        <w:t>, R., &amp; Moore, C. (2012). Connecting academic and employability skills and attri</w:t>
      </w:r>
      <w:r>
        <w:t>butes.</w:t>
      </w:r>
    </w:p>
    <w:p w14:paraId="0000002E" w14:textId="77777777" w:rsidR="0092196E" w:rsidRDefault="00C95E0C">
      <w:proofErr w:type="spellStart"/>
      <w:r>
        <w:t>Bubnys</w:t>
      </w:r>
      <w:proofErr w:type="spellEnd"/>
      <w:r>
        <w:t xml:space="preserve">, R., &amp; </w:t>
      </w:r>
      <w:proofErr w:type="spellStart"/>
      <w:r>
        <w:t>Žydžiūnaitė</w:t>
      </w:r>
      <w:proofErr w:type="spellEnd"/>
      <w:r>
        <w:t>, V. (2010). REFLECTIVE LEARNING MODELS IN THE CONTEXT OF HIGHER EDUCATION: CONCEPT ANALYSIS. </w:t>
      </w:r>
      <w:r>
        <w:rPr>
          <w:i/>
        </w:rPr>
        <w:t>Problems of Education in the 21st Century</w:t>
      </w:r>
      <w:r>
        <w:t>, </w:t>
      </w:r>
      <w:r>
        <w:rPr>
          <w:i/>
        </w:rPr>
        <w:t>20</w:t>
      </w:r>
      <w:r>
        <w:t>.</w:t>
      </w:r>
    </w:p>
    <w:p w14:paraId="0000002F" w14:textId="77777777" w:rsidR="0092196E" w:rsidRDefault="00C95E0C">
      <w:proofErr w:type="spellStart"/>
      <w:r>
        <w:t>Cotronei</w:t>
      </w:r>
      <w:proofErr w:type="spellEnd"/>
      <w:r>
        <w:t>-Baird, V. S. (2020). Academic hindrances in the integration of employabili</w:t>
      </w:r>
      <w:r>
        <w:t>ty skills development in teaching and assessment practice. </w:t>
      </w:r>
      <w:r>
        <w:rPr>
          <w:i/>
        </w:rPr>
        <w:t>Higher Education</w:t>
      </w:r>
      <w:r>
        <w:t>, </w:t>
      </w:r>
      <w:r>
        <w:rPr>
          <w:i/>
        </w:rPr>
        <w:t>79</w:t>
      </w:r>
      <w:r>
        <w:t>(2), 203-223.</w:t>
      </w:r>
    </w:p>
    <w:p w14:paraId="00000030" w14:textId="77777777" w:rsidR="0092196E" w:rsidRDefault="00C95E0C">
      <w:r>
        <w:t>Gill, R. (2018). Building employability skills for higher education students: An Australian example. </w:t>
      </w:r>
      <w:r>
        <w:rPr>
          <w:i/>
        </w:rPr>
        <w:t>Journal of Teaching and Learning for Graduate Employability</w:t>
      </w:r>
      <w:r>
        <w:t>, </w:t>
      </w:r>
      <w:r>
        <w:rPr>
          <w:i/>
        </w:rPr>
        <w:t>9</w:t>
      </w:r>
      <w:r>
        <w:t>(1), 84-92.</w:t>
      </w:r>
    </w:p>
    <w:p w14:paraId="00000031" w14:textId="77777777" w:rsidR="0092196E" w:rsidRDefault="00C95E0C">
      <w:r>
        <w:t>Jackson, D. (2012). Business undergraduates' perceptions of their capabilities in employability skills: Implications for industry and higher education. </w:t>
      </w:r>
      <w:r>
        <w:rPr>
          <w:i/>
        </w:rPr>
        <w:t>Industry and higher education</w:t>
      </w:r>
      <w:r>
        <w:t>, </w:t>
      </w:r>
      <w:r>
        <w:rPr>
          <w:i/>
        </w:rPr>
        <w:t>26</w:t>
      </w:r>
      <w:r>
        <w:t>(5), 345-356.</w:t>
      </w:r>
    </w:p>
    <w:p w14:paraId="00000032" w14:textId="77777777" w:rsidR="0092196E" w:rsidRDefault="00C95E0C">
      <w:r>
        <w:t xml:space="preserve">La </w:t>
      </w:r>
      <w:proofErr w:type="spellStart"/>
      <w:r>
        <w:t>Prade</w:t>
      </w:r>
      <w:proofErr w:type="spellEnd"/>
      <w:r>
        <w:t xml:space="preserve">, K., </w:t>
      </w:r>
      <w:proofErr w:type="spellStart"/>
      <w:r>
        <w:t>Gilpatrick</w:t>
      </w:r>
      <w:proofErr w:type="spellEnd"/>
      <w:r>
        <w:t>, M., &amp; Perkins, D. (</w:t>
      </w:r>
      <w:r>
        <w:t>2014). Impact of reflective practice on online teaching performance in higher education. </w:t>
      </w:r>
      <w:r>
        <w:rPr>
          <w:i/>
        </w:rPr>
        <w:t>Journal of Online Learning and Teaching</w:t>
      </w:r>
      <w:r>
        <w:t>, </w:t>
      </w:r>
      <w:r>
        <w:rPr>
          <w:i/>
        </w:rPr>
        <w:t>10</w:t>
      </w:r>
      <w:r>
        <w:t>(4), 625.</w:t>
      </w:r>
    </w:p>
    <w:p w14:paraId="00000033" w14:textId="77777777" w:rsidR="0092196E" w:rsidRDefault="00C95E0C">
      <w:r>
        <w:t>Leigh, J. (2016). An embodied perspective on judgements of written reflective practice for professional developmen</w:t>
      </w:r>
      <w:r>
        <w:t>t in higher education. </w:t>
      </w:r>
      <w:r>
        <w:rPr>
          <w:i/>
        </w:rPr>
        <w:t>Reflective Practice</w:t>
      </w:r>
      <w:r>
        <w:t>, </w:t>
      </w:r>
      <w:r>
        <w:rPr>
          <w:i/>
        </w:rPr>
        <w:t>17</w:t>
      </w:r>
      <w:r>
        <w:t>(1), 72-85.</w:t>
      </w:r>
    </w:p>
    <w:p w14:paraId="00000034" w14:textId="77777777" w:rsidR="0092196E" w:rsidRDefault="00C95E0C">
      <w:proofErr w:type="spellStart"/>
      <w:r>
        <w:t>Lerman</w:t>
      </w:r>
      <w:proofErr w:type="spellEnd"/>
      <w:r>
        <w:t>, R. I. (2013). Are employability skills learned in US youth education and training programs?. </w:t>
      </w:r>
      <w:r>
        <w:rPr>
          <w:i/>
        </w:rPr>
        <w:t xml:space="preserve">IZA Journal of </w:t>
      </w:r>
      <w:proofErr w:type="spellStart"/>
      <w:r>
        <w:rPr>
          <w:i/>
        </w:rPr>
        <w:t>Labor</w:t>
      </w:r>
      <w:proofErr w:type="spellEnd"/>
      <w:r>
        <w:rPr>
          <w:i/>
        </w:rPr>
        <w:t xml:space="preserve"> Policy</w:t>
      </w:r>
      <w:r>
        <w:t>, </w:t>
      </w:r>
      <w:r>
        <w:rPr>
          <w:i/>
        </w:rPr>
        <w:t>2</w:t>
      </w:r>
      <w:r>
        <w:t>(1), 1-20.</w:t>
      </w:r>
    </w:p>
    <w:p w14:paraId="00000035" w14:textId="77777777" w:rsidR="0092196E" w:rsidRDefault="00C95E0C">
      <w:r>
        <w:t>Sarkar, M., Overton, T., Thompson, C. D., &amp; Rayner, G. (2020). Academics’ perspectives of the teaching and develop</w:t>
      </w:r>
      <w:r>
        <w:t>ment of generic employability skills in science curricula. </w:t>
      </w:r>
      <w:r>
        <w:rPr>
          <w:i/>
        </w:rPr>
        <w:t>Higher Education Research &amp; Development</w:t>
      </w:r>
      <w:r>
        <w:t>, </w:t>
      </w:r>
      <w:r>
        <w:rPr>
          <w:i/>
        </w:rPr>
        <w:t>39</w:t>
      </w:r>
      <w:r>
        <w:t>(2), 346-361.</w:t>
      </w:r>
    </w:p>
    <w:p w14:paraId="00000036" w14:textId="77777777" w:rsidR="0092196E" w:rsidRDefault="00C95E0C">
      <w:r>
        <w:lastRenderedPageBreak/>
        <w:t xml:space="preserve">Speight, S., </w:t>
      </w:r>
      <w:proofErr w:type="spellStart"/>
      <w:r>
        <w:t>Lackovic</w:t>
      </w:r>
      <w:proofErr w:type="spellEnd"/>
      <w:r>
        <w:t>, N., &amp; Cooker, L. (2013). The contested curriculum: Academic learning and employability in higher education. </w:t>
      </w:r>
      <w:r>
        <w:rPr>
          <w:i/>
        </w:rPr>
        <w:t xml:space="preserve">Tertiary </w:t>
      </w:r>
      <w:r>
        <w:rPr>
          <w:i/>
        </w:rPr>
        <w:t>Education and Management</w:t>
      </w:r>
      <w:r>
        <w:t>, </w:t>
      </w:r>
      <w:r>
        <w:rPr>
          <w:i/>
        </w:rPr>
        <w:t>19</w:t>
      </w:r>
      <w:r>
        <w:t>(2), 112-126.</w:t>
      </w:r>
    </w:p>
    <w:p w14:paraId="00000037" w14:textId="77777777" w:rsidR="0092196E" w:rsidRDefault="00C95E0C">
      <w:r>
        <w:t>Tymon, A. (2013). The student perspective on employability. </w:t>
      </w:r>
      <w:r>
        <w:rPr>
          <w:i/>
        </w:rPr>
        <w:t>Studies in higher education</w:t>
      </w:r>
      <w:r>
        <w:t>, </w:t>
      </w:r>
      <w:r>
        <w:rPr>
          <w:i/>
        </w:rPr>
        <w:t>38</w:t>
      </w:r>
      <w:r>
        <w:t>(6), 841-856.</w:t>
      </w:r>
    </w:p>
    <w:sectPr w:rsidR="0092196E">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96E"/>
    <w:rsid w:val="0092196E"/>
    <w:rsid w:val="00C95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79F82"/>
  <w15:docId w15:val="{34A41DC8-2F3F-435C-A01D-25CC03BBC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54F"/>
  </w:style>
  <w:style w:type="paragraph" w:styleId="Heading1">
    <w:name w:val="heading 1"/>
    <w:basedOn w:val="Normal"/>
    <w:next w:val="Normal"/>
    <w:link w:val="Heading1Char"/>
    <w:uiPriority w:val="9"/>
    <w:qFormat/>
    <w:rsid w:val="00B16A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16A5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16A5C"/>
    <w:rPr>
      <w:rFonts w:asciiTheme="majorHAnsi" w:eastAsiaTheme="majorEastAsia" w:hAnsiTheme="majorHAnsi" w:cstheme="majorBidi"/>
      <w:color w:val="2F5496" w:themeColor="accent1" w:themeShade="BF"/>
      <w:sz w:val="32"/>
      <w:szCs w:val="32"/>
    </w:rPr>
  </w:style>
  <w:style w:type="character" w:customStyle="1" w:styleId="TitleChar">
    <w:name w:val="Title Char"/>
    <w:basedOn w:val="DefaultParagraphFont"/>
    <w:link w:val="Title"/>
    <w:uiPriority w:val="10"/>
    <w:rsid w:val="00B16A5C"/>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A657A4"/>
    <w:pPr>
      <w:spacing w:line="259" w:lineRule="auto"/>
      <w:jc w:val="left"/>
      <w:outlineLvl w:val="9"/>
    </w:pPr>
    <w:rPr>
      <w:lang w:val="en-US"/>
    </w:rPr>
  </w:style>
  <w:style w:type="paragraph" w:styleId="TOC1">
    <w:name w:val="toc 1"/>
    <w:basedOn w:val="Normal"/>
    <w:next w:val="Normal"/>
    <w:autoRedefine/>
    <w:uiPriority w:val="39"/>
    <w:unhideWhenUsed/>
    <w:rsid w:val="00A657A4"/>
    <w:pPr>
      <w:spacing w:after="100"/>
    </w:pPr>
  </w:style>
  <w:style w:type="character" w:styleId="Hyperlink">
    <w:name w:val="Hyperlink"/>
    <w:basedOn w:val="DefaultParagraphFont"/>
    <w:uiPriority w:val="99"/>
    <w:unhideWhenUsed/>
    <w:rsid w:val="00A657A4"/>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5Y/fb+wBDeUf4lrHjh9UxqVCfA==">AMUW2mXxBk7FZb8BivwVDltcGB/hc+CkbZwf2xCAElbfWbwvRnly30HAfeYmnqU59N4cCs6wS0Kkl2uSR8zS/GVQeYoEGWCxZK57vhCBnJ86jt7MOvDvekW9TJhJQjUikAPPCr3t+/udJ4Oq+2phpXXD0IWoNapRPrR5BHOZP3pvDeBwFKHLNvM=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2108</Words>
  <Characters>12021</Characters>
  <Application>Microsoft Office Word</Application>
  <DocSecurity>0</DocSecurity>
  <Lines>100</Lines>
  <Paragraphs>28</Paragraphs>
  <ScaleCrop>false</ScaleCrop>
  <Company/>
  <LinksUpToDate>false</LinksUpToDate>
  <CharactersWithSpaces>14101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palak.shah1455@gmail.com</dc:creator>
  <cp:lastModifiedBy>Lilia Triboi</cp:lastModifiedBy>
  <cp:revision>3</cp:revision>
  <dcterms:created xsi:type="dcterms:W3CDTF">2021-07-24T06:10:00Z</dcterms:created>
  <dcterms:modified xsi:type="dcterms:W3CDTF">2021-08-07T16:24:00Z</dcterms:modified>
</cp:coreProperties>
</file>