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C52671" w14:textId="25401B2D" w:rsidR="00FC178C" w:rsidRDefault="00FC178C" w:rsidP="00FC178C">
      <w:pPr>
        <w:spacing w:line="360" w:lineRule="auto"/>
        <w:rPr>
          <w:rFonts w:ascii="Arial" w:hAnsi="Arial" w:cs="Arial"/>
          <w:sz w:val="22"/>
          <w:szCs w:val="22"/>
        </w:rPr>
      </w:pPr>
      <w:r>
        <w:rPr>
          <w:rFonts w:ascii="Arial" w:hAnsi="Arial" w:cs="Arial"/>
          <w:sz w:val="22"/>
          <w:szCs w:val="22"/>
        </w:rPr>
        <w:t xml:space="preserve">As </w:t>
      </w:r>
      <w:r w:rsidR="00554AB2">
        <w:rPr>
          <w:rFonts w:ascii="Arial" w:hAnsi="Arial" w:cs="Arial"/>
          <w:sz w:val="22"/>
          <w:szCs w:val="22"/>
        </w:rPr>
        <w:t>stated</w:t>
      </w:r>
      <w:r>
        <w:rPr>
          <w:rFonts w:ascii="Arial" w:hAnsi="Arial" w:cs="Arial"/>
          <w:sz w:val="22"/>
          <w:szCs w:val="22"/>
        </w:rPr>
        <w:t xml:space="preserve"> by Donaldson (2016), the importance and relevance of pedagogy across a range of schools and the need for high quality teaching is a key theme across the new Curriculum for Wales </w:t>
      </w:r>
      <w:r w:rsidR="003151D0">
        <w:rPr>
          <w:rFonts w:ascii="Arial" w:hAnsi="Arial" w:cs="Arial"/>
          <w:sz w:val="22"/>
          <w:szCs w:val="22"/>
        </w:rPr>
        <w:t xml:space="preserve">that will launch </w:t>
      </w:r>
      <w:r>
        <w:rPr>
          <w:rFonts w:ascii="Arial" w:hAnsi="Arial" w:cs="Arial"/>
          <w:sz w:val="22"/>
          <w:szCs w:val="22"/>
        </w:rPr>
        <w:t xml:space="preserve">in 2022. Within the new curriculum, as proposed and suggested by </w:t>
      </w:r>
      <w:r w:rsidR="003151D0">
        <w:rPr>
          <w:rFonts w:ascii="Arial" w:hAnsi="Arial" w:cs="Arial"/>
          <w:sz w:val="22"/>
          <w:szCs w:val="22"/>
        </w:rPr>
        <w:t xml:space="preserve">Professor Graham </w:t>
      </w:r>
      <w:r>
        <w:rPr>
          <w:rFonts w:ascii="Arial" w:hAnsi="Arial" w:cs="Arial"/>
          <w:sz w:val="22"/>
          <w:szCs w:val="22"/>
        </w:rPr>
        <w:t>Donaldso</w:t>
      </w:r>
      <w:r w:rsidR="006E0109">
        <w:rPr>
          <w:rFonts w:ascii="Arial" w:hAnsi="Arial" w:cs="Arial"/>
          <w:sz w:val="22"/>
          <w:szCs w:val="22"/>
        </w:rPr>
        <w:t>n,</w:t>
      </w:r>
      <w:r>
        <w:rPr>
          <w:rFonts w:ascii="Arial" w:hAnsi="Arial" w:cs="Arial"/>
          <w:sz w:val="22"/>
          <w:szCs w:val="22"/>
        </w:rPr>
        <w:t xml:space="preserve"> is a set of twelve pedagogical principles which are intended to be used when making decisions in terms of learning and specific teaching approaches. </w:t>
      </w:r>
      <w:r w:rsidR="00B94E22">
        <w:rPr>
          <w:rFonts w:ascii="Arial" w:hAnsi="Arial" w:cs="Arial"/>
          <w:sz w:val="22"/>
          <w:szCs w:val="22"/>
        </w:rPr>
        <w:t xml:space="preserve">Each of these principles </w:t>
      </w:r>
      <w:r w:rsidR="003151D0">
        <w:rPr>
          <w:rFonts w:ascii="Arial" w:hAnsi="Arial" w:cs="Arial"/>
          <w:sz w:val="22"/>
          <w:szCs w:val="22"/>
        </w:rPr>
        <w:t xml:space="preserve">will </w:t>
      </w:r>
      <w:r w:rsidR="00B94E22">
        <w:rPr>
          <w:rFonts w:ascii="Arial" w:hAnsi="Arial" w:cs="Arial"/>
          <w:sz w:val="22"/>
          <w:szCs w:val="22"/>
        </w:rPr>
        <w:t>begin with the stem ‘Good Teaching and learning…’</w:t>
      </w:r>
      <w:r w:rsidR="000B427C">
        <w:rPr>
          <w:rFonts w:ascii="Arial" w:hAnsi="Arial" w:cs="Arial"/>
          <w:sz w:val="22"/>
          <w:szCs w:val="22"/>
        </w:rPr>
        <w:t xml:space="preserve"> Also set out within the new curriculum for Wales, and within the Successful Futures report</w:t>
      </w:r>
      <w:r w:rsidR="00554AB2">
        <w:rPr>
          <w:rFonts w:ascii="Arial" w:hAnsi="Arial" w:cs="Arial"/>
          <w:sz w:val="22"/>
          <w:szCs w:val="22"/>
        </w:rPr>
        <w:t xml:space="preserve"> (Donaldson, 2015)</w:t>
      </w:r>
      <w:r w:rsidR="000B427C">
        <w:rPr>
          <w:rFonts w:ascii="Arial" w:hAnsi="Arial" w:cs="Arial"/>
          <w:sz w:val="22"/>
          <w:szCs w:val="22"/>
        </w:rPr>
        <w:t xml:space="preserve"> is the recognition from Welsh Government of the importance of a new curriculum for each child across Wales as this should be a benefit for everyone</w:t>
      </w:r>
      <w:r w:rsidR="003151D0">
        <w:rPr>
          <w:rFonts w:ascii="Arial" w:hAnsi="Arial" w:cs="Arial"/>
          <w:sz w:val="22"/>
          <w:szCs w:val="22"/>
        </w:rPr>
        <w:t xml:space="preserve"> and not the few</w:t>
      </w:r>
      <w:r w:rsidR="000B427C">
        <w:rPr>
          <w:rFonts w:ascii="Arial" w:hAnsi="Arial" w:cs="Arial"/>
          <w:sz w:val="22"/>
          <w:szCs w:val="22"/>
        </w:rPr>
        <w:t xml:space="preserve">. </w:t>
      </w:r>
      <w:r>
        <w:rPr>
          <w:rFonts w:ascii="Arial" w:hAnsi="Arial" w:cs="Arial"/>
          <w:sz w:val="22"/>
          <w:szCs w:val="22"/>
        </w:rPr>
        <w:t>This critical reflection will focus on three of these pedagogical principles and the effects these had on planning and the implementation of lessons across the</w:t>
      </w:r>
      <w:r w:rsidR="00B94E22">
        <w:rPr>
          <w:rFonts w:ascii="Arial" w:hAnsi="Arial" w:cs="Arial"/>
          <w:sz w:val="22"/>
          <w:szCs w:val="22"/>
        </w:rPr>
        <w:t xml:space="preserve"> Professional Teaching Experience 1</w:t>
      </w:r>
      <w:r>
        <w:rPr>
          <w:rFonts w:ascii="Arial" w:hAnsi="Arial" w:cs="Arial"/>
          <w:sz w:val="22"/>
          <w:szCs w:val="22"/>
        </w:rPr>
        <w:t xml:space="preserve"> </w:t>
      </w:r>
      <w:r w:rsidR="00B94E22">
        <w:rPr>
          <w:rFonts w:ascii="Arial" w:hAnsi="Arial" w:cs="Arial"/>
          <w:sz w:val="22"/>
          <w:szCs w:val="22"/>
        </w:rPr>
        <w:t>(</w:t>
      </w:r>
      <w:r>
        <w:rPr>
          <w:rFonts w:ascii="Arial" w:hAnsi="Arial" w:cs="Arial"/>
          <w:sz w:val="22"/>
          <w:szCs w:val="22"/>
        </w:rPr>
        <w:t>PTE1</w:t>
      </w:r>
      <w:r w:rsidR="00B94E22">
        <w:rPr>
          <w:rFonts w:ascii="Arial" w:hAnsi="Arial" w:cs="Arial"/>
          <w:sz w:val="22"/>
          <w:szCs w:val="22"/>
        </w:rPr>
        <w:t>)</w:t>
      </w:r>
      <w:r>
        <w:rPr>
          <w:rFonts w:ascii="Arial" w:hAnsi="Arial" w:cs="Arial"/>
          <w:sz w:val="22"/>
          <w:szCs w:val="22"/>
        </w:rPr>
        <w:t xml:space="preserve">. </w:t>
      </w:r>
      <w:r w:rsidR="00554AB2">
        <w:rPr>
          <w:rFonts w:ascii="Arial" w:hAnsi="Arial" w:cs="Arial"/>
          <w:sz w:val="22"/>
          <w:szCs w:val="22"/>
        </w:rPr>
        <w:t xml:space="preserve">Within PTE1, I had the pleasure of teaching and working with a mixed year three and four class within the Key Stage 2 </w:t>
      </w:r>
      <w:r w:rsidR="003151D0">
        <w:rPr>
          <w:rFonts w:ascii="Arial" w:hAnsi="Arial" w:cs="Arial"/>
          <w:sz w:val="22"/>
          <w:szCs w:val="22"/>
        </w:rPr>
        <w:t>area</w:t>
      </w:r>
      <w:r w:rsidR="00554AB2">
        <w:rPr>
          <w:rFonts w:ascii="Arial" w:hAnsi="Arial" w:cs="Arial"/>
          <w:sz w:val="22"/>
          <w:szCs w:val="22"/>
        </w:rPr>
        <w:t xml:space="preserve"> of a primary school within South Wales. </w:t>
      </w:r>
      <w:r>
        <w:rPr>
          <w:rFonts w:ascii="Arial" w:hAnsi="Arial" w:cs="Arial"/>
          <w:sz w:val="22"/>
          <w:szCs w:val="22"/>
        </w:rPr>
        <w:t xml:space="preserve">The three pedagogical principles that will be analysed and reflected include the principle of using assessment for learning to accelerate progress, to reinforce cross curricular responsibilities that include literacy, numeracy and digital competence and to create authentic contexts for learning. </w:t>
      </w:r>
      <w:r w:rsidR="00554AB2">
        <w:rPr>
          <w:rFonts w:ascii="Arial" w:hAnsi="Arial" w:cs="Arial"/>
          <w:sz w:val="22"/>
          <w:szCs w:val="22"/>
        </w:rPr>
        <w:t xml:space="preserve">This reflection will critically reflect on the </w:t>
      </w:r>
      <w:r w:rsidR="003151D0">
        <w:rPr>
          <w:rFonts w:ascii="Arial" w:hAnsi="Arial" w:cs="Arial"/>
          <w:sz w:val="22"/>
          <w:szCs w:val="22"/>
        </w:rPr>
        <w:t xml:space="preserve">pedagogical </w:t>
      </w:r>
      <w:r w:rsidR="00554AB2">
        <w:rPr>
          <w:rFonts w:ascii="Arial" w:hAnsi="Arial" w:cs="Arial"/>
          <w:sz w:val="22"/>
          <w:szCs w:val="22"/>
        </w:rPr>
        <w:t xml:space="preserve">principles </w:t>
      </w:r>
      <w:r w:rsidR="003151D0">
        <w:rPr>
          <w:rFonts w:ascii="Arial" w:hAnsi="Arial" w:cs="Arial"/>
          <w:sz w:val="22"/>
          <w:szCs w:val="22"/>
        </w:rPr>
        <w:t xml:space="preserve">impact </w:t>
      </w:r>
      <w:r w:rsidR="00554AB2">
        <w:rPr>
          <w:rFonts w:ascii="Arial" w:hAnsi="Arial" w:cs="Arial"/>
          <w:sz w:val="22"/>
          <w:szCs w:val="22"/>
        </w:rPr>
        <w:t>on my personal lesson planning</w:t>
      </w:r>
      <w:r w:rsidR="003151D0">
        <w:rPr>
          <w:rFonts w:ascii="Arial" w:hAnsi="Arial" w:cs="Arial"/>
          <w:sz w:val="22"/>
          <w:szCs w:val="22"/>
        </w:rPr>
        <w:t xml:space="preserve"> and lessons taught, including some possible recommendations for improvement for future lessons</w:t>
      </w:r>
      <w:r w:rsidR="00554AB2">
        <w:rPr>
          <w:rFonts w:ascii="Arial" w:hAnsi="Arial" w:cs="Arial"/>
          <w:sz w:val="22"/>
          <w:szCs w:val="22"/>
        </w:rPr>
        <w:t xml:space="preserve">. </w:t>
      </w:r>
      <w:r w:rsidR="00B94E22">
        <w:rPr>
          <w:rFonts w:ascii="Arial" w:hAnsi="Arial" w:cs="Arial"/>
          <w:sz w:val="22"/>
          <w:szCs w:val="22"/>
        </w:rPr>
        <w:t xml:space="preserve">The use of being critical and reflection on own practice is crucial within the profession of teaching, and having </w:t>
      </w:r>
      <w:r w:rsidR="003151D0">
        <w:rPr>
          <w:rFonts w:ascii="Arial" w:hAnsi="Arial" w:cs="Arial"/>
          <w:sz w:val="22"/>
          <w:szCs w:val="22"/>
        </w:rPr>
        <w:t xml:space="preserve">a </w:t>
      </w:r>
      <w:r w:rsidR="00B94E22">
        <w:rPr>
          <w:rFonts w:ascii="Arial" w:hAnsi="Arial" w:cs="Arial"/>
          <w:sz w:val="22"/>
          <w:szCs w:val="22"/>
        </w:rPr>
        <w:t xml:space="preserve">reflective approach is an element </w:t>
      </w:r>
      <w:r w:rsidR="006E0109">
        <w:rPr>
          <w:rFonts w:ascii="Arial" w:hAnsi="Arial" w:cs="Arial"/>
          <w:sz w:val="22"/>
          <w:szCs w:val="22"/>
        </w:rPr>
        <w:t xml:space="preserve">crucial to the teaching profession for many years (Zeichner, 1987). </w:t>
      </w:r>
    </w:p>
    <w:p w14:paraId="3B2B024F" w14:textId="7C0464C4" w:rsidR="006E0109" w:rsidRDefault="006E0109" w:rsidP="00FC178C">
      <w:pPr>
        <w:spacing w:line="360" w:lineRule="auto"/>
        <w:rPr>
          <w:rFonts w:ascii="Arial" w:hAnsi="Arial" w:cs="Arial"/>
          <w:sz w:val="22"/>
          <w:szCs w:val="22"/>
        </w:rPr>
      </w:pPr>
    </w:p>
    <w:p w14:paraId="792CF299" w14:textId="34042806" w:rsidR="00C53257" w:rsidRDefault="006E0109" w:rsidP="00FC178C">
      <w:pPr>
        <w:spacing w:line="360" w:lineRule="auto"/>
        <w:rPr>
          <w:rFonts w:ascii="Arial" w:hAnsi="Arial" w:cs="Arial"/>
          <w:sz w:val="22"/>
          <w:szCs w:val="22"/>
        </w:rPr>
      </w:pPr>
      <w:r>
        <w:rPr>
          <w:rFonts w:ascii="Arial" w:hAnsi="Arial" w:cs="Arial"/>
          <w:sz w:val="22"/>
          <w:szCs w:val="22"/>
        </w:rPr>
        <w:t>The first pedagogical principle that will be analysed and critically reflected</w:t>
      </w:r>
      <w:r w:rsidR="003151D0">
        <w:rPr>
          <w:rFonts w:ascii="Arial" w:hAnsi="Arial" w:cs="Arial"/>
          <w:sz w:val="22"/>
          <w:szCs w:val="22"/>
        </w:rPr>
        <w:t xml:space="preserve"> upon</w:t>
      </w:r>
      <w:r>
        <w:rPr>
          <w:rFonts w:ascii="Arial" w:hAnsi="Arial" w:cs="Arial"/>
          <w:sz w:val="22"/>
          <w:szCs w:val="22"/>
        </w:rPr>
        <w:t xml:space="preserve"> is </w:t>
      </w:r>
      <w:r w:rsidR="00DB6BA0">
        <w:rPr>
          <w:rFonts w:ascii="Arial" w:hAnsi="Arial" w:cs="Arial"/>
          <w:sz w:val="22"/>
          <w:szCs w:val="22"/>
        </w:rPr>
        <w:t xml:space="preserve">that of </w:t>
      </w:r>
      <w:r w:rsidR="008C278E">
        <w:rPr>
          <w:rFonts w:ascii="Arial" w:hAnsi="Arial" w:cs="Arial"/>
          <w:sz w:val="22"/>
          <w:szCs w:val="22"/>
        </w:rPr>
        <w:t>“</w:t>
      </w:r>
      <w:r w:rsidR="00DB6BA0">
        <w:rPr>
          <w:rFonts w:ascii="Arial" w:hAnsi="Arial" w:cs="Arial"/>
          <w:sz w:val="22"/>
          <w:szCs w:val="22"/>
        </w:rPr>
        <w:t>Good Teaching and Learning means employing assessment for learning principles</w:t>
      </w:r>
      <w:r w:rsidR="008C278E">
        <w:rPr>
          <w:rFonts w:ascii="Arial" w:hAnsi="Arial" w:cs="Arial"/>
          <w:sz w:val="22"/>
          <w:szCs w:val="22"/>
        </w:rPr>
        <w:t>”</w:t>
      </w:r>
      <w:r w:rsidR="000B427C">
        <w:rPr>
          <w:rFonts w:ascii="Arial" w:hAnsi="Arial" w:cs="Arial"/>
          <w:sz w:val="22"/>
          <w:szCs w:val="22"/>
        </w:rPr>
        <w:t xml:space="preserve"> (Donaldson, 2015</w:t>
      </w:r>
      <w:r w:rsidR="008C278E">
        <w:rPr>
          <w:rFonts w:ascii="Arial" w:hAnsi="Arial" w:cs="Arial"/>
          <w:sz w:val="22"/>
          <w:szCs w:val="22"/>
        </w:rPr>
        <w:t>: 67</w:t>
      </w:r>
      <w:r w:rsidR="000B427C">
        <w:rPr>
          <w:rFonts w:ascii="Arial" w:hAnsi="Arial" w:cs="Arial"/>
          <w:sz w:val="22"/>
          <w:szCs w:val="22"/>
        </w:rPr>
        <w:t xml:space="preserve">). </w:t>
      </w:r>
      <w:r w:rsidR="006F6044">
        <w:rPr>
          <w:rFonts w:ascii="Arial" w:hAnsi="Arial" w:cs="Arial"/>
          <w:sz w:val="22"/>
          <w:szCs w:val="22"/>
        </w:rPr>
        <w:t>Stiggins (2002) argues that Assessment For Learning must involve students within its process and that it is far more than testing a pupil, leaners keep learning throughout its process and unlike testing</w:t>
      </w:r>
      <w:r w:rsidR="003151D0">
        <w:rPr>
          <w:rFonts w:ascii="Arial" w:hAnsi="Arial" w:cs="Arial"/>
          <w:sz w:val="22"/>
          <w:szCs w:val="22"/>
        </w:rPr>
        <w:t>,</w:t>
      </w:r>
      <w:r w:rsidR="006F6044">
        <w:rPr>
          <w:rFonts w:ascii="Arial" w:hAnsi="Arial" w:cs="Arial"/>
          <w:sz w:val="22"/>
          <w:szCs w:val="22"/>
        </w:rPr>
        <w:t xml:space="preserve"> don’t give up in frustration. </w:t>
      </w:r>
      <w:r w:rsidR="00C37C14">
        <w:rPr>
          <w:rFonts w:ascii="Arial" w:hAnsi="Arial" w:cs="Arial"/>
          <w:sz w:val="22"/>
          <w:szCs w:val="22"/>
        </w:rPr>
        <w:t xml:space="preserve">Jones (2005) expands on this noting that assessment for learning encompasses the ability of all learners understanding </w:t>
      </w:r>
      <w:r w:rsidR="003151D0">
        <w:rPr>
          <w:rFonts w:ascii="Arial" w:hAnsi="Arial" w:cs="Arial"/>
          <w:sz w:val="22"/>
          <w:szCs w:val="22"/>
        </w:rPr>
        <w:t>of</w:t>
      </w:r>
      <w:r w:rsidR="00C37C14">
        <w:rPr>
          <w:rFonts w:ascii="Arial" w:hAnsi="Arial" w:cs="Arial"/>
          <w:sz w:val="22"/>
          <w:szCs w:val="22"/>
        </w:rPr>
        <w:t xml:space="preserve"> their progress within lessons, which </w:t>
      </w:r>
      <w:r w:rsidR="003151D0">
        <w:rPr>
          <w:rFonts w:ascii="Arial" w:hAnsi="Arial" w:cs="Arial"/>
          <w:sz w:val="22"/>
          <w:szCs w:val="22"/>
        </w:rPr>
        <w:t xml:space="preserve">will </w:t>
      </w:r>
      <w:r w:rsidR="00C37C14">
        <w:rPr>
          <w:rFonts w:ascii="Arial" w:hAnsi="Arial" w:cs="Arial"/>
          <w:sz w:val="22"/>
          <w:szCs w:val="22"/>
        </w:rPr>
        <w:t xml:space="preserve">empower improvement in progress. </w:t>
      </w:r>
      <w:r w:rsidR="00554AB2">
        <w:rPr>
          <w:rFonts w:ascii="Arial" w:hAnsi="Arial" w:cs="Arial"/>
          <w:sz w:val="22"/>
          <w:szCs w:val="22"/>
        </w:rPr>
        <w:t xml:space="preserve">Before embarking on PTE1 and whilst beginning the PGCE course, I was aware of the importance and place </w:t>
      </w:r>
      <w:r w:rsidR="003151D0">
        <w:rPr>
          <w:rFonts w:ascii="Arial" w:hAnsi="Arial" w:cs="Arial"/>
          <w:sz w:val="22"/>
          <w:szCs w:val="22"/>
        </w:rPr>
        <w:t>of</w:t>
      </w:r>
      <w:r w:rsidR="00554AB2">
        <w:rPr>
          <w:rFonts w:ascii="Arial" w:hAnsi="Arial" w:cs="Arial"/>
          <w:sz w:val="22"/>
          <w:szCs w:val="22"/>
        </w:rPr>
        <w:t xml:space="preserve"> Assessment for Learning (AfL) within the classroom and lessons, both for the benefit of learners and the teachers. From personal research into AfL before starting placement, from sources such as Black and William (1998)</w:t>
      </w:r>
      <w:r w:rsidR="003151D0">
        <w:rPr>
          <w:rFonts w:ascii="Arial" w:hAnsi="Arial" w:cs="Arial"/>
          <w:sz w:val="22"/>
          <w:szCs w:val="22"/>
        </w:rPr>
        <w:t>,</w:t>
      </w:r>
      <w:r w:rsidR="00C53257">
        <w:rPr>
          <w:rFonts w:ascii="Arial" w:hAnsi="Arial" w:cs="Arial"/>
          <w:sz w:val="22"/>
          <w:szCs w:val="22"/>
        </w:rPr>
        <w:t xml:space="preserve"> it became clear that learning is driven by what teachers and learners do in the classroom, and that this time in the classroom is therefore crucial. Furthermore, the choice of task and activities within lessons are crucial for all learners. Although there are endless amounts of literature in accordance with AfL and its importance for learners and the progress of learners, I wasn’t </w:t>
      </w:r>
      <w:r w:rsidR="00C53257">
        <w:rPr>
          <w:rFonts w:ascii="Arial" w:hAnsi="Arial" w:cs="Arial"/>
          <w:sz w:val="22"/>
          <w:szCs w:val="22"/>
        </w:rPr>
        <w:lastRenderedPageBreak/>
        <w:t xml:space="preserve">particularly sure on how I could use it within my lessons and how the learners would deal with possibly new strategies for learning and therefore new types of lessons. Another concern in terms of the use of AfL at the beginning of PTE1 was the </w:t>
      </w:r>
      <w:r w:rsidR="00D61CF4">
        <w:rPr>
          <w:rFonts w:ascii="Arial" w:hAnsi="Arial" w:cs="Arial"/>
          <w:sz w:val="22"/>
          <w:szCs w:val="22"/>
        </w:rPr>
        <w:t>overall planning. Whilst planning lessons for the first time, I would over</w:t>
      </w:r>
      <w:r w:rsidR="00EC748A">
        <w:rPr>
          <w:rFonts w:ascii="Arial" w:hAnsi="Arial" w:cs="Arial"/>
          <w:sz w:val="22"/>
          <w:szCs w:val="22"/>
        </w:rPr>
        <w:t xml:space="preserve">-plan for lessons and time would run short, leaving no time for some possible AfL strategies or to finish possible tasks. As noted by Haynes (2007), and an element experienced by </w:t>
      </w:r>
      <w:r w:rsidR="008D7421">
        <w:rPr>
          <w:rFonts w:ascii="Arial" w:hAnsi="Arial" w:cs="Arial"/>
          <w:sz w:val="22"/>
          <w:szCs w:val="22"/>
        </w:rPr>
        <w:t>me</w:t>
      </w:r>
      <w:r w:rsidR="00EC748A">
        <w:rPr>
          <w:rFonts w:ascii="Arial" w:hAnsi="Arial" w:cs="Arial"/>
          <w:sz w:val="22"/>
          <w:szCs w:val="22"/>
        </w:rPr>
        <w:t xml:space="preserve"> at the beginning of PTE, was that for </w:t>
      </w:r>
      <w:r w:rsidR="003151D0">
        <w:rPr>
          <w:rFonts w:ascii="Arial" w:hAnsi="Arial" w:cs="Arial"/>
          <w:sz w:val="22"/>
          <w:szCs w:val="22"/>
        </w:rPr>
        <w:t xml:space="preserve">many </w:t>
      </w:r>
      <w:r w:rsidR="00EC748A">
        <w:rPr>
          <w:rFonts w:ascii="Arial" w:hAnsi="Arial" w:cs="Arial"/>
          <w:sz w:val="22"/>
          <w:szCs w:val="22"/>
        </w:rPr>
        <w:t xml:space="preserve">trainee teachers, one of the most common issues with planning lessons is to wrongly estimate the time an activity may take. </w:t>
      </w:r>
    </w:p>
    <w:p w14:paraId="4EA803A3" w14:textId="1EA06972" w:rsidR="005A11AD" w:rsidRDefault="005A11AD" w:rsidP="00FC178C">
      <w:pPr>
        <w:spacing w:line="360" w:lineRule="auto"/>
        <w:rPr>
          <w:rFonts w:ascii="Arial" w:hAnsi="Arial" w:cs="Arial"/>
          <w:sz w:val="22"/>
          <w:szCs w:val="22"/>
        </w:rPr>
      </w:pPr>
    </w:p>
    <w:p w14:paraId="0AF9FD1B" w14:textId="29ACEF86" w:rsidR="005A11AD" w:rsidRDefault="005A11AD" w:rsidP="00FC178C">
      <w:pPr>
        <w:spacing w:line="360" w:lineRule="auto"/>
        <w:rPr>
          <w:rFonts w:ascii="Arial" w:hAnsi="Arial" w:cs="Arial"/>
          <w:sz w:val="22"/>
          <w:szCs w:val="22"/>
        </w:rPr>
      </w:pPr>
      <w:r>
        <w:rPr>
          <w:rFonts w:ascii="Arial" w:hAnsi="Arial" w:cs="Arial"/>
          <w:sz w:val="22"/>
          <w:szCs w:val="22"/>
        </w:rPr>
        <w:t xml:space="preserve">As the time on placement developed, and I had spent more time teaching, AfL become an element of teaching that I enjoyed and also ensured </w:t>
      </w:r>
      <w:r w:rsidR="003151D0">
        <w:rPr>
          <w:rFonts w:ascii="Arial" w:hAnsi="Arial" w:cs="Arial"/>
          <w:sz w:val="22"/>
          <w:szCs w:val="22"/>
        </w:rPr>
        <w:t>adequate</w:t>
      </w:r>
      <w:r>
        <w:rPr>
          <w:rFonts w:ascii="Arial" w:hAnsi="Arial" w:cs="Arial"/>
          <w:sz w:val="22"/>
          <w:szCs w:val="22"/>
        </w:rPr>
        <w:t xml:space="preserve"> time was spent on it. Whilst implementing different strategies it was clear that with </w:t>
      </w:r>
      <w:r w:rsidR="00424AEE">
        <w:rPr>
          <w:rFonts w:ascii="Arial" w:hAnsi="Arial" w:cs="Arial"/>
          <w:sz w:val="22"/>
          <w:szCs w:val="22"/>
        </w:rPr>
        <w:t>this</w:t>
      </w:r>
      <w:r>
        <w:rPr>
          <w:rFonts w:ascii="Arial" w:hAnsi="Arial" w:cs="Arial"/>
          <w:sz w:val="22"/>
          <w:szCs w:val="22"/>
        </w:rPr>
        <w:t xml:space="preserve"> particular class, some strategies worked better than others such as the use of ‘Two stars and a Wish’. I believe that this worked well as it was a strategy</w:t>
      </w:r>
      <w:r w:rsidR="00D80C96">
        <w:rPr>
          <w:rFonts w:ascii="Arial" w:hAnsi="Arial" w:cs="Arial"/>
          <w:sz w:val="22"/>
          <w:szCs w:val="22"/>
        </w:rPr>
        <w:t xml:space="preserve"> the class were familiar</w:t>
      </w:r>
      <w:r>
        <w:rPr>
          <w:rFonts w:ascii="Arial" w:hAnsi="Arial" w:cs="Arial"/>
          <w:sz w:val="22"/>
          <w:szCs w:val="22"/>
        </w:rPr>
        <w:t xml:space="preserve"> </w:t>
      </w:r>
      <w:r w:rsidR="00D80C96">
        <w:rPr>
          <w:rFonts w:ascii="Arial" w:hAnsi="Arial" w:cs="Arial"/>
          <w:sz w:val="22"/>
          <w:szCs w:val="22"/>
        </w:rPr>
        <w:t>with</w:t>
      </w:r>
      <w:r>
        <w:rPr>
          <w:rFonts w:ascii="Arial" w:hAnsi="Arial" w:cs="Arial"/>
          <w:sz w:val="22"/>
          <w:szCs w:val="22"/>
        </w:rPr>
        <w:t xml:space="preserve"> </w:t>
      </w:r>
      <w:r w:rsidR="00424AEE">
        <w:rPr>
          <w:rFonts w:ascii="Arial" w:hAnsi="Arial" w:cs="Arial"/>
          <w:sz w:val="22"/>
          <w:szCs w:val="22"/>
        </w:rPr>
        <w:t xml:space="preserve">from </w:t>
      </w:r>
      <w:r>
        <w:rPr>
          <w:rFonts w:ascii="Arial" w:hAnsi="Arial" w:cs="Arial"/>
          <w:sz w:val="22"/>
          <w:szCs w:val="22"/>
        </w:rPr>
        <w:t>their original class teacher</w:t>
      </w:r>
      <w:r w:rsidR="00D80C96">
        <w:rPr>
          <w:rFonts w:ascii="Arial" w:hAnsi="Arial" w:cs="Arial"/>
          <w:sz w:val="22"/>
          <w:szCs w:val="22"/>
        </w:rPr>
        <w:t xml:space="preserve"> and they were also fond of discussion as a whole class in accordance with their work and the development of others. This type of example can be seen within the Illustrative Evidence One, where pupils were learning and recapping their knowledge on verbs and adjectives within an English lesson. When using the method of ‘Two Stars and a Wish’, this was mostly used towards the end of the lesson as pupils could evaluate their learning as a whole</w:t>
      </w:r>
      <w:r w:rsidR="00424AEE">
        <w:rPr>
          <w:rFonts w:ascii="Arial" w:hAnsi="Arial" w:cs="Arial"/>
          <w:sz w:val="22"/>
          <w:szCs w:val="22"/>
        </w:rPr>
        <w:t>.</w:t>
      </w:r>
      <w:r w:rsidR="00D80C96">
        <w:rPr>
          <w:rFonts w:ascii="Arial" w:hAnsi="Arial" w:cs="Arial"/>
          <w:sz w:val="22"/>
          <w:szCs w:val="22"/>
        </w:rPr>
        <w:t xml:space="preserve"> </w:t>
      </w:r>
      <w:r w:rsidR="00424AEE">
        <w:rPr>
          <w:rFonts w:ascii="Arial" w:hAnsi="Arial" w:cs="Arial"/>
          <w:sz w:val="22"/>
          <w:szCs w:val="22"/>
        </w:rPr>
        <w:t>At</w:t>
      </w:r>
      <w:r w:rsidR="00D80C96">
        <w:rPr>
          <w:rFonts w:ascii="Arial" w:hAnsi="Arial" w:cs="Arial"/>
          <w:sz w:val="22"/>
          <w:szCs w:val="22"/>
        </w:rPr>
        <w:t xml:space="preserve"> times it was useful to use over the whole lesson and towards the end pupils could compare their knowledge at different stages of the lesson</w:t>
      </w:r>
      <w:r w:rsidR="00424AEE">
        <w:rPr>
          <w:rFonts w:ascii="Arial" w:hAnsi="Arial" w:cs="Arial"/>
          <w:sz w:val="22"/>
          <w:szCs w:val="22"/>
        </w:rPr>
        <w:t xml:space="preserve"> when the AfL activity was carried out</w:t>
      </w:r>
      <w:r w:rsidR="003151D0">
        <w:rPr>
          <w:rFonts w:ascii="Arial" w:hAnsi="Arial" w:cs="Arial"/>
          <w:sz w:val="22"/>
          <w:szCs w:val="22"/>
        </w:rPr>
        <w:t xml:space="preserve">. When discussing the whole class’ progression within the lesson, many pupils used this as a useful tool </w:t>
      </w:r>
      <w:r w:rsidR="00424AEE">
        <w:rPr>
          <w:rFonts w:ascii="Arial" w:hAnsi="Arial" w:cs="Arial"/>
          <w:sz w:val="22"/>
          <w:szCs w:val="22"/>
        </w:rPr>
        <w:t>when</w:t>
      </w:r>
      <w:r w:rsidR="003151D0">
        <w:rPr>
          <w:rFonts w:ascii="Arial" w:hAnsi="Arial" w:cs="Arial"/>
          <w:sz w:val="22"/>
          <w:szCs w:val="22"/>
        </w:rPr>
        <w:t xml:space="preserve"> </w:t>
      </w:r>
      <w:r w:rsidR="00424AEE">
        <w:rPr>
          <w:rFonts w:ascii="Arial" w:hAnsi="Arial" w:cs="Arial"/>
          <w:sz w:val="22"/>
          <w:szCs w:val="22"/>
        </w:rPr>
        <w:t>motivating</w:t>
      </w:r>
      <w:r w:rsidR="003151D0">
        <w:rPr>
          <w:rFonts w:ascii="Arial" w:hAnsi="Arial" w:cs="Arial"/>
          <w:sz w:val="22"/>
          <w:szCs w:val="22"/>
        </w:rPr>
        <w:t xml:space="preserve"> and </w:t>
      </w:r>
      <w:r w:rsidR="00424AEE">
        <w:rPr>
          <w:rFonts w:ascii="Arial" w:hAnsi="Arial" w:cs="Arial"/>
          <w:sz w:val="22"/>
          <w:szCs w:val="22"/>
        </w:rPr>
        <w:t>supporting</w:t>
      </w:r>
      <w:r w:rsidR="003151D0">
        <w:rPr>
          <w:rFonts w:ascii="Arial" w:hAnsi="Arial" w:cs="Arial"/>
          <w:sz w:val="22"/>
          <w:szCs w:val="22"/>
        </w:rPr>
        <w:t xml:space="preserve"> their learning. Ritte-Johnson</w:t>
      </w:r>
      <w:r w:rsidR="00504947">
        <w:rPr>
          <w:rFonts w:ascii="Arial" w:hAnsi="Arial" w:cs="Arial"/>
          <w:sz w:val="22"/>
          <w:szCs w:val="22"/>
        </w:rPr>
        <w:t xml:space="preserve">, </w:t>
      </w:r>
      <w:r w:rsidR="003151D0">
        <w:rPr>
          <w:rFonts w:ascii="Arial" w:hAnsi="Arial" w:cs="Arial"/>
          <w:sz w:val="22"/>
          <w:szCs w:val="22"/>
        </w:rPr>
        <w:t>Star</w:t>
      </w:r>
      <w:r w:rsidR="00504947">
        <w:rPr>
          <w:rFonts w:ascii="Arial" w:hAnsi="Arial" w:cs="Arial"/>
          <w:sz w:val="22"/>
          <w:szCs w:val="22"/>
        </w:rPr>
        <w:t xml:space="preserve"> and Durkin</w:t>
      </w:r>
      <w:r w:rsidR="003151D0">
        <w:rPr>
          <w:rFonts w:ascii="Arial" w:hAnsi="Arial" w:cs="Arial"/>
          <w:sz w:val="22"/>
          <w:szCs w:val="22"/>
        </w:rPr>
        <w:t xml:space="preserve"> (2009) agreed with this notion, stating that when comparing examples of work or </w:t>
      </w:r>
      <w:r w:rsidR="00424AEE">
        <w:rPr>
          <w:rFonts w:ascii="Arial" w:hAnsi="Arial" w:cs="Arial"/>
          <w:sz w:val="22"/>
          <w:szCs w:val="22"/>
        </w:rPr>
        <w:t>progression</w:t>
      </w:r>
      <w:r w:rsidR="003151D0">
        <w:rPr>
          <w:rFonts w:ascii="Arial" w:hAnsi="Arial" w:cs="Arial"/>
          <w:sz w:val="22"/>
          <w:szCs w:val="22"/>
        </w:rPr>
        <w:t xml:space="preserve">, pupils learning is supported and also continues to develop as we all learn from one another. </w:t>
      </w:r>
    </w:p>
    <w:p w14:paraId="3788EDE1" w14:textId="1B1A906E" w:rsidR="00D80C96" w:rsidRDefault="00D80C96" w:rsidP="00FC178C">
      <w:pPr>
        <w:spacing w:line="360" w:lineRule="auto"/>
        <w:rPr>
          <w:rFonts w:ascii="Arial" w:hAnsi="Arial" w:cs="Arial"/>
          <w:sz w:val="22"/>
          <w:szCs w:val="22"/>
        </w:rPr>
      </w:pPr>
    </w:p>
    <w:p w14:paraId="65238E92" w14:textId="5BE96EF4" w:rsidR="00D80C96" w:rsidRDefault="00D80C96" w:rsidP="00FC178C">
      <w:pPr>
        <w:spacing w:line="360" w:lineRule="auto"/>
        <w:rPr>
          <w:rFonts w:ascii="Arial" w:hAnsi="Arial" w:cs="Arial"/>
          <w:sz w:val="22"/>
          <w:szCs w:val="22"/>
        </w:rPr>
      </w:pPr>
      <w:r>
        <w:rPr>
          <w:rFonts w:ascii="Arial" w:hAnsi="Arial" w:cs="Arial"/>
          <w:sz w:val="22"/>
          <w:szCs w:val="22"/>
        </w:rPr>
        <w:t xml:space="preserve">Whilst on placement, </w:t>
      </w:r>
      <w:r w:rsidR="005567E8">
        <w:rPr>
          <w:rFonts w:ascii="Arial" w:hAnsi="Arial" w:cs="Arial"/>
          <w:sz w:val="22"/>
          <w:szCs w:val="22"/>
        </w:rPr>
        <w:t xml:space="preserve">my knowledge and understanding of the learners expanded and a personal understanding of their individual needs </w:t>
      </w:r>
      <w:r w:rsidR="00424AEE">
        <w:rPr>
          <w:rFonts w:ascii="Arial" w:hAnsi="Arial" w:cs="Arial"/>
          <w:sz w:val="22"/>
          <w:szCs w:val="22"/>
        </w:rPr>
        <w:t xml:space="preserve">also </w:t>
      </w:r>
      <w:r w:rsidR="00D83940">
        <w:rPr>
          <w:rFonts w:ascii="Arial" w:hAnsi="Arial" w:cs="Arial"/>
          <w:sz w:val="22"/>
          <w:szCs w:val="22"/>
        </w:rPr>
        <w:t>developed</w:t>
      </w:r>
      <w:r w:rsidR="008C278E">
        <w:rPr>
          <w:rFonts w:ascii="Arial" w:hAnsi="Arial" w:cs="Arial"/>
          <w:sz w:val="22"/>
          <w:szCs w:val="22"/>
        </w:rPr>
        <w:t>. Through this,</w:t>
      </w:r>
      <w:r w:rsidR="005567E8">
        <w:rPr>
          <w:rFonts w:ascii="Arial" w:hAnsi="Arial" w:cs="Arial"/>
          <w:sz w:val="22"/>
          <w:szCs w:val="22"/>
        </w:rPr>
        <w:t xml:space="preserve"> I was able to target specific questioning techniques towards the class as a whole and tailored to each individual. </w:t>
      </w:r>
      <w:r w:rsidR="00A90A22">
        <w:rPr>
          <w:rFonts w:ascii="Arial" w:hAnsi="Arial" w:cs="Arial"/>
          <w:sz w:val="22"/>
          <w:szCs w:val="22"/>
        </w:rPr>
        <w:t xml:space="preserve">As noted by Perrott (2014), for all teachers there is pressure placed on knowing each pupil within the class for their individual needs, likes and dislikes and overall </w:t>
      </w:r>
      <w:r w:rsidR="007778D0">
        <w:rPr>
          <w:rFonts w:ascii="Arial" w:hAnsi="Arial" w:cs="Arial"/>
          <w:sz w:val="22"/>
          <w:szCs w:val="22"/>
        </w:rPr>
        <w:t xml:space="preserve">self within the classroom </w:t>
      </w:r>
      <w:r w:rsidR="00424AEE">
        <w:rPr>
          <w:rFonts w:ascii="Arial" w:hAnsi="Arial" w:cs="Arial"/>
          <w:sz w:val="22"/>
          <w:szCs w:val="22"/>
        </w:rPr>
        <w:t>in accordance</w:t>
      </w:r>
      <w:r w:rsidR="007778D0">
        <w:rPr>
          <w:rFonts w:ascii="Arial" w:hAnsi="Arial" w:cs="Arial"/>
          <w:sz w:val="22"/>
          <w:szCs w:val="22"/>
        </w:rPr>
        <w:t xml:space="preserve"> </w:t>
      </w:r>
      <w:r w:rsidR="00424AEE">
        <w:rPr>
          <w:rFonts w:ascii="Arial" w:hAnsi="Arial" w:cs="Arial"/>
          <w:sz w:val="22"/>
          <w:szCs w:val="22"/>
        </w:rPr>
        <w:t>with</w:t>
      </w:r>
      <w:r w:rsidR="007778D0">
        <w:rPr>
          <w:rFonts w:ascii="Arial" w:hAnsi="Arial" w:cs="Arial"/>
          <w:sz w:val="22"/>
          <w:szCs w:val="22"/>
        </w:rPr>
        <w:t xml:space="preserve"> planning and the implementation of </w:t>
      </w:r>
      <w:r w:rsidR="00424AEE">
        <w:rPr>
          <w:rFonts w:ascii="Arial" w:hAnsi="Arial" w:cs="Arial"/>
          <w:sz w:val="22"/>
          <w:szCs w:val="22"/>
        </w:rPr>
        <w:t xml:space="preserve">different </w:t>
      </w:r>
      <w:r w:rsidR="007778D0">
        <w:rPr>
          <w:rFonts w:ascii="Arial" w:hAnsi="Arial" w:cs="Arial"/>
          <w:sz w:val="22"/>
          <w:szCs w:val="22"/>
        </w:rPr>
        <w:t xml:space="preserve">lessons. Through knowing the pupils well, it became simpler for me to implement different strategies of AfL throughout a range of lessons effectively. </w:t>
      </w:r>
      <w:r w:rsidR="0017738A">
        <w:rPr>
          <w:rFonts w:ascii="Arial" w:hAnsi="Arial" w:cs="Arial"/>
          <w:sz w:val="22"/>
          <w:szCs w:val="22"/>
        </w:rPr>
        <w:t>During my time on PTE, the importance of questioning became apparent during a number of different lessons, and within lessons plans examples of some things I intended to ask were included</w:t>
      </w:r>
      <w:r w:rsidR="00F37E2A">
        <w:rPr>
          <w:rFonts w:ascii="Arial" w:hAnsi="Arial" w:cs="Arial"/>
          <w:sz w:val="22"/>
          <w:szCs w:val="22"/>
        </w:rPr>
        <w:t xml:space="preserve">. Examples of this can be seen within </w:t>
      </w:r>
      <w:r w:rsidR="0017738A">
        <w:rPr>
          <w:rFonts w:ascii="Arial" w:hAnsi="Arial" w:cs="Arial"/>
          <w:sz w:val="22"/>
          <w:szCs w:val="22"/>
        </w:rPr>
        <w:t xml:space="preserve">illustrative evidence two. The importance of questioning techniques is also highlighted </w:t>
      </w:r>
      <w:r w:rsidR="0017738A">
        <w:rPr>
          <w:rFonts w:ascii="Arial" w:hAnsi="Arial" w:cs="Arial"/>
          <w:sz w:val="22"/>
          <w:szCs w:val="22"/>
        </w:rPr>
        <w:lastRenderedPageBreak/>
        <w:t xml:space="preserve">within the work of Mazlina, Halim and Yusrival (2018), which notes that questioning is </w:t>
      </w:r>
      <w:r w:rsidR="00F37E2A">
        <w:rPr>
          <w:rFonts w:ascii="Arial" w:hAnsi="Arial" w:cs="Arial"/>
          <w:sz w:val="22"/>
          <w:szCs w:val="22"/>
        </w:rPr>
        <w:t xml:space="preserve">an </w:t>
      </w:r>
      <w:r w:rsidR="0017738A">
        <w:rPr>
          <w:rFonts w:ascii="Arial" w:hAnsi="Arial" w:cs="Arial"/>
          <w:sz w:val="22"/>
          <w:szCs w:val="22"/>
        </w:rPr>
        <w:t>essential part in aiding pupils to construct their own knowledge</w:t>
      </w:r>
      <w:r w:rsidR="00D83940">
        <w:rPr>
          <w:rFonts w:ascii="Arial" w:hAnsi="Arial" w:cs="Arial"/>
          <w:sz w:val="22"/>
          <w:szCs w:val="22"/>
        </w:rPr>
        <w:t xml:space="preserve">. This source also emphasises the notion that questioning techniques have the power to emphasise the participation of the whole class and to gage an understanding of all learners individual understanding. </w:t>
      </w:r>
    </w:p>
    <w:p w14:paraId="46667AD5" w14:textId="64831D0F" w:rsidR="007778D0" w:rsidRDefault="007778D0" w:rsidP="00FC178C">
      <w:pPr>
        <w:spacing w:line="360" w:lineRule="auto"/>
        <w:rPr>
          <w:rFonts w:ascii="Arial" w:hAnsi="Arial" w:cs="Arial"/>
          <w:sz w:val="22"/>
          <w:szCs w:val="22"/>
        </w:rPr>
      </w:pPr>
    </w:p>
    <w:p w14:paraId="14FEC6EE" w14:textId="504B63FF" w:rsidR="007778D0" w:rsidRDefault="007778D0" w:rsidP="00FC178C">
      <w:pPr>
        <w:spacing w:line="360" w:lineRule="auto"/>
        <w:rPr>
          <w:rFonts w:ascii="Arial" w:hAnsi="Arial" w:cs="Arial"/>
          <w:sz w:val="22"/>
          <w:szCs w:val="22"/>
        </w:rPr>
      </w:pPr>
      <w:r>
        <w:rPr>
          <w:rFonts w:ascii="Arial" w:hAnsi="Arial" w:cs="Arial"/>
          <w:sz w:val="22"/>
          <w:szCs w:val="22"/>
        </w:rPr>
        <w:t xml:space="preserve">Whilst reflecting </w:t>
      </w:r>
      <w:r w:rsidR="008C278E" w:rsidRPr="008C278E">
        <w:rPr>
          <w:rFonts w:ascii="Arial" w:hAnsi="Arial" w:cs="Arial"/>
          <w:sz w:val="22"/>
          <w:szCs w:val="22"/>
        </w:rPr>
        <w:t>upon</w:t>
      </w:r>
      <w:r w:rsidRPr="008C278E">
        <w:rPr>
          <w:rFonts w:ascii="Arial" w:hAnsi="Arial" w:cs="Arial"/>
          <w:sz w:val="22"/>
          <w:szCs w:val="22"/>
        </w:rPr>
        <w:t xml:space="preserve"> the</w:t>
      </w:r>
      <w:r>
        <w:rPr>
          <w:rFonts w:ascii="Arial" w:hAnsi="Arial" w:cs="Arial"/>
          <w:sz w:val="22"/>
          <w:szCs w:val="22"/>
        </w:rPr>
        <w:t xml:space="preserve"> pedagogical principle of Assessment for Learning, it has become apparent that some recommendations and improvements for better practice could be implemented</w:t>
      </w:r>
      <w:r w:rsidR="008C278E">
        <w:rPr>
          <w:rFonts w:ascii="Arial" w:hAnsi="Arial" w:cs="Arial"/>
          <w:sz w:val="22"/>
          <w:szCs w:val="22"/>
        </w:rPr>
        <w:t xml:space="preserve"> and researched</w:t>
      </w:r>
      <w:r w:rsidR="00F37E2A">
        <w:rPr>
          <w:rFonts w:ascii="Arial" w:hAnsi="Arial" w:cs="Arial"/>
          <w:sz w:val="22"/>
          <w:szCs w:val="22"/>
        </w:rPr>
        <w:t xml:space="preserve"> for future teaching.</w:t>
      </w:r>
      <w:r>
        <w:rPr>
          <w:rFonts w:ascii="Arial" w:hAnsi="Arial" w:cs="Arial"/>
          <w:sz w:val="22"/>
          <w:szCs w:val="22"/>
        </w:rPr>
        <w:t xml:space="preserve"> One possible recommendation</w:t>
      </w:r>
      <w:r w:rsidR="008C278E">
        <w:rPr>
          <w:rFonts w:ascii="Arial" w:hAnsi="Arial" w:cs="Arial"/>
          <w:sz w:val="22"/>
          <w:szCs w:val="22"/>
        </w:rPr>
        <w:t xml:space="preserve"> includes</w:t>
      </w:r>
      <w:r>
        <w:rPr>
          <w:rFonts w:ascii="Arial" w:hAnsi="Arial" w:cs="Arial"/>
          <w:sz w:val="22"/>
          <w:szCs w:val="22"/>
        </w:rPr>
        <w:t xml:space="preserve"> the use </w:t>
      </w:r>
      <w:r w:rsidR="00F37E2A">
        <w:rPr>
          <w:rFonts w:ascii="Arial" w:hAnsi="Arial" w:cs="Arial"/>
          <w:sz w:val="22"/>
          <w:szCs w:val="22"/>
        </w:rPr>
        <w:t xml:space="preserve">and research into </w:t>
      </w:r>
      <w:r>
        <w:rPr>
          <w:rFonts w:ascii="Arial" w:hAnsi="Arial" w:cs="Arial"/>
          <w:sz w:val="22"/>
          <w:szCs w:val="22"/>
        </w:rPr>
        <w:t>more strategies of AfL. Although pupils may prefer some strategies over others, it will be important to explore any new strategies that may work well for some learners</w:t>
      </w:r>
      <w:r w:rsidR="00F37E2A">
        <w:rPr>
          <w:rFonts w:ascii="Arial" w:hAnsi="Arial" w:cs="Arial"/>
          <w:sz w:val="22"/>
          <w:szCs w:val="22"/>
        </w:rPr>
        <w:t>, as each learner learns differently</w:t>
      </w:r>
      <w:r>
        <w:rPr>
          <w:rFonts w:ascii="Arial" w:hAnsi="Arial" w:cs="Arial"/>
          <w:sz w:val="22"/>
          <w:szCs w:val="22"/>
        </w:rPr>
        <w:t xml:space="preserve">. I will also ensure to follow any guidance or particular instructions from mentors within the school and university as these will have a positive impact on my practice and development within the teaching profession. One possible recommendation that I recognise may not only aid in my personal practice, but also within the development of the learners, includes to use their ideas and peer assessments across the frame of work. By taking the pupils ideas and using within lessons it is hoped that pupils will take ownership and independence over their learning and therefore achieve to their best ability. </w:t>
      </w:r>
    </w:p>
    <w:p w14:paraId="46CB9CD1" w14:textId="0C4BDED0" w:rsidR="007778D0" w:rsidRDefault="007778D0" w:rsidP="00FC178C">
      <w:pPr>
        <w:spacing w:line="360" w:lineRule="auto"/>
        <w:rPr>
          <w:rFonts w:ascii="Arial" w:hAnsi="Arial" w:cs="Arial"/>
          <w:sz w:val="22"/>
          <w:szCs w:val="22"/>
        </w:rPr>
      </w:pPr>
    </w:p>
    <w:p w14:paraId="55AF7FB8" w14:textId="1438215E" w:rsidR="007778D0" w:rsidRDefault="008C278E" w:rsidP="00FC178C">
      <w:pPr>
        <w:spacing w:line="360" w:lineRule="auto"/>
        <w:rPr>
          <w:rFonts w:ascii="Arial" w:hAnsi="Arial" w:cs="Arial"/>
          <w:sz w:val="22"/>
          <w:szCs w:val="22"/>
        </w:rPr>
      </w:pPr>
      <w:r>
        <w:rPr>
          <w:rFonts w:ascii="Arial" w:hAnsi="Arial" w:cs="Arial"/>
          <w:sz w:val="22"/>
          <w:szCs w:val="22"/>
        </w:rPr>
        <w:t xml:space="preserve">The second pedagogical principle that will be examined and reflected upon is the principle of ‘Good Teaching and Learning regularly reinforces Cross-curriculum Responsibilities, including literacy, numeracy and digital competence, and provides opportunities to practice them’ (Donaldson, 2015: 68). </w:t>
      </w:r>
      <w:r w:rsidR="00595428">
        <w:rPr>
          <w:rFonts w:ascii="Arial" w:hAnsi="Arial" w:cs="Arial"/>
          <w:sz w:val="22"/>
          <w:szCs w:val="22"/>
        </w:rPr>
        <w:t>At the beginning</w:t>
      </w:r>
      <w:r w:rsidR="00F37E2A">
        <w:rPr>
          <w:rFonts w:ascii="Arial" w:hAnsi="Arial" w:cs="Arial"/>
          <w:sz w:val="22"/>
          <w:szCs w:val="22"/>
        </w:rPr>
        <w:t xml:space="preserve"> of PTE</w:t>
      </w:r>
      <w:r w:rsidR="00595428">
        <w:rPr>
          <w:rFonts w:ascii="Arial" w:hAnsi="Arial" w:cs="Arial"/>
          <w:sz w:val="22"/>
          <w:szCs w:val="22"/>
        </w:rPr>
        <w:t>, as noted above, the concept of teaching and managing resources was a relatively new aspect to me and prior to beginning the placement this particular pedagogical principle was a concern as I wasn’t particularly sure of the resources available within the school or available per class. One element especially that caused concern was that of digital competence</w:t>
      </w:r>
      <w:r w:rsidR="00F37E2A">
        <w:rPr>
          <w:rFonts w:ascii="Arial" w:hAnsi="Arial" w:cs="Arial"/>
          <w:sz w:val="22"/>
          <w:szCs w:val="22"/>
        </w:rPr>
        <w:t xml:space="preserve"> as </w:t>
      </w:r>
      <w:r w:rsidR="00595428">
        <w:rPr>
          <w:rFonts w:ascii="Arial" w:hAnsi="Arial" w:cs="Arial"/>
          <w:sz w:val="22"/>
          <w:szCs w:val="22"/>
        </w:rPr>
        <w:t>some schools don’t keep as many digital resources</w:t>
      </w:r>
      <w:r w:rsidR="00F37E2A">
        <w:rPr>
          <w:rFonts w:ascii="Arial" w:hAnsi="Arial" w:cs="Arial"/>
          <w:sz w:val="22"/>
          <w:szCs w:val="22"/>
        </w:rPr>
        <w:t>. T</w:t>
      </w:r>
      <w:r w:rsidR="00595428">
        <w:rPr>
          <w:rFonts w:ascii="Arial" w:hAnsi="Arial" w:cs="Arial"/>
          <w:sz w:val="22"/>
          <w:szCs w:val="22"/>
        </w:rPr>
        <w:t xml:space="preserve">his was a slight concern as I didn’t want to plan for a particular lesson but not have the correct equipment to execute the </w:t>
      </w:r>
      <w:r w:rsidR="00F37E2A">
        <w:rPr>
          <w:rFonts w:ascii="Arial" w:hAnsi="Arial" w:cs="Arial"/>
          <w:sz w:val="22"/>
          <w:szCs w:val="22"/>
        </w:rPr>
        <w:t>plan</w:t>
      </w:r>
      <w:r w:rsidR="00595428">
        <w:rPr>
          <w:rFonts w:ascii="Arial" w:hAnsi="Arial" w:cs="Arial"/>
          <w:sz w:val="22"/>
          <w:szCs w:val="22"/>
        </w:rPr>
        <w:t xml:space="preserve">. Another concern </w:t>
      </w:r>
      <w:r w:rsidR="00BC1660">
        <w:rPr>
          <w:rFonts w:ascii="Arial" w:hAnsi="Arial" w:cs="Arial"/>
          <w:sz w:val="22"/>
          <w:szCs w:val="22"/>
        </w:rPr>
        <w:t>regarding</w:t>
      </w:r>
      <w:r w:rsidR="00595428">
        <w:rPr>
          <w:rFonts w:ascii="Arial" w:hAnsi="Arial" w:cs="Arial"/>
          <w:sz w:val="22"/>
          <w:szCs w:val="22"/>
        </w:rPr>
        <w:t xml:space="preserve"> using different elements of digital resources was that not all pupils would understand how they are meant to be used, or that it would create more of a </w:t>
      </w:r>
      <w:r w:rsidR="00BC1660">
        <w:rPr>
          <w:rFonts w:ascii="Arial" w:hAnsi="Arial" w:cs="Arial"/>
          <w:sz w:val="22"/>
          <w:szCs w:val="22"/>
        </w:rPr>
        <w:t xml:space="preserve">lesson on how to use digital resources in comparison than using digital elements to enhance skills and the lesson itself. Whilst reflecting on this particular element of this principle, it was clear also that elements such as digital competence were used to control particular behaviours, as a behaviour management technique. Although I was aware that the pupils should have these elements as a baseline within the lessons taught, when using digital resources, it felt at times as </w:t>
      </w:r>
      <w:r w:rsidR="00BC1660">
        <w:rPr>
          <w:rFonts w:ascii="Arial" w:hAnsi="Arial" w:cs="Arial"/>
          <w:sz w:val="22"/>
          <w:szCs w:val="22"/>
        </w:rPr>
        <w:lastRenderedPageBreak/>
        <w:t xml:space="preserve">though they were used as a desired behaviour reward. </w:t>
      </w:r>
      <w:r w:rsidR="00890933">
        <w:rPr>
          <w:rFonts w:ascii="Arial" w:hAnsi="Arial" w:cs="Arial"/>
          <w:sz w:val="22"/>
          <w:szCs w:val="22"/>
        </w:rPr>
        <w:t xml:space="preserve">Chao et al (2016) discuss using technology as a form of behaviour management, noting that it can encourage pupil motivation and spark interest in subjects that may have been disregarded previously with particular pupils. In order to ensure that the use of technology was not seen as a reward for behaviour, I proceeded to watch my class teacher’s behaviour management techniques and adopt some possible strategies to ensure when using technology all behaviour was correct and not effecting the lesson and its outcomes. </w:t>
      </w:r>
    </w:p>
    <w:p w14:paraId="243EA900" w14:textId="12E628BD" w:rsidR="00890933" w:rsidRDefault="00890933" w:rsidP="00FC178C">
      <w:pPr>
        <w:spacing w:line="360" w:lineRule="auto"/>
        <w:rPr>
          <w:rFonts w:ascii="Arial" w:hAnsi="Arial" w:cs="Arial"/>
          <w:sz w:val="22"/>
          <w:szCs w:val="22"/>
        </w:rPr>
      </w:pPr>
    </w:p>
    <w:p w14:paraId="22B595EE" w14:textId="4D23463B" w:rsidR="00890933" w:rsidRDefault="00890933" w:rsidP="00FC178C">
      <w:pPr>
        <w:spacing w:line="360" w:lineRule="auto"/>
        <w:rPr>
          <w:rFonts w:ascii="Arial" w:hAnsi="Arial" w:cs="Arial"/>
          <w:sz w:val="22"/>
          <w:szCs w:val="22"/>
        </w:rPr>
      </w:pPr>
      <w:r>
        <w:rPr>
          <w:rFonts w:ascii="Arial" w:hAnsi="Arial" w:cs="Arial"/>
          <w:sz w:val="22"/>
          <w:szCs w:val="22"/>
        </w:rPr>
        <w:t xml:space="preserve">As time developed on placement it was clear from weekly reflections and discussions with my teacher following lessons taught that my confidence was increasing in terms of using cross-curricular elements within my lessons and within planning. When planning each lesson, I would begin with considering ideas and </w:t>
      </w:r>
      <w:r w:rsidR="007A141D">
        <w:rPr>
          <w:rFonts w:ascii="Arial" w:hAnsi="Arial" w:cs="Arial"/>
          <w:sz w:val="22"/>
          <w:szCs w:val="22"/>
        </w:rPr>
        <w:t>activities</w:t>
      </w:r>
      <w:r>
        <w:rPr>
          <w:rFonts w:ascii="Arial" w:hAnsi="Arial" w:cs="Arial"/>
          <w:sz w:val="22"/>
          <w:szCs w:val="22"/>
        </w:rPr>
        <w:t xml:space="preserve"> that could in</w:t>
      </w:r>
      <w:r w:rsidR="007A141D">
        <w:rPr>
          <w:rFonts w:ascii="Arial" w:hAnsi="Arial" w:cs="Arial"/>
          <w:sz w:val="22"/>
          <w:szCs w:val="22"/>
        </w:rPr>
        <w:t>-</w:t>
      </w:r>
      <w:r>
        <w:rPr>
          <w:rFonts w:ascii="Arial" w:hAnsi="Arial" w:cs="Arial"/>
          <w:sz w:val="22"/>
          <w:szCs w:val="22"/>
        </w:rPr>
        <w:t>cooperate all numeracy, literacy and digital competence</w:t>
      </w:r>
      <w:r w:rsidR="00F37E2A">
        <w:rPr>
          <w:rFonts w:ascii="Arial" w:hAnsi="Arial" w:cs="Arial"/>
          <w:sz w:val="22"/>
          <w:szCs w:val="22"/>
        </w:rPr>
        <w:t xml:space="preserve"> elements</w:t>
      </w:r>
      <w:r>
        <w:rPr>
          <w:rFonts w:ascii="Arial" w:hAnsi="Arial" w:cs="Arial"/>
          <w:sz w:val="22"/>
          <w:szCs w:val="22"/>
        </w:rPr>
        <w:t xml:space="preserve">. </w:t>
      </w:r>
      <w:r w:rsidR="007A141D">
        <w:rPr>
          <w:rFonts w:ascii="Arial" w:hAnsi="Arial" w:cs="Arial"/>
          <w:sz w:val="22"/>
          <w:szCs w:val="22"/>
        </w:rPr>
        <w:t xml:space="preserve">This can be seen within this evidence provided, in particular within illustrative evidence five. Within this particular example, a range of different skills were enhanced and possibly introduced for some learners within the lesson. Through being in </w:t>
      </w:r>
      <w:r w:rsidR="00F37E2A">
        <w:rPr>
          <w:rFonts w:ascii="Arial" w:hAnsi="Arial" w:cs="Arial"/>
          <w:sz w:val="22"/>
          <w:szCs w:val="22"/>
        </w:rPr>
        <w:t xml:space="preserve">a </w:t>
      </w:r>
      <w:r w:rsidR="007A141D">
        <w:rPr>
          <w:rFonts w:ascii="Arial" w:hAnsi="Arial" w:cs="Arial"/>
          <w:sz w:val="22"/>
          <w:szCs w:val="22"/>
        </w:rPr>
        <w:t xml:space="preserve">class with a major range of abilities, it was a personal challenge for myself to attempt to introduce as many skills as possible during lessons to accommodate for each learner. </w:t>
      </w:r>
      <w:r w:rsidR="00493432">
        <w:rPr>
          <w:rFonts w:ascii="Arial" w:hAnsi="Arial" w:cs="Arial"/>
          <w:sz w:val="22"/>
          <w:szCs w:val="22"/>
        </w:rPr>
        <w:t xml:space="preserve">An example of a lesson following this frame of mind can be seen within illustrative evidence four. Through creating random groups and focusing on a new research project, pupils were able to work to their best abilities within different roles of the skills required for the particular task. This particular </w:t>
      </w:r>
      <w:r w:rsidR="00640630">
        <w:rPr>
          <w:rFonts w:ascii="Arial" w:hAnsi="Arial" w:cs="Arial"/>
          <w:sz w:val="22"/>
          <w:szCs w:val="22"/>
        </w:rPr>
        <w:t xml:space="preserve">thinking of understanding ability and its importance to assigning pupils’ work is highlighted within the work of McBer (2000). McBer (2000) discusses the importance of understanding and being aware of each pupils’ ability as this can aid with </w:t>
      </w:r>
      <w:r w:rsidR="00747C61">
        <w:rPr>
          <w:rFonts w:ascii="Arial" w:hAnsi="Arial" w:cs="Arial"/>
          <w:sz w:val="22"/>
          <w:szCs w:val="22"/>
        </w:rPr>
        <w:t xml:space="preserve">encouraging pupils’ motivation towards class work and to perform to the best ability. Through therefore selecting tasks meaningful and appropriate for </w:t>
      </w:r>
      <w:r w:rsidR="00F37E2A">
        <w:rPr>
          <w:rFonts w:ascii="Arial" w:hAnsi="Arial" w:cs="Arial"/>
          <w:sz w:val="22"/>
          <w:szCs w:val="22"/>
        </w:rPr>
        <w:t xml:space="preserve">the </w:t>
      </w:r>
      <w:r w:rsidR="00747C61">
        <w:rPr>
          <w:rFonts w:ascii="Arial" w:hAnsi="Arial" w:cs="Arial"/>
          <w:sz w:val="22"/>
          <w:szCs w:val="22"/>
        </w:rPr>
        <w:t xml:space="preserve">learners, the overall outcomes of tasks </w:t>
      </w:r>
      <w:r w:rsidR="00764FFF">
        <w:rPr>
          <w:rFonts w:ascii="Arial" w:hAnsi="Arial" w:cs="Arial"/>
          <w:sz w:val="22"/>
          <w:szCs w:val="22"/>
        </w:rPr>
        <w:t>completed,</w:t>
      </w:r>
      <w:r w:rsidR="00747C61">
        <w:rPr>
          <w:rFonts w:ascii="Arial" w:hAnsi="Arial" w:cs="Arial"/>
          <w:sz w:val="22"/>
          <w:szCs w:val="22"/>
        </w:rPr>
        <w:t xml:space="preserve"> and skills learnt will </w:t>
      </w:r>
      <w:r w:rsidR="00F37E2A">
        <w:rPr>
          <w:rFonts w:ascii="Arial" w:hAnsi="Arial" w:cs="Arial"/>
          <w:sz w:val="22"/>
          <w:szCs w:val="22"/>
        </w:rPr>
        <w:t>able to be</w:t>
      </w:r>
      <w:r w:rsidR="00747C61">
        <w:rPr>
          <w:rFonts w:ascii="Arial" w:hAnsi="Arial" w:cs="Arial"/>
          <w:sz w:val="22"/>
          <w:szCs w:val="22"/>
        </w:rPr>
        <w:t xml:space="preserve"> at a higher level. </w:t>
      </w:r>
    </w:p>
    <w:p w14:paraId="7E00B612" w14:textId="7A3AE1D2" w:rsidR="00747C61" w:rsidRDefault="00747C61" w:rsidP="00FC178C">
      <w:pPr>
        <w:spacing w:line="360" w:lineRule="auto"/>
        <w:rPr>
          <w:rFonts w:ascii="Arial" w:hAnsi="Arial" w:cs="Arial"/>
          <w:sz w:val="22"/>
          <w:szCs w:val="22"/>
        </w:rPr>
      </w:pPr>
    </w:p>
    <w:p w14:paraId="0027FDF3" w14:textId="32D18BE7" w:rsidR="00747C61" w:rsidRDefault="00764FFF" w:rsidP="00FC178C">
      <w:pPr>
        <w:spacing w:line="360" w:lineRule="auto"/>
        <w:rPr>
          <w:rFonts w:ascii="Arial" w:hAnsi="Arial" w:cs="Arial"/>
          <w:sz w:val="22"/>
          <w:szCs w:val="22"/>
        </w:rPr>
      </w:pPr>
      <w:r>
        <w:rPr>
          <w:rFonts w:ascii="Arial" w:hAnsi="Arial" w:cs="Arial"/>
          <w:sz w:val="22"/>
          <w:szCs w:val="22"/>
        </w:rPr>
        <w:t>The development of the principle of regularly reinforcing cross-curricular responsibilities throughout time on placement was an ongoing target and an aspect which improved with experience. This was noted through the differences in activities provided for pupils. The range of lessons increased over time, and through these particular lessons I was able to incorporate a range of different skills through literacy, numeracy and digitally. An example of this can be seen within illustrative evidence six where pupils and myself conducted a science experiment within the classroo</w:t>
      </w:r>
      <w:r w:rsidR="00F35565">
        <w:rPr>
          <w:rFonts w:ascii="Arial" w:hAnsi="Arial" w:cs="Arial"/>
          <w:sz w:val="22"/>
          <w:szCs w:val="22"/>
        </w:rPr>
        <w:t xml:space="preserve">m linking the topic of natural disasters to </w:t>
      </w:r>
      <w:r w:rsidR="00F37E2A">
        <w:rPr>
          <w:rFonts w:ascii="Arial" w:hAnsi="Arial" w:cs="Arial"/>
          <w:sz w:val="22"/>
          <w:szCs w:val="22"/>
        </w:rPr>
        <w:t>attempt</w:t>
      </w:r>
      <w:r w:rsidR="00F35565">
        <w:rPr>
          <w:rFonts w:ascii="Arial" w:hAnsi="Arial" w:cs="Arial"/>
          <w:sz w:val="22"/>
          <w:szCs w:val="22"/>
        </w:rPr>
        <w:t xml:space="preserve"> to construct a classroom version of a volcano erupting. Pupils worked well within this particular lesson as it </w:t>
      </w:r>
      <w:r w:rsidR="00F37E2A">
        <w:rPr>
          <w:rFonts w:ascii="Arial" w:hAnsi="Arial" w:cs="Arial"/>
          <w:sz w:val="22"/>
          <w:szCs w:val="22"/>
        </w:rPr>
        <w:t xml:space="preserve">was </w:t>
      </w:r>
      <w:r w:rsidR="00F35565">
        <w:rPr>
          <w:rFonts w:ascii="Arial" w:hAnsi="Arial" w:cs="Arial"/>
          <w:sz w:val="22"/>
          <w:szCs w:val="22"/>
        </w:rPr>
        <w:t xml:space="preserve">different to an ordinary lesson, however the cross-curricular skills taught were shown throughout. </w:t>
      </w:r>
      <w:r w:rsidR="00082C99">
        <w:rPr>
          <w:rFonts w:ascii="Arial" w:hAnsi="Arial" w:cs="Arial"/>
          <w:sz w:val="22"/>
          <w:szCs w:val="22"/>
        </w:rPr>
        <w:t xml:space="preserve">Another example of a lesson adapted to suit the pupils and cover a </w:t>
      </w:r>
      <w:r w:rsidR="00082C99">
        <w:rPr>
          <w:rFonts w:ascii="Arial" w:hAnsi="Arial" w:cs="Arial"/>
          <w:sz w:val="22"/>
          <w:szCs w:val="22"/>
        </w:rPr>
        <w:lastRenderedPageBreak/>
        <w:t xml:space="preserve">range of cross-curricular responsibilities included taking a mathematics-based lesson outdoors to continue the skills of length. </w:t>
      </w:r>
      <w:r w:rsidR="000B6516">
        <w:rPr>
          <w:rFonts w:ascii="Arial" w:hAnsi="Arial" w:cs="Arial"/>
          <w:sz w:val="22"/>
          <w:szCs w:val="22"/>
        </w:rPr>
        <w:t>Acar</w:t>
      </w:r>
      <w:r w:rsidR="00082C99">
        <w:rPr>
          <w:rFonts w:ascii="Arial" w:hAnsi="Arial" w:cs="Arial"/>
          <w:sz w:val="22"/>
          <w:szCs w:val="22"/>
        </w:rPr>
        <w:t xml:space="preserve"> (2014) stresses the importance of outdoor learning on enhancing crucial skills</w:t>
      </w:r>
      <w:r w:rsidR="000B6516">
        <w:rPr>
          <w:rFonts w:ascii="Arial" w:hAnsi="Arial" w:cs="Arial"/>
          <w:sz w:val="22"/>
          <w:szCs w:val="22"/>
        </w:rPr>
        <w:t xml:space="preserve"> through underlying the experiences that can be gained for pupils through being outdoors. The design of outdoor lessons is important to the learning as it must fit to learning objectives however all pupils should be encouraged as the outdoors can have a positive effect on the learning and development of children (Acar, 2009, cited in Acar, 2014: 850). </w:t>
      </w:r>
    </w:p>
    <w:p w14:paraId="525D4E82" w14:textId="77777777" w:rsidR="00F37E2A" w:rsidRDefault="00F37E2A" w:rsidP="00FC178C">
      <w:pPr>
        <w:spacing w:line="360" w:lineRule="auto"/>
        <w:rPr>
          <w:rFonts w:ascii="Arial" w:hAnsi="Arial" w:cs="Arial"/>
          <w:sz w:val="22"/>
          <w:szCs w:val="22"/>
        </w:rPr>
      </w:pPr>
    </w:p>
    <w:p w14:paraId="1350CB1D" w14:textId="2BF0DD0F" w:rsidR="000B6516" w:rsidRDefault="000B6516" w:rsidP="00FC178C">
      <w:pPr>
        <w:spacing w:line="360" w:lineRule="auto"/>
        <w:rPr>
          <w:rFonts w:ascii="Arial" w:hAnsi="Arial" w:cs="Arial"/>
          <w:sz w:val="22"/>
          <w:szCs w:val="22"/>
        </w:rPr>
      </w:pPr>
      <w:r>
        <w:rPr>
          <w:rFonts w:ascii="Arial" w:hAnsi="Arial" w:cs="Arial"/>
          <w:sz w:val="22"/>
          <w:szCs w:val="22"/>
        </w:rPr>
        <w:t xml:space="preserve">In order to progress and improve with this principle, it is crucial to set targets and recommendations for progress. One target that was outlined through weekly reflections and which is a continuing target with this particular principle was to develop a range of activities for the cross-curricular skills. Something I found difficult was finding and creating a whole range of different activities, rather than repeated activities. </w:t>
      </w:r>
      <w:r w:rsidR="00084DA6">
        <w:rPr>
          <w:rFonts w:ascii="Arial" w:hAnsi="Arial" w:cs="Arial"/>
          <w:sz w:val="22"/>
          <w:szCs w:val="22"/>
        </w:rPr>
        <w:t xml:space="preserve">One solution for this, and a recommendation for the principle too, would be to ask learners how they’d enjoy and prefer to learn and develop cross-curricular responsibilities. This would increase the level of ownership over what pupils learn and increase levels of independence. This was an aspect highlighted with importance by the placement school as a target they are working </w:t>
      </w:r>
      <w:r w:rsidR="008572BF">
        <w:rPr>
          <w:rFonts w:ascii="Arial" w:hAnsi="Arial" w:cs="Arial"/>
          <w:sz w:val="22"/>
          <w:szCs w:val="22"/>
        </w:rPr>
        <w:t>upon and</w:t>
      </w:r>
      <w:r w:rsidR="00084DA6">
        <w:rPr>
          <w:rFonts w:ascii="Arial" w:hAnsi="Arial" w:cs="Arial"/>
          <w:sz w:val="22"/>
          <w:szCs w:val="22"/>
        </w:rPr>
        <w:t xml:space="preserve"> would be an aspect I would like to improve during my time at the school. </w:t>
      </w:r>
    </w:p>
    <w:p w14:paraId="312F10D3" w14:textId="75A53C80" w:rsidR="00084DA6" w:rsidRDefault="00084DA6" w:rsidP="00FC178C">
      <w:pPr>
        <w:spacing w:line="360" w:lineRule="auto"/>
        <w:rPr>
          <w:rFonts w:ascii="Arial" w:hAnsi="Arial" w:cs="Arial"/>
          <w:sz w:val="22"/>
          <w:szCs w:val="22"/>
        </w:rPr>
      </w:pPr>
    </w:p>
    <w:p w14:paraId="5F0EF023" w14:textId="0DF0C9DB" w:rsidR="00084DA6" w:rsidRDefault="00084DA6" w:rsidP="00FC178C">
      <w:pPr>
        <w:spacing w:line="360" w:lineRule="auto"/>
        <w:rPr>
          <w:rFonts w:ascii="Arial" w:hAnsi="Arial" w:cs="Arial"/>
          <w:sz w:val="22"/>
          <w:szCs w:val="22"/>
        </w:rPr>
      </w:pPr>
      <w:r>
        <w:rPr>
          <w:rFonts w:ascii="Arial" w:hAnsi="Arial" w:cs="Arial"/>
          <w:sz w:val="22"/>
          <w:szCs w:val="22"/>
        </w:rPr>
        <w:t xml:space="preserve">The final pedagogical principle that will be reflected upon within this critical reflection follows such as the principle of ‘Good </w:t>
      </w:r>
      <w:r w:rsidR="007B0F26">
        <w:rPr>
          <w:rFonts w:ascii="Arial" w:hAnsi="Arial" w:cs="Arial"/>
          <w:sz w:val="22"/>
          <w:szCs w:val="22"/>
        </w:rPr>
        <w:t xml:space="preserve">teaching and learning creates authentic contexts for learning” (Donaldson, 2015). </w:t>
      </w:r>
      <w:r w:rsidR="00245156">
        <w:rPr>
          <w:rFonts w:ascii="Arial" w:hAnsi="Arial" w:cs="Arial"/>
          <w:sz w:val="22"/>
          <w:szCs w:val="22"/>
        </w:rPr>
        <w:t xml:space="preserve">Grabinger and Dunlap (1995) </w:t>
      </w:r>
      <w:r w:rsidR="007B0F26">
        <w:rPr>
          <w:rFonts w:ascii="Arial" w:hAnsi="Arial" w:cs="Arial"/>
          <w:sz w:val="22"/>
          <w:szCs w:val="22"/>
        </w:rPr>
        <w:t>defines authentic contexts as</w:t>
      </w:r>
      <w:r w:rsidR="00245156">
        <w:rPr>
          <w:rFonts w:ascii="Arial" w:hAnsi="Arial" w:cs="Arial"/>
          <w:sz w:val="22"/>
          <w:szCs w:val="22"/>
        </w:rPr>
        <w:t xml:space="preserve"> environments that encourage realistic, meaningful, relevant and </w:t>
      </w:r>
      <w:r w:rsidR="008D7421">
        <w:rPr>
          <w:rFonts w:ascii="Arial" w:hAnsi="Arial" w:cs="Arial"/>
          <w:sz w:val="22"/>
          <w:szCs w:val="22"/>
        </w:rPr>
        <w:t>complexity</w:t>
      </w:r>
      <w:r w:rsidR="00245156">
        <w:rPr>
          <w:rFonts w:ascii="Arial" w:hAnsi="Arial" w:cs="Arial"/>
          <w:sz w:val="22"/>
          <w:szCs w:val="22"/>
        </w:rPr>
        <w:t xml:space="preserve"> aiding in the development of the pupils. </w:t>
      </w:r>
      <w:r w:rsidR="008572BF">
        <w:rPr>
          <w:rFonts w:ascii="Arial" w:hAnsi="Arial" w:cs="Arial"/>
          <w:sz w:val="22"/>
          <w:szCs w:val="22"/>
        </w:rPr>
        <w:t>Similarly</w:t>
      </w:r>
      <w:r w:rsidR="00245156">
        <w:rPr>
          <w:rFonts w:ascii="Arial" w:hAnsi="Arial" w:cs="Arial"/>
          <w:sz w:val="22"/>
          <w:szCs w:val="22"/>
        </w:rPr>
        <w:t>, within the Successful Futures</w:t>
      </w:r>
      <w:r w:rsidR="0014797E">
        <w:rPr>
          <w:rFonts w:ascii="Arial" w:hAnsi="Arial" w:cs="Arial"/>
          <w:sz w:val="22"/>
          <w:szCs w:val="22"/>
        </w:rPr>
        <w:t xml:space="preserve"> report</w:t>
      </w:r>
      <w:r w:rsidR="00245156">
        <w:rPr>
          <w:rFonts w:ascii="Arial" w:hAnsi="Arial" w:cs="Arial"/>
          <w:sz w:val="22"/>
          <w:szCs w:val="22"/>
        </w:rPr>
        <w:t xml:space="preserve">, Professor Graham Donaldson (2015) states that learners should understand and acknowledge the importance of their learning in preparation for life after education. Learning should be meaningful and authentic for all </w:t>
      </w:r>
      <w:r w:rsidR="0014797E">
        <w:rPr>
          <w:rFonts w:ascii="Arial" w:hAnsi="Arial" w:cs="Arial"/>
          <w:sz w:val="22"/>
          <w:szCs w:val="22"/>
        </w:rPr>
        <w:t>learner</w:t>
      </w:r>
      <w:r w:rsidR="00245156">
        <w:rPr>
          <w:rFonts w:ascii="Arial" w:hAnsi="Arial" w:cs="Arial"/>
          <w:sz w:val="22"/>
          <w:szCs w:val="22"/>
        </w:rPr>
        <w:t>, with a root in Welsh values and culture (Donaldson, 2015). When addressing this principle at the beginning of placement, it was an aspect I wasn’t particularly clear upon and didn’t understand how it would fit within day to day lessons. I was aware that learning had to fit a purpose for the learners</w:t>
      </w:r>
      <w:r w:rsidR="008572BF">
        <w:rPr>
          <w:rFonts w:ascii="Arial" w:hAnsi="Arial" w:cs="Arial"/>
          <w:sz w:val="22"/>
          <w:szCs w:val="22"/>
        </w:rPr>
        <w:t xml:space="preserve">’ </w:t>
      </w:r>
      <w:r w:rsidR="00245156">
        <w:rPr>
          <w:rFonts w:ascii="Arial" w:hAnsi="Arial" w:cs="Arial"/>
          <w:sz w:val="22"/>
          <w:szCs w:val="22"/>
        </w:rPr>
        <w:t xml:space="preserve">future lives away from the </w:t>
      </w:r>
      <w:r w:rsidR="008572BF">
        <w:rPr>
          <w:rFonts w:ascii="Arial" w:hAnsi="Arial" w:cs="Arial"/>
          <w:sz w:val="22"/>
          <w:szCs w:val="22"/>
        </w:rPr>
        <w:t>classroom but</w:t>
      </w:r>
      <w:r w:rsidR="00245156">
        <w:rPr>
          <w:rFonts w:ascii="Arial" w:hAnsi="Arial" w:cs="Arial"/>
          <w:sz w:val="22"/>
          <w:szCs w:val="22"/>
        </w:rPr>
        <w:t xml:space="preserve"> wasn’t particularly sure how to do this. Through this concern, discussions with my class teacher and student mentor were </w:t>
      </w:r>
      <w:r w:rsidR="008572BF">
        <w:rPr>
          <w:rFonts w:ascii="Arial" w:hAnsi="Arial" w:cs="Arial"/>
          <w:sz w:val="22"/>
          <w:szCs w:val="22"/>
        </w:rPr>
        <w:t xml:space="preserve">put in place to discuss possible ideas and their actions upon this principle. </w:t>
      </w:r>
    </w:p>
    <w:p w14:paraId="4E9CEFB2" w14:textId="75A462CB" w:rsidR="008572BF" w:rsidRDefault="008572BF" w:rsidP="00FC178C">
      <w:pPr>
        <w:spacing w:line="360" w:lineRule="auto"/>
        <w:rPr>
          <w:rFonts w:ascii="Arial" w:hAnsi="Arial" w:cs="Arial"/>
          <w:sz w:val="22"/>
          <w:szCs w:val="22"/>
        </w:rPr>
      </w:pPr>
    </w:p>
    <w:p w14:paraId="3685660A" w14:textId="40EB9FF5" w:rsidR="001F7FE8" w:rsidRDefault="008572BF" w:rsidP="00FC178C">
      <w:pPr>
        <w:spacing w:line="360" w:lineRule="auto"/>
        <w:rPr>
          <w:rFonts w:ascii="Arial" w:hAnsi="Arial" w:cs="Arial"/>
          <w:sz w:val="22"/>
          <w:szCs w:val="22"/>
        </w:rPr>
      </w:pPr>
      <w:r>
        <w:rPr>
          <w:rFonts w:ascii="Arial" w:hAnsi="Arial" w:cs="Arial"/>
          <w:sz w:val="22"/>
          <w:szCs w:val="22"/>
        </w:rPr>
        <w:t xml:space="preserve">As time on PTE developed and my confidence increased the use of authentic contexts became an aspect that pupils and especially, I enjoyed. Whilst planning lessons through getting to know the pupils on an individual and personal level, the use of authentic contexts </w:t>
      </w:r>
      <w:r>
        <w:rPr>
          <w:rFonts w:ascii="Arial" w:hAnsi="Arial" w:cs="Arial"/>
          <w:sz w:val="22"/>
          <w:szCs w:val="22"/>
        </w:rPr>
        <w:lastRenderedPageBreak/>
        <w:t xml:space="preserve">became simpler and relevant to each pupil. An example of this can be seen within illustrative evidence </w:t>
      </w:r>
      <w:r w:rsidR="0014797E">
        <w:rPr>
          <w:rFonts w:ascii="Arial" w:hAnsi="Arial" w:cs="Arial"/>
          <w:sz w:val="22"/>
          <w:szCs w:val="22"/>
        </w:rPr>
        <w:t xml:space="preserve">piece </w:t>
      </w:r>
      <w:r>
        <w:rPr>
          <w:rFonts w:ascii="Arial" w:hAnsi="Arial" w:cs="Arial"/>
          <w:sz w:val="22"/>
          <w:szCs w:val="22"/>
        </w:rPr>
        <w:t xml:space="preserve">seven. Within this mathematics lesson on the topic of length, pupils enjoyed an opening activity of discussing possible careers that may use length. This activity took place as a class discussion and the majority of the pupils were involved providing their insights into different roles within </w:t>
      </w:r>
      <w:r w:rsidR="0014797E">
        <w:rPr>
          <w:rFonts w:ascii="Arial" w:hAnsi="Arial" w:cs="Arial"/>
          <w:sz w:val="22"/>
          <w:szCs w:val="22"/>
        </w:rPr>
        <w:t xml:space="preserve">different </w:t>
      </w:r>
      <w:r>
        <w:rPr>
          <w:rFonts w:ascii="Arial" w:hAnsi="Arial" w:cs="Arial"/>
          <w:sz w:val="22"/>
          <w:szCs w:val="22"/>
        </w:rPr>
        <w:t xml:space="preserve">industries. Pupils enjoyed being able to link what they were learning within the classroom with different professional roles within society. Cullingford (2007) notes that even at primary level, pupils are aware that we learn specific things in order to get a career in the future, however through </w:t>
      </w:r>
      <w:r w:rsidR="005737F0">
        <w:rPr>
          <w:rFonts w:ascii="Arial" w:hAnsi="Arial" w:cs="Arial"/>
          <w:sz w:val="22"/>
          <w:szCs w:val="22"/>
        </w:rPr>
        <w:t>developing</w:t>
      </w:r>
      <w:r>
        <w:rPr>
          <w:rFonts w:ascii="Arial" w:hAnsi="Arial" w:cs="Arial"/>
          <w:sz w:val="22"/>
          <w:szCs w:val="22"/>
        </w:rPr>
        <w:t xml:space="preserve"> my teaching whilst on placement I have noticed the </w:t>
      </w:r>
      <w:r w:rsidR="005737F0">
        <w:rPr>
          <w:rFonts w:ascii="Arial" w:hAnsi="Arial" w:cs="Arial"/>
          <w:sz w:val="22"/>
          <w:szCs w:val="22"/>
        </w:rPr>
        <w:t>importance</w:t>
      </w:r>
      <w:r>
        <w:rPr>
          <w:rFonts w:ascii="Arial" w:hAnsi="Arial" w:cs="Arial"/>
          <w:sz w:val="22"/>
          <w:szCs w:val="22"/>
        </w:rPr>
        <w:t xml:space="preserve"> on the value of these lessons to secure learners interests in particular </w:t>
      </w:r>
      <w:r w:rsidR="005737F0">
        <w:rPr>
          <w:rFonts w:ascii="Arial" w:hAnsi="Arial" w:cs="Arial"/>
          <w:sz w:val="22"/>
          <w:szCs w:val="22"/>
        </w:rPr>
        <w:t xml:space="preserve">roles for their future. Mathematics was an example of </w:t>
      </w:r>
      <w:r w:rsidR="001F7FE8">
        <w:rPr>
          <w:rFonts w:ascii="Arial" w:hAnsi="Arial" w:cs="Arial"/>
          <w:sz w:val="22"/>
          <w:szCs w:val="22"/>
        </w:rPr>
        <w:t xml:space="preserve">a subject area which I found simpler to add the importance and authenticity for future life. Pupils enjoyed relating this to their future and used it as a contributor to </w:t>
      </w:r>
      <w:r w:rsidR="002E196D">
        <w:rPr>
          <w:rFonts w:ascii="Arial" w:hAnsi="Arial" w:cs="Arial"/>
          <w:sz w:val="22"/>
          <w:szCs w:val="22"/>
        </w:rPr>
        <w:t>want</w:t>
      </w:r>
      <w:r w:rsidR="001F7FE8">
        <w:rPr>
          <w:rFonts w:ascii="Arial" w:hAnsi="Arial" w:cs="Arial"/>
          <w:sz w:val="22"/>
          <w:szCs w:val="22"/>
        </w:rPr>
        <w:t xml:space="preserve"> to understand and complete work</w:t>
      </w:r>
      <w:r w:rsidR="0014797E">
        <w:rPr>
          <w:rFonts w:ascii="Arial" w:hAnsi="Arial" w:cs="Arial"/>
          <w:sz w:val="22"/>
          <w:szCs w:val="22"/>
        </w:rPr>
        <w:t xml:space="preserve"> to the best ability</w:t>
      </w:r>
      <w:r w:rsidR="001F7FE8">
        <w:rPr>
          <w:rFonts w:ascii="Arial" w:hAnsi="Arial" w:cs="Arial"/>
          <w:sz w:val="22"/>
          <w:szCs w:val="22"/>
        </w:rPr>
        <w:t xml:space="preserve">. As noted above, the use of the outdoors was a big contributor to creating an authentic context within mathematics as pupils could use what we were learning outside of the classroom and see if purpose in a </w:t>
      </w:r>
      <w:r w:rsidR="002E196D">
        <w:rPr>
          <w:rFonts w:ascii="Arial" w:hAnsi="Arial" w:cs="Arial"/>
          <w:sz w:val="22"/>
          <w:szCs w:val="22"/>
        </w:rPr>
        <w:t>real-life</w:t>
      </w:r>
      <w:r w:rsidR="001F7FE8">
        <w:rPr>
          <w:rFonts w:ascii="Arial" w:hAnsi="Arial" w:cs="Arial"/>
          <w:sz w:val="22"/>
          <w:szCs w:val="22"/>
        </w:rPr>
        <w:t xml:space="preserve"> manner. It was</w:t>
      </w:r>
      <w:r w:rsidR="0014797E">
        <w:rPr>
          <w:rFonts w:ascii="Arial" w:hAnsi="Arial" w:cs="Arial"/>
          <w:sz w:val="22"/>
          <w:szCs w:val="22"/>
        </w:rPr>
        <w:t xml:space="preserve"> also </w:t>
      </w:r>
      <w:r w:rsidR="001F7FE8">
        <w:rPr>
          <w:rFonts w:ascii="Arial" w:hAnsi="Arial" w:cs="Arial"/>
          <w:sz w:val="22"/>
          <w:szCs w:val="22"/>
        </w:rPr>
        <w:t xml:space="preserve">noted that through using authentic contexts, pupils would use the lessons to achieve to their best ability and it was felt through having a purpose, pupils achieved higher. </w:t>
      </w:r>
      <w:r w:rsidR="002E196D">
        <w:rPr>
          <w:rFonts w:ascii="Arial" w:hAnsi="Arial" w:cs="Arial"/>
          <w:sz w:val="22"/>
          <w:szCs w:val="22"/>
        </w:rPr>
        <w:t>Austin et al (2010)</w:t>
      </w:r>
      <w:r w:rsidR="001F7FE8">
        <w:rPr>
          <w:rFonts w:ascii="Arial" w:hAnsi="Arial" w:cs="Arial"/>
          <w:sz w:val="22"/>
          <w:szCs w:val="22"/>
        </w:rPr>
        <w:t xml:space="preserve"> notes that </w:t>
      </w:r>
      <w:r w:rsidR="002E196D">
        <w:rPr>
          <w:rFonts w:ascii="Arial" w:hAnsi="Arial" w:cs="Arial"/>
          <w:sz w:val="22"/>
          <w:szCs w:val="22"/>
        </w:rPr>
        <w:t xml:space="preserve">the purpose of a task within the classroom defined by a teacher will measure the success of the pupil’s outcome, and therefore the time spent on the purpose of a task is crucial. </w:t>
      </w:r>
    </w:p>
    <w:p w14:paraId="6E1D5302" w14:textId="76065727" w:rsidR="002E196D" w:rsidRDefault="002E196D" w:rsidP="00FC178C">
      <w:pPr>
        <w:spacing w:line="360" w:lineRule="auto"/>
        <w:rPr>
          <w:rFonts w:ascii="Arial" w:hAnsi="Arial" w:cs="Arial"/>
          <w:sz w:val="22"/>
          <w:szCs w:val="22"/>
        </w:rPr>
      </w:pPr>
    </w:p>
    <w:p w14:paraId="6C4A74DE" w14:textId="70052B78" w:rsidR="002E196D" w:rsidRDefault="0014797E" w:rsidP="00FC178C">
      <w:pPr>
        <w:spacing w:line="360" w:lineRule="auto"/>
        <w:rPr>
          <w:rFonts w:ascii="Arial" w:hAnsi="Arial" w:cs="Arial"/>
          <w:sz w:val="22"/>
          <w:szCs w:val="22"/>
        </w:rPr>
      </w:pPr>
      <w:r>
        <w:rPr>
          <w:rFonts w:ascii="Arial" w:hAnsi="Arial" w:cs="Arial"/>
          <w:sz w:val="22"/>
          <w:szCs w:val="22"/>
        </w:rPr>
        <w:t>The d</w:t>
      </w:r>
      <w:r w:rsidR="002E196D">
        <w:rPr>
          <w:rFonts w:ascii="Arial" w:hAnsi="Arial" w:cs="Arial"/>
          <w:sz w:val="22"/>
          <w:szCs w:val="22"/>
        </w:rPr>
        <w:t xml:space="preserve">evelopment of using this pedagogical principle clearly progressed during my time on placement through the variety of lessons planned and taught. These can be seen within illustrative evidence pieces eight and nine. Through discussing relevant topics such as flooding and climate change, pupils were beginning to form an opinion on the topics and were providing excellent responses to such crucial attributes to their futures. Pupils empathy skills and concern over climate changed increased over a series of lessons, and pupils were considering the implications for their futures. In order to increase the challenge within lessons for some pupils, working with authentic contexts provided adequate challenges for many who were </w:t>
      </w:r>
      <w:r w:rsidR="001D75EA">
        <w:rPr>
          <w:rFonts w:ascii="Arial" w:hAnsi="Arial" w:cs="Arial"/>
          <w:sz w:val="22"/>
          <w:szCs w:val="22"/>
        </w:rPr>
        <w:t>willing to discuss relevant political and highly discussed issues globally.</w:t>
      </w:r>
    </w:p>
    <w:p w14:paraId="0E17DDCE" w14:textId="44A4F0BE" w:rsidR="001D75EA" w:rsidRDefault="001D75EA" w:rsidP="00FC178C">
      <w:pPr>
        <w:spacing w:line="360" w:lineRule="auto"/>
        <w:rPr>
          <w:rFonts w:ascii="Arial" w:hAnsi="Arial" w:cs="Arial"/>
          <w:sz w:val="22"/>
          <w:szCs w:val="22"/>
        </w:rPr>
      </w:pPr>
    </w:p>
    <w:p w14:paraId="58D85E8F" w14:textId="6AF09FD4" w:rsidR="007D407C" w:rsidRDefault="001D75EA" w:rsidP="00FC178C">
      <w:pPr>
        <w:spacing w:line="360" w:lineRule="auto"/>
        <w:rPr>
          <w:rFonts w:ascii="Arial" w:hAnsi="Arial" w:cs="Arial"/>
          <w:sz w:val="22"/>
          <w:szCs w:val="22"/>
        </w:rPr>
      </w:pPr>
      <w:r>
        <w:rPr>
          <w:rFonts w:ascii="Arial" w:hAnsi="Arial" w:cs="Arial"/>
          <w:sz w:val="22"/>
          <w:szCs w:val="22"/>
        </w:rPr>
        <w:t>In order to prepare for the next PTE and improve on this particular pedagogical principle, as with many aspects of teaching, it is crucial to set goals and recommendations</w:t>
      </w:r>
      <w:r w:rsidR="0014797E">
        <w:rPr>
          <w:rFonts w:ascii="Arial" w:hAnsi="Arial" w:cs="Arial"/>
          <w:sz w:val="22"/>
          <w:szCs w:val="22"/>
        </w:rPr>
        <w:t xml:space="preserve"> for improvement</w:t>
      </w:r>
      <w:r>
        <w:rPr>
          <w:rFonts w:ascii="Arial" w:hAnsi="Arial" w:cs="Arial"/>
          <w:sz w:val="22"/>
          <w:szCs w:val="22"/>
        </w:rPr>
        <w:t xml:space="preserve">. When addressing these contexts, it will be important to attempt to set more challenge within activities of an authentic context. At times it was useful to use the outdoors </w:t>
      </w:r>
      <w:r w:rsidR="0014797E">
        <w:rPr>
          <w:rFonts w:ascii="Arial" w:hAnsi="Arial" w:cs="Arial"/>
          <w:sz w:val="22"/>
          <w:szCs w:val="22"/>
        </w:rPr>
        <w:t xml:space="preserve">to </w:t>
      </w:r>
      <w:r>
        <w:rPr>
          <w:rFonts w:ascii="Arial" w:hAnsi="Arial" w:cs="Arial"/>
          <w:sz w:val="22"/>
          <w:szCs w:val="22"/>
        </w:rPr>
        <w:t xml:space="preserve">reinforce how we could use a lesson learnt in a different </w:t>
      </w:r>
      <w:r w:rsidR="008D7421">
        <w:rPr>
          <w:rFonts w:ascii="Arial" w:hAnsi="Arial" w:cs="Arial"/>
          <w:sz w:val="22"/>
          <w:szCs w:val="22"/>
        </w:rPr>
        <w:t>context;</w:t>
      </w:r>
      <w:r>
        <w:rPr>
          <w:rFonts w:ascii="Arial" w:hAnsi="Arial" w:cs="Arial"/>
          <w:sz w:val="22"/>
          <w:szCs w:val="22"/>
        </w:rPr>
        <w:t xml:space="preserve"> </w:t>
      </w:r>
      <w:r w:rsidR="008D7421">
        <w:rPr>
          <w:rFonts w:ascii="Arial" w:hAnsi="Arial" w:cs="Arial"/>
          <w:sz w:val="22"/>
          <w:szCs w:val="22"/>
        </w:rPr>
        <w:t>however,</w:t>
      </w:r>
      <w:r>
        <w:rPr>
          <w:rFonts w:ascii="Arial" w:hAnsi="Arial" w:cs="Arial"/>
          <w:sz w:val="22"/>
          <w:szCs w:val="22"/>
        </w:rPr>
        <w:t xml:space="preserve"> it will be important to aim to include further challenge. </w:t>
      </w:r>
      <w:r w:rsidR="007D407C">
        <w:rPr>
          <w:rFonts w:ascii="Arial" w:hAnsi="Arial" w:cs="Arial"/>
          <w:sz w:val="22"/>
          <w:szCs w:val="22"/>
        </w:rPr>
        <w:t xml:space="preserve">It will also be crucial therefore to include a </w:t>
      </w:r>
      <w:r w:rsidR="007D407C">
        <w:rPr>
          <w:rFonts w:ascii="Arial" w:hAnsi="Arial" w:cs="Arial"/>
          <w:sz w:val="22"/>
          <w:szCs w:val="22"/>
        </w:rPr>
        <w:lastRenderedPageBreak/>
        <w:t xml:space="preserve">variety of experiences within these contexts such as the use of trips to relevant places or exterior influences such as specialists within an area we are learning to reinforce the importance and promote learning authentically. </w:t>
      </w:r>
    </w:p>
    <w:p w14:paraId="2FD24B9D" w14:textId="77777777" w:rsidR="007D407C" w:rsidRDefault="007D407C" w:rsidP="00FC178C">
      <w:pPr>
        <w:spacing w:line="360" w:lineRule="auto"/>
        <w:rPr>
          <w:rFonts w:ascii="Arial" w:hAnsi="Arial" w:cs="Arial"/>
          <w:sz w:val="22"/>
          <w:szCs w:val="22"/>
        </w:rPr>
      </w:pPr>
    </w:p>
    <w:p w14:paraId="06B478C0" w14:textId="24E0B026" w:rsidR="001D75EA" w:rsidRDefault="007D407C" w:rsidP="00FC178C">
      <w:pPr>
        <w:spacing w:line="360" w:lineRule="auto"/>
        <w:rPr>
          <w:rFonts w:ascii="Arial" w:hAnsi="Arial" w:cs="Arial"/>
          <w:sz w:val="22"/>
          <w:szCs w:val="22"/>
        </w:rPr>
      </w:pPr>
      <w:r>
        <w:rPr>
          <w:rFonts w:ascii="Arial" w:hAnsi="Arial" w:cs="Arial"/>
          <w:sz w:val="22"/>
          <w:szCs w:val="22"/>
        </w:rPr>
        <w:t xml:space="preserve">Through reflecting over the time across PTE1 and the experiences that have been created, it is </w:t>
      </w:r>
      <w:r w:rsidR="0014797E">
        <w:rPr>
          <w:rFonts w:ascii="Arial" w:hAnsi="Arial" w:cs="Arial"/>
          <w:sz w:val="22"/>
          <w:szCs w:val="22"/>
        </w:rPr>
        <w:t>important</w:t>
      </w:r>
      <w:r>
        <w:rPr>
          <w:rFonts w:ascii="Arial" w:hAnsi="Arial" w:cs="Arial"/>
          <w:sz w:val="22"/>
          <w:szCs w:val="22"/>
        </w:rPr>
        <w:t xml:space="preserve"> to note that the development in my personal skills and teaching skills have expanded to a great extent. Reflecting throughout the teaching profession is a continuing aspect and something that is crucial for positive development. Whilst reflecting upon the three pedagogical principles provided within this reflection, it is </w:t>
      </w:r>
      <w:r w:rsidR="0014797E">
        <w:rPr>
          <w:rFonts w:ascii="Arial" w:hAnsi="Arial" w:cs="Arial"/>
          <w:sz w:val="22"/>
          <w:szCs w:val="22"/>
        </w:rPr>
        <w:t xml:space="preserve">essential </w:t>
      </w:r>
      <w:r>
        <w:rPr>
          <w:rFonts w:ascii="Arial" w:hAnsi="Arial" w:cs="Arial"/>
          <w:sz w:val="22"/>
          <w:szCs w:val="22"/>
        </w:rPr>
        <w:t>to note the importance of planning and critically reflecting on practice in order to improve for a personal satisfaction and the education of the learners. When addressing the recommendations for improvement noted above, some similarities have risen such as the use of a variety of tasks</w:t>
      </w:r>
      <w:r w:rsidR="008D7421">
        <w:rPr>
          <w:rFonts w:ascii="Arial" w:hAnsi="Arial" w:cs="Arial"/>
          <w:sz w:val="22"/>
          <w:szCs w:val="22"/>
        </w:rPr>
        <w:t xml:space="preserve"> and encouraging the independence and choice of pupils learning activities and development</w:t>
      </w:r>
      <w:r>
        <w:rPr>
          <w:rFonts w:ascii="Arial" w:hAnsi="Arial" w:cs="Arial"/>
          <w:sz w:val="22"/>
          <w:szCs w:val="22"/>
        </w:rPr>
        <w:t xml:space="preserve">. Through continuing with </w:t>
      </w:r>
      <w:r w:rsidR="008D7421">
        <w:rPr>
          <w:rFonts w:ascii="Arial" w:hAnsi="Arial" w:cs="Arial"/>
          <w:sz w:val="22"/>
          <w:szCs w:val="22"/>
        </w:rPr>
        <w:t>these targets</w:t>
      </w:r>
      <w:r>
        <w:rPr>
          <w:rFonts w:ascii="Arial" w:hAnsi="Arial" w:cs="Arial"/>
          <w:sz w:val="22"/>
          <w:szCs w:val="22"/>
        </w:rPr>
        <w:t xml:space="preserve">, pupils will be able to experience a variety of lessons and activity, preparing them for a life after education enriched by their </w:t>
      </w:r>
      <w:r w:rsidR="003C1A97">
        <w:rPr>
          <w:rFonts w:ascii="Arial" w:hAnsi="Arial" w:cs="Arial"/>
          <w:sz w:val="22"/>
          <w:szCs w:val="22"/>
        </w:rPr>
        <w:t>experiences</w:t>
      </w:r>
      <w:r>
        <w:rPr>
          <w:rFonts w:ascii="Arial" w:hAnsi="Arial" w:cs="Arial"/>
          <w:sz w:val="22"/>
          <w:szCs w:val="22"/>
        </w:rPr>
        <w:t xml:space="preserve">. Although only three of the pedagogical principles have been </w:t>
      </w:r>
      <w:r w:rsidR="003C1A97">
        <w:rPr>
          <w:rFonts w:ascii="Arial" w:hAnsi="Arial" w:cs="Arial"/>
          <w:sz w:val="22"/>
          <w:szCs w:val="22"/>
        </w:rPr>
        <w:t xml:space="preserve">addressed within this reflection, the importance to reflect upon these also will be beneficial for improvement within the next PTE. </w:t>
      </w:r>
    </w:p>
    <w:p w14:paraId="5AD27426" w14:textId="56BEC78B" w:rsidR="0053792B" w:rsidRDefault="0053792B" w:rsidP="00FC178C">
      <w:pPr>
        <w:spacing w:line="360" w:lineRule="auto"/>
        <w:rPr>
          <w:rFonts w:ascii="Arial" w:hAnsi="Arial" w:cs="Arial"/>
          <w:sz w:val="22"/>
          <w:szCs w:val="22"/>
        </w:rPr>
      </w:pPr>
    </w:p>
    <w:p w14:paraId="6FFA155B" w14:textId="6812398B" w:rsidR="0053792B" w:rsidRDefault="0053792B" w:rsidP="00FC178C">
      <w:pPr>
        <w:spacing w:line="360" w:lineRule="auto"/>
        <w:rPr>
          <w:rFonts w:ascii="Arial" w:hAnsi="Arial" w:cs="Arial"/>
          <w:sz w:val="22"/>
          <w:szCs w:val="22"/>
        </w:rPr>
      </w:pPr>
    </w:p>
    <w:p w14:paraId="1E368282" w14:textId="2C39761E" w:rsidR="0053792B" w:rsidRDefault="0053792B" w:rsidP="00FC178C">
      <w:pPr>
        <w:spacing w:line="360" w:lineRule="auto"/>
        <w:rPr>
          <w:rFonts w:ascii="Arial" w:hAnsi="Arial" w:cs="Arial"/>
          <w:sz w:val="22"/>
          <w:szCs w:val="22"/>
        </w:rPr>
      </w:pPr>
    </w:p>
    <w:p w14:paraId="33751BEA" w14:textId="2EBCB0A2" w:rsidR="0053792B" w:rsidRDefault="0053792B" w:rsidP="00FC178C">
      <w:pPr>
        <w:spacing w:line="360" w:lineRule="auto"/>
        <w:rPr>
          <w:rFonts w:ascii="Arial" w:hAnsi="Arial" w:cs="Arial"/>
          <w:sz w:val="22"/>
          <w:szCs w:val="22"/>
        </w:rPr>
      </w:pPr>
    </w:p>
    <w:p w14:paraId="17D0FB6A" w14:textId="4749CCB3" w:rsidR="0053792B" w:rsidRDefault="0053792B" w:rsidP="00FC178C">
      <w:pPr>
        <w:spacing w:line="360" w:lineRule="auto"/>
        <w:rPr>
          <w:rFonts w:ascii="Arial" w:hAnsi="Arial" w:cs="Arial"/>
          <w:sz w:val="22"/>
          <w:szCs w:val="22"/>
        </w:rPr>
      </w:pPr>
    </w:p>
    <w:p w14:paraId="753EDBE5" w14:textId="0786DD7A" w:rsidR="0053792B" w:rsidRDefault="0053792B" w:rsidP="00FC178C">
      <w:pPr>
        <w:spacing w:line="360" w:lineRule="auto"/>
        <w:rPr>
          <w:rFonts w:ascii="Arial" w:hAnsi="Arial" w:cs="Arial"/>
          <w:sz w:val="22"/>
          <w:szCs w:val="22"/>
        </w:rPr>
      </w:pPr>
    </w:p>
    <w:p w14:paraId="5BEB3968" w14:textId="6A062B70" w:rsidR="0053792B" w:rsidRDefault="0053792B" w:rsidP="00FC178C">
      <w:pPr>
        <w:spacing w:line="360" w:lineRule="auto"/>
        <w:rPr>
          <w:rFonts w:ascii="Arial" w:hAnsi="Arial" w:cs="Arial"/>
          <w:sz w:val="22"/>
          <w:szCs w:val="22"/>
        </w:rPr>
      </w:pPr>
    </w:p>
    <w:p w14:paraId="09BD4DAB" w14:textId="3E5954C4" w:rsidR="0053792B" w:rsidRDefault="0053792B" w:rsidP="00FC178C">
      <w:pPr>
        <w:spacing w:line="360" w:lineRule="auto"/>
        <w:rPr>
          <w:rFonts w:ascii="Arial" w:hAnsi="Arial" w:cs="Arial"/>
          <w:sz w:val="22"/>
          <w:szCs w:val="22"/>
        </w:rPr>
      </w:pPr>
    </w:p>
    <w:p w14:paraId="0415AD29" w14:textId="4EA0BC16" w:rsidR="0053792B" w:rsidRDefault="0053792B" w:rsidP="00FC178C">
      <w:pPr>
        <w:spacing w:line="360" w:lineRule="auto"/>
        <w:rPr>
          <w:rFonts w:ascii="Arial" w:hAnsi="Arial" w:cs="Arial"/>
          <w:sz w:val="22"/>
          <w:szCs w:val="22"/>
        </w:rPr>
      </w:pPr>
    </w:p>
    <w:p w14:paraId="075C68B2" w14:textId="7F2919D3" w:rsidR="0053792B" w:rsidRDefault="0053792B" w:rsidP="00FC178C">
      <w:pPr>
        <w:spacing w:line="360" w:lineRule="auto"/>
        <w:rPr>
          <w:rFonts w:ascii="Arial" w:hAnsi="Arial" w:cs="Arial"/>
          <w:sz w:val="22"/>
          <w:szCs w:val="22"/>
        </w:rPr>
      </w:pPr>
    </w:p>
    <w:p w14:paraId="66D0B773" w14:textId="701AA418" w:rsidR="0053792B" w:rsidRDefault="0053792B" w:rsidP="00FC178C">
      <w:pPr>
        <w:spacing w:line="360" w:lineRule="auto"/>
        <w:rPr>
          <w:rFonts w:ascii="Arial" w:hAnsi="Arial" w:cs="Arial"/>
          <w:sz w:val="22"/>
          <w:szCs w:val="22"/>
        </w:rPr>
      </w:pPr>
    </w:p>
    <w:p w14:paraId="49162D72" w14:textId="72DA4AA6" w:rsidR="0053792B" w:rsidRDefault="0053792B" w:rsidP="00FC178C">
      <w:pPr>
        <w:spacing w:line="360" w:lineRule="auto"/>
        <w:rPr>
          <w:rFonts w:ascii="Arial" w:hAnsi="Arial" w:cs="Arial"/>
          <w:sz w:val="22"/>
          <w:szCs w:val="22"/>
        </w:rPr>
      </w:pPr>
    </w:p>
    <w:p w14:paraId="3B6EB326" w14:textId="20DB8190" w:rsidR="0053792B" w:rsidRDefault="0053792B" w:rsidP="00FC178C">
      <w:pPr>
        <w:spacing w:line="360" w:lineRule="auto"/>
        <w:rPr>
          <w:rFonts w:ascii="Arial" w:hAnsi="Arial" w:cs="Arial"/>
          <w:sz w:val="22"/>
          <w:szCs w:val="22"/>
        </w:rPr>
      </w:pPr>
    </w:p>
    <w:p w14:paraId="2006331A" w14:textId="28E3325B" w:rsidR="0053792B" w:rsidRDefault="0053792B" w:rsidP="00FC178C">
      <w:pPr>
        <w:spacing w:line="360" w:lineRule="auto"/>
        <w:rPr>
          <w:rFonts w:ascii="Arial" w:hAnsi="Arial" w:cs="Arial"/>
          <w:sz w:val="22"/>
          <w:szCs w:val="22"/>
        </w:rPr>
      </w:pPr>
    </w:p>
    <w:p w14:paraId="2F0F9298" w14:textId="03779A47" w:rsidR="0053792B" w:rsidRDefault="0053792B" w:rsidP="00FC178C">
      <w:pPr>
        <w:spacing w:line="360" w:lineRule="auto"/>
        <w:rPr>
          <w:rFonts w:ascii="Arial" w:hAnsi="Arial" w:cs="Arial"/>
          <w:sz w:val="22"/>
          <w:szCs w:val="22"/>
        </w:rPr>
      </w:pPr>
    </w:p>
    <w:p w14:paraId="1E664D18" w14:textId="55A84724" w:rsidR="0053792B" w:rsidRDefault="0053792B" w:rsidP="00FC178C">
      <w:pPr>
        <w:spacing w:line="360" w:lineRule="auto"/>
        <w:rPr>
          <w:rFonts w:ascii="Arial" w:hAnsi="Arial" w:cs="Arial"/>
          <w:sz w:val="22"/>
          <w:szCs w:val="22"/>
        </w:rPr>
      </w:pPr>
    </w:p>
    <w:p w14:paraId="33BE1D79" w14:textId="1F7D8C4B" w:rsidR="0053792B" w:rsidRDefault="0053792B" w:rsidP="00FC178C">
      <w:pPr>
        <w:spacing w:line="360" w:lineRule="auto"/>
        <w:rPr>
          <w:rFonts w:ascii="Arial" w:hAnsi="Arial" w:cs="Arial"/>
          <w:sz w:val="22"/>
          <w:szCs w:val="22"/>
        </w:rPr>
      </w:pPr>
    </w:p>
    <w:p w14:paraId="2E7BCADA" w14:textId="5E21CA1C" w:rsidR="0053792B" w:rsidRDefault="0053792B" w:rsidP="00FC178C">
      <w:pPr>
        <w:spacing w:line="360" w:lineRule="auto"/>
        <w:rPr>
          <w:rFonts w:ascii="Arial" w:hAnsi="Arial" w:cs="Arial"/>
          <w:sz w:val="22"/>
          <w:szCs w:val="22"/>
        </w:rPr>
      </w:pPr>
    </w:p>
    <w:p w14:paraId="515387DC" w14:textId="0C8FEE26" w:rsidR="0053792B" w:rsidRDefault="0053792B" w:rsidP="00FC178C">
      <w:pPr>
        <w:spacing w:line="360" w:lineRule="auto"/>
        <w:rPr>
          <w:rFonts w:ascii="Arial" w:hAnsi="Arial" w:cs="Arial"/>
          <w:sz w:val="22"/>
          <w:szCs w:val="22"/>
        </w:rPr>
      </w:pPr>
    </w:p>
    <w:p w14:paraId="08AFD883" w14:textId="5D11CF9D" w:rsidR="0053792B" w:rsidRDefault="0053792B" w:rsidP="00FC178C">
      <w:pPr>
        <w:spacing w:line="360" w:lineRule="auto"/>
        <w:rPr>
          <w:rFonts w:ascii="Arial" w:hAnsi="Arial" w:cs="Arial"/>
          <w:sz w:val="22"/>
          <w:szCs w:val="22"/>
        </w:rPr>
      </w:pPr>
    </w:p>
    <w:p w14:paraId="082A9D47" w14:textId="04E45514" w:rsidR="0053792B" w:rsidRPr="0053792B" w:rsidRDefault="0053792B" w:rsidP="0053792B">
      <w:pPr>
        <w:spacing w:line="360" w:lineRule="auto"/>
        <w:rPr>
          <w:rFonts w:ascii="Arial" w:hAnsi="Arial" w:cs="Arial"/>
          <w:b/>
          <w:bCs/>
          <w:sz w:val="28"/>
          <w:szCs w:val="28"/>
          <w:u w:val="single"/>
        </w:rPr>
      </w:pPr>
      <w:r>
        <w:rPr>
          <w:rFonts w:ascii="Arial" w:hAnsi="Arial" w:cs="Arial"/>
          <w:b/>
          <w:bCs/>
          <w:sz w:val="28"/>
          <w:szCs w:val="28"/>
          <w:u w:val="single"/>
        </w:rPr>
        <w:lastRenderedPageBreak/>
        <w:t>Reference List</w:t>
      </w:r>
      <w:bookmarkStart w:id="0" w:name="_GoBack"/>
      <w:bookmarkEnd w:id="0"/>
    </w:p>
    <w:p w14:paraId="6BC309C5" w14:textId="77777777" w:rsidR="0053792B" w:rsidRDefault="0053792B" w:rsidP="0053792B">
      <w:pPr>
        <w:spacing w:line="360" w:lineRule="auto"/>
        <w:rPr>
          <w:rFonts w:ascii="Arial" w:hAnsi="Arial" w:cs="Arial"/>
          <w:sz w:val="22"/>
          <w:szCs w:val="22"/>
        </w:rPr>
      </w:pPr>
    </w:p>
    <w:p w14:paraId="073D2C82" w14:textId="65E05FAB" w:rsidR="0053792B" w:rsidRDefault="0053792B" w:rsidP="0053792B">
      <w:pPr>
        <w:spacing w:line="360" w:lineRule="auto"/>
        <w:rPr>
          <w:rFonts w:ascii="Arial" w:hAnsi="Arial" w:cs="Arial"/>
          <w:sz w:val="22"/>
          <w:szCs w:val="22"/>
        </w:rPr>
      </w:pPr>
      <w:r>
        <w:rPr>
          <w:rFonts w:ascii="Arial" w:hAnsi="Arial" w:cs="Arial"/>
          <w:sz w:val="22"/>
          <w:szCs w:val="22"/>
        </w:rPr>
        <w:t xml:space="preserve">Acar, H. (2014) ‘Learning environment for children in outdoor spaces’, </w:t>
      </w:r>
      <w:r>
        <w:rPr>
          <w:rFonts w:ascii="Arial" w:hAnsi="Arial" w:cs="Arial"/>
          <w:i/>
          <w:iCs/>
          <w:sz w:val="22"/>
          <w:szCs w:val="22"/>
        </w:rPr>
        <w:t xml:space="preserve">Procedia-School and Behavioural Sciences, </w:t>
      </w:r>
      <w:r>
        <w:rPr>
          <w:rFonts w:ascii="Arial" w:hAnsi="Arial" w:cs="Arial"/>
          <w:sz w:val="22"/>
          <w:szCs w:val="22"/>
        </w:rPr>
        <w:t xml:space="preserve">141, pp. 846-853. </w:t>
      </w:r>
    </w:p>
    <w:p w14:paraId="50E12BD3" w14:textId="77777777" w:rsidR="0053792B" w:rsidRDefault="0053792B" w:rsidP="0053792B">
      <w:pPr>
        <w:spacing w:line="360" w:lineRule="auto"/>
        <w:rPr>
          <w:rFonts w:ascii="Arial" w:hAnsi="Arial" w:cs="Arial"/>
          <w:sz w:val="22"/>
          <w:szCs w:val="22"/>
        </w:rPr>
      </w:pPr>
    </w:p>
    <w:p w14:paraId="695B2B1F" w14:textId="77777777" w:rsidR="0053792B" w:rsidRDefault="0053792B" w:rsidP="0053792B">
      <w:pPr>
        <w:spacing w:line="360" w:lineRule="auto"/>
        <w:rPr>
          <w:rFonts w:ascii="Arial" w:hAnsi="Arial" w:cs="Arial"/>
          <w:sz w:val="22"/>
          <w:szCs w:val="22"/>
        </w:rPr>
      </w:pPr>
      <w:r>
        <w:rPr>
          <w:rFonts w:ascii="Arial" w:hAnsi="Arial" w:cs="Arial"/>
          <w:sz w:val="22"/>
          <w:szCs w:val="22"/>
        </w:rPr>
        <w:t xml:space="preserve">Austin, R., Smyth, J., Richard, A., Quick-Bolt, N. and Metcalfe, N. (2010) ‘Collaborative digital learning in schools: Teacher perceptions of purpose and effectiveness’, </w:t>
      </w:r>
      <w:r>
        <w:rPr>
          <w:rFonts w:ascii="Arial" w:hAnsi="Arial" w:cs="Arial"/>
          <w:i/>
          <w:iCs/>
          <w:sz w:val="22"/>
          <w:szCs w:val="22"/>
        </w:rPr>
        <w:t xml:space="preserve">Technology, pedagogy and education, </w:t>
      </w:r>
      <w:r>
        <w:rPr>
          <w:rFonts w:ascii="Arial" w:hAnsi="Arial" w:cs="Arial"/>
          <w:sz w:val="22"/>
          <w:szCs w:val="22"/>
        </w:rPr>
        <w:t xml:space="preserve">19(3), pp. 327-343. </w:t>
      </w:r>
    </w:p>
    <w:p w14:paraId="69922C8F" w14:textId="77777777" w:rsidR="0053792B" w:rsidRPr="00F80D93" w:rsidRDefault="0053792B" w:rsidP="0053792B">
      <w:pPr>
        <w:spacing w:line="360" w:lineRule="auto"/>
        <w:rPr>
          <w:rFonts w:ascii="Arial" w:hAnsi="Arial" w:cs="Arial"/>
          <w:sz w:val="22"/>
          <w:szCs w:val="22"/>
        </w:rPr>
      </w:pPr>
    </w:p>
    <w:p w14:paraId="27C46429" w14:textId="77777777" w:rsidR="0053792B" w:rsidRDefault="0053792B" w:rsidP="0053792B">
      <w:pPr>
        <w:spacing w:line="360" w:lineRule="auto"/>
        <w:rPr>
          <w:rFonts w:ascii="Arial" w:hAnsi="Arial" w:cs="Arial"/>
          <w:sz w:val="22"/>
          <w:szCs w:val="22"/>
        </w:rPr>
      </w:pPr>
      <w:r>
        <w:rPr>
          <w:rFonts w:ascii="Arial" w:hAnsi="Arial" w:cs="Arial"/>
          <w:sz w:val="22"/>
          <w:szCs w:val="22"/>
        </w:rPr>
        <w:t xml:space="preserve">Black, P. and William, D. (1998) </w:t>
      </w:r>
      <w:r>
        <w:rPr>
          <w:rFonts w:ascii="Arial" w:hAnsi="Arial" w:cs="Arial"/>
          <w:i/>
          <w:iCs/>
          <w:sz w:val="22"/>
          <w:szCs w:val="22"/>
        </w:rPr>
        <w:t xml:space="preserve">Inside the Black Box: Raising Standards through classroom assessments. </w:t>
      </w:r>
      <w:r>
        <w:rPr>
          <w:rFonts w:ascii="Arial" w:hAnsi="Arial" w:cs="Arial"/>
          <w:sz w:val="22"/>
          <w:szCs w:val="22"/>
        </w:rPr>
        <w:t xml:space="preserve">Available at: </w:t>
      </w:r>
      <w:r>
        <w:rPr>
          <w:rFonts w:ascii="Arial" w:hAnsi="Arial" w:cs="Arial"/>
          <w:i/>
          <w:iCs/>
          <w:sz w:val="22"/>
          <w:szCs w:val="22"/>
        </w:rPr>
        <w:t xml:space="preserve"> </w:t>
      </w:r>
      <w:hyperlink r:id="rId4" w:history="1">
        <w:r w:rsidRPr="00287D74">
          <w:rPr>
            <w:rStyle w:val="Hyperlink"/>
            <w:rFonts w:ascii="Arial" w:hAnsi="Arial" w:cs="Arial"/>
            <w:i/>
            <w:iCs/>
            <w:sz w:val="22"/>
            <w:szCs w:val="22"/>
          </w:rPr>
          <w:t>https://www.rdc.udel.edu/wp-content/uploads/2015/04/InsideBlackBox.pdf</w:t>
        </w:r>
      </w:hyperlink>
      <w:r>
        <w:rPr>
          <w:rFonts w:ascii="Arial" w:hAnsi="Arial" w:cs="Arial"/>
          <w:i/>
          <w:iCs/>
          <w:sz w:val="22"/>
          <w:szCs w:val="22"/>
        </w:rPr>
        <w:t xml:space="preserve"> </w:t>
      </w:r>
      <w:r>
        <w:rPr>
          <w:rFonts w:ascii="Arial" w:hAnsi="Arial" w:cs="Arial"/>
          <w:sz w:val="22"/>
          <w:szCs w:val="22"/>
        </w:rPr>
        <w:t xml:space="preserve">(Accessed 29/12/2019). </w:t>
      </w:r>
    </w:p>
    <w:p w14:paraId="34433630" w14:textId="77777777" w:rsidR="0053792B" w:rsidRDefault="0053792B" w:rsidP="0053792B">
      <w:pPr>
        <w:spacing w:line="360" w:lineRule="auto"/>
        <w:rPr>
          <w:rFonts w:ascii="Arial" w:hAnsi="Arial" w:cs="Arial"/>
          <w:sz w:val="22"/>
          <w:szCs w:val="22"/>
        </w:rPr>
      </w:pPr>
    </w:p>
    <w:p w14:paraId="1182993F" w14:textId="77777777" w:rsidR="0053792B" w:rsidRPr="00CF3E85" w:rsidRDefault="0053792B" w:rsidP="0053792B">
      <w:pPr>
        <w:spacing w:line="360" w:lineRule="auto"/>
        <w:rPr>
          <w:rFonts w:ascii="Arial" w:hAnsi="Arial" w:cs="Arial"/>
          <w:sz w:val="22"/>
          <w:szCs w:val="22"/>
        </w:rPr>
      </w:pPr>
      <w:r>
        <w:rPr>
          <w:rFonts w:ascii="Arial" w:hAnsi="Arial" w:cs="Arial"/>
          <w:sz w:val="22"/>
          <w:szCs w:val="22"/>
        </w:rPr>
        <w:t xml:space="preserve">Carss, W D. (2007) </w:t>
      </w:r>
      <w:r>
        <w:rPr>
          <w:rFonts w:ascii="Arial" w:hAnsi="Arial" w:cs="Arial"/>
          <w:i/>
          <w:iCs/>
          <w:sz w:val="22"/>
          <w:szCs w:val="22"/>
        </w:rPr>
        <w:t xml:space="preserve">The effects of using think-pair-share during guided reading lessons. </w:t>
      </w:r>
      <w:r>
        <w:rPr>
          <w:rFonts w:ascii="Arial" w:hAnsi="Arial" w:cs="Arial"/>
          <w:sz w:val="22"/>
          <w:szCs w:val="22"/>
        </w:rPr>
        <w:t xml:space="preserve">Available at: </w:t>
      </w:r>
      <w:hyperlink r:id="rId5" w:history="1">
        <w:r w:rsidRPr="00D85721">
          <w:rPr>
            <w:rStyle w:val="Hyperlink"/>
            <w:rFonts w:ascii="Arial" w:hAnsi="Arial" w:cs="Arial"/>
            <w:sz w:val="22"/>
            <w:szCs w:val="22"/>
          </w:rPr>
          <w:t>https://researchcommons.waikato.ac.nz/handle/10289/2233</w:t>
        </w:r>
      </w:hyperlink>
      <w:r>
        <w:rPr>
          <w:rFonts w:ascii="Arial" w:hAnsi="Arial" w:cs="Arial"/>
          <w:sz w:val="22"/>
          <w:szCs w:val="22"/>
        </w:rPr>
        <w:t xml:space="preserve"> (Accessed: 02/01/2020). </w:t>
      </w:r>
    </w:p>
    <w:p w14:paraId="5A3DB624" w14:textId="77777777" w:rsidR="0053792B" w:rsidRDefault="0053792B" w:rsidP="0053792B">
      <w:pPr>
        <w:spacing w:line="360" w:lineRule="auto"/>
        <w:rPr>
          <w:rFonts w:ascii="Arial" w:hAnsi="Arial" w:cs="Arial"/>
          <w:sz w:val="22"/>
          <w:szCs w:val="22"/>
        </w:rPr>
      </w:pPr>
    </w:p>
    <w:p w14:paraId="0C815C05" w14:textId="77777777" w:rsidR="0053792B" w:rsidRDefault="0053792B" w:rsidP="0053792B">
      <w:pPr>
        <w:spacing w:line="360" w:lineRule="auto"/>
        <w:rPr>
          <w:rFonts w:ascii="Arial" w:hAnsi="Arial" w:cs="Arial"/>
          <w:i/>
          <w:iCs/>
          <w:sz w:val="22"/>
          <w:szCs w:val="22"/>
        </w:rPr>
      </w:pPr>
      <w:r>
        <w:rPr>
          <w:rFonts w:ascii="Arial" w:hAnsi="Arial" w:cs="Arial"/>
          <w:sz w:val="22"/>
          <w:szCs w:val="22"/>
        </w:rPr>
        <w:t>Chao, T., Chen, J., Star, J R. and Dede, C. ‘</w:t>
      </w:r>
      <w:r w:rsidRPr="00C35805">
        <w:rPr>
          <w:rFonts w:ascii="Arial" w:hAnsi="Arial" w:cs="Arial"/>
          <w:sz w:val="22"/>
          <w:szCs w:val="22"/>
        </w:rPr>
        <w:t>Using digital resources for Motivation and Engagement in Learning Mathematics: Reflections from teachers and student</w:t>
      </w:r>
      <w:r>
        <w:rPr>
          <w:rFonts w:ascii="Arial" w:hAnsi="Arial" w:cs="Arial"/>
          <w:sz w:val="22"/>
          <w:szCs w:val="22"/>
        </w:rPr>
        <w:t xml:space="preserve">s’, </w:t>
      </w:r>
      <w:r>
        <w:rPr>
          <w:rFonts w:ascii="Arial" w:hAnsi="Arial" w:cs="Arial"/>
          <w:i/>
          <w:iCs/>
          <w:sz w:val="22"/>
          <w:szCs w:val="22"/>
        </w:rPr>
        <w:t xml:space="preserve">Digital Experiences in Mathematics Education, </w:t>
      </w:r>
      <w:r>
        <w:rPr>
          <w:rFonts w:ascii="Arial" w:hAnsi="Arial" w:cs="Arial"/>
          <w:sz w:val="22"/>
          <w:szCs w:val="22"/>
        </w:rPr>
        <w:t xml:space="preserve">2, pp. 253-277. </w:t>
      </w:r>
      <w:r>
        <w:rPr>
          <w:rFonts w:ascii="Arial" w:hAnsi="Arial" w:cs="Arial"/>
          <w:i/>
          <w:iCs/>
          <w:sz w:val="22"/>
          <w:szCs w:val="22"/>
        </w:rPr>
        <w:t xml:space="preserve"> </w:t>
      </w:r>
    </w:p>
    <w:p w14:paraId="59B3F698" w14:textId="77777777" w:rsidR="0053792B" w:rsidRDefault="0053792B" w:rsidP="0053792B">
      <w:pPr>
        <w:spacing w:line="360" w:lineRule="auto"/>
        <w:rPr>
          <w:rFonts w:ascii="Arial" w:hAnsi="Arial" w:cs="Arial"/>
          <w:i/>
          <w:iCs/>
          <w:sz w:val="22"/>
          <w:szCs w:val="22"/>
        </w:rPr>
      </w:pPr>
    </w:p>
    <w:p w14:paraId="680809B2" w14:textId="77777777" w:rsidR="0053792B" w:rsidRDefault="0053792B" w:rsidP="0053792B">
      <w:pPr>
        <w:spacing w:line="360" w:lineRule="auto"/>
        <w:rPr>
          <w:rFonts w:ascii="Arial" w:hAnsi="Arial" w:cs="Arial"/>
          <w:sz w:val="22"/>
          <w:szCs w:val="22"/>
        </w:rPr>
      </w:pPr>
      <w:r>
        <w:rPr>
          <w:rFonts w:ascii="Arial" w:hAnsi="Arial" w:cs="Arial"/>
          <w:sz w:val="22"/>
          <w:szCs w:val="22"/>
        </w:rPr>
        <w:t xml:space="preserve">Cullingford, C. (2013) ‘I suppose learning your tables could help you get a job’: Children’s views on the purpose of schools’, </w:t>
      </w:r>
      <w:r>
        <w:rPr>
          <w:rFonts w:ascii="Arial" w:hAnsi="Arial" w:cs="Arial"/>
          <w:i/>
          <w:iCs/>
          <w:sz w:val="22"/>
          <w:szCs w:val="22"/>
        </w:rPr>
        <w:t xml:space="preserve">Education 3-13. </w:t>
      </w:r>
      <w:r>
        <w:rPr>
          <w:rFonts w:ascii="Arial" w:hAnsi="Arial" w:cs="Arial"/>
          <w:sz w:val="22"/>
          <w:szCs w:val="22"/>
        </w:rPr>
        <w:t xml:space="preserve">Oxford: Routledge. </w:t>
      </w:r>
    </w:p>
    <w:p w14:paraId="1768E1C2" w14:textId="77777777" w:rsidR="0053792B" w:rsidRDefault="0053792B" w:rsidP="0053792B">
      <w:pPr>
        <w:spacing w:line="360" w:lineRule="auto"/>
        <w:rPr>
          <w:rFonts w:ascii="Arial" w:hAnsi="Arial" w:cs="Arial"/>
          <w:sz w:val="22"/>
          <w:szCs w:val="22"/>
        </w:rPr>
      </w:pPr>
    </w:p>
    <w:p w14:paraId="2DA99F20" w14:textId="77777777" w:rsidR="0053792B" w:rsidRDefault="0053792B" w:rsidP="0053792B">
      <w:pPr>
        <w:spacing w:line="360" w:lineRule="auto"/>
        <w:rPr>
          <w:rFonts w:ascii="Arial" w:hAnsi="Arial" w:cs="Arial"/>
          <w:sz w:val="22"/>
          <w:szCs w:val="22"/>
        </w:rPr>
      </w:pPr>
      <w:r>
        <w:rPr>
          <w:rFonts w:ascii="Arial" w:hAnsi="Arial" w:cs="Arial"/>
          <w:sz w:val="22"/>
          <w:szCs w:val="22"/>
        </w:rPr>
        <w:t xml:space="preserve">David, L. (2014) </w:t>
      </w:r>
      <w:r>
        <w:rPr>
          <w:rFonts w:ascii="Arial" w:hAnsi="Arial" w:cs="Arial"/>
          <w:i/>
          <w:iCs/>
          <w:sz w:val="22"/>
          <w:szCs w:val="22"/>
        </w:rPr>
        <w:t xml:space="preserve">Bloom’s Taxonomy. </w:t>
      </w:r>
      <w:r>
        <w:rPr>
          <w:rFonts w:ascii="Arial" w:hAnsi="Arial" w:cs="Arial"/>
          <w:sz w:val="22"/>
          <w:szCs w:val="22"/>
        </w:rPr>
        <w:t xml:space="preserve">Available at: </w:t>
      </w:r>
      <w:hyperlink r:id="rId6" w:history="1">
        <w:r w:rsidRPr="00D85721">
          <w:rPr>
            <w:rStyle w:val="Hyperlink"/>
            <w:rFonts w:ascii="Arial" w:hAnsi="Arial" w:cs="Arial"/>
            <w:sz w:val="22"/>
            <w:szCs w:val="22"/>
          </w:rPr>
          <w:t>https://www.learning-theories.com/blooms-taxonomy-bloom.html</w:t>
        </w:r>
      </w:hyperlink>
      <w:r>
        <w:rPr>
          <w:rFonts w:ascii="Arial" w:hAnsi="Arial" w:cs="Arial"/>
          <w:sz w:val="22"/>
          <w:szCs w:val="22"/>
        </w:rPr>
        <w:t xml:space="preserve"> (Accessed: 02/01/2020). </w:t>
      </w:r>
    </w:p>
    <w:p w14:paraId="5F4A6BAF" w14:textId="77777777" w:rsidR="0053792B" w:rsidRDefault="0053792B" w:rsidP="0053792B">
      <w:pPr>
        <w:spacing w:line="360" w:lineRule="auto"/>
        <w:rPr>
          <w:rFonts w:ascii="Arial" w:hAnsi="Arial" w:cs="Arial"/>
          <w:sz w:val="22"/>
          <w:szCs w:val="22"/>
        </w:rPr>
      </w:pPr>
    </w:p>
    <w:p w14:paraId="45120957" w14:textId="77777777" w:rsidR="0053792B" w:rsidRPr="009D04CA" w:rsidRDefault="0053792B" w:rsidP="0053792B">
      <w:pPr>
        <w:spacing w:line="360" w:lineRule="auto"/>
        <w:rPr>
          <w:rFonts w:ascii="Arial" w:hAnsi="Arial" w:cs="Arial"/>
          <w:sz w:val="22"/>
          <w:szCs w:val="22"/>
        </w:rPr>
      </w:pPr>
      <w:r>
        <w:rPr>
          <w:rFonts w:ascii="Arial" w:hAnsi="Arial" w:cs="Arial"/>
          <w:sz w:val="22"/>
          <w:szCs w:val="22"/>
        </w:rPr>
        <w:t>Dawson, V. (2012). ‘</w:t>
      </w:r>
      <w:r w:rsidRPr="009D04CA">
        <w:rPr>
          <w:rFonts w:ascii="Arial" w:hAnsi="Arial" w:cs="Arial"/>
          <w:sz w:val="22"/>
          <w:szCs w:val="22"/>
        </w:rPr>
        <w:t>Science teachers’ perspectives about climate change</w:t>
      </w:r>
      <w:r>
        <w:rPr>
          <w:rFonts w:ascii="Arial" w:hAnsi="Arial" w:cs="Arial"/>
          <w:i/>
          <w:iCs/>
          <w:sz w:val="22"/>
          <w:szCs w:val="22"/>
        </w:rPr>
        <w:t xml:space="preserve">’, Teaching science: The journal of the Australian Science Teachers Association, </w:t>
      </w:r>
      <w:r>
        <w:rPr>
          <w:rFonts w:ascii="Arial" w:hAnsi="Arial" w:cs="Arial"/>
          <w:sz w:val="22"/>
          <w:szCs w:val="22"/>
        </w:rPr>
        <w:t xml:space="preserve">58(3), pp. 8-13. </w:t>
      </w:r>
    </w:p>
    <w:p w14:paraId="5FFD369B" w14:textId="77777777" w:rsidR="0053792B" w:rsidRDefault="0053792B" w:rsidP="0053792B">
      <w:pPr>
        <w:tabs>
          <w:tab w:val="left" w:pos="6800"/>
        </w:tabs>
        <w:spacing w:line="360" w:lineRule="auto"/>
        <w:rPr>
          <w:rFonts w:ascii="Arial" w:hAnsi="Arial" w:cs="Arial"/>
          <w:sz w:val="22"/>
          <w:szCs w:val="22"/>
        </w:rPr>
      </w:pPr>
      <w:r>
        <w:rPr>
          <w:rFonts w:ascii="Arial" w:hAnsi="Arial" w:cs="Arial"/>
          <w:sz w:val="22"/>
          <w:szCs w:val="22"/>
        </w:rPr>
        <w:tab/>
      </w:r>
    </w:p>
    <w:p w14:paraId="1024B6A6" w14:textId="77777777" w:rsidR="0053792B" w:rsidRPr="0034009A" w:rsidRDefault="0053792B" w:rsidP="0053792B">
      <w:pPr>
        <w:spacing w:line="360" w:lineRule="auto"/>
        <w:rPr>
          <w:rFonts w:ascii="Arial" w:hAnsi="Arial" w:cs="Arial"/>
          <w:sz w:val="22"/>
          <w:szCs w:val="22"/>
        </w:rPr>
      </w:pPr>
      <w:r>
        <w:rPr>
          <w:rFonts w:ascii="Arial" w:hAnsi="Arial" w:cs="Arial"/>
          <w:sz w:val="22"/>
          <w:szCs w:val="22"/>
        </w:rPr>
        <w:t xml:space="preserve">Donaldson, G. (2015) </w:t>
      </w:r>
      <w:r>
        <w:rPr>
          <w:rFonts w:ascii="Arial" w:hAnsi="Arial" w:cs="Arial"/>
          <w:i/>
          <w:iCs/>
          <w:sz w:val="22"/>
          <w:szCs w:val="22"/>
        </w:rPr>
        <w:t xml:space="preserve">Successful Futures: Independent review of curriculum and assessment arrangements in Wales. </w:t>
      </w:r>
      <w:r>
        <w:rPr>
          <w:rFonts w:ascii="Arial" w:hAnsi="Arial" w:cs="Arial"/>
          <w:sz w:val="22"/>
          <w:szCs w:val="22"/>
        </w:rPr>
        <w:t xml:space="preserve">Available at: </w:t>
      </w:r>
      <w:hyperlink r:id="rId7" w:history="1">
        <w:r w:rsidRPr="00287D74">
          <w:rPr>
            <w:rStyle w:val="Hyperlink"/>
            <w:rFonts w:ascii="Arial" w:hAnsi="Arial" w:cs="Arial"/>
            <w:sz w:val="22"/>
            <w:szCs w:val="22"/>
          </w:rPr>
          <w:t>https://gov.wales/sites/default/files/publications/2018-03/successful-futures.pdf</w:t>
        </w:r>
      </w:hyperlink>
      <w:r>
        <w:rPr>
          <w:rFonts w:ascii="Arial" w:hAnsi="Arial" w:cs="Arial"/>
          <w:sz w:val="22"/>
          <w:szCs w:val="22"/>
        </w:rPr>
        <w:t xml:space="preserve"> (Accessed: 29/12/2019). </w:t>
      </w:r>
    </w:p>
    <w:p w14:paraId="6B7FA5B7" w14:textId="77777777" w:rsidR="0053792B" w:rsidRDefault="0053792B" w:rsidP="0053792B">
      <w:pPr>
        <w:spacing w:line="360" w:lineRule="auto"/>
        <w:rPr>
          <w:rFonts w:ascii="Arial" w:hAnsi="Arial" w:cs="Arial"/>
          <w:sz w:val="22"/>
          <w:szCs w:val="22"/>
        </w:rPr>
      </w:pPr>
    </w:p>
    <w:p w14:paraId="1B054C27" w14:textId="77777777" w:rsidR="0053792B" w:rsidRDefault="0053792B" w:rsidP="0053792B">
      <w:pPr>
        <w:spacing w:line="360" w:lineRule="auto"/>
        <w:rPr>
          <w:rFonts w:ascii="Arial" w:hAnsi="Arial" w:cs="Arial"/>
          <w:sz w:val="22"/>
          <w:szCs w:val="22"/>
        </w:rPr>
      </w:pPr>
      <w:r>
        <w:rPr>
          <w:rFonts w:ascii="Arial" w:hAnsi="Arial" w:cs="Arial"/>
          <w:sz w:val="22"/>
          <w:szCs w:val="22"/>
        </w:rPr>
        <w:lastRenderedPageBreak/>
        <w:t xml:space="preserve">Donaldson, G. (2016) ‘A systematic approach to Curriculum Reform in Wales’, </w:t>
      </w:r>
      <w:r>
        <w:rPr>
          <w:rFonts w:ascii="Arial" w:hAnsi="Arial" w:cs="Arial"/>
          <w:i/>
          <w:iCs/>
          <w:sz w:val="22"/>
          <w:szCs w:val="22"/>
        </w:rPr>
        <w:t xml:space="preserve">Cylchgrawn Addysg Cymru/Wales Journal of Education, </w:t>
      </w:r>
      <w:r>
        <w:rPr>
          <w:rFonts w:ascii="Arial" w:hAnsi="Arial" w:cs="Arial"/>
          <w:sz w:val="22"/>
          <w:szCs w:val="22"/>
        </w:rPr>
        <w:t xml:space="preserve">18(1), pp. 7-20. </w:t>
      </w:r>
    </w:p>
    <w:p w14:paraId="35473296" w14:textId="77777777" w:rsidR="0053792B" w:rsidRDefault="0053792B" w:rsidP="0053792B">
      <w:pPr>
        <w:spacing w:line="360" w:lineRule="auto"/>
        <w:rPr>
          <w:rFonts w:ascii="Arial" w:hAnsi="Arial" w:cs="Arial"/>
          <w:sz w:val="22"/>
          <w:szCs w:val="22"/>
        </w:rPr>
      </w:pPr>
    </w:p>
    <w:p w14:paraId="076C63BC" w14:textId="77777777" w:rsidR="0053792B" w:rsidRPr="002059D0" w:rsidRDefault="0053792B" w:rsidP="0053792B">
      <w:pPr>
        <w:spacing w:line="360" w:lineRule="auto"/>
        <w:rPr>
          <w:rFonts w:ascii="Arial" w:hAnsi="Arial" w:cs="Arial"/>
          <w:sz w:val="22"/>
          <w:szCs w:val="22"/>
        </w:rPr>
      </w:pPr>
      <w:r>
        <w:rPr>
          <w:rFonts w:ascii="Arial" w:hAnsi="Arial" w:cs="Arial"/>
          <w:sz w:val="22"/>
          <w:szCs w:val="22"/>
        </w:rPr>
        <w:t xml:space="preserve">Grabinger, R S. and Dunlap, J C. (1995) ‘Rich environments for active learning: A Definition’, </w:t>
      </w:r>
      <w:r>
        <w:rPr>
          <w:rFonts w:ascii="Arial" w:hAnsi="Arial" w:cs="Arial"/>
          <w:i/>
          <w:iCs/>
          <w:sz w:val="22"/>
          <w:szCs w:val="22"/>
        </w:rPr>
        <w:t xml:space="preserve">ALT-J, </w:t>
      </w:r>
      <w:r>
        <w:rPr>
          <w:rFonts w:ascii="Arial" w:hAnsi="Arial" w:cs="Arial"/>
          <w:sz w:val="22"/>
          <w:szCs w:val="22"/>
        </w:rPr>
        <w:t xml:space="preserve">3(2), pp. 5-34. </w:t>
      </w:r>
    </w:p>
    <w:p w14:paraId="643AE276" w14:textId="77777777" w:rsidR="0053792B" w:rsidRDefault="0053792B" w:rsidP="0053792B">
      <w:pPr>
        <w:spacing w:line="360" w:lineRule="auto"/>
        <w:rPr>
          <w:rFonts w:ascii="Arial" w:hAnsi="Arial" w:cs="Arial"/>
          <w:sz w:val="22"/>
          <w:szCs w:val="22"/>
        </w:rPr>
      </w:pPr>
    </w:p>
    <w:p w14:paraId="420EA76D" w14:textId="77777777" w:rsidR="0053792B" w:rsidRDefault="0053792B" w:rsidP="0053792B">
      <w:pPr>
        <w:spacing w:line="360" w:lineRule="auto"/>
        <w:rPr>
          <w:rFonts w:ascii="Arial" w:hAnsi="Arial" w:cs="Arial"/>
          <w:sz w:val="22"/>
          <w:szCs w:val="22"/>
        </w:rPr>
      </w:pPr>
      <w:r>
        <w:rPr>
          <w:rFonts w:ascii="Arial" w:hAnsi="Arial" w:cs="Arial"/>
          <w:sz w:val="22"/>
          <w:szCs w:val="22"/>
        </w:rPr>
        <w:t xml:space="preserve">Haynes, A. (2007). </w:t>
      </w:r>
      <w:r>
        <w:rPr>
          <w:rFonts w:ascii="Arial" w:hAnsi="Arial" w:cs="Arial"/>
          <w:i/>
          <w:iCs/>
          <w:sz w:val="22"/>
          <w:szCs w:val="22"/>
        </w:rPr>
        <w:t xml:space="preserve">100 ideas for lesson planning. </w:t>
      </w:r>
      <w:r>
        <w:rPr>
          <w:rFonts w:ascii="Arial" w:hAnsi="Arial" w:cs="Arial"/>
          <w:sz w:val="22"/>
          <w:szCs w:val="22"/>
        </w:rPr>
        <w:t xml:space="preserve">London: Continuum. </w:t>
      </w:r>
    </w:p>
    <w:p w14:paraId="4739E347" w14:textId="77777777" w:rsidR="0053792B" w:rsidRPr="00A93F75" w:rsidRDefault="0053792B" w:rsidP="0053792B">
      <w:pPr>
        <w:spacing w:line="360" w:lineRule="auto"/>
        <w:rPr>
          <w:rFonts w:ascii="Arial" w:hAnsi="Arial" w:cs="Arial"/>
          <w:sz w:val="22"/>
          <w:szCs w:val="22"/>
        </w:rPr>
      </w:pPr>
      <w:r>
        <w:rPr>
          <w:rFonts w:ascii="Arial" w:hAnsi="Arial" w:cs="Arial"/>
          <w:sz w:val="22"/>
          <w:szCs w:val="22"/>
        </w:rPr>
        <w:t xml:space="preserve">Jensen, E. and Buckley, N. (2014) ‘Why people attend science festivals: interests, motivations, and self-reported benefits of public engagement with research’, </w:t>
      </w:r>
      <w:r>
        <w:rPr>
          <w:rFonts w:ascii="Arial" w:hAnsi="Arial" w:cs="Arial"/>
          <w:i/>
          <w:iCs/>
          <w:sz w:val="22"/>
          <w:szCs w:val="22"/>
        </w:rPr>
        <w:t xml:space="preserve">Public Understanding of Science, </w:t>
      </w:r>
      <w:r>
        <w:rPr>
          <w:rFonts w:ascii="Arial" w:hAnsi="Arial" w:cs="Arial"/>
          <w:sz w:val="22"/>
          <w:szCs w:val="22"/>
        </w:rPr>
        <w:t xml:space="preserve">23(5), pp. 557-573. </w:t>
      </w:r>
    </w:p>
    <w:p w14:paraId="12D0FD1A" w14:textId="77777777" w:rsidR="0053792B" w:rsidRDefault="0053792B" w:rsidP="0053792B">
      <w:pPr>
        <w:spacing w:line="360" w:lineRule="auto"/>
        <w:rPr>
          <w:rFonts w:ascii="Arial" w:hAnsi="Arial" w:cs="Arial"/>
          <w:sz w:val="22"/>
          <w:szCs w:val="22"/>
        </w:rPr>
      </w:pPr>
    </w:p>
    <w:p w14:paraId="768A8DE8" w14:textId="77777777" w:rsidR="0053792B" w:rsidRDefault="0053792B" w:rsidP="0053792B">
      <w:pPr>
        <w:spacing w:line="360" w:lineRule="auto"/>
        <w:rPr>
          <w:rFonts w:ascii="Arial" w:hAnsi="Arial" w:cs="Arial"/>
          <w:sz w:val="22"/>
          <w:szCs w:val="22"/>
        </w:rPr>
      </w:pPr>
      <w:r>
        <w:rPr>
          <w:rFonts w:ascii="Arial" w:hAnsi="Arial" w:cs="Arial"/>
          <w:sz w:val="22"/>
          <w:szCs w:val="22"/>
        </w:rPr>
        <w:t xml:space="preserve">Jones, C A. (2005) </w:t>
      </w:r>
      <w:r>
        <w:rPr>
          <w:rFonts w:ascii="Arial" w:hAnsi="Arial" w:cs="Arial"/>
          <w:i/>
          <w:iCs/>
          <w:sz w:val="22"/>
          <w:szCs w:val="22"/>
        </w:rPr>
        <w:t xml:space="preserve">Assessment for Learning. </w:t>
      </w:r>
      <w:r>
        <w:rPr>
          <w:rFonts w:ascii="Arial" w:hAnsi="Arial" w:cs="Arial"/>
          <w:sz w:val="22"/>
          <w:szCs w:val="22"/>
        </w:rPr>
        <w:t xml:space="preserve">Available at: </w:t>
      </w:r>
      <w:hyperlink r:id="rId8" w:history="1">
        <w:r w:rsidRPr="00616E55">
          <w:rPr>
            <w:rStyle w:val="Hyperlink"/>
            <w:rFonts w:ascii="Arial" w:hAnsi="Arial" w:cs="Arial"/>
            <w:sz w:val="22"/>
            <w:szCs w:val="22"/>
          </w:rPr>
          <w:t>https://dera.ioe.ac.uk/7800/1/AssessmentforLearning.pdf</w:t>
        </w:r>
      </w:hyperlink>
      <w:r>
        <w:rPr>
          <w:rFonts w:ascii="Arial" w:hAnsi="Arial" w:cs="Arial"/>
          <w:sz w:val="22"/>
          <w:szCs w:val="22"/>
        </w:rPr>
        <w:t xml:space="preserve"> (Accessed at 31/12/2019). </w:t>
      </w:r>
    </w:p>
    <w:p w14:paraId="3C72F7B7" w14:textId="77777777" w:rsidR="0053792B" w:rsidRDefault="0053792B" w:rsidP="0053792B">
      <w:pPr>
        <w:spacing w:line="360" w:lineRule="auto"/>
        <w:rPr>
          <w:rFonts w:ascii="Arial" w:hAnsi="Arial" w:cs="Arial"/>
          <w:sz w:val="22"/>
          <w:szCs w:val="22"/>
        </w:rPr>
      </w:pPr>
    </w:p>
    <w:p w14:paraId="2195F9D4" w14:textId="77777777" w:rsidR="0053792B" w:rsidRPr="00C34EED" w:rsidRDefault="0053792B" w:rsidP="0053792B">
      <w:pPr>
        <w:spacing w:line="360" w:lineRule="auto"/>
        <w:rPr>
          <w:rFonts w:ascii="Arial" w:hAnsi="Arial" w:cs="Arial"/>
          <w:sz w:val="22"/>
          <w:szCs w:val="22"/>
        </w:rPr>
      </w:pPr>
      <w:r>
        <w:rPr>
          <w:rFonts w:ascii="Arial" w:hAnsi="Arial" w:cs="Arial"/>
          <w:sz w:val="22"/>
          <w:szCs w:val="22"/>
        </w:rPr>
        <w:t xml:space="preserve">Martin, F. (2005) ‘Ethnogeography: A future for primary geography and primary geography research’, </w:t>
      </w:r>
      <w:r>
        <w:rPr>
          <w:rFonts w:ascii="Arial" w:hAnsi="Arial" w:cs="Arial"/>
          <w:i/>
          <w:iCs/>
          <w:sz w:val="22"/>
          <w:szCs w:val="22"/>
        </w:rPr>
        <w:t xml:space="preserve">International research in geographical and environmental education’, </w:t>
      </w:r>
      <w:r>
        <w:rPr>
          <w:rFonts w:ascii="Arial" w:hAnsi="Arial" w:cs="Arial"/>
          <w:sz w:val="22"/>
          <w:szCs w:val="22"/>
        </w:rPr>
        <w:t xml:space="preserve">14(4), pp. 364-371. </w:t>
      </w:r>
    </w:p>
    <w:p w14:paraId="119E0566" w14:textId="77777777" w:rsidR="0053792B" w:rsidRDefault="0053792B" w:rsidP="0053792B">
      <w:pPr>
        <w:spacing w:line="360" w:lineRule="auto"/>
        <w:rPr>
          <w:rFonts w:ascii="Arial" w:hAnsi="Arial" w:cs="Arial"/>
          <w:sz w:val="22"/>
          <w:szCs w:val="22"/>
        </w:rPr>
      </w:pPr>
    </w:p>
    <w:p w14:paraId="7641C330" w14:textId="77777777" w:rsidR="0053792B" w:rsidRDefault="0053792B" w:rsidP="0053792B">
      <w:pPr>
        <w:spacing w:line="360" w:lineRule="auto"/>
        <w:rPr>
          <w:rFonts w:ascii="Arial" w:hAnsi="Arial" w:cs="Arial"/>
          <w:sz w:val="22"/>
          <w:szCs w:val="22"/>
        </w:rPr>
      </w:pPr>
      <w:r>
        <w:rPr>
          <w:rFonts w:ascii="Arial" w:hAnsi="Arial" w:cs="Arial"/>
          <w:sz w:val="22"/>
          <w:szCs w:val="22"/>
        </w:rPr>
        <w:t xml:space="preserve">McBer, H. (2000) ‘Research into teacher effectiveness’, </w:t>
      </w:r>
      <w:r>
        <w:rPr>
          <w:rFonts w:ascii="Arial" w:hAnsi="Arial" w:cs="Arial"/>
          <w:i/>
          <w:iCs/>
          <w:sz w:val="22"/>
          <w:szCs w:val="22"/>
        </w:rPr>
        <w:t xml:space="preserve">Early Professional Development of Teachers, </w:t>
      </w:r>
      <w:r>
        <w:rPr>
          <w:rFonts w:ascii="Arial" w:hAnsi="Arial" w:cs="Arial"/>
          <w:sz w:val="22"/>
          <w:szCs w:val="22"/>
        </w:rPr>
        <w:t xml:space="preserve">68(216), pp. 1-69. </w:t>
      </w:r>
    </w:p>
    <w:p w14:paraId="53E9FDED" w14:textId="77777777" w:rsidR="0053792B" w:rsidRDefault="0053792B" w:rsidP="0053792B">
      <w:pPr>
        <w:spacing w:line="360" w:lineRule="auto"/>
        <w:rPr>
          <w:rFonts w:ascii="Arial" w:hAnsi="Arial" w:cs="Arial"/>
          <w:sz w:val="22"/>
          <w:szCs w:val="22"/>
        </w:rPr>
      </w:pPr>
    </w:p>
    <w:p w14:paraId="52BF3FBE" w14:textId="77777777" w:rsidR="0053792B" w:rsidRPr="00AB2863" w:rsidRDefault="0053792B" w:rsidP="0053792B">
      <w:pPr>
        <w:spacing w:line="360" w:lineRule="auto"/>
        <w:rPr>
          <w:rFonts w:ascii="Arial" w:hAnsi="Arial" w:cs="Arial"/>
          <w:sz w:val="22"/>
          <w:szCs w:val="22"/>
        </w:rPr>
      </w:pPr>
      <w:r>
        <w:rPr>
          <w:rFonts w:ascii="Arial" w:hAnsi="Arial" w:cs="Arial"/>
          <w:sz w:val="22"/>
          <w:szCs w:val="22"/>
        </w:rPr>
        <w:t xml:space="preserve">McSweeney, K. (2012) </w:t>
      </w:r>
      <w:r>
        <w:rPr>
          <w:rFonts w:ascii="Arial" w:hAnsi="Arial" w:cs="Arial"/>
          <w:i/>
          <w:iCs/>
          <w:sz w:val="22"/>
          <w:szCs w:val="22"/>
        </w:rPr>
        <w:t xml:space="preserve">Assessment for learning: from theory to practice. </w:t>
      </w:r>
      <w:r>
        <w:rPr>
          <w:rFonts w:ascii="Arial" w:hAnsi="Arial" w:cs="Arial"/>
          <w:sz w:val="22"/>
          <w:szCs w:val="22"/>
        </w:rPr>
        <w:t xml:space="preserve">Available at: </w:t>
      </w:r>
      <w:hyperlink r:id="rId9" w:history="1">
        <w:r w:rsidRPr="002F4E28">
          <w:rPr>
            <w:rStyle w:val="Hyperlink"/>
            <w:rFonts w:ascii="Arial" w:hAnsi="Arial" w:cs="Arial"/>
            <w:sz w:val="22"/>
            <w:szCs w:val="22"/>
          </w:rPr>
          <w:t>https://www.teachingcouncil.ie/en/_fileupload/Research/Bursary-Summaries/WEB-Final-Teaching-Council-Report-2012-Kathryn-Mc-Sweeney.pdf</w:t>
        </w:r>
      </w:hyperlink>
      <w:r>
        <w:rPr>
          <w:rFonts w:ascii="Arial" w:hAnsi="Arial" w:cs="Arial"/>
          <w:sz w:val="22"/>
          <w:szCs w:val="22"/>
        </w:rPr>
        <w:t xml:space="preserve"> (Accessed: 03/01/2019). </w:t>
      </w:r>
    </w:p>
    <w:p w14:paraId="0DFD4347" w14:textId="77777777" w:rsidR="0053792B" w:rsidRDefault="0053792B" w:rsidP="0053792B">
      <w:pPr>
        <w:spacing w:line="360" w:lineRule="auto"/>
        <w:rPr>
          <w:rFonts w:ascii="Arial" w:hAnsi="Arial" w:cs="Arial"/>
          <w:sz w:val="22"/>
          <w:szCs w:val="22"/>
        </w:rPr>
      </w:pPr>
    </w:p>
    <w:p w14:paraId="480AB9CF" w14:textId="77777777" w:rsidR="0053792B" w:rsidRDefault="0053792B" w:rsidP="0053792B">
      <w:pPr>
        <w:spacing w:line="360" w:lineRule="auto"/>
        <w:rPr>
          <w:rFonts w:ascii="Arial" w:hAnsi="Arial" w:cs="Arial"/>
          <w:i/>
          <w:iCs/>
          <w:sz w:val="22"/>
          <w:szCs w:val="22"/>
        </w:rPr>
      </w:pPr>
      <w:r>
        <w:rPr>
          <w:rFonts w:ascii="Arial" w:hAnsi="Arial" w:cs="Arial"/>
          <w:sz w:val="22"/>
          <w:szCs w:val="22"/>
        </w:rPr>
        <w:t xml:space="preserve">Mazlina, H., Halim, A. and Yusrizal, Y. (2018) ‘Self-description and observers’ perspective toward science teachers’ ability in using questioning technique in Middle School’, </w:t>
      </w:r>
      <w:r>
        <w:rPr>
          <w:rFonts w:ascii="Arial" w:hAnsi="Arial" w:cs="Arial"/>
          <w:i/>
          <w:iCs/>
          <w:sz w:val="22"/>
          <w:szCs w:val="22"/>
        </w:rPr>
        <w:t xml:space="preserve">Jurnal Penelitian Fisika dan Aplikasinya, </w:t>
      </w:r>
      <w:r>
        <w:rPr>
          <w:rFonts w:ascii="Arial" w:hAnsi="Arial" w:cs="Arial"/>
          <w:sz w:val="22"/>
          <w:szCs w:val="22"/>
        </w:rPr>
        <w:t xml:space="preserve">8(2), pp. 106-114. </w:t>
      </w:r>
      <w:r>
        <w:rPr>
          <w:rFonts w:ascii="Arial" w:hAnsi="Arial" w:cs="Arial"/>
          <w:i/>
          <w:iCs/>
          <w:sz w:val="22"/>
          <w:szCs w:val="22"/>
        </w:rPr>
        <w:t xml:space="preserve"> </w:t>
      </w:r>
    </w:p>
    <w:p w14:paraId="5E870AD2" w14:textId="77777777" w:rsidR="0053792B" w:rsidRDefault="0053792B" w:rsidP="0053792B">
      <w:pPr>
        <w:spacing w:line="360" w:lineRule="auto"/>
        <w:rPr>
          <w:rFonts w:ascii="Arial" w:hAnsi="Arial" w:cs="Arial"/>
          <w:i/>
          <w:iCs/>
          <w:sz w:val="22"/>
          <w:szCs w:val="22"/>
        </w:rPr>
      </w:pPr>
    </w:p>
    <w:p w14:paraId="7DB70535" w14:textId="77777777" w:rsidR="0053792B" w:rsidRDefault="0053792B" w:rsidP="0053792B">
      <w:pPr>
        <w:spacing w:line="360" w:lineRule="auto"/>
        <w:rPr>
          <w:rFonts w:ascii="Arial" w:hAnsi="Arial" w:cs="Arial"/>
          <w:sz w:val="22"/>
          <w:szCs w:val="22"/>
        </w:rPr>
      </w:pPr>
      <w:r>
        <w:rPr>
          <w:rFonts w:ascii="Arial" w:hAnsi="Arial" w:cs="Arial"/>
          <w:sz w:val="22"/>
          <w:szCs w:val="22"/>
        </w:rPr>
        <w:t xml:space="preserve">Perrott, E. (2014). </w:t>
      </w:r>
      <w:r>
        <w:rPr>
          <w:rFonts w:ascii="Arial" w:hAnsi="Arial" w:cs="Arial"/>
          <w:i/>
          <w:iCs/>
          <w:sz w:val="22"/>
          <w:szCs w:val="22"/>
        </w:rPr>
        <w:t xml:space="preserve">Effective teaching: A practical guide to improving your teaching. </w:t>
      </w:r>
      <w:r>
        <w:rPr>
          <w:rFonts w:ascii="Arial" w:hAnsi="Arial" w:cs="Arial"/>
          <w:sz w:val="22"/>
          <w:szCs w:val="22"/>
        </w:rPr>
        <w:t xml:space="preserve">Oxford: Routledge. </w:t>
      </w:r>
    </w:p>
    <w:p w14:paraId="714FCA2C" w14:textId="77777777" w:rsidR="0053792B" w:rsidRDefault="0053792B" w:rsidP="0053792B">
      <w:pPr>
        <w:spacing w:line="360" w:lineRule="auto"/>
        <w:rPr>
          <w:rFonts w:ascii="Arial" w:hAnsi="Arial" w:cs="Arial"/>
          <w:sz w:val="22"/>
          <w:szCs w:val="22"/>
        </w:rPr>
      </w:pPr>
    </w:p>
    <w:p w14:paraId="1D0BE702" w14:textId="77777777" w:rsidR="0053792B" w:rsidRDefault="0053792B" w:rsidP="0053792B">
      <w:pPr>
        <w:spacing w:line="360" w:lineRule="auto"/>
        <w:rPr>
          <w:rFonts w:ascii="Arial" w:hAnsi="Arial" w:cs="Arial"/>
          <w:sz w:val="22"/>
          <w:szCs w:val="22"/>
        </w:rPr>
      </w:pPr>
      <w:r>
        <w:rPr>
          <w:rFonts w:ascii="Arial" w:hAnsi="Arial" w:cs="Arial"/>
          <w:sz w:val="22"/>
          <w:szCs w:val="22"/>
        </w:rPr>
        <w:t xml:space="preserve">Rittle-Johnson, B., Star, J R. and Durkin, K. (2009) ‘The importance of prior knowledge when comparing examples: Influences on conceptual and procedural knowledge of equation solving’, </w:t>
      </w:r>
      <w:r>
        <w:rPr>
          <w:rFonts w:ascii="Arial" w:hAnsi="Arial" w:cs="Arial"/>
          <w:i/>
          <w:iCs/>
          <w:sz w:val="22"/>
          <w:szCs w:val="22"/>
        </w:rPr>
        <w:t xml:space="preserve">Journal of Educational Psychology, </w:t>
      </w:r>
      <w:r>
        <w:rPr>
          <w:rFonts w:ascii="Arial" w:hAnsi="Arial" w:cs="Arial"/>
          <w:sz w:val="22"/>
          <w:szCs w:val="22"/>
        </w:rPr>
        <w:t xml:space="preserve">101(4), p. 836. </w:t>
      </w:r>
    </w:p>
    <w:p w14:paraId="6CA9F64A" w14:textId="77777777" w:rsidR="0053792B" w:rsidRDefault="0053792B" w:rsidP="0053792B">
      <w:pPr>
        <w:spacing w:line="360" w:lineRule="auto"/>
        <w:rPr>
          <w:rFonts w:ascii="Arial" w:hAnsi="Arial" w:cs="Arial"/>
          <w:sz w:val="22"/>
          <w:szCs w:val="22"/>
        </w:rPr>
      </w:pPr>
    </w:p>
    <w:p w14:paraId="4F5A686C" w14:textId="77777777" w:rsidR="0053792B" w:rsidRPr="003F2F9E" w:rsidRDefault="0053792B" w:rsidP="0053792B">
      <w:pPr>
        <w:spacing w:line="360" w:lineRule="auto"/>
        <w:rPr>
          <w:rFonts w:ascii="Arial" w:hAnsi="Arial" w:cs="Arial"/>
          <w:sz w:val="22"/>
          <w:szCs w:val="22"/>
        </w:rPr>
      </w:pPr>
      <w:r>
        <w:rPr>
          <w:rFonts w:ascii="Arial" w:hAnsi="Arial" w:cs="Arial"/>
          <w:sz w:val="22"/>
          <w:szCs w:val="22"/>
        </w:rPr>
        <w:lastRenderedPageBreak/>
        <w:t xml:space="preserve">Salina, L., Ruffinengo, C., Garrino, L., Massariello, P., Charrier, L., Martin, B., Favale, M S. and Dimonte, V. (2012) ‘Effectiveness of an educational video as an instrument to refresh and reinforce the learning of a nursing technique: a randomized controlled trial’, </w:t>
      </w:r>
      <w:r>
        <w:rPr>
          <w:rFonts w:ascii="Arial" w:hAnsi="Arial" w:cs="Arial"/>
          <w:i/>
          <w:iCs/>
          <w:sz w:val="22"/>
          <w:szCs w:val="22"/>
        </w:rPr>
        <w:t xml:space="preserve">Perspectives on Medical Education, </w:t>
      </w:r>
      <w:r>
        <w:rPr>
          <w:rFonts w:ascii="Arial" w:hAnsi="Arial" w:cs="Arial"/>
          <w:sz w:val="22"/>
          <w:szCs w:val="22"/>
        </w:rPr>
        <w:t xml:space="preserve">1(2), pp. 67-75. </w:t>
      </w:r>
    </w:p>
    <w:p w14:paraId="5A64D4AB" w14:textId="77777777" w:rsidR="0053792B" w:rsidRDefault="0053792B" w:rsidP="0053792B">
      <w:pPr>
        <w:spacing w:line="360" w:lineRule="auto"/>
        <w:rPr>
          <w:rFonts w:ascii="Arial" w:hAnsi="Arial" w:cs="Arial"/>
          <w:sz w:val="22"/>
          <w:szCs w:val="22"/>
        </w:rPr>
      </w:pPr>
    </w:p>
    <w:p w14:paraId="693F915D" w14:textId="77777777" w:rsidR="0053792B" w:rsidRPr="00D14448" w:rsidRDefault="0053792B" w:rsidP="0053792B">
      <w:pPr>
        <w:spacing w:line="360" w:lineRule="auto"/>
        <w:rPr>
          <w:rFonts w:ascii="Arial" w:hAnsi="Arial" w:cs="Arial"/>
          <w:sz w:val="22"/>
          <w:szCs w:val="22"/>
        </w:rPr>
      </w:pPr>
      <w:r>
        <w:rPr>
          <w:rFonts w:ascii="Arial" w:hAnsi="Arial" w:cs="Arial"/>
          <w:sz w:val="22"/>
          <w:szCs w:val="22"/>
        </w:rPr>
        <w:t xml:space="preserve">Siraj-Blatchford, I., Shephered, D L., Melhuish, E., Taggart, B., Sammons, P. and Sylva, K. (2011) </w:t>
      </w:r>
      <w:r>
        <w:rPr>
          <w:rFonts w:ascii="Arial" w:hAnsi="Arial" w:cs="Arial"/>
          <w:i/>
          <w:iCs/>
          <w:sz w:val="22"/>
          <w:szCs w:val="22"/>
        </w:rPr>
        <w:t xml:space="preserve">Effective primary pedagogical strategies in English and mathematics in key stage 2: a study of year 5 classroom practice drawn from the EPPSE 3-16 longitudinal study. </w:t>
      </w:r>
      <w:r>
        <w:rPr>
          <w:rFonts w:ascii="Arial" w:hAnsi="Arial" w:cs="Arial"/>
          <w:sz w:val="22"/>
          <w:szCs w:val="22"/>
        </w:rPr>
        <w:t xml:space="preserve">Available at: </w:t>
      </w:r>
      <w:hyperlink r:id="rId10" w:history="1">
        <w:r w:rsidRPr="00D85721">
          <w:rPr>
            <w:rStyle w:val="Hyperlink"/>
            <w:rFonts w:ascii="Arial" w:hAnsi="Arial" w:cs="Arial"/>
            <w:sz w:val="22"/>
            <w:szCs w:val="22"/>
          </w:rPr>
          <w:t>https://dera.ioe.ac.uk/3876/</w:t>
        </w:r>
      </w:hyperlink>
      <w:r>
        <w:rPr>
          <w:rFonts w:ascii="Arial" w:hAnsi="Arial" w:cs="Arial"/>
          <w:sz w:val="22"/>
          <w:szCs w:val="22"/>
        </w:rPr>
        <w:t xml:space="preserve"> (Accessed at 02/01/2010). </w:t>
      </w:r>
    </w:p>
    <w:p w14:paraId="46B8968B" w14:textId="77777777" w:rsidR="0053792B" w:rsidRDefault="0053792B" w:rsidP="0053792B">
      <w:pPr>
        <w:spacing w:line="360" w:lineRule="auto"/>
        <w:rPr>
          <w:rFonts w:ascii="Arial" w:hAnsi="Arial" w:cs="Arial"/>
          <w:sz w:val="22"/>
          <w:szCs w:val="22"/>
        </w:rPr>
      </w:pPr>
    </w:p>
    <w:p w14:paraId="327432B5" w14:textId="77777777" w:rsidR="0053792B" w:rsidRDefault="0053792B" w:rsidP="0053792B">
      <w:pPr>
        <w:spacing w:line="360" w:lineRule="auto"/>
        <w:rPr>
          <w:rFonts w:ascii="Arial" w:hAnsi="Arial" w:cs="Arial"/>
          <w:sz w:val="22"/>
          <w:szCs w:val="22"/>
        </w:rPr>
      </w:pPr>
      <w:r>
        <w:rPr>
          <w:rFonts w:ascii="Arial" w:hAnsi="Arial" w:cs="Arial"/>
          <w:sz w:val="22"/>
          <w:szCs w:val="22"/>
        </w:rPr>
        <w:t xml:space="preserve">Stiggins, R J. (2002) ‘Assessment crisis: The absence of assessment for learning’, </w:t>
      </w:r>
      <w:r>
        <w:rPr>
          <w:rFonts w:ascii="Arial" w:hAnsi="Arial" w:cs="Arial"/>
          <w:i/>
          <w:iCs/>
          <w:sz w:val="22"/>
          <w:szCs w:val="22"/>
        </w:rPr>
        <w:t xml:space="preserve">Phi Delta Kappan, </w:t>
      </w:r>
      <w:r>
        <w:rPr>
          <w:rFonts w:ascii="Arial" w:hAnsi="Arial" w:cs="Arial"/>
          <w:sz w:val="22"/>
          <w:szCs w:val="22"/>
        </w:rPr>
        <w:t xml:space="preserve">83(10), pp. 758-765. </w:t>
      </w:r>
    </w:p>
    <w:p w14:paraId="2ECA05EC" w14:textId="77777777" w:rsidR="0053792B" w:rsidRDefault="0053792B" w:rsidP="0053792B">
      <w:pPr>
        <w:spacing w:line="360" w:lineRule="auto"/>
        <w:rPr>
          <w:rFonts w:ascii="Arial" w:hAnsi="Arial" w:cs="Arial"/>
          <w:sz w:val="22"/>
          <w:szCs w:val="22"/>
        </w:rPr>
      </w:pPr>
    </w:p>
    <w:p w14:paraId="1752031B" w14:textId="77777777" w:rsidR="0053792B" w:rsidRDefault="0053792B" w:rsidP="0053792B">
      <w:pPr>
        <w:spacing w:line="360" w:lineRule="auto"/>
        <w:rPr>
          <w:rFonts w:ascii="Arial" w:hAnsi="Arial" w:cs="Arial"/>
          <w:sz w:val="22"/>
          <w:szCs w:val="22"/>
        </w:rPr>
      </w:pPr>
      <w:r>
        <w:rPr>
          <w:rFonts w:ascii="Arial" w:hAnsi="Arial" w:cs="Arial"/>
          <w:sz w:val="22"/>
          <w:szCs w:val="22"/>
        </w:rPr>
        <w:t xml:space="preserve">Zeichner, K M. (1987) ‘Preparing reflective teachers: An overview of instructional strategies which have been employed in preservice teacher education’, </w:t>
      </w:r>
      <w:r>
        <w:rPr>
          <w:rFonts w:ascii="Arial" w:hAnsi="Arial" w:cs="Arial"/>
          <w:i/>
          <w:iCs/>
          <w:sz w:val="22"/>
          <w:szCs w:val="22"/>
        </w:rPr>
        <w:t xml:space="preserve">International journal of educational research, </w:t>
      </w:r>
      <w:r>
        <w:rPr>
          <w:rFonts w:ascii="Arial" w:hAnsi="Arial" w:cs="Arial"/>
          <w:sz w:val="22"/>
          <w:szCs w:val="22"/>
        </w:rPr>
        <w:t xml:space="preserve">11(5), pp. 565-575. </w:t>
      </w:r>
    </w:p>
    <w:p w14:paraId="0F569274" w14:textId="77777777" w:rsidR="0053792B" w:rsidRPr="00FC178C" w:rsidRDefault="0053792B" w:rsidP="00FC178C">
      <w:pPr>
        <w:spacing w:line="360" w:lineRule="auto"/>
        <w:rPr>
          <w:rFonts w:ascii="Arial" w:hAnsi="Arial" w:cs="Arial"/>
          <w:sz w:val="22"/>
          <w:szCs w:val="22"/>
        </w:rPr>
      </w:pPr>
    </w:p>
    <w:sectPr w:rsidR="0053792B" w:rsidRPr="00FC178C" w:rsidSect="00A52349">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6266"/>
    <w:rsid w:val="00082C99"/>
    <w:rsid w:val="00084DA6"/>
    <w:rsid w:val="000B427C"/>
    <w:rsid w:val="000B6516"/>
    <w:rsid w:val="0014797E"/>
    <w:rsid w:val="0017738A"/>
    <w:rsid w:val="001D75EA"/>
    <w:rsid w:val="001F7FE8"/>
    <w:rsid w:val="00245156"/>
    <w:rsid w:val="002E196D"/>
    <w:rsid w:val="003151D0"/>
    <w:rsid w:val="00323368"/>
    <w:rsid w:val="003C1A97"/>
    <w:rsid w:val="00424AEE"/>
    <w:rsid w:val="00493432"/>
    <w:rsid w:val="00504947"/>
    <w:rsid w:val="0053792B"/>
    <w:rsid w:val="00554AB2"/>
    <w:rsid w:val="005567E8"/>
    <w:rsid w:val="005737F0"/>
    <w:rsid w:val="00595428"/>
    <w:rsid w:val="005A11AD"/>
    <w:rsid w:val="005E6266"/>
    <w:rsid w:val="00640630"/>
    <w:rsid w:val="006E0109"/>
    <w:rsid w:val="006F6044"/>
    <w:rsid w:val="00747C61"/>
    <w:rsid w:val="00764FFF"/>
    <w:rsid w:val="007778D0"/>
    <w:rsid w:val="007A141D"/>
    <w:rsid w:val="007B0F26"/>
    <w:rsid w:val="007D407C"/>
    <w:rsid w:val="007F590D"/>
    <w:rsid w:val="008572BF"/>
    <w:rsid w:val="00890933"/>
    <w:rsid w:val="008C278E"/>
    <w:rsid w:val="008D7421"/>
    <w:rsid w:val="00A52349"/>
    <w:rsid w:val="00A90A22"/>
    <w:rsid w:val="00B94E22"/>
    <w:rsid w:val="00BC1660"/>
    <w:rsid w:val="00C37C14"/>
    <w:rsid w:val="00C53257"/>
    <w:rsid w:val="00D61CF4"/>
    <w:rsid w:val="00D74540"/>
    <w:rsid w:val="00D80C96"/>
    <w:rsid w:val="00D83940"/>
    <w:rsid w:val="00DB6BA0"/>
    <w:rsid w:val="00E5106A"/>
    <w:rsid w:val="00EC748A"/>
    <w:rsid w:val="00F35565"/>
    <w:rsid w:val="00F37E2A"/>
    <w:rsid w:val="00FC17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D88D4EA"/>
  <w15:chartTrackingRefBased/>
  <w15:docId w15:val="{08B60860-8762-7443-83BF-C02CA665E4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3792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era.ioe.ac.uk/7800/1/AssessmentforLearning.pdf" TargetMode="External"/><Relationship Id="rId3" Type="http://schemas.openxmlformats.org/officeDocument/2006/relationships/webSettings" Target="webSettings.xml"/><Relationship Id="rId7" Type="http://schemas.openxmlformats.org/officeDocument/2006/relationships/hyperlink" Target="https://gov.wales/sites/default/files/publications/2018-03/successful-futures.pdf"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learning-theories.com/blooms-taxonomy-bloom.html" TargetMode="External"/><Relationship Id="rId11" Type="http://schemas.openxmlformats.org/officeDocument/2006/relationships/fontTable" Target="fontTable.xml"/><Relationship Id="rId5" Type="http://schemas.openxmlformats.org/officeDocument/2006/relationships/hyperlink" Target="https://researchcommons.waikato.ac.nz/handle/10289/2233" TargetMode="External"/><Relationship Id="rId10" Type="http://schemas.openxmlformats.org/officeDocument/2006/relationships/hyperlink" Target="https://dera.ioe.ac.uk/3876/" TargetMode="External"/><Relationship Id="rId4" Type="http://schemas.openxmlformats.org/officeDocument/2006/relationships/hyperlink" Target="https://www.rdc.udel.edu/wp-content/uploads/2015/04/InsideBlackBox.pdf" TargetMode="External"/><Relationship Id="rId9" Type="http://schemas.openxmlformats.org/officeDocument/2006/relationships/hyperlink" Target="https://www.teachingcouncil.ie/en/_fileupload/Research/Bursary-Summaries/WEB-Final-Teaching-Council-Report-2012-Kathryn-Mc-Sweene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311</TotalTime>
  <Pages>10</Pages>
  <Words>3745</Words>
  <Characters>21350</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Clark [kac28]</dc:creator>
  <cp:keywords/>
  <dc:description/>
  <cp:lastModifiedBy>Katie Clark [kac28]</cp:lastModifiedBy>
  <cp:revision>13</cp:revision>
  <dcterms:created xsi:type="dcterms:W3CDTF">2019-12-27T14:34:00Z</dcterms:created>
  <dcterms:modified xsi:type="dcterms:W3CDTF">2020-01-03T13:25:00Z</dcterms:modified>
</cp:coreProperties>
</file>