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E2DDDF" w14:textId="77777777" w:rsidR="00B046F4" w:rsidRDefault="00B046F4" w:rsidP="00B046F4">
      <w:pPr>
        <w:pStyle w:val="Normal1"/>
        <w:jc w:val="center"/>
        <w:rPr>
          <w:rFonts w:ascii="Arial" w:hAnsi="Arial" w:cs="Arial"/>
          <w:b/>
          <w:bCs/>
        </w:rPr>
      </w:pPr>
    </w:p>
    <w:p w14:paraId="3C50B3DB" w14:textId="77777777" w:rsidR="00B046F4" w:rsidRDefault="00B046F4" w:rsidP="00B046F4">
      <w:pPr>
        <w:pStyle w:val="Normal1"/>
        <w:jc w:val="center"/>
        <w:rPr>
          <w:rFonts w:ascii="Arial" w:hAnsi="Arial" w:cs="Arial"/>
          <w:b/>
          <w:bCs/>
        </w:rPr>
      </w:pPr>
    </w:p>
    <w:p w14:paraId="3D14B630" w14:textId="77777777" w:rsidR="00B046F4" w:rsidRDefault="00B046F4" w:rsidP="00B046F4">
      <w:pPr>
        <w:pStyle w:val="Normal1"/>
        <w:jc w:val="center"/>
        <w:rPr>
          <w:rFonts w:ascii="Arial" w:hAnsi="Arial" w:cs="Arial"/>
          <w:b/>
          <w:bCs/>
        </w:rPr>
      </w:pPr>
    </w:p>
    <w:p w14:paraId="71B6FC16" w14:textId="77777777" w:rsidR="00B046F4" w:rsidRDefault="00B046F4" w:rsidP="00B046F4">
      <w:pPr>
        <w:pStyle w:val="Normal1"/>
        <w:jc w:val="center"/>
        <w:rPr>
          <w:rFonts w:ascii="Arial" w:hAnsi="Arial" w:cs="Arial"/>
          <w:b/>
          <w:bCs/>
        </w:rPr>
      </w:pPr>
    </w:p>
    <w:p w14:paraId="3F870D58" w14:textId="77777777" w:rsidR="00B046F4" w:rsidRDefault="00B046F4" w:rsidP="00B046F4">
      <w:pPr>
        <w:pStyle w:val="Normal1"/>
        <w:jc w:val="center"/>
        <w:rPr>
          <w:rFonts w:ascii="Arial" w:hAnsi="Arial" w:cs="Arial"/>
          <w:b/>
          <w:bCs/>
        </w:rPr>
      </w:pPr>
    </w:p>
    <w:p w14:paraId="17C4C5F4" w14:textId="77777777" w:rsidR="00B046F4" w:rsidRDefault="00B046F4" w:rsidP="00B046F4">
      <w:pPr>
        <w:pStyle w:val="Normal1"/>
        <w:jc w:val="center"/>
        <w:rPr>
          <w:rFonts w:ascii="Arial" w:hAnsi="Arial" w:cs="Arial"/>
          <w:b/>
          <w:bCs/>
        </w:rPr>
      </w:pPr>
    </w:p>
    <w:p w14:paraId="38DBB098" w14:textId="77777777" w:rsidR="00B046F4" w:rsidRDefault="00B046F4" w:rsidP="00B046F4">
      <w:pPr>
        <w:pStyle w:val="Normal1"/>
        <w:jc w:val="center"/>
        <w:rPr>
          <w:rFonts w:ascii="Arial" w:hAnsi="Arial" w:cs="Arial"/>
          <w:b/>
          <w:bCs/>
        </w:rPr>
      </w:pPr>
    </w:p>
    <w:p w14:paraId="640398C3" w14:textId="77777777" w:rsidR="00B046F4" w:rsidRDefault="00B046F4" w:rsidP="00B046F4">
      <w:pPr>
        <w:pStyle w:val="Normal1"/>
        <w:jc w:val="center"/>
        <w:rPr>
          <w:rFonts w:ascii="Arial" w:hAnsi="Arial" w:cs="Arial"/>
          <w:b/>
          <w:bCs/>
        </w:rPr>
      </w:pPr>
    </w:p>
    <w:p w14:paraId="4ED23F1F" w14:textId="77777777" w:rsidR="00B046F4" w:rsidRDefault="00B046F4" w:rsidP="00B046F4">
      <w:pPr>
        <w:pStyle w:val="Normal1"/>
        <w:jc w:val="center"/>
        <w:rPr>
          <w:rFonts w:ascii="Arial" w:hAnsi="Arial" w:cs="Arial"/>
          <w:b/>
          <w:bCs/>
        </w:rPr>
      </w:pPr>
    </w:p>
    <w:p w14:paraId="29012CE8" w14:textId="77777777" w:rsidR="00B046F4" w:rsidRDefault="00B046F4" w:rsidP="00B046F4">
      <w:pPr>
        <w:pStyle w:val="Normal1"/>
        <w:jc w:val="center"/>
        <w:rPr>
          <w:rFonts w:ascii="Arial" w:hAnsi="Arial" w:cs="Arial"/>
          <w:b/>
          <w:bCs/>
        </w:rPr>
      </w:pPr>
    </w:p>
    <w:p w14:paraId="77BE1806" w14:textId="72CC7714" w:rsidR="00B046F4" w:rsidRDefault="00B046F4" w:rsidP="00B046F4">
      <w:pPr>
        <w:pStyle w:val="Normal1"/>
        <w:jc w:val="center"/>
        <w:rPr>
          <w:rFonts w:ascii="Arial" w:hAnsi="Arial" w:cs="Arial"/>
          <w:b/>
          <w:bCs/>
        </w:rPr>
      </w:pPr>
      <w:r w:rsidRPr="00E63BF1">
        <w:rPr>
          <w:rFonts w:ascii="Arial" w:hAnsi="Arial" w:cs="Arial"/>
          <w:b/>
          <w:bCs/>
        </w:rPr>
        <w:t>Criminal l</w:t>
      </w:r>
      <w:r>
        <w:rPr>
          <w:rFonts w:ascii="Arial" w:hAnsi="Arial" w:cs="Arial"/>
          <w:b/>
          <w:bCs/>
        </w:rPr>
        <w:t>itigation</w:t>
      </w:r>
    </w:p>
    <w:p w14:paraId="52ACA08E" w14:textId="77777777" w:rsidR="00B046F4" w:rsidRDefault="00B046F4" w:rsidP="00B046F4">
      <w:pPr>
        <w:pStyle w:val="Normal1"/>
        <w:jc w:val="right"/>
        <w:rPr>
          <w:rFonts w:ascii="Arial" w:hAnsi="Arial" w:cs="Arial"/>
          <w:b/>
          <w:bCs/>
        </w:rPr>
      </w:pPr>
    </w:p>
    <w:p w14:paraId="43984386" w14:textId="6FBAEE9F" w:rsidR="00B046F4" w:rsidRDefault="00B046F4" w:rsidP="00B046F4">
      <w:pPr>
        <w:pStyle w:val="Normal1"/>
        <w:jc w:val="center"/>
        <w:rPr>
          <w:rFonts w:ascii="Arial" w:hAnsi="Arial" w:cs="Arial"/>
          <w:b/>
          <w:bCs/>
        </w:rPr>
      </w:pPr>
      <w:r>
        <w:rPr>
          <w:rFonts w:ascii="Arial" w:hAnsi="Arial" w:cs="Arial"/>
          <w:b/>
          <w:bCs/>
        </w:rPr>
        <w:t>BMLW400</w:t>
      </w:r>
      <w:r>
        <w:rPr>
          <w:rFonts w:ascii="Arial" w:hAnsi="Arial" w:cs="Arial"/>
          <w:b/>
          <w:bCs/>
        </w:rPr>
        <w:t>0</w:t>
      </w:r>
    </w:p>
    <w:p w14:paraId="436340A6" w14:textId="77777777" w:rsidR="00B046F4" w:rsidRDefault="00B046F4" w:rsidP="00B046F4">
      <w:pPr>
        <w:pStyle w:val="Normal1"/>
        <w:jc w:val="right"/>
        <w:rPr>
          <w:rFonts w:ascii="Arial" w:hAnsi="Arial" w:cs="Arial"/>
          <w:b/>
          <w:bCs/>
        </w:rPr>
      </w:pPr>
    </w:p>
    <w:p w14:paraId="51B3F965" w14:textId="77777777" w:rsidR="00B046F4" w:rsidRDefault="00B046F4" w:rsidP="00B046F4">
      <w:pPr>
        <w:pStyle w:val="Normal1"/>
        <w:jc w:val="right"/>
        <w:rPr>
          <w:rFonts w:ascii="Arial" w:hAnsi="Arial" w:cs="Arial"/>
          <w:b/>
          <w:bCs/>
        </w:rPr>
      </w:pPr>
      <w:r>
        <w:rPr>
          <w:rFonts w:ascii="Arial" w:hAnsi="Arial" w:cs="Arial"/>
          <w:b/>
          <w:bCs/>
        </w:rPr>
        <w:t>Olga Bocancea</w:t>
      </w:r>
    </w:p>
    <w:p w14:paraId="00737069" w14:textId="77777777" w:rsidR="00B046F4" w:rsidRDefault="00B046F4" w:rsidP="00B046F4">
      <w:pPr>
        <w:pStyle w:val="Normal1"/>
        <w:jc w:val="right"/>
        <w:rPr>
          <w:rFonts w:ascii="Arial" w:hAnsi="Arial" w:cs="Arial"/>
          <w:b/>
          <w:bCs/>
        </w:rPr>
      </w:pPr>
      <w:r>
        <w:rPr>
          <w:rFonts w:ascii="Arial" w:hAnsi="Arial" w:cs="Arial"/>
          <w:b/>
          <w:bCs/>
        </w:rPr>
        <w:t>2232377</w:t>
      </w:r>
    </w:p>
    <w:p w14:paraId="5203857C" w14:textId="651BD4C3" w:rsidR="00DB0872" w:rsidRPr="00977D56" w:rsidRDefault="00DB0872" w:rsidP="00DB0872">
      <w:pPr>
        <w:spacing w:line="360" w:lineRule="auto"/>
        <w:jc w:val="center"/>
        <w:rPr>
          <w:rFonts w:eastAsia="Times New Roman"/>
          <w:b/>
          <w:sz w:val="24"/>
          <w:szCs w:val="24"/>
        </w:rPr>
      </w:pPr>
    </w:p>
    <w:p w14:paraId="00000002" w14:textId="57008080" w:rsidR="007B751E" w:rsidRPr="00977D56" w:rsidRDefault="00DB0872" w:rsidP="00C62CAC">
      <w:pPr>
        <w:jc w:val="center"/>
        <w:rPr>
          <w:rFonts w:eastAsia="Times New Roman"/>
          <w:b/>
          <w:sz w:val="24"/>
          <w:szCs w:val="24"/>
        </w:rPr>
      </w:pPr>
      <w:r w:rsidRPr="00977D56">
        <w:rPr>
          <w:rFonts w:eastAsia="Times New Roman"/>
          <w:b/>
          <w:sz w:val="24"/>
          <w:szCs w:val="24"/>
        </w:rPr>
        <w:br w:type="page"/>
      </w:r>
    </w:p>
    <w:p w14:paraId="00000004" w14:textId="07F928B4" w:rsidR="007B751E" w:rsidRPr="00977D56" w:rsidRDefault="00B046F4" w:rsidP="00977D56">
      <w:pPr>
        <w:spacing w:line="360" w:lineRule="auto"/>
        <w:jc w:val="both"/>
        <w:rPr>
          <w:rFonts w:eastAsia="Times New Roman"/>
          <w:color w:val="0E101A"/>
          <w:sz w:val="24"/>
          <w:szCs w:val="24"/>
        </w:rPr>
      </w:pPr>
      <w:r w:rsidRPr="00977D56">
        <w:rPr>
          <w:rFonts w:eastAsia="Times New Roman"/>
          <w:color w:val="0E101A"/>
          <w:sz w:val="24"/>
          <w:szCs w:val="24"/>
        </w:rPr>
        <w:lastRenderedPageBreak/>
        <w:t xml:space="preserve">The purpose of the study is to know about the Crown Prosecutor and his role, duties, and responsibilities. The Crown Prosecution Service is very </w:t>
      </w:r>
      <w:r w:rsidRPr="00977D56">
        <w:rPr>
          <w:rFonts w:eastAsia="Times New Roman"/>
          <w:color w:val="0E101A"/>
          <w:sz w:val="24"/>
          <w:szCs w:val="24"/>
        </w:rPr>
        <w:t xml:space="preserve">popular in the </w:t>
      </w:r>
      <w:proofErr w:type="gramStart"/>
      <w:r w:rsidRPr="00977D56">
        <w:rPr>
          <w:rFonts w:eastAsia="Times New Roman"/>
          <w:color w:val="0E101A"/>
          <w:sz w:val="24"/>
          <w:szCs w:val="24"/>
        </w:rPr>
        <w:t>UK</w:t>
      </w:r>
      <w:proofErr w:type="gramEnd"/>
      <w:r w:rsidRPr="00977D56">
        <w:rPr>
          <w:rFonts w:eastAsia="Times New Roman"/>
          <w:color w:val="0E101A"/>
          <w:sz w:val="24"/>
          <w:szCs w:val="24"/>
        </w:rPr>
        <w:t xml:space="preserve"> the service providers provide their service independently. The Crown Prosecution Service deals with criminal cases which are investigated by police or any other body having the power of doing an investigation. The service providers indepe</w:t>
      </w:r>
      <w:r w:rsidRPr="00977D56">
        <w:rPr>
          <w:rFonts w:eastAsia="Times New Roman"/>
          <w:color w:val="0E101A"/>
          <w:sz w:val="24"/>
          <w:szCs w:val="24"/>
        </w:rPr>
        <w:t>ndently make their decisions regarding the investigation. The study will discuss the role of the Crown Prosecutor at the time of deciding on the investigation. The CPS gives suggestions to the police regarding their early investigation and tries to get the</w:t>
      </w:r>
      <w:r w:rsidRPr="00977D56">
        <w:rPr>
          <w:rFonts w:eastAsia="Times New Roman"/>
          <w:color w:val="0E101A"/>
          <w:sz w:val="24"/>
          <w:szCs w:val="24"/>
        </w:rPr>
        <w:t xml:space="preserve"> right person </w:t>
      </w:r>
      <w:proofErr w:type="gramStart"/>
      <w:r w:rsidRPr="00977D56">
        <w:rPr>
          <w:rFonts w:eastAsia="Times New Roman"/>
          <w:color w:val="0E101A"/>
          <w:sz w:val="24"/>
          <w:szCs w:val="24"/>
        </w:rPr>
        <w:t>behind the bar</w:t>
      </w:r>
      <w:proofErr w:type="gramEnd"/>
      <w:r w:rsidRPr="00977D56">
        <w:rPr>
          <w:rFonts w:eastAsia="Times New Roman"/>
          <w:color w:val="0E101A"/>
          <w:sz w:val="24"/>
          <w:szCs w:val="24"/>
        </w:rPr>
        <w:t>. They make sure that only the criminal will get the punishment for what he has done. They always try to give the proper justice to the criminals.</w:t>
      </w:r>
    </w:p>
    <w:p w14:paraId="00000006" w14:textId="714A3BB0" w:rsidR="007B751E" w:rsidRPr="00977D56" w:rsidRDefault="00B046F4" w:rsidP="00977D56">
      <w:pPr>
        <w:spacing w:line="360" w:lineRule="auto"/>
        <w:jc w:val="both"/>
        <w:rPr>
          <w:rFonts w:eastAsia="Times New Roman"/>
          <w:color w:val="0E101A"/>
          <w:sz w:val="24"/>
          <w:szCs w:val="24"/>
        </w:rPr>
      </w:pPr>
      <w:r w:rsidRPr="00977D56">
        <w:rPr>
          <w:rFonts w:eastAsia="Times New Roman"/>
          <w:color w:val="0E101A"/>
          <w:sz w:val="24"/>
          <w:szCs w:val="24"/>
        </w:rPr>
        <w:t xml:space="preserve">The concept of the Crown Prosecutor is very </w:t>
      </w:r>
      <w:r w:rsidRPr="00977D56">
        <w:rPr>
          <w:rFonts w:eastAsia="Times New Roman"/>
          <w:color w:val="0E101A"/>
          <w:sz w:val="24"/>
          <w:szCs w:val="24"/>
        </w:rPr>
        <w:t>famous in the UK. He is a very essential part of the Criminal Justice System in the UK. He is a person who tries to prove the criminality of an offender and tries to give him the proper justice. They are under the Criminal Justice Branch of the Ministry of</w:t>
      </w:r>
      <w:r w:rsidRPr="00977D56">
        <w:rPr>
          <w:rFonts w:eastAsia="Times New Roman"/>
          <w:color w:val="0E101A"/>
          <w:sz w:val="24"/>
          <w:szCs w:val="24"/>
        </w:rPr>
        <w:t xml:space="preserve"> the Attorney General. The job of the Crown is not about winning the case. The job of the Crown is to give legal proof to establish the criminal activity of the offender. They help the police investigate the case and provide them with guidance for the coll</w:t>
      </w:r>
      <w:r w:rsidRPr="00977D56">
        <w:rPr>
          <w:rFonts w:eastAsia="Times New Roman"/>
          <w:color w:val="0E101A"/>
          <w:sz w:val="24"/>
          <w:szCs w:val="24"/>
        </w:rPr>
        <w:t>ection of evidence. The Crown Prosecutor is considered the officer of the court (Fairclough, 2018)</w:t>
      </w:r>
    </w:p>
    <w:p w14:paraId="00000007" w14:textId="77777777" w:rsidR="007B751E" w:rsidRPr="00977D56" w:rsidRDefault="00B046F4" w:rsidP="00DB0872">
      <w:pPr>
        <w:spacing w:line="360" w:lineRule="auto"/>
        <w:jc w:val="both"/>
        <w:rPr>
          <w:rFonts w:eastAsia="Times New Roman"/>
          <w:color w:val="0E101A"/>
          <w:sz w:val="24"/>
          <w:szCs w:val="24"/>
        </w:rPr>
      </w:pPr>
      <w:r w:rsidRPr="00977D56">
        <w:rPr>
          <w:rFonts w:eastAsia="Times New Roman"/>
          <w:color w:val="0E101A"/>
          <w:sz w:val="24"/>
          <w:szCs w:val="24"/>
        </w:rPr>
        <w:t>The Crown Prosecutor plays an important role in getting the proper justice of an offense. He is working as the prosecutor of the co</w:t>
      </w:r>
      <w:r w:rsidRPr="00977D56">
        <w:rPr>
          <w:rFonts w:eastAsia="Times New Roman"/>
          <w:color w:val="0E101A"/>
          <w:sz w:val="24"/>
          <w:szCs w:val="24"/>
        </w:rPr>
        <w:t xml:space="preserve">mmunity. The criminal trial is going on between the community and the accused. The crown Prosecutor tries to prove the truth and submit evidence against the offender. His main role is to guide the jury regarding a criminal trial. They try to give evidence </w:t>
      </w:r>
      <w:r w:rsidRPr="00977D56">
        <w:rPr>
          <w:rFonts w:eastAsia="Times New Roman"/>
          <w:color w:val="0E101A"/>
          <w:sz w:val="24"/>
          <w:szCs w:val="24"/>
        </w:rPr>
        <w:t>to prove that the alleged incident is a crime. The crown prosecutors mostly do their job in the District Court and the Supreme Court. The appointments of the Crown Prosecutors are done under the Crown Prosecutors Act 1986. The prosecutors must follow the C</w:t>
      </w:r>
      <w:r w:rsidRPr="00977D56">
        <w:rPr>
          <w:rFonts w:eastAsia="Times New Roman"/>
          <w:color w:val="0E101A"/>
          <w:sz w:val="24"/>
          <w:szCs w:val="24"/>
        </w:rPr>
        <w:t>ode for Crown Prosecutors while going for any criminal trial. There are various responsibilities and duties performed by the Crown Prosecutor for a fair trial (Cps.gov.uk, 2023).</w:t>
      </w:r>
    </w:p>
    <w:p w14:paraId="00000009" w14:textId="22CAAE78" w:rsidR="007B751E" w:rsidRPr="00977D56" w:rsidRDefault="00B046F4" w:rsidP="00DB0872">
      <w:pPr>
        <w:spacing w:line="360" w:lineRule="auto"/>
        <w:jc w:val="both"/>
        <w:rPr>
          <w:rFonts w:eastAsia="Times New Roman"/>
          <w:color w:val="0E101A"/>
          <w:sz w:val="24"/>
          <w:szCs w:val="24"/>
        </w:rPr>
      </w:pPr>
      <w:r w:rsidRPr="00977D56">
        <w:rPr>
          <w:rFonts w:eastAsia="Times New Roman"/>
          <w:color w:val="0E101A"/>
          <w:sz w:val="24"/>
          <w:szCs w:val="24"/>
        </w:rPr>
        <w:t>The prior duty of the solicitors is to decide which cases are vital and immed</w:t>
      </w:r>
      <w:r w:rsidRPr="00977D56">
        <w:rPr>
          <w:rFonts w:eastAsia="Times New Roman"/>
          <w:color w:val="0E101A"/>
          <w:sz w:val="24"/>
          <w:szCs w:val="24"/>
        </w:rPr>
        <w:t xml:space="preserve">iately proceed with the trial. They also decide the complexity of the case and alleged proper charges and help the police with proper investigation. After that, they start preparation for the case </w:t>
      </w:r>
      <w:r w:rsidRPr="00977D56">
        <w:rPr>
          <w:rFonts w:eastAsia="Times New Roman"/>
          <w:color w:val="0E101A"/>
          <w:sz w:val="24"/>
          <w:szCs w:val="24"/>
        </w:rPr>
        <w:lastRenderedPageBreak/>
        <w:t>and present it before the jury members or court. Various in</w:t>
      </w:r>
      <w:r w:rsidRPr="00977D56">
        <w:rPr>
          <w:rFonts w:eastAsia="Times New Roman"/>
          <w:color w:val="0E101A"/>
          <w:sz w:val="24"/>
          <w:szCs w:val="24"/>
        </w:rPr>
        <w:t>formation regarding the case is presented in the court and relatable prosecution witnesses are presented before the court by the solicitors to prove the case. Before charging someone as an offender of a crime the solicitors or lawyers must be satisfied wit</w:t>
      </w:r>
      <w:r w:rsidRPr="00977D56">
        <w:rPr>
          <w:rFonts w:eastAsia="Times New Roman"/>
          <w:color w:val="0E101A"/>
          <w:sz w:val="24"/>
          <w:szCs w:val="24"/>
        </w:rPr>
        <w:t xml:space="preserve">h the evidence that he has committed the crime. After proving the </w:t>
      </w:r>
      <w:r w:rsidR="00977D56" w:rsidRPr="00977D56">
        <w:rPr>
          <w:rFonts w:eastAsia="Times New Roman"/>
          <w:color w:val="0E101A"/>
          <w:sz w:val="24"/>
          <w:szCs w:val="24"/>
        </w:rPr>
        <w:t>crime,</w:t>
      </w:r>
      <w:r w:rsidRPr="00977D56">
        <w:rPr>
          <w:rFonts w:eastAsia="Times New Roman"/>
          <w:color w:val="0E101A"/>
          <w:sz w:val="24"/>
          <w:szCs w:val="24"/>
        </w:rPr>
        <w:t xml:space="preserve"> the lawyers suggested providing appropriate conviction to the Jury members (Cps.gov.uk, 2023).</w:t>
      </w:r>
    </w:p>
    <w:p w14:paraId="0000000B" w14:textId="73C419A0" w:rsidR="007B751E" w:rsidRPr="00977D56" w:rsidRDefault="00B046F4" w:rsidP="00977D56">
      <w:pPr>
        <w:spacing w:line="360" w:lineRule="auto"/>
        <w:jc w:val="both"/>
        <w:rPr>
          <w:rFonts w:eastAsia="Times New Roman"/>
          <w:color w:val="0E101A"/>
          <w:sz w:val="24"/>
          <w:szCs w:val="24"/>
        </w:rPr>
      </w:pPr>
      <w:r w:rsidRPr="00977D56">
        <w:rPr>
          <w:rFonts w:eastAsia="Times New Roman"/>
          <w:color w:val="0E101A"/>
          <w:sz w:val="24"/>
          <w:szCs w:val="24"/>
        </w:rPr>
        <w:t xml:space="preserve">The responsibility of the solicitors is to play their role fairly. They must not take any advantage of their clients by using their position. The solicitors must not misguide their clients to take any illegal way to establish the trial. The solicitor must </w:t>
      </w:r>
      <w:r w:rsidRPr="00977D56">
        <w:rPr>
          <w:rFonts w:eastAsia="Times New Roman"/>
          <w:color w:val="0E101A"/>
          <w:sz w:val="24"/>
          <w:szCs w:val="24"/>
        </w:rPr>
        <w:t xml:space="preserve">perform the duties which he has committed to his clients. The solicitor must not mislead the court to give a conviction to the offenders. The solicitors must behave concerning other colleagues. The prosecutor must not misuse or tamper with the evidence to </w:t>
      </w:r>
      <w:r w:rsidRPr="00977D56">
        <w:rPr>
          <w:rFonts w:eastAsia="Times New Roman"/>
          <w:color w:val="0E101A"/>
          <w:sz w:val="24"/>
          <w:szCs w:val="24"/>
        </w:rPr>
        <w:t xml:space="preserve">establish his case. The solicitors must not use witnesses by giving force to give false evidence. The prosecutor must not contempt the court and utilize the court time. Any unnecessary delay regarding any false evidence must not be done by the solicitors. </w:t>
      </w:r>
      <w:r w:rsidRPr="00977D56">
        <w:rPr>
          <w:rFonts w:eastAsia="Times New Roman"/>
          <w:color w:val="0E101A"/>
          <w:sz w:val="24"/>
          <w:szCs w:val="24"/>
        </w:rPr>
        <w:t>The solicitor must provide the relevant cases and proper provisions to properly guide the Jury members. If any material defect is found in the preceding, the prosecutor must highlight the provisions to the Court (Gov.uk, (2023). The arguable statements sho</w:t>
      </w:r>
      <w:r w:rsidRPr="00977D56">
        <w:rPr>
          <w:rFonts w:eastAsia="Times New Roman"/>
          <w:color w:val="0E101A"/>
          <w:sz w:val="24"/>
          <w:szCs w:val="24"/>
        </w:rPr>
        <w:t>uld be forwarded by the solicitors to the court. The solicitor must work as per the instructions of his client,</w:t>
      </w:r>
      <w:r w:rsidRPr="00977D56">
        <w:rPr>
          <w:rFonts w:eastAsia="Times New Roman"/>
          <w:color w:val="0E101A"/>
          <w:sz w:val="24"/>
          <w:szCs w:val="24"/>
        </w:rPr>
        <w:t xml:space="preserve"> or any person authorized by the client. The prosecutor must ensure that the service that he provides to his client is the proper one and must mai</w:t>
      </w:r>
      <w:r w:rsidRPr="00977D56">
        <w:rPr>
          <w:rFonts w:eastAsia="Times New Roman"/>
          <w:color w:val="0E101A"/>
          <w:sz w:val="24"/>
          <w:szCs w:val="24"/>
        </w:rPr>
        <w:t>ntain the schedule as per the direction of the court. The professional skills of the prosecutor must be up to date and the professional information regarding the court trial must be informed to the clients by the solicitors. If any other prosecutors are un</w:t>
      </w:r>
      <w:r w:rsidRPr="00977D56">
        <w:rPr>
          <w:rFonts w:eastAsia="Times New Roman"/>
          <w:color w:val="0E101A"/>
          <w:sz w:val="24"/>
          <w:szCs w:val="24"/>
        </w:rPr>
        <w:t>der the guidance of any senior prosecutor,</w:t>
      </w:r>
      <w:r w:rsidRPr="00977D56">
        <w:rPr>
          <w:rFonts w:eastAsia="Times New Roman"/>
          <w:color w:val="0E101A"/>
          <w:sz w:val="24"/>
          <w:szCs w:val="24"/>
        </w:rPr>
        <w:t xml:space="preserve"> then the senior prosecutor must manage them and guide them with professional knowledge, regulatory obligation, and ethics. If any financial benefit is received by the clients,</w:t>
      </w:r>
      <w:r w:rsidRPr="00977D56">
        <w:rPr>
          <w:rFonts w:eastAsia="Times New Roman"/>
          <w:color w:val="0E101A"/>
          <w:sz w:val="24"/>
          <w:szCs w:val="24"/>
        </w:rPr>
        <w:t xml:space="preserve"> then the solicitors must provide the in</w:t>
      </w:r>
      <w:r w:rsidRPr="00977D56">
        <w:rPr>
          <w:rFonts w:eastAsia="Times New Roman"/>
          <w:color w:val="0E101A"/>
          <w:sz w:val="24"/>
          <w:szCs w:val="24"/>
        </w:rPr>
        <w:t>formation to the clients and all responsibilities regarding this matter should be guided by the prosecutors. The prosecutor does not have the right to hold the money of his client. The solicitor must protect the money and assets of his clients which are</w:t>
      </w:r>
      <w:r w:rsidRPr="00977D56">
        <w:rPr>
          <w:rFonts w:eastAsia="Times New Roman"/>
          <w:color w:val="0E101A"/>
          <w:sz w:val="24"/>
          <w:szCs w:val="24"/>
        </w:rPr>
        <w:t xml:space="preserve"> ent</w:t>
      </w:r>
      <w:r w:rsidRPr="00977D56">
        <w:rPr>
          <w:rFonts w:eastAsia="Times New Roman"/>
          <w:color w:val="0E101A"/>
          <w:sz w:val="24"/>
          <w:szCs w:val="24"/>
        </w:rPr>
        <w:t>rusted by the clients to their solicitor (Sra.org.uk, 2023).</w:t>
      </w:r>
    </w:p>
    <w:p w14:paraId="0000000D" w14:textId="511ADE73" w:rsidR="007B751E" w:rsidRPr="00977D56" w:rsidRDefault="00B046F4" w:rsidP="00977D56">
      <w:pPr>
        <w:spacing w:line="360" w:lineRule="auto"/>
        <w:jc w:val="both"/>
        <w:rPr>
          <w:rFonts w:eastAsia="Times New Roman"/>
          <w:sz w:val="24"/>
          <w:szCs w:val="24"/>
        </w:rPr>
      </w:pPr>
      <w:r w:rsidRPr="00977D56">
        <w:rPr>
          <w:rFonts w:eastAsia="Times New Roman"/>
          <w:sz w:val="24"/>
          <w:szCs w:val="24"/>
        </w:rPr>
        <w:lastRenderedPageBreak/>
        <w:t>The Prosecution of Offences Act 1985 gave birth to the Crown Prosecution Services with the Director of Public Prosecution as the head of the</w:t>
      </w:r>
      <w:r w:rsidRPr="00977D56">
        <w:rPr>
          <w:rFonts w:eastAsia="Times New Roman"/>
          <w:sz w:val="24"/>
          <w:szCs w:val="24"/>
        </w:rPr>
        <w:t xml:space="preserve"> services (Hungerford-Welch et al. 2015). The Code for Crown Prosecutors, a public document, is implemented for the purpose of making decisions about the charges levied on any offender or criminal. The code is enforced by the Public Prosecution Director of</w:t>
      </w:r>
      <w:r w:rsidRPr="00977D56">
        <w:rPr>
          <w:rFonts w:eastAsia="Times New Roman"/>
          <w:sz w:val="24"/>
          <w:szCs w:val="24"/>
        </w:rPr>
        <w:t xml:space="preserve"> the state in accordance with Section 10 of the Prosecution of Offences Act of 1985. The code contains the general principles of prosecution. The two types of tests which need to be conducted and considered before making charging decisions are contained in</w:t>
      </w:r>
      <w:r w:rsidRPr="00977D56">
        <w:rPr>
          <w:rFonts w:eastAsia="Times New Roman"/>
          <w:sz w:val="24"/>
          <w:szCs w:val="24"/>
        </w:rPr>
        <w:t xml:space="preserve"> the code. The decision of the prosecutors for charging the offenders depends upon the two vital tests which are The Full Code Test and The Threshold Test. These tests will be studied briefly as follows:</w:t>
      </w:r>
    </w:p>
    <w:p w14:paraId="0000000E" w14:textId="771E0461" w:rsidR="007B751E" w:rsidRPr="00977D56" w:rsidRDefault="00B046F4" w:rsidP="00DB0872">
      <w:pPr>
        <w:spacing w:line="360" w:lineRule="auto"/>
        <w:jc w:val="both"/>
        <w:rPr>
          <w:rFonts w:eastAsia="Times New Roman"/>
          <w:sz w:val="24"/>
          <w:szCs w:val="24"/>
        </w:rPr>
      </w:pPr>
      <w:r w:rsidRPr="00977D56">
        <w:rPr>
          <w:rFonts w:eastAsia="Times New Roman"/>
          <w:sz w:val="24"/>
          <w:szCs w:val="24"/>
        </w:rPr>
        <w:t>T</w:t>
      </w:r>
      <w:r w:rsidR="00977D56" w:rsidRPr="00977D56">
        <w:rPr>
          <w:rFonts w:eastAsia="Times New Roman"/>
          <w:sz w:val="24"/>
          <w:szCs w:val="24"/>
        </w:rPr>
        <w:t xml:space="preserve">he Full Code test </w:t>
      </w:r>
      <w:r w:rsidRPr="00977D56">
        <w:rPr>
          <w:rFonts w:eastAsia="Times New Roman"/>
          <w:sz w:val="24"/>
          <w:szCs w:val="24"/>
        </w:rPr>
        <w:t>is the first test which must</w:t>
      </w:r>
      <w:r w:rsidRPr="00977D56">
        <w:rPr>
          <w:rFonts w:eastAsia="Times New Roman"/>
          <w:sz w:val="24"/>
          <w:szCs w:val="24"/>
        </w:rPr>
        <w:t xml:space="preserve"> be mandatorily conducted before the prosecution of the case commences. The test contains two stages and both stages must be compulsorily complied with for proceeding further with the prosecution or charging decisions (cps.gov.uk, 2018). The two stages of </w:t>
      </w:r>
      <w:r w:rsidRPr="00977D56">
        <w:rPr>
          <w:rFonts w:eastAsia="Times New Roman"/>
          <w:sz w:val="24"/>
          <w:szCs w:val="24"/>
        </w:rPr>
        <w:t>the test are The Evidential Stage and The Public Interest Stage which are described as follows:</w:t>
      </w:r>
    </w:p>
    <w:p w14:paraId="0000000F" w14:textId="5F220A6A" w:rsidR="007B751E" w:rsidRPr="00977D56" w:rsidRDefault="00B046F4" w:rsidP="00DB0872">
      <w:pPr>
        <w:spacing w:line="360" w:lineRule="auto"/>
        <w:jc w:val="both"/>
        <w:rPr>
          <w:rFonts w:eastAsia="Times New Roman"/>
          <w:sz w:val="24"/>
          <w:szCs w:val="24"/>
        </w:rPr>
      </w:pPr>
      <w:r w:rsidRPr="00977D56">
        <w:rPr>
          <w:rFonts w:eastAsia="Times New Roman"/>
          <w:bCs/>
          <w:iCs/>
          <w:sz w:val="24"/>
          <w:szCs w:val="24"/>
        </w:rPr>
        <w:t>The Evidential Stage</w:t>
      </w:r>
      <w:r w:rsidR="00977D56" w:rsidRPr="00977D56">
        <w:rPr>
          <w:rFonts w:eastAsia="Times New Roman"/>
          <w:bCs/>
          <w:iCs/>
          <w:sz w:val="24"/>
          <w:szCs w:val="24"/>
        </w:rPr>
        <w:t xml:space="preserve"> is</w:t>
      </w:r>
      <w:r w:rsidRPr="00977D56">
        <w:rPr>
          <w:rFonts w:eastAsia="Times New Roman"/>
          <w:b/>
          <w:i/>
          <w:sz w:val="24"/>
          <w:szCs w:val="24"/>
        </w:rPr>
        <w:t xml:space="preserve"> </w:t>
      </w:r>
      <w:r w:rsidR="00977D56">
        <w:rPr>
          <w:rFonts w:eastAsia="Times New Roman"/>
          <w:sz w:val="24"/>
          <w:szCs w:val="24"/>
        </w:rPr>
        <w:t>t</w:t>
      </w:r>
      <w:r w:rsidRPr="00977D56">
        <w:rPr>
          <w:rFonts w:eastAsia="Times New Roman"/>
          <w:sz w:val="24"/>
          <w:szCs w:val="24"/>
        </w:rPr>
        <w:t>he first step</w:t>
      </w:r>
      <w:r>
        <w:rPr>
          <w:rFonts w:eastAsia="Times New Roman"/>
          <w:sz w:val="24"/>
          <w:szCs w:val="24"/>
        </w:rPr>
        <w:t xml:space="preserve"> when</w:t>
      </w:r>
      <w:r w:rsidRPr="00977D56">
        <w:rPr>
          <w:rFonts w:eastAsia="Times New Roman"/>
          <w:sz w:val="24"/>
          <w:szCs w:val="24"/>
        </w:rPr>
        <w:t xml:space="preserve"> the prosecutor investigates</w:t>
      </w:r>
      <w:r w:rsidRPr="00977D56">
        <w:rPr>
          <w:rFonts w:eastAsia="Times New Roman"/>
          <w:sz w:val="24"/>
          <w:szCs w:val="24"/>
        </w:rPr>
        <w:t xml:space="preserve"> </w:t>
      </w:r>
      <w:r w:rsidRPr="00977D56">
        <w:rPr>
          <w:rFonts w:eastAsia="Times New Roman"/>
          <w:sz w:val="24"/>
          <w:szCs w:val="24"/>
        </w:rPr>
        <w:t>the availability of evidence which can make the offender liable towards charging decisions. Th</w:t>
      </w:r>
      <w:r w:rsidRPr="00977D56">
        <w:rPr>
          <w:rFonts w:eastAsia="Times New Roman"/>
          <w:sz w:val="24"/>
          <w:szCs w:val="24"/>
        </w:rPr>
        <w:t xml:space="preserve">e prosecutor's task here is to find reliable and acceptable evidence which will prove the defendant guilty of his offences. The test is not to be confused with the tests conducted at the trials. If the case does not meet the requirements of this stage and </w:t>
      </w:r>
      <w:r w:rsidRPr="00977D56">
        <w:rPr>
          <w:rFonts w:eastAsia="Times New Roman"/>
          <w:sz w:val="24"/>
          <w:szCs w:val="24"/>
        </w:rPr>
        <w:t>is unable to produce credible evidence the case ceases,</w:t>
      </w:r>
      <w:r w:rsidRPr="00977D56">
        <w:rPr>
          <w:rFonts w:eastAsia="Times New Roman"/>
          <w:sz w:val="24"/>
          <w:szCs w:val="24"/>
        </w:rPr>
        <w:t xml:space="preserve"> then and there and the prosecution of the offender cannot be conducted no matter how severe the case is. Once the evidence has been identified and detected the case will move to the next stage,</w:t>
      </w:r>
      <w:r w:rsidRPr="00977D56">
        <w:rPr>
          <w:rFonts w:eastAsia="Times New Roman"/>
          <w:sz w:val="24"/>
          <w:szCs w:val="24"/>
        </w:rPr>
        <w:t xml:space="preserve"> which is</w:t>
      </w:r>
      <w:r w:rsidRPr="00977D56">
        <w:rPr>
          <w:rFonts w:eastAsia="Times New Roman"/>
          <w:sz w:val="24"/>
          <w:szCs w:val="24"/>
        </w:rPr>
        <w:t xml:space="preserve"> the public interest stage.</w:t>
      </w:r>
    </w:p>
    <w:p w14:paraId="00000011" w14:textId="48360E12" w:rsidR="007B751E" w:rsidRPr="00977D56" w:rsidRDefault="00B046F4" w:rsidP="00977D56">
      <w:pPr>
        <w:spacing w:line="360" w:lineRule="auto"/>
        <w:jc w:val="both"/>
        <w:rPr>
          <w:rFonts w:eastAsia="Times New Roman"/>
          <w:sz w:val="24"/>
          <w:szCs w:val="24"/>
        </w:rPr>
      </w:pPr>
      <w:r w:rsidRPr="00B046F4">
        <w:rPr>
          <w:rFonts w:eastAsia="Times New Roman"/>
          <w:bCs/>
          <w:iCs/>
          <w:sz w:val="24"/>
          <w:szCs w:val="24"/>
        </w:rPr>
        <w:t>The Public Interest Stage</w:t>
      </w:r>
      <w:r w:rsidR="00977D56" w:rsidRPr="00B046F4">
        <w:rPr>
          <w:rFonts w:eastAsia="Times New Roman"/>
          <w:bCs/>
          <w:iCs/>
          <w:sz w:val="24"/>
          <w:szCs w:val="24"/>
        </w:rPr>
        <w:t>, the</w:t>
      </w:r>
      <w:r w:rsidR="00977D56" w:rsidRPr="00977D56">
        <w:rPr>
          <w:rFonts w:eastAsia="Times New Roman"/>
          <w:b/>
          <w:i/>
          <w:sz w:val="24"/>
          <w:szCs w:val="24"/>
        </w:rPr>
        <w:t xml:space="preserve"> </w:t>
      </w:r>
      <w:r w:rsidRPr="00977D56">
        <w:rPr>
          <w:rFonts w:eastAsia="Times New Roman"/>
          <w:sz w:val="24"/>
          <w:szCs w:val="24"/>
        </w:rPr>
        <w:t>second stage of the legal test is conducted after valid and trustworthy evidence against the defendant has been found and the question addressed is the public interest to charge the offender for p</w:t>
      </w:r>
      <w:r w:rsidRPr="00977D56">
        <w:rPr>
          <w:rFonts w:eastAsia="Times New Roman"/>
          <w:sz w:val="24"/>
          <w:szCs w:val="24"/>
        </w:rPr>
        <w:t>rotecting individuals and society from further offences. After the interest of the public in making charging decisions has</w:t>
      </w:r>
      <w:r w:rsidRPr="00977D56">
        <w:rPr>
          <w:rFonts w:eastAsia="Times New Roman"/>
          <w:sz w:val="24"/>
          <w:szCs w:val="24"/>
        </w:rPr>
        <w:t xml:space="preserve"> been reviewed the court decides whether to move with the case or not. If the response is negative the victim in the case possesses t</w:t>
      </w:r>
      <w:r w:rsidRPr="00977D56">
        <w:rPr>
          <w:rFonts w:eastAsia="Times New Roman"/>
          <w:sz w:val="24"/>
          <w:szCs w:val="24"/>
        </w:rPr>
        <w:t xml:space="preserve">he right to file for reviewing the decision and when the response is positive and the case has enough evidence harmful to public safety </w:t>
      </w:r>
      <w:r w:rsidRPr="00977D56">
        <w:rPr>
          <w:rFonts w:eastAsia="Times New Roman"/>
          <w:sz w:val="24"/>
          <w:szCs w:val="24"/>
        </w:rPr>
        <w:lastRenderedPageBreak/>
        <w:t>and security gives the ultimate decision of charging the criminal or offender (cps.gov.uk, 2022).</w:t>
      </w:r>
    </w:p>
    <w:p w14:paraId="00000013" w14:textId="4C8986D0" w:rsidR="007B751E" w:rsidRPr="00977D56" w:rsidRDefault="00B046F4" w:rsidP="00977D56">
      <w:pPr>
        <w:spacing w:line="360" w:lineRule="auto"/>
        <w:jc w:val="both"/>
        <w:rPr>
          <w:rFonts w:eastAsia="Times New Roman"/>
          <w:sz w:val="24"/>
          <w:szCs w:val="24"/>
        </w:rPr>
      </w:pPr>
      <w:r w:rsidRPr="00977D56">
        <w:rPr>
          <w:rFonts w:eastAsia="Times New Roman"/>
          <w:sz w:val="24"/>
          <w:szCs w:val="24"/>
        </w:rPr>
        <w:t>Th</w:t>
      </w:r>
      <w:r w:rsidR="00977D56" w:rsidRPr="00977D56">
        <w:rPr>
          <w:rFonts w:eastAsia="Times New Roman"/>
          <w:sz w:val="24"/>
          <w:szCs w:val="24"/>
        </w:rPr>
        <w:t>e Threshold</w:t>
      </w:r>
      <w:r w:rsidRPr="00977D56">
        <w:rPr>
          <w:rFonts w:eastAsia="Times New Roman"/>
          <w:sz w:val="24"/>
          <w:szCs w:val="24"/>
        </w:rPr>
        <w:t xml:space="preserve"> test is conducted in circumstances where the full code test is not met and is generally considered an exception to the full code test. This test needs five immediate conditions to be fulfilled in accordance with the severity of the crime to </w:t>
      </w:r>
      <w:proofErr w:type="gramStart"/>
      <w:r w:rsidRPr="00977D56">
        <w:rPr>
          <w:rFonts w:eastAsia="Times New Roman"/>
          <w:sz w:val="24"/>
          <w:szCs w:val="24"/>
        </w:rPr>
        <w:t>come</w:t>
      </w:r>
      <w:r>
        <w:rPr>
          <w:rFonts w:eastAsia="Times New Roman"/>
          <w:sz w:val="24"/>
          <w:szCs w:val="24"/>
        </w:rPr>
        <w:t xml:space="preserve"> </w:t>
      </w:r>
      <w:r w:rsidRPr="00977D56">
        <w:rPr>
          <w:rFonts w:eastAsia="Times New Roman"/>
          <w:sz w:val="24"/>
          <w:szCs w:val="24"/>
        </w:rPr>
        <w:t>up</w:t>
      </w:r>
      <w:proofErr w:type="gramEnd"/>
      <w:r w:rsidRPr="00977D56">
        <w:rPr>
          <w:rFonts w:eastAsia="Times New Roman"/>
          <w:sz w:val="24"/>
          <w:szCs w:val="24"/>
        </w:rPr>
        <w:t xml:space="preserve"> to a </w:t>
      </w:r>
      <w:r w:rsidRPr="00977D56">
        <w:rPr>
          <w:rFonts w:eastAsia="Times New Roman"/>
          <w:sz w:val="24"/>
          <w:szCs w:val="24"/>
        </w:rPr>
        <w:t>conclusion. The first condition is the identification of certain reasonable grounds which makes way for the prosecution of the offender. The second condition is to find more evidence when reasonable grounds give suspicion about the commitment of the offenc</w:t>
      </w:r>
      <w:r w:rsidRPr="00977D56">
        <w:rPr>
          <w:rFonts w:eastAsia="Times New Roman"/>
          <w:sz w:val="24"/>
          <w:szCs w:val="24"/>
        </w:rPr>
        <w:t>e by the perpetrator. The third condition for making the charging decisions on an immediate basis is the severity and gravity of the situation which gives reasonable apprehension to prosecute the offender. The fourth condition is the availability of reason</w:t>
      </w:r>
      <w:r w:rsidRPr="00977D56">
        <w:rPr>
          <w:rFonts w:eastAsia="Times New Roman"/>
          <w:sz w:val="24"/>
          <w:szCs w:val="24"/>
        </w:rPr>
        <w:t xml:space="preserve">able grounds for rejecting the bail plea of the criminal </w:t>
      </w:r>
      <w:proofErr w:type="gramStart"/>
      <w:r w:rsidRPr="00977D56">
        <w:rPr>
          <w:rFonts w:eastAsia="Times New Roman"/>
          <w:sz w:val="24"/>
          <w:szCs w:val="24"/>
        </w:rPr>
        <w:t>with regard to</w:t>
      </w:r>
      <w:proofErr w:type="gramEnd"/>
      <w:r w:rsidRPr="00977D56">
        <w:rPr>
          <w:rFonts w:eastAsia="Times New Roman"/>
          <w:sz w:val="24"/>
          <w:szCs w:val="24"/>
        </w:rPr>
        <w:t xml:space="preserve"> the Bail Act 1976 as the severity of the case did not allow the court to grant bail to the offender. The fifth condition here is also the public interest to charge the perpetrator. It </w:t>
      </w:r>
      <w:r w:rsidRPr="00977D56">
        <w:rPr>
          <w:rFonts w:eastAsia="Times New Roman"/>
          <w:sz w:val="24"/>
          <w:szCs w:val="24"/>
        </w:rPr>
        <w:t xml:space="preserve">is of utmost importance to view the seriousness in connection with the safety and security of the public to come to the charging decision (cps.gov.uk, 2018). </w:t>
      </w:r>
    </w:p>
    <w:p w14:paraId="00000014" w14:textId="77777777" w:rsidR="007B751E" w:rsidRPr="00977D56" w:rsidRDefault="00B046F4" w:rsidP="00DB0872">
      <w:pPr>
        <w:spacing w:line="360" w:lineRule="auto"/>
        <w:jc w:val="both"/>
        <w:rPr>
          <w:rFonts w:eastAsia="Times New Roman"/>
          <w:sz w:val="24"/>
          <w:szCs w:val="24"/>
        </w:rPr>
      </w:pPr>
      <w:r w:rsidRPr="00977D56">
        <w:rPr>
          <w:rFonts w:eastAsia="Times New Roman"/>
          <w:sz w:val="24"/>
          <w:szCs w:val="24"/>
        </w:rPr>
        <w:t>The project assignment has studied the concept of the crown prosecutor in connection w</w:t>
      </w:r>
      <w:r w:rsidRPr="00977D56">
        <w:rPr>
          <w:rFonts w:eastAsia="Times New Roman"/>
          <w:sz w:val="24"/>
          <w:szCs w:val="24"/>
        </w:rPr>
        <w:t xml:space="preserve">ith his role and responsibilities for making charging decisions about the offender for the commitment of the criminal offence. The role and responsibilities of the crown prosecutor have been described in detail. The two types of tests conducted for making </w:t>
      </w:r>
      <w:r w:rsidRPr="00977D56">
        <w:rPr>
          <w:rFonts w:eastAsia="Times New Roman"/>
          <w:sz w:val="24"/>
          <w:szCs w:val="24"/>
        </w:rPr>
        <w:t xml:space="preserve">decisions on criminal cases have also been discussed in detail. The assignment has provided a discussion on the full code test and the threshold test which is applied to making charging decisions about the criminal offender. </w:t>
      </w:r>
    </w:p>
    <w:p w14:paraId="00000015" w14:textId="77777777" w:rsidR="007B751E" w:rsidRPr="00977D56" w:rsidRDefault="007B751E" w:rsidP="00DB0872">
      <w:pPr>
        <w:spacing w:line="360" w:lineRule="auto"/>
        <w:jc w:val="both"/>
        <w:rPr>
          <w:rFonts w:eastAsia="Times New Roman"/>
          <w:sz w:val="24"/>
          <w:szCs w:val="24"/>
        </w:rPr>
      </w:pPr>
    </w:p>
    <w:p w14:paraId="00000016" w14:textId="77777777" w:rsidR="007B751E" w:rsidRPr="00977D56" w:rsidRDefault="007B751E" w:rsidP="00DB0872">
      <w:pPr>
        <w:spacing w:line="360" w:lineRule="auto"/>
        <w:jc w:val="both"/>
        <w:rPr>
          <w:rFonts w:eastAsia="Times New Roman"/>
          <w:sz w:val="24"/>
          <w:szCs w:val="24"/>
        </w:rPr>
      </w:pPr>
    </w:p>
    <w:p w14:paraId="00000017" w14:textId="77777777" w:rsidR="007B751E" w:rsidRPr="00977D56" w:rsidRDefault="007B751E" w:rsidP="00DB0872">
      <w:pPr>
        <w:spacing w:line="360" w:lineRule="auto"/>
        <w:jc w:val="both"/>
        <w:rPr>
          <w:rFonts w:eastAsia="Times New Roman"/>
          <w:sz w:val="24"/>
          <w:szCs w:val="24"/>
        </w:rPr>
      </w:pPr>
    </w:p>
    <w:p w14:paraId="00000018" w14:textId="77777777" w:rsidR="007B751E" w:rsidRPr="00977D56" w:rsidRDefault="007B751E" w:rsidP="00DB0872">
      <w:pPr>
        <w:spacing w:line="360" w:lineRule="auto"/>
        <w:jc w:val="both"/>
        <w:rPr>
          <w:rFonts w:eastAsia="Times New Roman"/>
          <w:b/>
          <w:sz w:val="24"/>
          <w:szCs w:val="24"/>
        </w:rPr>
      </w:pPr>
    </w:p>
    <w:p w14:paraId="00000019" w14:textId="77777777" w:rsidR="007B751E" w:rsidRPr="00977D56" w:rsidRDefault="00B046F4" w:rsidP="00DB0872">
      <w:pPr>
        <w:spacing w:line="360" w:lineRule="auto"/>
        <w:jc w:val="both"/>
        <w:rPr>
          <w:rFonts w:eastAsia="Times New Roman"/>
          <w:b/>
          <w:sz w:val="24"/>
          <w:szCs w:val="24"/>
        </w:rPr>
      </w:pPr>
      <w:r w:rsidRPr="00977D56">
        <w:rPr>
          <w:sz w:val="24"/>
          <w:szCs w:val="24"/>
        </w:rPr>
        <w:br w:type="page"/>
      </w:r>
    </w:p>
    <w:p w14:paraId="423B386B" w14:textId="77777777" w:rsidR="00DB0872" w:rsidRPr="00977D56" w:rsidRDefault="00B046F4" w:rsidP="00DB0872">
      <w:pPr>
        <w:pStyle w:val="Heading1"/>
        <w:rPr>
          <w:rFonts w:ascii="Arial" w:hAnsi="Arial"/>
          <w:szCs w:val="24"/>
        </w:rPr>
      </w:pPr>
      <w:bookmarkStart w:id="0" w:name="_Toc142132806"/>
      <w:r w:rsidRPr="00977D56">
        <w:rPr>
          <w:rFonts w:ascii="Arial" w:hAnsi="Arial"/>
          <w:szCs w:val="24"/>
        </w:rPr>
        <w:lastRenderedPageBreak/>
        <w:t>References</w:t>
      </w:r>
      <w:bookmarkEnd w:id="0"/>
    </w:p>
    <w:p w14:paraId="622F3533" w14:textId="3401C04E" w:rsidR="00DB0872" w:rsidRDefault="00DB0872" w:rsidP="00B046F4">
      <w:pPr>
        <w:spacing w:line="360" w:lineRule="auto"/>
        <w:rPr>
          <w:rFonts w:eastAsia="Times New Roman"/>
          <w:sz w:val="24"/>
          <w:szCs w:val="24"/>
        </w:rPr>
      </w:pPr>
      <w:r w:rsidRPr="00977D56">
        <w:rPr>
          <w:rFonts w:eastAsia="Times New Roman"/>
          <w:sz w:val="24"/>
          <w:szCs w:val="24"/>
        </w:rPr>
        <w:t xml:space="preserve">cps.gov.uk (2018) </w:t>
      </w:r>
      <w:r w:rsidRPr="00977D56">
        <w:rPr>
          <w:rFonts w:eastAsia="Times New Roman"/>
          <w:i/>
          <w:sz w:val="24"/>
          <w:szCs w:val="24"/>
        </w:rPr>
        <w:t>The code for Crown prosecutors</w:t>
      </w:r>
      <w:r w:rsidRPr="00977D56">
        <w:rPr>
          <w:rFonts w:eastAsia="Times New Roman"/>
          <w:sz w:val="24"/>
          <w:szCs w:val="24"/>
        </w:rPr>
        <w:t xml:space="preserve">, </w:t>
      </w:r>
      <w:r w:rsidRPr="00977D56">
        <w:rPr>
          <w:rFonts w:eastAsia="Times New Roman"/>
          <w:i/>
          <w:sz w:val="24"/>
          <w:szCs w:val="24"/>
        </w:rPr>
        <w:t>The Code for Crown Prosecutors | The Crown Prosecution Service</w:t>
      </w:r>
      <w:r w:rsidRPr="00977D56">
        <w:rPr>
          <w:rFonts w:eastAsia="Times New Roman"/>
          <w:sz w:val="24"/>
          <w:szCs w:val="24"/>
        </w:rPr>
        <w:t>. Available at: https://www.cps.gov.uk/publication/code-crown-prosecutors (Accessed: 05 August 2023).</w:t>
      </w:r>
    </w:p>
    <w:p w14:paraId="1E5B5599" w14:textId="77777777" w:rsidR="00B046F4" w:rsidRPr="00977D56" w:rsidRDefault="00B046F4" w:rsidP="00B046F4">
      <w:pPr>
        <w:spacing w:line="360" w:lineRule="auto"/>
        <w:rPr>
          <w:rFonts w:eastAsia="Times New Roman"/>
          <w:b/>
          <w:sz w:val="24"/>
          <w:szCs w:val="24"/>
        </w:rPr>
      </w:pPr>
    </w:p>
    <w:p w14:paraId="4818CF1A" w14:textId="77777777" w:rsidR="00DB0872" w:rsidRDefault="00DB0872" w:rsidP="00B046F4">
      <w:pPr>
        <w:spacing w:line="360" w:lineRule="auto"/>
        <w:rPr>
          <w:rFonts w:eastAsia="Times New Roman"/>
          <w:sz w:val="24"/>
          <w:szCs w:val="24"/>
        </w:rPr>
      </w:pPr>
      <w:r w:rsidRPr="00977D56">
        <w:rPr>
          <w:rFonts w:eastAsia="Times New Roman"/>
          <w:sz w:val="24"/>
          <w:szCs w:val="24"/>
        </w:rPr>
        <w:t xml:space="preserve">cps.gov.uk (2022) </w:t>
      </w:r>
      <w:r w:rsidRPr="00977D56">
        <w:rPr>
          <w:rFonts w:eastAsia="Times New Roman"/>
          <w:i/>
          <w:sz w:val="24"/>
          <w:szCs w:val="24"/>
        </w:rPr>
        <w:t>How we make our decisions</w:t>
      </w:r>
      <w:r w:rsidRPr="00977D56">
        <w:rPr>
          <w:rFonts w:eastAsia="Times New Roman"/>
          <w:sz w:val="24"/>
          <w:szCs w:val="24"/>
        </w:rPr>
        <w:t xml:space="preserve">, </w:t>
      </w:r>
      <w:r w:rsidRPr="00977D56">
        <w:rPr>
          <w:rFonts w:eastAsia="Times New Roman"/>
          <w:i/>
          <w:sz w:val="24"/>
          <w:szCs w:val="24"/>
        </w:rPr>
        <w:t>The CPS</w:t>
      </w:r>
      <w:r w:rsidRPr="00977D56">
        <w:rPr>
          <w:rFonts w:eastAsia="Times New Roman"/>
          <w:sz w:val="24"/>
          <w:szCs w:val="24"/>
        </w:rPr>
        <w:t>. Available at: https://www.cps.gov.uk/about-cps/how-we-make-our-decisions (Accessed: 05 August 2023).</w:t>
      </w:r>
    </w:p>
    <w:p w14:paraId="72F8019B" w14:textId="77777777" w:rsidR="00B046F4" w:rsidRPr="00977D56" w:rsidRDefault="00B046F4" w:rsidP="00B046F4">
      <w:pPr>
        <w:spacing w:line="360" w:lineRule="auto"/>
        <w:rPr>
          <w:rFonts w:eastAsia="Times New Roman"/>
          <w:sz w:val="24"/>
          <w:szCs w:val="24"/>
        </w:rPr>
      </w:pPr>
    </w:p>
    <w:p w14:paraId="7ACDEFA9" w14:textId="77777777" w:rsidR="00DB0872" w:rsidRDefault="00DB0872" w:rsidP="00B046F4">
      <w:pPr>
        <w:spacing w:line="360" w:lineRule="auto"/>
        <w:rPr>
          <w:rFonts w:eastAsia="Times New Roman"/>
          <w:sz w:val="24"/>
          <w:szCs w:val="24"/>
        </w:rPr>
      </w:pPr>
      <w:r w:rsidRPr="00977D56">
        <w:rPr>
          <w:rFonts w:eastAsia="Times New Roman"/>
          <w:sz w:val="24"/>
          <w:szCs w:val="24"/>
        </w:rPr>
        <w:t xml:space="preserve">Cps.gov.uk, (2023). </w:t>
      </w:r>
      <w:r w:rsidRPr="00977D56">
        <w:rPr>
          <w:rFonts w:eastAsia="Times New Roman"/>
          <w:i/>
          <w:sz w:val="24"/>
          <w:szCs w:val="24"/>
        </w:rPr>
        <w:t>CPS Rolls Out National Blueprint as next step to transform prosecution of adult rape cases</w:t>
      </w:r>
      <w:r w:rsidRPr="00977D56">
        <w:rPr>
          <w:rFonts w:eastAsia="Times New Roman"/>
          <w:sz w:val="24"/>
          <w:szCs w:val="24"/>
        </w:rPr>
        <w:t xml:space="preserve"> </w:t>
      </w:r>
      <w:r w:rsidRPr="00977D56">
        <w:rPr>
          <w:rFonts w:eastAsia="Times New Roman"/>
          <w:i/>
          <w:sz w:val="24"/>
          <w:szCs w:val="24"/>
        </w:rPr>
        <w:t>The Crown Prosecution Service | The Crown Prosecution Service</w:t>
      </w:r>
      <w:r w:rsidRPr="00977D56">
        <w:rPr>
          <w:rFonts w:eastAsia="Times New Roman"/>
          <w:sz w:val="24"/>
          <w:szCs w:val="24"/>
        </w:rPr>
        <w:t xml:space="preserve">. Available at: https://www.cps.gov.uk/ (Accessed: 05 August 2023). </w:t>
      </w:r>
    </w:p>
    <w:p w14:paraId="71840F21" w14:textId="77777777" w:rsidR="00B046F4" w:rsidRPr="00977D56" w:rsidRDefault="00B046F4" w:rsidP="00B046F4">
      <w:pPr>
        <w:spacing w:line="360" w:lineRule="auto"/>
        <w:rPr>
          <w:rFonts w:eastAsia="Times New Roman"/>
          <w:sz w:val="24"/>
          <w:szCs w:val="24"/>
        </w:rPr>
      </w:pPr>
    </w:p>
    <w:p w14:paraId="497010B8" w14:textId="77777777" w:rsidR="00DB0872" w:rsidRDefault="00DB0872" w:rsidP="00B046F4">
      <w:pPr>
        <w:spacing w:line="360" w:lineRule="auto"/>
        <w:rPr>
          <w:rFonts w:eastAsia="Times New Roman"/>
          <w:color w:val="1155CC"/>
          <w:sz w:val="24"/>
          <w:szCs w:val="24"/>
          <w:u w:val="single"/>
        </w:rPr>
      </w:pPr>
      <w:r w:rsidRPr="00977D56">
        <w:rPr>
          <w:rFonts w:eastAsia="Times New Roman"/>
          <w:color w:val="222222"/>
          <w:sz w:val="24"/>
          <w:szCs w:val="24"/>
          <w:highlight w:val="white"/>
        </w:rPr>
        <w:t xml:space="preserve">Fairclough, S., (2018). Using Hawkins's surround, field, and frames concepts to understand the complexities of special measures decision making in crown court trials. </w:t>
      </w:r>
      <w:r w:rsidRPr="00977D56">
        <w:rPr>
          <w:rFonts w:eastAsia="Times New Roman"/>
          <w:i/>
          <w:color w:val="222222"/>
          <w:sz w:val="24"/>
          <w:szCs w:val="24"/>
          <w:highlight w:val="white"/>
        </w:rPr>
        <w:t>Journal of Law and Society</w:t>
      </w:r>
      <w:r w:rsidRPr="00977D56">
        <w:rPr>
          <w:rFonts w:eastAsia="Times New Roman"/>
          <w:color w:val="222222"/>
          <w:sz w:val="24"/>
          <w:szCs w:val="24"/>
          <w:highlight w:val="white"/>
        </w:rPr>
        <w:t xml:space="preserve">, </w:t>
      </w:r>
      <w:r w:rsidRPr="00977D56">
        <w:rPr>
          <w:rFonts w:eastAsia="Times New Roman"/>
          <w:i/>
          <w:color w:val="222222"/>
          <w:sz w:val="24"/>
          <w:szCs w:val="24"/>
          <w:highlight w:val="white"/>
        </w:rPr>
        <w:t>45</w:t>
      </w:r>
      <w:r w:rsidRPr="00977D56">
        <w:rPr>
          <w:rFonts w:eastAsia="Times New Roman"/>
          <w:color w:val="222222"/>
          <w:sz w:val="24"/>
          <w:szCs w:val="24"/>
          <w:highlight w:val="white"/>
        </w:rPr>
        <w:t xml:space="preserve">(3), pp.457-485.Link: </w:t>
      </w:r>
      <w:hyperlink r:id="rId7">
        <w:r w:rsidRPr="00977D56">
          <w:rPr>
            <w:rFonts w:eastAsia="Times New Roman"/>
            <w:color w:val="1155CC"/>
            <w:sz w:val="24"/>
            <w:szCs w:val="24"/>
            <w:highlight w:val="white"/>
            <w:u w:val="single"/>
          </w:rPr>
          <w:t>https://onlinelibrary.wiley.com/doi/epdf/10.1111/jols.12100</w:t>
        </w:r>
      </w:hyperlink>
    </w:p>
    <w:p w14:paraId="689319CA" w14:textId="77777777" w:rsidR="00B046F4" w:rsidRPr="00977D56" w:rsidRDefault="00B046F4" w:rsidP="00B046F4">
      <w:pPr>
        <w:spacing w:line="360" w:lineRule="auto"/>
        <w:rPr>
          <w:rFonts w:eastAsia="Times New Roman"/>
          <w:b/>
          <w:sz w:val="24"/>
          <w:szCs w:val="24"/>
        </w:rPr>
      </w:pPr>
    </w:p>
    <w:p w14:paraId="6B3E3317" w14:textId="77777777" w:rsidR="00DB0872" w:rsidRDefault="00DB0872" w:rsidP="00B046F4">
      <w:pPr>
        <w:spacing w:line="360" w:lineRule="auto"/>
        <w:rPr>
          <w:rFonts w:eastAsia="Times New Roman"/>
          <w:sz w:val="24"/>
          <w:szCs w:val="24"/>
        </w:rPr>
      </w:pPr>
      <w:r w:rsidRPr="00977D56">
        <w:rPr>
          <w:rFonts w:eastAsia="Times New Roman"/>
          <w:sz w:val="24"/>
          <w:szCs w:val="24"/>
        </w:rPr>
        <w:t xml:space="preserve">Gov.uk, (2023). </w:t>
      </w:r>
      <w:r w:rsidRPr="00977D56">
        <w:rPr>
          <w:rFonts w:eastAsia="Times New Roman"/>
          <w:i/>
          <w:sz w:val="24"/>
          <w:szCs w:val="24"/>
        </w:rPr>
        <w:t>Criminal procedure rules 2020 and Criminal Practice Directions 2023</w:t>
      </w:r>
      <w:r w:rsidRPr="00977D56">
        <w:rPr>
          <w:rFonts w:eastAsia="Times New Roman"/>
          <w:sz w:val="24"/>
          <w:szCs w:val="24"/>
        </w:rPr>
        <w:t xml:space="preserve"> (2023) </w:t>
      </w:r>
      <w:r w:rsidRPr="00977D56">
        <w:rPr>
          <w:rFonts w:eastAsia="Times New Roman"/>
          <w:i/>
          <w:sz w:val="24"/>
          <w:szCs w:val="24"/>
        </w:rPr>
        <w:t>GOV.UK</w:t>
      </w:r>
      <w:r w:rsidRPr="00977D56">
        <w:rPr>
          <w:rFonts w:eastAsia="Times New Roman"/>
          <w:sz w:val="24"/>
          <w:szCs w:val="24"/>
        </w:rPr>
        <w:t xml:space="preserve">. Available at: https://www.gov.uk/guidance/rules-and-practice-directions-2020#:~:text=It%20is%20up%20to%20the,that%20the%20defendant%20is%20guilty (Accessed: 05 August 2023). </w:t>
      </w:r>
    </w:p>
    <w:p w14:paraId="3DB1B058" w14:textId="77777777" w:rsidR="00B046F4" w:rsidRPr="00977D56" w:rsidRDefault="00B046F4" w:rsidP="00B046F4">
      <w:pPr>
        <w:spacing w:line="360" w:lineRule="auto"/>
        <w:rPr>
          <w:rFonts w:eastAsia="Times New Roman"/>
          <w:sz w:val="24"/>
          <w:szCs w:val="24"/>
        </w:rPr>
      </w:pPr>
    </w:p>
    <w:p w14:paraId="4C3AE7CD" w14:textId="77777777" w:rsidR="00DB0872" w:rsidRDefault="00DB0872" w:rsidP="00B046F4">
      <w:pPr>
        <w:spacing w:line="360" w:lineRule="auto"/>
        <w:rPr>
          <w:rFonts w:eastAsia="Times New Roman"/>
          <w:color w:val="222222"/>
          <w:sz w:val="24"/>
          <w:szCs w:val="24"/>
        </w:rPr>
      </w:pPr>
      <w:r w:rsidRPr="00977D56">
        <w:rPr>
          <w:rFonts w:eastAsia="Times New Roman"/>
          <w:color w:val="222222"/>
          <w:sz w:val="24"/>
          <w:szCs w:val="24"/>
          <w:highlight w:val="white"/>
        </w:rPr>
        <w:t xml:space="preserve">Hungerford-Welch, P., McPeake, R., Start, S. and Walsh, N., 2015. </w:t>
      </w:r>
      <w:r w:rsidRPr="00977D56">
        <w:rPr>
          <w:rFonts w:eastAsia="Times New Roman"/>
          <w:i/>
          <w:color w:val="222222"/>
          <w:sz w:val="24"/>
          <w:szCs w:val="24"/>
          <w:highlight w:val="white"/>
        </w:rPr>
        <w:t>Criminal litigation and sentencing</w:t>
      </w:r>
      <w:r w:rsidRPr="00977D56">
        <w:rPr>
          <w:rFonts w:eastAsia="Times New Roman"/>
          <w:color w:val="222222"/>
          <w:sz w:val="24"/>
          <w:szCs w:val="24"/>
          <w:highlight w:val="white"/>
        </w:rPr>
        <w:t xml:space="preserve">. Oxford University Press, USA. Link: </w:t>
      </w:r>
      <w:hyperlink r:id="rId8" w:anchor="v=onepage&amp;q=criminal%20litigation%20and%20sentencing%20books&amp;f=false">
        <w:r w:rsidRPr="00977D56">
          <w:rPr>
            <w:rFonts w:eastAsia="Times New Roman"/>
            <w:color w:val="1155CC"/>
            <w:sz w:val="24"/>
            <w:szCs w:val="24"/>
            <w:highlight w:val="white"/>
            <w:u w:val="single"/>
          </w:rPr>
          <w:t>https://books.google.co.in/books?hl=en&amp;lr=&amp;id=81QbCgAAQBAJ&amp;oi=fnd&amp;pg=PP1&amp;dq=criminal+litigation+and+sentencing+books&amp;ots=miU3Vu5Dgv&amp;sig=TmIHJPURzEvupRHp8O6RhF9lXuE&amp;redir_esc=y#v=onepage&amp;q=criminal%20litigation%20and%20sentencing%20books&amp;f=false</w:t>
        </w:r>
      </w:hyperlink>
      <w:r w:rsidRPr="00977D56">
        <w:rPr>
          <w:rFonts w:eastAsia="Times New Roman"/>
          <w:color w:val="222222"/>
          <w:sz w:val="24"/>
          <w:szCs w:val="24"/>
          <w:highlight w:val="white"/>
        </w:rPr>
        <w:t xml:space="preserve"> </w:t>
      </w:r>
    </w:p>
    <w:p w14:paraId="251B33B4" w14:textId="77777777" w:rsidR="00B046F4" w:rsidRPr="00977D56" w:rsidRDefault="00B046F4" w:rsidP="00B046F4">
      <w:pPr>
        <w:spacing w:line="360" w:lineRule="auto"/>
        <w:rPr>
          <w:rFonts w:eastAsia="Times New Roman"/>
          <w:sz w:val="24"/>
          <w:szCs w:val="24"/>
        </w:rPr>
      </w:pPr>
    </w:p>
    <w:p w14:paraId="0ADB736D" w14:textId="77777777" w:rsidR="00DB0872" w:rsidRPr="00977D56" w:rsidRDefault="00DB0872" w:rsidP="00B046F4">
      <w:pPr>
        <w:spacing w:line="360" w:lineRule="auto"/>
        <w:rPr>
          <w:rFonts w:eastAsia="Times New Roman"/>
          <w:sz w:val="24"/>
          <w:szCs w:val="24"/>
        </w:rPr>
      </w:pPr>
      <w:r w:rsidRPr="00977D56">
        <w:rPr>
          <w:rFonts w:eastAsia="Times New Roman"/>
          <w:sz w:val="24"/>
          <w:szCs w:val="24"/>
        </w:rPr>
        <w:lastRenderedPageBreak/>
        <w:t xml:space="preserve">Sra.org.uk, (2023). </w:t>
      </w:r>
      <w:proofErr w:type="spellStart"/>
      <w:r w:rsidRPr="00977D56">
        <w:rPr>
          <w:rFonts w:eastAsia="Times New Roman"/>
          <w:i/>
          <w:sz w:val="24"/>
          <w:szCs w:val="24"/>
        </w:rPr>
        <w:t>Sra</w:t>
      </w:r>
      <w:proofErr w:type="spellEnd"/>
      <w:r w:rsidRPr="00977D56">
        <w:rPr>
          <w:rFonts w:eastAsia="Times New Roman"/>
          <w:i/>
          <w:sz w:val="24"/>
          <w:szCs w:val="24"/>
        </w:rPr>
        <w:t xml:space="preserve"> code of conduct for solicitors, </w:t>
      </w:r>
      <w:proofErr w:type="spellStart"/>
      <w:r w:rsidRPr="00977D56">
        <w:rPr>
          <w:rFonts w:eastAsia="Times New Roman"/>
          <w:i/>
          <w:sz w:val="24"/>
          <w:szCs w:val="24"/>
        </w:rPr>
        <w:t>rels</w:t>
      </w:r>
      <w:proofErr w:type="spellEnd"/>
      <w:r w:rsidRPr="00977D56">
        <w:rPr>
          <w:rFonts w:eastAsia="Times New Roman"/>
          <w:i/>
          <w:sz w:val="24"/>
          <w:szCs w:val="24"/>
        </w:rPr>
        <w:t xml:space="preserve"> and </w:t>
      </w:r>
      <w:proofErr w:type="spellStart"/>
      <w:r w:rsidRPr="00977D56">
        <w:rPr>
          <w:rFonts w:eastAsia="Times New Roman"/>
          <w:i/>
          <w:sz w:val="24"/>
          <w:szCs w:val="24"/>
        </w:rPr>
        <w:t>rfls</w:t>
      </w:r>
      <w:proofErr w:type="spellEnd"/>
      <w:r w:rsidRPr="00977D56">
        <w:rPr>
          <w:rFonts w:eastAsia="Times New Roman"/>
          <w:sz w:val="24"/>
          <w:szCs w:val="24"/>
        </w:rPr>
        <w:t xml:space="preserve"> (2023) </w:t>
      </w:r>
      <w:r w:rsidRPr="00977D56">
        <w:rPr>
          <w:rFonts w:eastAsia="Times New Roman"/>
          <w:i/>
          <w:sz w:val="24"/>
          <w:szCs w:val="24"/>
        </w:rPr>
        <w:t>Solicitors Regulation Authority</w:t>
      </w:r>
      <w:r w:rsidRPr="00977D56">
        <w:rPr>
          <w:rFonts w:eastAsia="Times New Roman"/>
          <w:sz w:val="24"/>
          <w:szCs w:val="24"/>
        </w:rPr>
        <w:t>. Available at: https://www.sra.org.uk/solicitors/standards-regulations/code-conduct-solicitors/ (Accessed: 05 August 2023).</w:t>
      </w:r>
    </w:p>
    <w:p w14:paraId="00000027" w14:textId="77777777" w:rsidR="007B751E" w:rsidRPr="00977D56" w:rsidRDefault="007B751E" w:rsidP="00DB0872">
      <w:pPr>
        <w:spacing w:line="360" w:lineRule="auto"/>
        <w:jc w:val="both"/>
        <w:rPr>
          <w:rFonts w:eastAsia="Times New Roman"/>
          <w:sz w:val="24"/>
          <w:szCs w:val="24"/>
        </w:rPr>
      </w:pPr>
    </w:p>
    <w:sectPr w:rsidR="007B751E" w:rsidRPr="00977D56" w:rsidSect="00DB0872">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712BCE" w14:textId="77777777" w:rsidR="00443929" w:rsidRDefault="00443929" w:rsidP="00DB0872">
      <w:pPr>
        <w:spacing w:line="240" w:lineRule="auto"/>
      </w:pPr>
      <w:r>
        <w:separator/>
      </w:r>
    </w:p>
  </w:endnote>
  <w:endnote w:type="continuationSeparator" w:id="0">
    <w:p w14:paraId="658F98EE" w14:textId="77777777" w:rsidR="00443929" w:rsidRDefault="00443929" w:rsidP="00DB087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7782086"/>
      <w:docPartObj>
        <w:docPartGallery w:val="Page Numbers (Bottom of Page)"/>
        <w:docPartUnique/>
      </w:docPartObj>
    </w:sdtPr>
    <w:sdtEndPr>
      <w:rPr>
        <w:noProof/>
      </w:rPr>
    </w:sdtEndPr>
    <w:sdtContent>
      <w:p w14:paraId="6BD3DAA8" w14:textId="58636421" w:rsidR="00DB0872" w:rsidRDefault="00DB087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1525F37" w14:textId="77777777" w:rsidR="00DB0872" w:rsidRDefault="00DB08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A7CD4B" w14:textId="77777777" w:rsidR="00443929" w:rsidRDefault="00443929" w:rsidP="00DB0872">
      <w:pPr>
        <w:spacing w:line="240" w:lineRule="auto"/>
      </w:pPr>
      <w:r>
        <w:separator/>
      </w:r>
    </w:p>
  </w:footnote>
  <w:footnote w:type="continuationSeparator" w:id="0">
    <w:p w14:paraId="216D7803" w14:textId="77777777" w:rsidR="00443929" w:rsidRDefault="00443929" w:rsidP="00DB087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751E"/>
    <w:rsid w:val="00443929"/>
    <w:rsid w:val="007B751E"/>
    <w:rsid w:val="00977D56"/>
    <w:rsid w:val="00B046F4"/>
    <w:rsid w:val="00C62CAC"/>
    <w:rsid w:val="00DB087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39D477"/>
  <w15:docId w15:val="{4AAB16FC-4D14-44F2-90A3-D31600B3C2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DB0872"/>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uiPriority w:val="9"/>
    <w:unhideWhenUsed/>
    <w:qFormat/>
    <w:rsid w:val="00DB0872"/>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DB087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B0872"/>
    <w:pPr>
      <w:spacing w:after="100"/>
    </w:pPr>
  </w:style>
  <w:style w:type="paragraph" w:styleId="TOC2">
    <w:name w:val="toc 2"/>
    <w:basedOn w:val="Normal"/>
    <w:next w:val="Normal"/>
    <w:autoRedefine/>
    <w:uiPriority w:val="39"/>
    <w:unhideWhenUsed/>
    <w:rsid w:val="00DB0872"/>
    <w:pPr>
      <w:spacing w:after="100"/>
      <w:ind w:left="220"/>
    </w:pPr>
  </w:style>
  <w:style w:type="character" w:styleId="Hyperlink">
    <w:name w:val="Hyperlink"/>
    <w:basedOn w:val="DefaultParagraphFont"/>
    <w:uiPriority w:val="99"/>
    <w:unhideWhenUsed/>
    <w:rsid w:val="00DB0872"/>
    <w:rPr>
      <w:color w:val="0000FF" w:themeColor="hyperlink"/>
      <w:u w:val="single"/>
    </w:rPr>
  </w:style>
  <w:style w:type="paragraph" w:styleId="Header">
    <w:name w:val="header"/>
    <w:basedOn w:val="Normal"/>
    <w:link w:val="HeaderChar"/>
    <w:uiPriority w:val="99"/>
    <w:unhideWhenUsed/>
    <w:rsid w:val="00DB0872"/>
    <w:pPr>
      <w:tabs>
        <w:tab w:val="center" w:pos="4513"/>
        <w:tab w:val="right" w:pos="9026"/>
      </w:tabs>
      <w:spacing w:line="240" w:lineRule="auto"/>
    </w:pPr>
  </w:style>
  <w:style w:type="character" w:customStyle="1" w:styleId="HeaderChar">
    <w:name w:val="Header Char"/>
    <w:basedOn w:val="DefaultParagraphFont"/>
    <w:link w:val="Header"/>
    <w:uiPriority w:val="99"/>
    <w:rsid w:val="00DB0872"/>
  </w:style>
  <w:style w:type="paragraph" w:styleId="Footer">
    <w:name w:val="footer"/>
    <w:basedOn w:val="Normal"/>
    <w:link w:val="FooterChar"/>
    <w:uiPriority w:val="99"/>
    <w:unhideWhenUsed/>
    <w:rsid w:val="00DB0872"/>
    <w:pPr>
      <w:tabs>
        <w:tab w:val="center" w:pos="4513"/>
        <w:tab w:val="right" w:pos="9026"/>
      </w:tabs>
      <w:spacing w:line="240" w:lineRule="auto"/>
    </w:pPr>
  </w:style>
  <w:style w:type="character" w:customStyle="1" w:styleId="FooterChar">
    <w:name w:val="Footer Char"/>
    <w:basedOn w:val="DefaultParagraphFont"/>
    <w:link w:val="Footer"/>
    <w:uiPriority w:val="99"/>
    <w:rsid w:val="00DB0872"/>
  </w:style>
  <w:style w:type="paragraph" w:customStyle="1" w:styleId="Normal1">
    <w:name w:val="Normal1"/>
    <w:rsid w:val="00B046F4"/>
    <w:pPr>
      <w:spacing w:line="360" w:lineRule="auto"/>
      <w:jc w:val="both"/>
    </w:pPr>
    <w:rPr>
      <w:rFonts w:ascii="Times New Roman" w:eastAsia="Times New Roman" w:hAnsi="Times New Roman" w:cs="Times New Roman"/>
      <w:sz w:val="24"/>
      <w:szCs w:val="24"/>
      <w:lang w:val=""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books.google.co.in/books?hl=en&amp;lr=&amp;id=81QbCgAAQBAJ&amp;oi=fnd&amp;pg=PP1&amp;dq=criminal+litigation+and+sentencing+books&amp;ots=miU3Vu5Dgv&amp;sig=TmIHJPURzEvupRHp8O6RhF9lXuE&amp;redir_esc=y" TargetMode="External"/><Relationship Id="rId3" Type="http://schemas.openxmlformats.org/officeDocument/2006/relationships/settings" Target="settings.xml"/><Relationship Id="rId7" Type="http://schemas.openxmlformats.org/officeDocument/2006/relationships/hyperlink" Target="https://onlinelibrary.wiley.com/doi/epdf/10.1111/jols.12100"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4E59F7-62E9-410C-B8B3-86AB36C088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1766</Words>
  <Characters>10071</Characters>
  <Application>Microsoft Office Word</Application>
  <DocSecurity>4</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Olga Bocancea</dc:creator>
  <cp:lastModifiedBy>Olga Bocancea</cp:lastModifiedBy>
  <cp:revision>2</cp:revision>
  <dcterms:created xsi:type="dcterms:W3CDTF">2023-08-07T11:58:00Z</dcterms:created>
  <dcterms:modified xsi:type="dcterms:W3CDTF">2023-08-07T11:58:00Z</dcterms:modified>
</cp:coreProperties>
</file>