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76797" w:rsidRPr="001B0C4A" w:rsidRDefault="001B0C4A" w:rsidP="007D3FAB">
      <w:pPr>
        <w:rPr>
          <w:i/>
          <w:sz w:val="24"/>
        </w:rPr>
      </w:pPr>
      <w:r>
        <w:rPr>
          <w:i/>
          <w:sz w:val="24"/>
        </w:rPr>
        <w:t>Discuss the Representation of D</w:t>
      </w:r>
      <w:r w:rsidR="00F76797" w:rsidRPr="007163CC">
        <w:rPr>
          <w:i/>
          <w:sz w:val="24"/>
        </w:rPr>
        <w:t>isability (physical or mental) in either Greek or Roman literature and art</w:t>
      </w:r>
      <w:r>
        <w:rPr>
          <w:i/>
          <w:sz w:val="24"/>
        </w:rPr>
        <w:t>.</w:t>
      </w:r>
    </w:p>
    <w:p w:rsidR="000F4D00" w:rsidRDefault="001B0C4A" w:rsidP="007D3FAB">
      <w:r>
        <w:t>In this paper, the focus of disability in the ancient world will remain solely on Greek literature and art and shall also be emphasised upon the physical image of disability in antiquity.</w:t>
      </w:r>
      <w:r w:rsidR="00332D38">
        <w:t xml:space="preserve"> The physical image of disability in the ancient world has been strongly shaped by indelible literary and artistic representations of the ancient Greek world from neoclassical an</w:t>
      </w:r>
      <w:r w:rsidR="00380B97">
        <w:t>d renaissance depictions of the standardised Greek physical form</w:t>
      </w:r>
      <w:r w:rsidR="000F4D00">
        <w:rPr>
          <w:rStyle w:val="FootnoteReference"/>
        </w:rPr>
        <w:footnoteReference w:id="1"/>
      </w:r>
      <w:r w:rsidR="009E6500">
        <w:t>, which in art is typically designed to portray the perfect human being.</w:t>
      </w:r>
      <w:r w:rsidR="005F21E4">
        <w:t xml:space="preserve"> </w:t>
      </w:r>
      <w:r w:rsidR="003C6253">
        <w:t xml:space="preserve">With this first statement in mind, this assignment shall focus on the ancient Greek mentality towards those with physical disabilities and also </w:t>
      </w:r>
      <w:r w:rsidR="00981784">
        <w:t>how they are approached. Within art and literature itself,</w:t>
      </w:r>
      <w:r w:rsidR="00C172A7">
        <w:t xml:space="preserve"> the importance of its representati</w:t>
      </w:r>
      <w:r w:rsidR="00981784">
        <w:t xml:space="preserve">on, or rather the lack thereof, shall be explored to understand why physical disabilities were not equally depicted in art yet explicitly described in literature as seen through the example of </w:t>
      </w:r>
      <w:r w:rsidR="00AF6264">
        <w:t xml:space="preserve">Raphael’s ‘School of Athens’ as a visual representation of the Greek physical body in comparison to ancient historians such as Aristotle, who </w:t>
      </w:r>
      <w:r w:rsidR="00910259">
        <w:t>refers to the ‘deformity’ of baldness (</w:t>
      </w:r>
      <w:r w:rsidR="00910259">
        <w:rPr>
          <w:i/>
        </w:rPr>
        <w:t xml:space="preserve">Generation of Animals 784 a) </w:t>
      </w:r>
      <w:r w:rsidR="00910259">
        <w:t xml:space="preserve">but also refers to monstrosity as the state of being very disfigured </w:t>
      </w:r>
      <w:r w:rsidR="00910259">
        <w:rPr>
          <w:i/>
        </w:rPr>
        <w:t>(Generation of Animals 769 b)</w:t>
      </w:r>
      <w:r w:rsidR="00910259">
        <w:rPr>
          <w:rStyle w:val="FootnoteReference"/>
          <w:i/>
        </w:rPr>
        <w:footnoteReference w:id="2"/>
      </w:r>
      <w:r w:rsidR="00A312EA">
        <w:t xml:space="preserve">. These are but two examples, more of which will be exemplified in later </w:t>
      </w:r>
      <w:r w:rsidR="00765520">
        <w:t>paragraphs</w:t>
      </w:r>
      <w:r w:rsidR="00A312EA">
        <w:t>.</w:t>
      </w:r>
    </w:p>
    <w:p w:rsidR="00327B2F" w:rsidRDefault="00765520" w:rsidP="007D3FAB">
      <w:r>
        <w:t>Firstly, it is prudent to explore just how many physical disabilities there were in the ancient world and to see how these handicaps were responded to by those not necessarily afflicted with similar conditions. Perhaps a little surprisingly, there was a wide variety of physical disabilities in the ancient Greek world</w:t>
      </w:r>
      <w:r>
        <w:rPr>
          <w:rStyle w:val="FootnoteReference"/>
        </w:rPr>
        <w:footnoteReference w:id="3"/>
      </w:r>
      <w:r>
        <w:t>. It is thought that in any given public gathering place, one would have seen a much greater variety of physical conditions than one would see in the developed world today due to the sheer diversity of physical disabilities</w:t>
      </w:r>
      <w:r>
        <w:rPr>
          <w:rStyle w:val="FootnoteReference"/>
        </w:rPr>
        <w:footnoteReference w:id="4"/>
      </w:r>
      <w:r>
        <w:t>. This variety of physical forms would have included not only the beautiful bodies of Winckelmann’s conjecture but also children affected by clubfoot and rickets, people with spastic cerebral palsy, disabled war veterans and people with a host of other somatic variations</w:t>
      </w:r>
      <w:r>
        <w:rPr>
          <w:rStyle w:val="FootnoteReference"/>
        </w:rPr>
        <w:footnoteReference w:id="5"/>
      </w:r>
      <w:r>
        <w:t>. These are but a few physical conditions possibly observed by the ancient Greeks to be considered to be disabilities of a kind, however it must also be noted that ancient historians also have their own disorders that they consider physical ailments.</w:t>
      </w:r>
      <w:r w:rsidR="007B4985">
        <w:t xml:space="preserve"> One such historian is Aristotle, who refers to the ‘deformity’ of baldness</w:t>
      </w:r>
      <w:r w:rsidR="007B4985">
        <w:rPr>
          <w:rStyle w:val="FootnoteReference"/>
        </w:rPr>
        <w:footnoteReference w:id="6"/>
      </w:r>
      <w:r w:rsidR="007B4985">
        <w:t xml:space="preserve"> (</w:t>
      </w:r>
      <w:r w:rsidR="007B4985">
        <w:rPr>
          <w:i/>
        </w:rPr>
        <w:t xml:space="preserve">Generation of Animals 784 a) </w:t>
      </w:r>
      <w:r w:rsidR="007B4985">
        <w:t xml:space="preserve">but also refers to monstrosity as the state of being very disfigured </w:t>
      </w:r>
      <w:r w:rsidR="007B4985">
        <w:rPr>
          <w:i/>
        </w:rPr>
        <w:t>(Generation of Animals 769 b)</w:t>
      </w:r>
      <w:r w:rsidR="00173BF3">
        <w:rPr>
          <w:rStyle w:val="FootnoteReference"/>
          <w:i/>
        </w:rPr>
        <w:footnoteReference w:id="7"/>
      </w:r>
      <w:r w:rsidR="007B4985">
        <w:t xml:space="preserve">. </w:t>
      </w:r>
      <w:r w:rsidR="00173BF3">
        <w:t xml:space="preserve">This term connotes the idea that the attitude towards disability in the ancient world is largely adverse, viewing them as monstrous due to their lack of perfection. </w:t>
      </w:r>
      <w:r w:rsidR="007B4985">
        <w:t>The term was used to describe everyone from Thamyris, whom, the eighth century B.C Homeric writings tell us, the Muses maimed because he boasted that his musical skills were as great as theirs (</w:t>
      </w:r>
      <w:r w:rsidR="007B4985">
        <w:rPr>
          <w:i/>
        </w:rPr>
        <w:t>Iliad 2.599)</w:t>
      </w:r>
      <w:r w:rsidR="00327B2F">
        <w:t>. In addition, it is also A</w:t>
      </w:r>
      <w:r w:rsidR="007B4985">
        <w:t>ristotle’s speculation (</w:t>
      </w:r>
      <w:r w:rsidR="007B4985">
        <w:rPr>
          <w:i/>
        </w:rPr>
        <w:t>Generation of Animals 737 a)</w:t>
      </w:r>
      <w:r w:rsidR="007B4985">
        <w:t xml:space="preserve"> that a female is technically a deformed male</w:t>
      </w:r>
      <w:r w:rsidR="00327B2F">
        <w:t>, which again denotes the backwards attitude of the ancient world, or at least its historians, towards those with disabilities or those perceived to be of a lower social status than themselves, which definitely includes women as they are largely seen as inferior.</w:t>
      </w:r>
      <w:r w:rsidR="00B466F7">
        <w:t xml:space="preserve"> To support this, </w:t>
      </w:r>
      <w:r w:rsidR="007B4985">
        <w:t>Herodotus, the fifth century historian and chronicler of the Persian Wars, uses this most broad term when he has the wisest man in the world say that the fortunate man is the one who ends his life ‘without d</w:t>
      </w:r>
      <w:r w:rsidR="00B466F7">
        <w:t>isfigurement, sickness or evil</w:t>
      </w:r>
      <w:r w:rsidR="00680381">
        <w:t xml:space="preserve"> (I.32)</w:t>
      </w:r>
      <w:r w:rsidR="00B466F7">
        <w:t>’, again promoting the idea that to be physically disabled is less than desirable, arguably it could be sa</w:t>
      </w:r>
      <w:r w:rsidR="00680381">
        <w:t xml:space="preserve">id that </w:t>
      </w:r>
      <w:r w:rsidR="00680381">
        <w:lastRenderedPageBreak/>
        <w:t>it was considered to be a curse. Historian Martha Rose states that the physical environment in which these people lived differed vastly from Renaissance and Neoclassical depictions and from the modern, developed world</w:t>
      </w:r>
      <w:r w:rsidR="00680381">
        <w:rPr>
          <w:rStyle w:val="FootnoteReference"/>
        </w:rPr>
        <w:footnoteReference w:id="8"/>
      </w:r>
      <w:r w:rsidR="00B3640F">
        <w:t>, n</w:t>
      </w:r>
      <w:r w:rsidR="00680381">
        <w:t>ot only the physical but also the cultural environment – the environment of attitudes – differed significantly from that of the modern, developed world</w:t>
      </w:r>
      <w:r w:rsidR="00B3640F">
        <w:rPr>
          <w:rStyle w:val="FootnoteReference"/>
        </w:rPr>
        <w:footnoteReference w:id="9"/>
      </w:r>
      <w:r w:rsidR="00B3640F">
        <w:t xml:space="preserve"> which provides more support to the argument that representation of disability is based upon the attitudes of the ancient Greeks, which at the time are hugely negative due to their minimalistic understand</w:t>
      </w:r>
      <w:r w:rsidR="009E4066">
        <w:t>ing of the physically impaired.</w:t>
      </w:r>
    </w:p>
    <w:p w:rsidR="009E4066" w:rsidRDefault="009E4066" w:rsidP="007D3FAB">
      <w:r>
        <w:t xml:space="preserve">The representation of physical disability in the ancient Greek world can be best seen visually within Greek art as it is something that can be observed literally. Concerning physical impairments, it is not often represented within art due to the imperfection physical disability usually portrays, unless there is a specific character that is trying to be represented. The most notable and easiest to distinguish of these characters is arguably Hephaestus, the Greek god of </w:t>
      </w:r>
      <w:r w:rsidR="0006509D">
        <w:t>fire and metalworking</w:t>
      </w:r>
      <w:r w:rsidR="0006509D">
        <w:rPr>
          <w:rStyle w:val="FootnoteReference"/>
        </w:rPr>
        <w:footnoteReference w:id="10"/>
      </w:r>
      <w:r w:rsidR="0006509D">
        <w:t>, who when born was seen to be deformed and was therefore cast out of the heavens</w:t>
      </w:r>
      <w:r w:rsidR="0006509D">
        <w:rPr>
          <w:rStyle w:val="FootnoteReference"/>
        </w:rPr>
        <w:footnoteReference w:id="11"/>
      </w:r>
      <w:r w:rsidR="0006509D">
        <w:t>. Due to this myth, it is often represented in art that Hephaestus be painted or depicted with his feet twisted the opposite way whilst either walking with a cane or riding</w:t>
      </w:r>
      <w:r w:rsidR="000572F0">
        <w:t xml:space="preserve"> upon an animal of some kind, a representation that can be observed upon the Archaic vase titled ‘The Return of Hephaestus’</w:t>
      </w:r>
      <w:r w:rsidR="000572F0">
        <w:rPr>
          <w:rStyle w:val="FootnoteReference"/>
        </w:rPr>
        <w:footnoteReference w:id="12"/>
      </w:r>
      <w:r w:rsidR="0020074F">
        <w:t xml:space="preserve">. Although a god, Hephaestus is an imperfect immortal, which is represented through art rather vividly and clearly. </w:t>
      </w:r>
      <w:r w:rsidR="00C97353">
        <w:t xml:space="preserve">In contrast to a clear representation, it is also notable that when there are no specific characters with a deformity within the myth that is being represented, there is very little equality surrounding disabilities and their representation of art. This means that most artistic representation depict beautiful and perfectly proportioned bodies of the ancient Greeks, such as </w:t>
      </w:r>
      <w:r w:rsidR="00DC7326">
        <w:t>the archaic amphora vase ‘Herac</w:t>
      </w:r>
      <w:r w:rsidR="00A8060D">
        <w:t>les and Cerberus’</w:t>
      </w:r>
      <w:r w:rsidR="00A8060D">
        <w:rPr>
          <w:rStyle w:val="FootnoteReference"/>
        </w:rPr>
        <w:footnoteReference w:id="13"/>
      </w:r>
      <w:r w:rsidR="00B30EF5">
        <w:t xml:space="preserve"> as well as the Exekias vase ‘Achilles and Penthesilea’</w:t>
      </w:r>
      <w:r w:rsidR="00106129">
        <w:rPr>
          <w:rStyle w:val="FootnoteReference"/>
        </w:rPr>
        <w:footnoteReference w:id="14"/>
      </w:r>
      <w:r w:rsidR="004877A2">
        <w:t>, both of which depict powerful and physically flawless males. This is just a small example of the representation of ancient Greeks, who prefer the perfection of the physical body rather than the accurate, however when disability or deformity is shown to be represented within art, it is notable that it is usually done very well and with consistency, such as with Hephaestus.</w:t>
      </w:r>
    </w:p>
    <w:p w:rsidR="007346E3" w:rsidRDefault="00B749AE" w:rsidP="007D3FAB">
      <w:r>
        <w:t xml:space="preserve">In continuation, the representation of disability in literature is perhaps more </w:t>
      </w:r>
      <w:r w:rsidR="00731799">
        <w:t>significant due the fact that it is usually more expl</w:t>
      </w:r>
      <w:r w:rsidR="000078B4">
        <w:t>icit and detailed. This can be seen in the works of</w:t>
      </w:r>
      <w:r w:rsidR="00731799">
        <w:t xml:space="preserve"> ancient historians such as Aristotle and Homer </w:t>
      </w:r>
      <w:r w:rsidR="000078B4">
        <w:t xml:space="preserve">as they </w:t>
      </w:r>
      <w:r w:rsidR="00731799">
        <w:t>describe in great detail the monstrosity of deformed people</w:t>
      </w:r>
      <w:r w:rsidR="00761D6F">
        <w:t>, such as Thersites’ limp, his rounded shoulders, and his bald head add up to an overall appearance of the ugliest man among the Greek forces in the Trojan War</w:t>
      </w:r>
      <w:r w:rsidR="00761D6F">
        <w:rPr>
          <w:rStyle w:val="FootnoteReference"/>
        </w:rPr>
        <w:footnoteReference w:id="15"/>
      </w:r>
      <w:r w:rsidR="00A93553">
        <w:t xml:space="preserve">. This all combines to signify a drastic change not necessarily in attitudes towards the disabled and physically deformed, but rather the way in which they are </w:t>
      </w:r>
      <w:r w:rsidR="00574021">
        <w:t xml:space="preserve">targeted </w:t>
      </w:r>
      <w:r w:rsidR="007A0AC7">
        <w:t xml:space="preserve">in </w:t>
      </w:r>
      <w:r w:rsidR="00574021">
        <w:t xml:space="preserve">literature, </w:t>
      </w:r>
      <w:r w:rsidR="007A0AC7">
        <w:t xml:space="preserve">as </w:t>
      </w:r>
      <w:r w:rsidR="002F7143">
        <w:t>they are now the subject of criticism and used for entertainment. Because of this, their representation</w:t>
      </w:r>
      <w:r w:rsidR="007E405B">
        <w:t xml:space="preserve"> might possibly be exaggerated which therefore would indicate </w:t>
      </w:r>
      <w:r w:rsidR="002F7143">
        <w:t xml:space="preserve">a lack of accuracy and </w:t>
      </w:r>
      <w:r w:rsidR="007A0F89">
        <w:t>prejudiced approach to them as a separate people</w:t>
      </w:r>
      <w:r w:rsidR="007E405B">
        <w:t>, and it is strongly suggested through readings from Lysias, Plutarch and other ancient Greek authors that some Greeks constructed a social category of disability</w:t>
      </w:r>
      <w:r w:rsidR="007E405B">
        <w:rPr>
          <w:rStyle w:val="FootnoteReference"/>
        </w:rPr>
        <w:footnoteReference w:id="16"/>
      </w:r>
      <w:r w:rsidR="007A0F89">
        <w:t xml:space="preserve">. </w:t>
      </w:r>
      <w:r w:rsidR="007A0AC7">
        <w:t>On the other hand, t</w:t>
      </w:r>
      <w:r w:rsidR="009C395E">
        <w:t xml:space="preserve">here is evidence, however, that the Spartans encouraged those with disabilities and deformities to fight, regardless of </w:t>
      </w:r>
      <w:r w:rsidR="009C395E">
        <w:lastRenderedPageBreak/>
        <w:t>their handicap, as they prized military prowess and lauded those who were able to overcome their disabilities</w:t>
      </w:r>
      <w:r w:rsidR="009C395E">
        <w:rPr>
          <w:rStyle w:val="FootnoteReference"/>
        </w:rPr>
        <w:footnoteReference w:id="17"/>
      </w:r>
      <w:r w:rsidR="007A0AC7">
        <w:t>, indicating a broader understanding and acceptance of those with disabilities in the ancient world</w:t>
      </w:r>
      <w:r w:rsidR="009C395E">
        <w:t>.</w:t>
      </w:r>
      <w:r w:rsidR="007346E3">
        <w:t xml:space="preserve"> </w:t>
      </w:r>
      <w:r w:rsidR="008E3702">
        <w:t>A strong example within literature of the representation of disability in ancient Greece is the portrayal of Hephaestus in myth. It is written by several ancient authors, most notably Homer, that Hephaestus was born crippled</w:t>
      </w:r>
      <w:r w:rsidR="008E3702">
        <w:rPr>
          <w:rStyle w:val="FootnoteReference"/>
        </w:rPr>
        <w:footnoteReference w:id="18"/>
      </w:r>
      <w:r w:rsidR="008E3702">
        <w:t xml:space="preserve"> and due to this deformity, he was thrown from a mountain in an attempt to be hidden from the other gods</w:t>
      </w:r>
      <w:r w:rsidR="008E3702">
        <w:rPr>
          <w:rStyle w:val="FootnoteReference"/>
        </w:rPr>
        <w:footnoteReference w:id="19"/>
      </w:r>
      <w:r w:rsidR="008E3702">
        <w:t>. With this representation, we are able to understand</w:t>
      </w:r>
      <w:r w:rsidR="007346E3">
        <w:t xml:space="preserve"> ancient society’s lack of empathy for those with deformities or disabilities, as exemplified through the literature surrounding Hephaestus</w:t>
      </w:r>
      <w:r w:rsidR="007A0AC7">
        <w:t xml:space="preserve"> and its description of his deformities which are horrific enough </w:t>
      </w:r>
      <w:r w:rsidR="00E55594">
        <w:t>for him to be rejected by others</w:t>
      </w:r>
      <w:r w:rsidR="007A0AC7">
        <w:t>.</w:t>
      </w:r>
    </w:p>
    <w:p w:rsidR="002B3DE3" w:rsidRDefault="00DD413C" w:rsidP="007D3FAB">
      <w:r>
        <w:t>In conclusion, it is therefore understandable that ancient Greek society were highly judgemental in their representation of disabilities in both literature and art. In some ways, these representations can almost be described as unforgiving and hugely prejudiced to a people whom they depict. Physical disability and deformity are</w:t>
      </w:r>
      <w:r w:rsidR="005A1866">
        <w:t xml:space="preserve"> both</w:t>
      </w:r>
      <w:r>
        <w:t xml:space="preserve"> represented as being a very negative concept, suggesting that society in ancient </w:t>
      </w:r>
      <w:r w:rsidR="005A1866">
        <w:t xml:space="preserve">Greece ostracised those with disabilities due to their not following their social norms, however since evidence from ancient sources mostly concern a myth or a hugely </w:t>
      </w:r>
      <w:r w:rsidR="002C4D93">
        <w:t xml:space="preserve">biased ancient author, it is impossible to say for certain whether or not these views were shared by the population across the entirety of Greece, with the exception of Sparta whereby it is stated by </w:t>
      </w:r>
      <w:r w:rsidR="006A4B5C">
        <w:t>Penrose that they encouraged the participation of the disabled as a sign of strength</w:t>
      </w:r>
      <w:r w:rsidR="006A4B5C">
        <w:rPr>
          <w:rStyle w:val="FootnoteReference"/>
        </w:rPr>
        <w:footnoteReference w:id="20"/>
      </w:r>
      <w:r w:rsidR="006A4B5C">
        <w:t>. Thus, it can be concluded that the representation of physical disability in ancient Greek literature and art is largely a topic of controversy, yet evidence suggests that those with deformities were not widely accepted into normal society due to their physical afflictions.</w:t>
      </w:r>
    </w:p>
    <w:p w:rsidR="004B1F0D" w:rsidRDefault="004B1F0D" w:rsidP="007D3FAB"/>
    <w:p w:rsidR="002B3DE3" w:rsidRDefault="002B3DE3" w:rsidP="007D3FAB"/>
    <w:p w:rsidR="0020074F" w:rsidRDefault="0020074F" w:rsidP="007D3FAB"/>
    <w:p w:rsidR="00327B2F" w:rsidRDefault="00327B2F" w:rsidP="007D3FAB"/>
    <w:p w:rsidR="00327B2F" w:rsidRDefault="00327B2F" w:rsidP="007D3FAB"/>
    <w:p w:rsidR="00327B2F" w:rsidRDefault="00327B2F" w:rsidP="007D3FAB"/>
    <w:p w:rsidR="00327B2F" w:rsidRDefault="00327B2F" w:rsidP="007D3FAB"/>
    <w:p w:rsidR="00327B2F" w:rsidRDefault="00327B2F" w:rsidP="007D3FAB"/>
    <w:p w:rsidR="00327B2F" w:rsidRDefault="00327B2F" w:rsidP="007D3FAB"/>
    <w:p w:rsidR="00327B2F" w:rsidRDefault="00327B2F" w:rsidP="007D3FAB"/>
    <w:p w:rsidR="00327B2F" w:rsidRDefault="00327B2F" w:rsidP="007D3FAB"/>
    <w:p w:rsidR="00327B2F" w:rsidRDefault="00327B2F" w:rsidP="007D3FAB"/>
    <w:p w:rsidR="00327B2F" w:rsidRDefault="00327B2F" w:rsidP="007D3FAB"/>
    <w:p w:rsidR="00327B2F" w:rsidRDefault="00327B2F" w:rsidP="007D3FAB"/>
    <w:p w:rsidR="00327B2F" w:rsidRDefault="004B1F0D" w:rsidP="007D3FAB">
      <w:r w:rsidRPr="00F76BC8">
        <w:rPr>
          <w:i/>
          <w:sz w:val="28"/>
        </w:rPr>
        <w:lastRenderedPageBreak/>
        <w:t>Bibliography</w:t>
      </w:r>
      <w:r w:rsidRPr="00F76BC8">
        <w:rPr>
          <w:sz w:val="28"/>
        </w:rPr>
        <w:t xml:space="preserve"> </w:t>
      </w:r>
      <w:r>
        <w:t>–</w:t>
      </w:r>
    </w:p>
    <w:p w:rsidR="004B1F0D" w:rsidRDefault="004B1F0D" w:rsidP="007D3FAB">
      <w:r>
        <w:t>Secondary Sources</w:t>
      </w:r>
      <w:r w:rsidR="00F76BC8">
        <w:t>:</w:t>
      </w:r>
    </w:p>
    <w:p w:rsidR="00F76BC8" w:rsidRDefault="00F76BC8" w:rsidP="007D3FAB">
      <w:r>
        <w:t xml:space="preserve">Orose, M. L. 2013. </w:t>
      </w:r>
      <w:r>
        <w:rPr>
          <w:i/>
        </w:rPr>
        <w:t>The Staff of Oedipus</w:t>
      </w:r>
      <w:r>
        <w:t>. Michigan: University of Michigan Press.</w:t>
      </w:r>
    </w:p>
    <w:p w:rsidR="00F76BC8" w:rsidRDefault="00162354" w:rsidP="007D3FAB">
      <w:r>
        <w:t xml:space="preserve">Temkin, O. 1971. </w:t>
      </w:r>
      <w:r>
        <w:rPr>
          <w:i/>
        </w:rPr>
        <w:t>The Falling Sickness – A History of Epilepsy from the Greeks to the Beginnings of Modern Neurology</w:t>
      </w:r>
      <w:r>
        <w:t>. London: John Hopkins University Press Ltd.</w:t>
      </w:r>
    </w:p>
    <w:p w:rsidR="00162354" w:rsidRDefault="00381966" w:rsidP="007D3FAB">
      <w:r>
        <w:t>Journals:</w:t>
      </w:r>
    </w:p>
    <w:p w:rsidR="00381966" w:rsidRPr="00D47B22" w:rsidRDefault="00381966" w:rsidP="007D3FAB">
      <w:r>
        <w:t>Southwell-Wright, W. 2014. ‘Perceptions of Infant Disability in Roman Britain’</w:t>
      </w:r>
      <w:r w:rsidR="00D47B22">
        <w:t xml:space="preserve">, M. Carroll and E. J. Graham (ed.), </w:t>
      </w:r>
      <w:r w:rsidR="00D47B22">
        <w:rPr>
          <w:i/>
        </w:rPr>
        <w:t>Infant Health and Death in Roman Italy and Beyond</w:t>
      </w:r>
      <w:r w:rsidR="00D47B22">
        <w:t>. Rhode Island: Portsmouth, pages 111 -130.</w:t>
      </w:r>
      <w:bookmarkStart w:id="0" w:name="_GoBack"/>
      <w:bookmarkEnd w:id="0"/>
    </w:p>
    <w:p w:rsidR="004B1F0D" w:rsidRDefault="00F76BC8" w:rsidP="007D3FAB">
      <w:r>
        <w:t>Websites:</w:t>
      </w:r>
      <w:r w:rsidR="00C35A04">
        <w:t xml:space="preserve"> </w:t>
      </w:r>
    </w:p>
    <w:p w:rsidR="00327B2F" w:rsidRDefault="00A2525B" w:rsidP="007D3FAB">
      <w:r>
        <w:t xml:space="preserve">Walter D. Penrose Jr. ‘The Discourse of Disability in Ancient Greece’ 2017. </w:t>
      </w:r>
      <w:hyperlink r:id="rId7" w:history="1">
        <w:r w:rsidR="007E0F42" w:rsidRPr="00CA441C">
          <w:rPr>
            <w:rStyle w:val="Hyperlink"/>
          </w:rPr>
          <w:t>https://muse.jhu.edu/article/589385/pdf</w:t>
        </w:r>
      </w:hyperlink>
      <w:r w:rsidR="007E0F42">
        <w:t>. [</w:t>
      </w:r>
      <w:r w:rsidR="007E0F42" w:rsidRPr="0038082A">
        <w:t>21/11/2017</w:t>
      </w:r>
      <w:r w:rsidR="007E0F42">
        <w:t>]</w:t>
      </w:r>
    </w:p>
    <w:p w:rsidR="00B14FD6" w:rsidRDefault="00ED325E" w:rsidP="00B14FD6">
      <w:r>
        <w:t>Aaron J. Atsma</w:t>
      </w:r>
      <w:r w:rsidR="00B14FD6">
        <w:t xml:space="preserve">. ‘The Return of Hephaestus’ 2017. </w:t>
      </w:r>
      <w:hyperlink r:id="rId8" w:history="1">
        <w:r w:rsidR="00B14FD6" w:rsidRPr="00CA441C">
          <w:rPr>
            <w:rStyle w:val="Hyperlink"/>
          </w:rPr>
          <w:t>http://www.theoi.com/Gallery/K7.8.html</w:t>
        </w:r>
      </w:hyperlink>
      <w:r w:rsidR="00B14FD6">
        <w:t>. [13/11/217]</w:t>
      </w:r>
    </w:p>
    <w:p w:rsidR="001E0CAA" w:rsidRDefault="001E0CAA" w:rsidP="001E0CAA">
      <w:r>
        <w:t>The British Museum. ‘</w:t>
      </w:r>
      <w:r w:rsidR="00852ADC">
        <w:t xml:space="preserve">Amphora’ 2017. </w:t>
      </w:r>
      <w:hyperlink r:id="rId9" w:history="1">
        <w:r w:rsidR="00852ADC" w:rsidRPr="00CA441C">
          <w:rPr>
            <w:rStyle w:val="Hyperlink"/>
          </w:rPr>
          <w:t>http://www.britishmuseum.org/research/collection_online/collection_object_details.aspx?objectId=399372&amp;partId=1&amp;searchText=vase+exekias&amp;page=1</w:t>
        </w:r>
      </w:hyperlink>
      <w:r w:rsidR="00852ADC">
        <w:t>. [13/11/2017]</w:t>
      </w:r>
    </w:p>
    <w:p w:rsidR="000572F0" w:rsidRDefault="0038082A" w:rsidP="007D3FAB">
      <w:r>
        <w:t xml:space="preserve">Theoi. ‘The Return of Hephaestus’ 2017. </w:t>
      </w:r>
      <w:hyperlink r:id="rId10" w:history="1">
        <w:r w:rsidR="00ED325E" w:rsidRPr="00CA441C">
          <w:rPr>
            <w:rStyle w:val="Hyperlink"/>
          </w:rPr>
          <w:t>http://www.theoi.com/</w:t>
        </w:r>
        <w:r w:rsidR="00ED325E" w:rsidRPr="00CA441C">
          <w:rPr>
            <w:rStyle w:val="Hyperlink"/>
          </w:rPr>
          <w:t>G</w:t>
        </w:r>
        <w:r w:rsidR="00ED325E" w:rsidRPr="00CA441C">
          <w:rPr>
            <w:rStyle w:val="Hyperlink"/>
          </w:rPr>
          <w:t>allery/K7.8.html</w:t>
        </w:r>
      </w:hyperlink>
      <w:r>
        <w:t>. [13/11/2017]</w:t>
      </w:r>
    </w:p>
    <w:p w:rsidR="00B30EF5" w:rsidRDefault="0038082A" w:rsidP="007D3FAB">
      <w:r>
        <w:t xml:space="preserve">Theoi. ‘Heracles and Cerberus’ 2017. </w:t>
      </w:r>
      <w:hyperlink r:id="rId11" w:history="1">
        <w:r w:rsidRPr="00CA441C">
          <w:rPr>
            <w:rStyle w:val="Hyperlink"/>
          </w:rPr>
          <w:t>http://www.theoi.com/Gallery/M12.2.html</w:t>
        </w:r>
      </w:hyperlink>
      <w:r>
        <w:t>. [13/11/2017]</w:t>
      </w:r>
    </w:p>
    <w:p w:rsidR="007E0F42" w:rsidRDefault="00DC7326" w:rsidP="007D3FAB">
      <w:r>
        <w:t xml:space="preserve">Theoi. ‘Hephaestus Myths’ 2017. </w:t>
      </w:r>
      <w:hyperlink r:id="rId12" w:history="1">
        <w:r w:rsidRPr="00CA441C">
          <w:rPr>
            <w:rStyle w:val="Hyperlink"/>
          </w:rPr>
          <w:t>http://www.theoi.com/Olympios/HephaistosMyths.html</w:t>
        </w:r>
      </w:hyperlink>
      <w:r>
        <w:t>. [</w:t>
      </w:r>
      <w:r w:rsidR="008E3702">
        <w:t>21/11/2017</w:t>
      </w:r>
      <w:r>
        <w:t>]</w:t>
      </w:r>
    </w:p>
    <w:p w:rsidR="008E3702" w:rsidRPr="000F4D00" w:rsidRDefault="00DC7326" w:rsidP="007D3FAB">
      <w:r>
        <w:t xml:space="preserve">Greek Gods and Goddesses. ‘Hephaestus’ 2017. </w:t>
      </w:r>
      <w:hyperlink r:id="rId13" w:history="1">
        <w:r w:rsidR="007E0F42" w:rsidRPr="00CA441C">
          <w:rPr>
            <w:rStyle w:val="Hyperlink"/>
          </w:rPr>
          <w:t>https://greekgodsandgoddesses.net/gods/hephaestus/</w:t>
        </w:r>
      </w:hyperlink>
      <w:r w:rsidR="007E0F42">
        <w:t>. [13/11/2017]</w:t>
      </w:r>
    </w:p>
    <w:sectPr w:rsidR="008E3702" w:rsidRPr="000F4D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501DB" w:rsidRDefault="001501DB" w:rsidP="000F4D00">
      <w:pPr>
        <w:spacing w:after="0" w:line="240" w:lineRule="auto"/>
      </w:pPr>
      <w:r>
        <w:separator/>
      </w:r>
    </w:p>
  </w:endnote>
  <w:endnote w:type="continuationSeparator" w:id="0">
    <w:p w:rsidR="001501DB" w:rsidRDefault="001501DB" w:rsidP="000F4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501DB" w:rsidRDefault="001501DB" w:rsidP="000F4D00">
      <w:pPr>
        <w:spacing w:after="0" w:line="240" w:lineRule="auto"/>
      </w:pPr>
      <w:r>
        <w:separator/>
      </w:r>
    </w:p>
  </w:footnote>
  <w:footnote w:type="continuationSeparator" w:id="0">
    <w:p w:rsidR="001501DB" w:rsidRDefault="001501DB" w:rsidP="000F4D00">
      <w:pPr>
        <w:spacing w:after="0" w:line="240" w:lineRule="auto"/>
      </w:pPr>
      <w:r>
        <w:continuationSeparator/>
      </w:r>
    </w:p>
  </w:footnote>
  <w:footnote w:id="1">
    <w:p w:rsidR="000F4D00" w:rsidRDefault="000F4D00">
      <w:pPr>
        <w:pStyle w:val="FootnoteText"/>
      </w:pPr>
      <w:r>
        <w:rPr>
          <w:rStyle w:val="FootnoteReference"/>
        </w:rPr>
        <w:footnoteRef/>
      </w:r>
      <w:r w:rsidR="00C35A04">
        <w:t xml:space="preserve"> </w:t>
      </w:r>
      <w:r>
        <w:t>Rose</w:t>
      </w:r>
      <w:r w:rsidR="00C35A04">
        <w:t xml:space="preserve"> 2013: 9-10</w:t>
      </w:r>
      <w:r>
        <w:t xml:space="preserve"> </w:t>
      </w:r>
    </w:p>
  </w:footnote>
  <w:footnote w:id="2">
    <w:p w:rsidR="00910259" w:rsidRDefault="00910259">
      <w:pPr>
        <w:pStyle w:val="FootnoteText"/>
      </w:pPr>
      <w:r>
        <w:rPr>
          <w:rStyle w:val="FootnoteReference"/>
        </w:rPr>
        <w:footnoteRef/>
      </w:r>
      <w:r w:rsidR="00C35A04">
        <w:t xml:space="preserve"> </w:t>
      </w:r>
      <w:r w:rsidR="00C35A04">
        <w:t>Rose 2013: 9-10</w:t>
      </w:r>
    </w:p>
  </w:footnote>
  <w:footnote w:id="3">
    <w:p w:rsidR="00765520" w:rsidRDefault="00765520">
      <w:pPr>
        <w:pStyle w:val="FootnoteText"/>
      </w:pPr>
      <w:r>
        <w:rPr>
          <w:rStyle w:val="FootnoteReference"/>
        </w:rPr>
        <w:footnoteRef/>
      </w:r>
      <w:r w:rsidR="00C35A04">
        <w:t xml:space="preserve"> </w:t>
      </w:r>
      <w:r w:rsidR="00C35A04">
        <w:t>Rose 2013: 9-10</w:t>
      </w:r>
    </w:p>
  </w:footnote>
  <w:footnote w:id="4">
    <w:p w:rsidR="00765520" w:rsidRDefault="00765520">
      <w:pPr>
        <w:pStyle w:val="FootnoteText"/>
      </w:pPr>
      <w:r>
        <w:rPr>
          <w:rStyle w:val="FootnoteReference"/>
        </w:rPr>
        <w:footnoteRef/>
      </w:r>
      <w:r w:rsidR="00C35A04">
        <w:t xml:space="preserve"> </w:t>
      </w:r>
      <w:r w:rsidR="00C35A04">
        <w:t>Rose 2013: 9-10</w:t>
      </w:r>
    </w:p>
  </w:footnote>
  <w:footnote w:id="5">
    <w:p w:rsidR="00765520" w:rsidRDefault="00765520">
      <w:pPr>
        <w:pStyle w:val="FootnoteText"/>
      </w:pPr>
      <w:r>
        <w:rPr>
          <w:rStyle w:val="FootnoteReference"/>
        </w:rPr>
        <w:footnoteRef/>
      </w:r>
      <w:r w:rsidR="00C35A04">
        <w:t xml:space="preserve"> </w:t>
      </w:r>
      <w:r w:rsidR="00C35A04">
        <w:t>Rose 2013: 9-10</w:t>
      </w:r>
    </w:p>
  </w:footnote>
  <w:footnote w:id="6">
    <w:p w:rsidR="007B4985" w:rsidRDefault="007B4985">
      <w:pPr>
        <w:pStyle w:val="FootnoteText"/>
      </w:pPr>
      <w:r>
        <w:rPr>
          <w:rStyle w:val="FootnoteReference"/>
        </w:rPr>
        <w:footnoteRef/>
      </w:r>
      <w:r>
        <w:t xml:space="preserve"> </w:t>
      </w:r>
      <w:r w:rsidR="00153557">
        <w:t>Rose 2013: 9-10</w:t>
      </w:r>
    </w:p>
  </w:footnote>
  <w:footnote w:id="7">
    <w:p w:rsidR="00173BF3" w:rsidRDefault="00173BF3">
      <w:pPr>
        <w:pStyle w:val="FootnoteText"/>
      </w:pPr>
      <w:r>
        <w:rPr>
          <w:rStyle w:val="FootnoteReference"/>
        </w:rPr>
        <w:footnoteRef/>
      </w:r>
      <w:r w:rsidR="00153557">
        <w:t xml:space="preserve"> </w:t>
      </w:r>
      <w:r w:rsidR="00153557">
        <w:t>Rose 2013: 9-10</w:t>
      </w:r>
    </w:p>
  </w:footnote>
  <w:footnote w:id="8">
    <w:p w:rsidR="00680381" w:rsidRDefault="00680381">
      <w:pPr>
        <w:pStyle w:val="FootnoteText"/>
      </w:pPr>
      <w:r>
        <w:rPr>
          <w:rStyle w:val="FootnoteReference"/>
        </w:rPr>
        <w:footnoteRef/>
      </w:r>
      <w:r>
        <w:t xml:space="preserve"> </w:t>
      </w:r>
      <w:r w:rsidR="00153557">
        <w:t>Rose 2013: 9-10</w:t>
      </w:r>
    </w:p>
  </w:footnote>
  <w:footnote w:id="9">
    <w:p w:rsidR="00B3640F" w:rsidRDefault="00B3640F">
      <w:pPr>
        <w:pStyle w:val="FootnoteText"/>
      </w:pPr>
      <w:r>
        <w:rPr>
          <w:rStyle w:val="FootnoteReference"/>
        </w:rPr>
        <w:footnoteRef/>
      </w:r>
      <w:r w:rsidR="00153557">
        <w:t xml:space="preserve"> </w:t>
      </w:r>
      <w:r w:rsidR="00153557">
        <w:t>Rose 2013: 9-10</w:t>
      </w:r>
    </w:p>
  </w:footnote>
  <w:footnote w:id="10">
    <w:p w:rsidR="0006509D" w:rsidRDefault="0006509D">
      <w:pPr>
        <w:pStyle w:val="FootnoteText"/>
      </w:pPr>
      <w:r>
        <w:rPr>
          <w:rStyle w:val="FootnoteReference"/>
        </w:rPr>
        <w:footnoteRef/>
      </w:r>
      <w:r w:rsidR="00030ADF">
        <w:t xml:space="preserve"> </w:t>
      </w:r>
      <w:r w:rsidR="007E0F42">
        <w:t>Greek Gods and Goddesses</w:t>
      </w:r>
      <w:r w:rsidR="00A2525B">
        <w:t xml:space="preserve"> 2017.</w:t>
      </w:r>
    </w:p>
  </w:footnote>
  <w:footnote w:id="11">
    <w:p w:rsidR="0006509D" w:rsidRDefault="0006509D">
      <w:pPr>
        <w:pStyle w:val="FootnoteText"/>
      </w:pPr>
      <w:r>
        <w:rPr>
          <w:rStyle w:val="FootnoteReference"/>
        </w:rPr>
        <w:footnoteRef/>
      </w:r>
      <w:r w:rsidR="00A2525B">
        <w:t xml:space="preserve"> </w:t>
      </w:r>
      <w:r w:rsidR="007E0F42">
        <w:t>Greek Gods and Goddesses</w:t>
      </w:r>
      <w:r w:rsidR="00A2525B">
        <w:t xml:space="preserve"> 2017.</w:t>
      </w:r>
    </w:p>
  </w:footnote>
  <w:footnote w:id="12">
    <w:p w:rsidR="000572F0" w:rsidRDefault="000572F0">
      <w:pPr>
        <w:pStyle w:val="FootnoteText"/>
      </w:pPr>
      <w:r>
        <w:rPr>
          <w:rStyle w:val="FootnoteReference"/>
        </w:rPr>
        <w:footnoteRef/>
      </w:r>
      <w:r>
        <w:t xml:space="preserve"> </w:t>
      </w:r>
      <w:r w:rsidR="00DC7326">
        <w:t>The Return of Hephaestus</w:t>
      </w:r>
      <w:r w:rsidR="00A0141F">
        <w:t xml:space="preserve"> 2017.</w:t>
      </w:r>
    </w:p>
  </w:footnote>
  <w:footnote w:id="13">
    <w:p w:rsidR="00A8060D" w:rsidRDefault="00A8060D">
      <w:pPr>
        <w:pStyle w:val="FootnoteText"/>
      </w:pPr>
      <w:r>
        <w:rPr>
          <w:rStyle w:val="FootnoteReference"/>
        </w:rPr>
        <w:footnoteRef/>
      </w:r>
      <w:r>
        <w:t xml:space="preserve"> </w:t>
      </w:r>
      <w:r w:rsidR="00DC7326">
        <w:t>Heracles and Cerberus</w:t>
      </w:r>
      <w:r w:rsidR="00A0141F">
        <w:t xml:space="preserve"> 2017.</w:t>
      </w:r>
    </w:p>
  </w:footnote>
  <w:footnote w:id="14">
    <w:p w:rsidR="00106129" w:rsidRDefault="00106129">
      <w:pPr>
        <w:pStyle w:val="FootnoteText"/>
      </w:pPr>
      <w:r>
        <w:rPr>
          <w:rStyle w:val="FootnoteReference"/>
        </w:rPr>
        <w:footnoteRef/>
      </w:r>
      <w:r>
        <w:t xml:space="preserve"> The British</w:t>
      </w:r>
      <w:r w:rsidR="001E0CAA">
        <w:t xml:space="preserve"> Museum 2017.</w:t>
      </w:r>
    </w:p>
  </w:footnote>
  <w:footnote w:id="15">
    <w:p w:rsidR="00761D6F" w:rsidRDefault="00761D6F">
      <w:pPr>
        <w:pStyle w:val="FootnoteText"/>
      </w:pPr>
      <w:r>
        <w:rPr>
          <w:rStyle w:val="FootnoteReference"/>
        </w:rPr>
        <w:footnoteRef/>
      </w:r>
      <w:r>
        <w:t xml:space="preserve"> </w:t>
      </w:r>
      <w:r w:rsidR="002F2D72">
        <w:t>Rose 2013: 9-10</w:t>
      </w:r>
    </w:p>
  </w:footnote>
  <w:footnote w:id="16">
    <w:p w:rsidR="007E405B" w:rsidRDefault="007E405B">
      <w:pPr>
        <w:pStyle w:val="FootnoteText"/>
      </w:pPr>
      <w:r>
        <w:rPr>
          <w:rStyle w:val="FootnoteReference"/>
        </w:rPr>
        <w:footnoteRef/>
      </w:r>
      <w:r w:rsidR="006102F2">
        <w:t xml:space="preserve"> Penrose 2017.</w:t>
      </w:r>
    </w:p>
  </w:footnote>
  <w:footnote w:id="17">
    <w:p w:rsidR="009C395E" w:rsidRDefault="009C395E">
      <w:pPr>
        <w:pStyle w:val="FootnoteText"/>
      </w:pPr>
      <w:r>
        <w:rPr>
          <w:rStyle w:val="FootnoteReference"/>
        </w:rPr>
        <w:footnoteRef/>
      </w:r>
      <w:r>
        <w:t xml:space="preserve"> </w:t>
      </w:r>
      <w:r w:rsidR="006102F2">
        <w:t>Penrose 2017.</w:t>
      </w:r>
    </w:p>
  </w:footnote>
  <w:footnote w:id="18">
    <w:p w:rsidR="008E3702" w:rsidRDefault="008E3702">
      <w:pPr>
        <w:pStyle w:val="FootnoteText"/>
      </w:pPr>
      <w:r>
        <w:rPr>
          <w:rStyle w:val="FootnoteReference"/>
        </w:rPr>
        <w:footnoteRef/>
      </w:r>
      <w:r>
        <w:t xml:space="preserve"> </w:t>
      </w:r>
      <w:r w:rsidR="00DC7326">
        <w:t>Hephaestus Myths 2017.</w:t>
      </w:r>
    </w:p>
  </w:footnote>
  <w:footnote w:id="19">
    <w:p w:rsidR="008E3702" w:rsidRDefault="008E3702">
      <w:pPr>
        <w:pStyle w:val="FootnoteText"/>
      </w:pPr>
      <w:r>
        <w:rPr>
          <w:rStyle w:val="FootnoteReference"/>
        </w:rPr>
        <w:footnoteRef/>
      </w:r>
      <w:r>
        <w:t xml:space="preserve"> </w:t>
      </w:r>
      <w:r w:rsidR="00DC7326">
        <w:t>Hephaestus Myths 2017.</w:t>
      </w:r>
    </w:p>
  </w:footnote>
  <w:footnote w:id="20">
    <w:p w:rsidR="006A4B5C" w:rsidRDefault="006A4B5C">
      <w:pPr>
        <w:pStyle w:val="FootnoteText"/>
      </w:pPr>
      <w:r>
        <w:rPr>
          <w:rStyle w:val="FootnoteReference"/>
        </w:rPr>
        <w:footnoteRef/>
      </w:r>
      <w:r w:rsidR="00DC7326">
        <w:t xml:space="preserve"> Penrose 2017.</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F31F5B"/>
    <w:multiLevelType w:val="hybridMultilevel"/>
    <w:tmpl w:val="029EE076"/>
    <w:lvl w:ilvl="0" w:tplc="F04C1CA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D87A78"/>
    <w:multiLevelType w:val="hybridMultilevel"/>
    <w:tmpl w:val="6B483F7A"/>
    <w:lvl w:ilvl="0" w:tplc="54B6381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15FA"/>
    <w:rsid w:val="000078B4"/>
    <w:rsid w:val="00030ADF"/>
    <w:rsid w:val="000572F0"/>
    <w:rsid w:val="0006509D"/>
    <w:rsid w:val="00090787"/>
    <w:rsid w:val="000A2CF4"/>
    <w:rsid w:val="000D06D8"/>
    <w:rsid w:val="000F4D00"/>
    <w:rsid w:val="00106129"/>
    <w:rsid w:val="001470F2"/>
    <w:rsid w:val="001501DB"/>
    <w:rsid w:val="00153557"/>
    <w:rsid w:val="00162354"/>
    <w:rsid w:val="00173BF3"/>
    <w:rsid w:val="0017779C"/>
    <w:rsid w:val="00195C80"/>
    <w:rsid w:val="001B0C4A"/>
    <w:rsid w:val="001E0084"/>
    <w:rsid w:val="001E0CAA"/>
    <w:rsid w:val="0020074F"/>
    <w:rsid w:val="002B3DE3"/>
    <w:rsid w:val="002C4D93"/>
    <w:rsid w:val="002E20FC"/>
    <w:rsid w:val="002F2D72"/>
    <w:rsid w:val="002F7143"/>
    <w:rsid w:val="00327B2F"/>
    <w:rsid w:val="00332D38"/>
    <w:rsid w:val="0038082A"/>
    <w:rsid w:val="00380B97"/>
    <w:rsid w:val="00381966"/>
    <w:rsid w:val="00391FAE"/>
    <w:rsid w:val="003C6253"/>
    <w:rsid w:val="004877A2"/>
    <w:rsid w:val="004B1F0D"/>
    <w:rsid w:val="004F01D2"/>
    <w:rsid w:val="00563F36"/>
    <w:rsid w:val="00574021"/>
    <w:rsid w:val="005A1866"/>
    <w:rsid w:val="005F21E4"/>
    <w:rsid w:val="005F2D59"/>
    <w:rsid w:val="006102F2"/>
    <w:rsid w:val="00621245"/>
    <w:rsid w:val="00673198"/>
    <w:rsid w:val="006777C6"/>
    <w:rsid w:val="00680381"/>
    <w:rsid w:val="006A4B5C"/>
    <w:rsid w:val="006B79DF"/>
    <w:rsid w:val="007163CC"/>
    <w:rsid w:val="00731799"/>
    <w:rsid w:val="007346E3"/>
    <w:rsid w:val="00744D8E"/>
    <w:rsid w:val="00761D6F"/>
    <w:rsid w:val="00765520"/>
    <w:rsid w:val="00772D5A"/>
    <w:rsid w:val="00792F48"/>
    <w:rsid w:val="007A0AC7"/>
    <w:rsid w:val="007A0F89"/>
    <w:rsid w:val="007B4985"/>
    <w:rsid w:val="007D3FAB"/>
    <w:rsid w:val="007E0F42"/>
    <w:rsid w:val="007E3C7D"/>
    <w:rsid w:val="007E405B"/>
    <w:rsid w:val="00834D2B"/>
    <w:rsid w:val="00852ADC"/>
    <w:rsid w:val="008E3702"/>
    <w:rsid w:val="00910259"/>
    <w:rsid w:val="00981784"/>
    <w:rsid w:val="009C395E"/>
    <w:rsid w:val="009E4066"/>
    <w:rsid w:val="009E6500"/>
    <w:rsid w:val="00A0141F"/>
    <w:rsid w:val="00A2525B"/>
    <w:rsid w:val="00A312EA"/>
    <w:rsid w:val="00A8060D"/>
    <w:rsid w:val="00A92D63"/>
    <w:rsid w:val="00A93553"/>
    <w:rsid w:val="00AE5FDB"/>
    <w:rsid w:val="00AF6264"/>
    <w:rsid w:val="00B14FD6"/>
    <w:rsid w:val="00B30EF5"/>
    <w:rsid w:val="00B3640F"/>
    <w:rsid w:val="00B44598"/>
    <w:rsid w:val="00B466F7"/>
    <w:rsid w:val="00B749AE"/>
    <w:rsid w:val="00BA6A9F"/>
    <w:rsid w:val="00BF0AA6"/>
    <w:rsid w:val="00C03572"/>
    <w:rsid w:val="00C172A7"/>
    <w:rsid w:val="00C20355"/>
    <w:rsid w:val="00C35A04"/>
    <w:rsid w:val="00C44889"/>
    <w:rsid w:val="00C92759"/>
    <w:rsid w:val="00C97353"/>
    <w:rsid w:val="00CA658D"/>
    <w:rsid w:val="00CC15FA"/>
    <w:rsid w:val="00CC17AA"/>
    <w:rsid w:val="00CD136B"/>
    <w:rsid w:val="00D140FC"/>
    <w:rsid w:val="00D46EDA"/>
    <w:rsid w:val="00D47B22"/>
    <w:rsid w:val="00D80DA9"/>
    <w:rsid w:val="00DC7326"/>
    <w:rsid w:val="00DD413C"/>
    <w:rsid w:val="00E009B8"/>
    <w:rsid w:val="00E276C8"/>
    <w:rsid w:val="00E55594"/>
    <w:rsid w:val="00EB2D3A"/>
    <w:rsid w:val="00ED325E"/>
    <w:rsid w:val="00F4782D"/>
    <w:rsid w:val="00F54CC6"/>
    <w:rsid w:val="00F76797"/>
    <w:rsid w:val="00F76BC8"/>
    <w:rsid w:val="00FA1B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43F42D-192D-4C96-A691-ED1007E48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B2D3A"/>
    <w:pPr>
      <w:ind w:left="720"/>
      <w:contextualSpacing/>
    </w:pPr>
  </w:style>
  <w:style w:type="paragraph" w:styleId="FootnoteText">
    <w:name w:val="footnote text"/>
    <w:basedOn w:val="Normal"/>
    <w:link w:val="FootnoteTextChar"/>
    <w:uiPriority w:val="99"/>
    <w:semiHidden/>
    <w:unhideWhenUsed/>
    <w:rsid w:val="000F4D0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F4D00"/>
    <w:rPr>
      <w:sz w:val="20"/>
      <w:szCs w:val="20"/>
    </w:rPr>
  </w:style>
  <w:style w:type="character" w:styleId="FootnoteReference">
    <w:name w:val="footnote reference"/>
    <w:basedOn w:val="DefaultParagraphFont"/>
    <w:uiPriority w:val="99"/>
    <w:semiHidden/>
    <w:unhideWhenUsed/>
    <w:rsid w:val="000F4D00"/>
    <w:rPr>
      <w:vertAlign w:val="superscript"/>
    </w:rPr>
  </w:style>
  <w:style w:type="character" w:styleId="Hyperlink">
    <w:name w:val="Hyperlink"/>
    <w:basedOn w:val="DefaultParagraphFont"/>
    <w:uiPriority w:val="99"/>
    <w:unhideWhenUsed/>
    <w:rsid w:val="00772D5A"/>
    <w:rPr>
      <w:color w:val="0563C1" w:themeColor="hyperlink"/>
      <w:u w:val="single"/>
    </w:rPr>
  </w:style>
  <w:style w:type="character" w:styleId="FollowedHyperlink">
    <w:name w:val="FollowedHyperlink"/>
    <w:basedOn w:val="DefaultParagraphFont"/>
    <w:uiPriority w:val="99"/>
    <w:semiHidden/>
    <w:unhideWhenUsed/>
    <w:rsid w:val="00ED32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theoi.com/Gallery/K7.8.html" TargetMode="External"/><Relationship Id="rId13" Type="http://schemas.openxmlformats.org/officeDocument/2006/relationships/hyperlink" Target="https://greekgodsandgoddesses.net/gods/hephaestus/" TargetMode="External"/><Relationship Id="rId3" Type="http://schemas.openxmlformats.org/officeDocument/2006/relationships/settings" Target="settings.xml"/><Relationship Id="rId7" Type="http://schemas.openxmlformats.org/officeDocument/2006/relationships/hyperlink" Target="https://muse.jhu.edu/article/589385/pdf" TargetMode="External"/><Relationship Id="rId12" Type="http://schemas.openxmlformats.org/officeDocument/2006/relationships/hyperlink" Target="http://www.theoi.com/Olympios/HephaistosMyth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heoi.com/Gallery/M12.2.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theoi.com/Gallery/K7.8.html" TargetMode="External"/><Relationship Id="rId4" Type="http://schemas.openxmlformats.org/officeDocument/2006/relationships/webSettings" Target="webSettings.xml"/><Relationship Id="rId9" Type="http://schemas.openxmlformats.org/officeDocument/2006/relationships/hyperlink" Target="http://www.britishmuseum.org/research/collection_online/collection_object_details.aspx?objectId=399372&amp;partId=1&amp;searchText=vase+exekias&amp;page=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2805</TotalTime>
  <Pages>4</Pages>
  <Words>1687</Words>
  <Characters>9622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dc:creator>
  <cp:keywords/>
  <dc:description/>
  <cp:lastModifiedBy>Angharad</cp:lastModifiedBy>
  <cp:revision>75</cp:revision>
  <dcterms:created xsi:type="dcterms:W3CDTF">2017-10-26T22:45:00Z</dcterms:created>
  <dcterms:modified xsi:type="dcterms:W3CDTF">2017-11-21T13:27:00Z</dcterms:modified>
</cp:coreProperties>
</file>