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CF091" w14:textId="117372A6"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Section 1</w:t>
      </w:r>
    </w:p>
    <w:p w14:paraId="4FC5E4F6"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This assignment aims to critically evaluate the significance of inclusive leadership within Early Years settings drawing upon barriers and opportunities that challenge the role of an inclusive leader and the effects this may have on children, families, practitioners, and the wider community. </w:t>
      </w:r>
    </w:p>
    <w:p w14:paraId="33811342"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Inclusive leadership, as stated by Childhood Education International (2021), is the commitment to equality and equity for all children within educational settings. This is agreed with by </w:t>
      </w:r>
      <w:proofErr w:type="spellStart"/>
      <w:r w:rsidRPr="00B13606">
        <w:rPr>
          <w:rFonts w:ascii="Arial" w:eastAsia="Calibri" w:hAnsi="Arial" w:cs="Arial"/>
          <w:color w:val="000000"/>
          <w:sz w:val="24"/>
          <w:szCs w:val="24"/>
        </w:rPr>
        <w:t>Bortini</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(2016), who note that an inclusive leadership method acknowledges and appreciates diversity through comprehending and embracing all individual needs. Similarly, Ferdman (2014) states that inclusion is essential to the successful outcomes of diverse groups. Correspondingly, Nutbrown (2011) suggests that within early years settings, inclusion is significant in ensuring that all individuals feel a sense of belonging. Additionally, to establish inclusion within early years settings, inclusive leaders must act as role models, valuing the dignity and needs of individuals by </w:t>
      </w:r>
      <w:proofErr w:type="gramStart"/>
      <w:r w:rsidRPr="00B13606">
        <w:rPr>
          <w:rFonts w:ascii="Arial" w:eastAsia="Calibri" w:hAnsi="Arial" w:cs="Arial"/>
          <w:color w:val="000000"/>
          <w:sz w:val="24"/>
          <w:szCs w:val="24"/>
        </w:rPr>
        <w:t>acting accordingly;</w:t>
      </w:r>
      <w:proofErr w:type="gramEnd"/>
      <w:r w:rsidRPr="00B13606">
        <w:rPr>
          <w:rFonts w:ascii="Arial" w:eastAsia="Calibri" w:hAnsi="Arial" w:cs="Arial"/>
          <w:color w:val="000000"/>
          <w:sz w:val="24"/>
          <w:szCs w:val="24"/>
        </w:rPr>
        <w:t xml:space="preserve"> positively influencing all involved to follow similar inclusive environments, and preventing the risk of exclusion and marginalisation by welcoming all individual contributions (</w:t>
      </w:r>
      <w:proofErr w:type="spellStart"/>
      <w:r w:rsidRPr="00B13606">
        <w:rPr>
          <w:rFonts w:ascii="Arial" w:eastAsia="Calibri" w:hAnsi="Arial" w:cs="Arial"/>
          <w:color w:val="000000"/>
          <w:sz w:val="24"/>
          <w:szCs w:val="24"/>
        </w:rPr>
        <w:t>Bortini</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2016; Childhood Education International, 2021). Similarly, behaviours, understanding, and attitude of practitioners allow for the success of inclusive practice within settings, therefore practitioners must have an awareness of their own identities and inclusion in order to have awareness of others (Ferdman, 2014). Additionally, inclusive leadership is a consistent approach in order to achieve a shared goal between all individuals, therefore in order to efficiently implement inclusivity within settings, inclusive leaders must comprehend the significance of diversity and possess accurate skills and knowledge (Booysen, 2014; Ferdman, 2014; Ferdman, Prime and Riggio, 2020). </w:t>
      </w:r>
    </w:p>
    <w:p w14:paraId="79CC8D23"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The scenario discussed relates to a 6 six-year-old boy named Tom. Tom lives with his father who has parental responsibility. The father has overcome addiction and has been assessed as able to care for Tom alone. Tom is doing well in school however does not mix very well with other children. Tom is shy and likes to play on his own. Tom’s father also seems shy. He does not engage with other parents at the school collection point and is not invited to do so. He also does not attend parent’s evenings and avoids communicating with teachers. </w:t>
      </w:r>
    </w:p>
    <w:p w14:paraId="374F6077"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Due to the father’s past of substance misuse, a range of multi-agency workers will be involved in order to support Tom’s wellbeing and the fathers’ recovery and parenting (NSPCC, 2019). This collaboration of social workers and substance misuse workers has enabled positive outcomes for Tom and his father as in the scenario the father has overcome addiction and proven capable of caring for his child (</w:t>
      </w:r>
      <w:proofErr w:type="spellStart"/>
      <w:r w:rsidRPr="00B13606">
        <w:rPr>
          <w:rFonts w:ascii="Arial" w:eastAsia="Calibri" w:hAnsi="Arial" w:cs="Arial"/>
          <w:color w:val="000000"/>
          <w:sz w:val="24"/>
          <w:szCs w:val="24"/>
        </w:rPr>
        <w:t>Hafford-Letchfield</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2014). Additionally, The United Nations Convention on the Rights of the Child (UNICEF, No Date), states that children must not be separated from their parents unless it is in their best interests, therefore, on account of the father’s rehabilitation, Tom is able to stay with his father. However, the father avoids conversing with practitioners and does not attend the parent’s evening. According to Mullins (2021) and Greiger (2016) avoidance of conversation could be due to the father feeling shame and personal stigma of multi-agency involvement, thus preventing opportunities for discussion about the situation. Similarly, Gibson (2015) suggests that the involvement of social workers could cause the father to feel as though they are judged and considered an inadequate parent. Correspondingly, Ferdman, Prime, and Riggio (2021) notes that there is </w:t>
      </w:r>
      <w:proofErr w:type="gramStart"/>
      <w:r w:rsidRPr="00B13606">
        <w:rPr>
          <w:rFonts w:ascii="Arial" w:eastAsia="Calibri" w:hAnsi="Arial" w:cs="Arial"/>
          <w:color w:val="000000"/>
          <w:sz w:val="24"/>
          <w:szCs w:val="24"/>
        </w:rPr>
        <w:t>a general consensus</w:t>
      </w:r>
      <w:proofErr w:type="gramEnd"/>
      <w:r w:rsidRPr="00B13606">
        <w:rPr>
          <w:rFonts w:ascii="Arial" w:eastAsia="Calibri" w:hAnsi="Arial" w:cs="Arial"/>
          <w:color w:val="000000"/>
          <w:sz w:val="24"/>
          <w:szCs w:val="24"/>
        </w:rPr>
        <w:t xml:space="preserve"> that the way in which people choose to live their lives allows for the equity received in which people get what they deserve. Therefore, the father may avoid conversations as he feels as though he does not deserve to be spoken to and treated as an equal to the other parents due to his past lifestyle choices.</w:t>
      </w:r>
    </w:p>
    <w:p w14:paraId="7B348CAB"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the father may be concerned about power dynamics in an untrusting relationship with the social worker. As stated by Ferguson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(2021), most parental involvement with social workers is involuntary and the power which social workers hold to intervene in order to keep children safe could cause concern to the father that he may act or say something unsuitable, thus leading to further action from the social worker. Similarly, many parents perceive social workers as having power over them as opposed to supporting them, therefore feeling powerless, helpless, and without a voice in decision making, thus preventing them from communicating with other support systems such as schools (Ward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2014) However, as stated by Welsh Government (2019) in order to ensure families at the ‘edge of care’ stay together and to help prevent future adverse childhood experiences for children, services and parents must work together to support and listen to families. This is agreed with by Ferdman, Prime, and </w:t>
      </w:r>
      <w:r w:rsidRPr="00B13606">
        <w:rPr>
          <w:rFonts w:ascii="Arial" w:eastAsia="Calibri" w:hAnsi="Arial" w:cs="Arial"/>
          <w:color w:val="000000"/>
          <w:sz w:val="24"/>
          <w:szCs w:val="24"/>
        </w:rPr>
        <w:lastRenderedPageBreak/>
        <w:t xml:space="preserve">Riggio (2021) who notes that services should create a sense of safety and allow individuals to have a voice, thus enabling inclusion. </w:t>
      </w:r>
    </w:p>
    <w:p w14:paraId="2A057B5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Similarly, Social Care Wales (2020) states that services and practitioners must understand that most parents desire the best for their children and must be trusted. However, according to Cottle and Alexander (2014), practitioners can be judgmental of parents labelling them as problem families due to parents’ lifestyles or lower socio-economic status. Similarly, judgement can be made that parents are irresponsible and inadequate if they do not wish to communicate with practitioners (Epstein, 2018). However, as stated by Ozturk (2011), communication between parents and practitioners is necessary and enables knowledge and information to be collected about the child, thus enabling appropriate support for the child. Similarly, Welsh Government (2017) states that engagement with parents provides a view of the whole child, thus allowing practitioners to decipher the child’s current stage of development, therefore communication is essential </w:t>
      </w:r>
      <w:proofErr w:type="gramStart"/>
      <w:r w:rsidRPr="00B13606">
        <w:rPr>
          <w:rFonts w:ascii="Arial" w:eastAsia="Calibri" w:hAnsi="Arial" w:cs="Arial"/>
          <w:color w:val="000000"/>
          <w:sz w:val="24"/>
          <w:szCs w:val="24"/>
        </w:rPr>
        <w:t>in order for</w:t>
      </w:r>
      <w:proofErr w:type="gramEnd"/>
      <w:r w:rsidRPr="00B13606">
        <w:rPr>
          <w:rFonts w:ascii="Arial" w:eastAsia="Calibri" w:hAnsi="Arial" w:cs="Arial"/>
          <w:color w:val="000000"/>
          <w:sz w:val="24"/>
          <w:szCs w:val="24"/>
        </w:rPr>
        <w:t xml:space="preserve"> children to receive suitable support and experiences within school. </w:t>
      </w:r>
    </w:p>
    <w:p w14:paraId="2F59EFA8"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according to Cheung and Kam (2019), some practitioners lack confidence when needing to communicate with parents. Similarly, studies suggests that practitioners do not have the suitable skills in order to collaborate and converse with parents, particularly when from different backgrounds in which judgements on the family may be made; therefore, in order to successfully engage and include parents, practitioners must receive appropriate parental engagement training and participate in continuous professional development (Education Scotland, 2019; Department for Education, 2010). Additionally, receiving training will support practitioners to provide inclusive practice as they develop the knowledge and awareness of others to prevent exclusion (Booysen, 2014; Ferdman, 2014; </w:t>
      </w:r>
      <w:proofErr w:type="spellStart"/>
      <w:r w:rsidRPr="00B13606">
        <w:rPr>
          <w:rFonts w:ascii="Arial" w:eastAsia="Calibri" w:hAnsi="Arial" w:cs="Arial"/>
          <w:color w:val="000000"/>
          <w:sz w:val="24"/>
          <w:szCs w:val="24"/>
        </w:rPr>
        <w:t>Bortini</w:t>
      </w:r>
      <w:proofErr w:type="spellEnd"/>
      <w:r w:rsidRPr="00B13606">
        <w:rPr>
          <w:rFonts w:ascii="Arial" w:eastAsia="Calibri" w:hAnsi="Arial" w:cs="Arial"/>
          <w:color w:val="000000"/>
          <w:sz w:val="24"/>
          <w:szCs w:val="24"/>
        </w:rPr>
        <w:t xml:space="preserve">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2016; Ferdman, Prime and Riggio, 2020).</w:t>
      </w:r>
    </w:p>
    <w:p w14:paraId="284BD035"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This is agreed with be Epstein (2018) notes that mutual respect is required by parents and practitioners in order to provide appropriate support for all involved in schools. Additionally, Estyn (2020) suggests that through practitioner training, mutual respect will be developed thus removing barriers and enabling consistency in communication between parents and staff to provide cooperative support. </w:t>
      </w:r>
    </w:p>
    <w:p w14:paraId="7F7F425D"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Furthermore, overcoming addiction is a lengthy process and parents must sustain change, however, inadequate support, negative emotions, and the belief that they are not considered a ‘normal’ part of society may contribute to relapse, prohibit inclusion and affect the child’s wellbeing, therefore practitioner training to engage in inclusion and parental engagement, also social worker’s ability to listen to parents with supportive power may enhance the opportunities for the father to collaborate with the school, prevent relapse and be provided with a sense of belongingness (Ferdman, 2014; Ward, Brown and Hyde-Dryden, 2014; Education Scotland, 2019).</w:t>
      </w:r>
    </w:p>
    <w:p w14:paraId="5021E411"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Within the scenario, other parents do not engage or invite the father into a conversation. This could be due to intersectional stigma as the father is a single parent, of low socioeconomic status, and a recovering addict. This is agreed with by </w:t>
      </w:r>
      <w:proofErr w:type="spellStart"/>
      <w:r w:rsidRPr="00B13606">
        <w:rPr>
          <w:rFonts w:ascii="Arial" w:eastAsia="Calibri" w:hAnsi="Arial" w:cs="Arial"/>
          <w:color w:val="000000"/>
          <w:sz w:val="24"/>
          <w:szCs w:val="24"/>
        </w:rPr>
        <w:t>Bradsley</w:t>
      </w:r>
      <w:proofErr w:type="spellEnd"/>
      <w:r w:rsidRPr="00B13606">
        <w:rPr>
          <w:rFonts w:ascii="Arial" w:eastAsia="Calibri" w:hAnsi="Arial" w:cs="Arial"/>
          <w:color w:val="000000"/>
          <w:sz w:val="24"/>
          <w:szCs w:val="24"/>
        </w:rPr>
        <w:t xml:space="preserve"> (2013) who notes that stereotyping and stigmatisation are common for single parents which can often lead to low self-esteem and difficulty seeking help. Similarly, according to Berger and Langton (2011), there is a belief that young, disadvantaged fathers are less likely to have financial security in order to provide for their children and do not devote themselves to their child’s well-being, thus influencing negative opinions by parents at the school. This is agreed with by Weed and Nicholson (2015) who suggest that young fathers have been portrayed as violent and criminal in comparison to young mothers who are portrayed as vulnerable and alone, thus leading to the social exclusion of fathers. Correspondingly, Fletcher (2019) notes that school collection points are female-dominated in which male figures are considered suspicious thus allowing fathers to feel isolated and prohibiting a sense of belongingness within the environment. </w:t>
      </w:r>
    </w:p>
    <w:p w14:paraId="3F374ACD"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Greiger (2016) notes that studies suggest devaluating views and opinions are placed upon benefit claimants of low-socioeconomic status particularly if they are considered as undeserving of claiming. Therefore, the father in the scenario may be judged as a freeloader and undeserving of equity due to past addictions (Ferdman, Prime, and Riggio, 2021). Additionally, Park and Park (2014) suggest that negative stigma affects the whole family resulting in emotional and social distress, therefore, this could be a reason why Tom is shy in school and does not mix very well with other children. </w:t>
      </w:r>
    </w:p>
    <w:p w14:paraId="473D6028"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 xml:space="preserve">This is supported by Weale (2019) who suggests that children from low-socioeconomic families are more likely to experience social exclusion and feel shame and embarrassment. This is agreed with by Siva (2020) who notes that children are less likely to be included in social activities and do not have the same belongings as other children in school due to lack of money, furthermore, instigating victimisation and shame in school. Additionally, the wellbeing of children is typically determined by factors such as household income and those raised in low-income homes are more likely to experience negative health and wellbeing with a significant impact on happiness and life satisfaction (Institute of Public Health in Ireland and the Centre for Effective Services, 2016; Action for Children, No Date). Additionally, children raised in low-income homes may experience loneliness and poor sleep due to the inability to join in with other children and life worries in which interventions must be offered to support children (Siva, 2020). This is agreed with by Welsh Government (2016) who states that health and wellbeing are imperative during the early years of life, therefore, the environment, setting, and influential attributes in which a child is raised in should be considered in order to determine additional support and encourage positive future outcomes. Correspondingly, children raised in low-socioeconomic homes that experience social exclusion are less likely to reach their full potential in the future and are at a higher risk of unemployment, low income, and social exclusion as adults (Eurostat Statistics Explained, 2020). </w:t>
      </w:r>
    </w:p>
    <w:p w14:paraId="189EB587"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Graham, Russo, and Defeyter (2015) state that there are beneficial qualities to children attending breakfast clubs in schools in which opportunities are provided to mix and form friendships across diverse groups and encourage children to overcome the barriers of social interaction. Additionally, children are provided with breakfast in order to enable a positive start to the day, therefore this could support Tom’s wellbeing and alleviate some stresses that may incur due to the low-income status of the father. Furthermore, practitioners should suggest and encourage the father to allow Tom to attend breakfast club within the school.</w:t>
      </w:r>
    </w:p>
    <w:p w14:paraId="1BA6AB1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Mentally Healthy Schools (No Date) states that relationships in children’s lives are significant to positive wellbeing and development, therefore practitioners must ensure that children are nurtured, supported, and provided with mutual respect in order to feel that they belong to the school community. This is supported by Allen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(2018) who suggest that schools offer children opportunities to feel belongingness by promoting </w:t>
      </w:r>
      <w:r w:rsidRPr="00B13606">
        <w:rPr>
          <w:rFonts w:ascii="Arial" w:eastAsia="Calibri" w:hAnsi="Arial" w:cs="Arial"/>
          <w:color w:val="000000"/>
          <w:sz w:val="24"/>
          <w:szCs w:val="24"/>
        </w:rPr>
        <w:lastRenderedPageBreak/>
        <w:t xml:space="preserve">an inclusive environment that will support children to build positive healthy relationships with other children and practitioners. Similarly, Collins (2014) notes of Bronfenbrenner’s belief in which the system of contributions and interactions in a child’s life, such as parents, practitioners, peers, and communities directly reflects on children’s wellbeing. This is supported by </w:t>
      </w:r>
      <w:proofErr w:type="spellStart"/>
      <w:r w:rsidRPr="00B13606">
        <w:rPr>
          <w:rFonts w:ascii="Arial" w:eastAsia="Calibri" w:hAnsi="Arial" w:cs="Arial"/>
          <w:color w:val="000000"/>
          <w:sz w:val="24"/>
          <w:szCs w:val="24"/>
        </w:rPr>
        <w:t>Gething</w:t>
      </w:r>
      <w:proofErr w:type="spellEnd"/>
      <w:r w:rsidRPr="00B13606">
        <w:rPr>
          <w:rFonts w:ascii="Arial" w:eastAsia="Calibri" w:hAnsi="Arial" w:cs="Arial"/>
          <w:color w:val="000000"/>
          <w:sz w:val="24"/>
          <w:szCs w:val="24"/>
        </w:rPr>
        <w:t xml:space="preserve"> and </w:t>
      </w:r>
      <w:proofErr w:type="spellStart"/>
      <w:r w:rsidRPr="00B13606">
        <w:rPr>
          <w:rFonts w:ascii="Arial" w:eastAsia="Calibri" w:hAnsi="Arial" w:cs="Arial"/>
          <w:color w:val="000000"/>
          <w:sz w:val="24"/>
          <w:szCs w:val="24"/>
        </w:rPr>
        <w:t>Irranca</w:t>
      </w:r>
      <w:proofErr w:type="spellEnd"/>
      <w:r w:rsidRPr="00B13606">
        <w:rPr>
          <w:rFonts w:ascii="Arial" w:eastAsia="Calibri" w:hAnsi="Arial" w:cs="Arial"/>
          <w:color w:val="000000"/>
          <w:sz w:val="24"/>
          <w:szCs w:val="24"/>
        </w:rPr>
        <w:t>-Davies (2019) who suggest that each person involved with children has the responsibility in providing support to ensure positive wellbeing, thus encouraging social inclusion.</w:t>
      </w:r>
    </w:p>
    <w:p w14:paraId="63FEBA9E"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w:t>
      </w:r>
      <w:proofErr w:type="gramStart"/>
      <w:r w:rsidRPr="00B13606">
        <w:rPr>
          <w:rFonts w:ascii="Arial" w:eastAsia="Calibri" w:hAnsi="Arial" w:cs="Arial"/>
          <w:color w:val="000000"/>
          <w:sz w:val="24"/>
          <w:szCs w:val="24"/>
        </w:rPr>
        <w:t>in order for</w:t>
      </w:r>
      <w:proofErr w:type="gramEnd"/>
      <w:r w:rsidRPr="00B13606">
        <w:rPr>
          <w:rFonts w:ascii="Arial" w:eastAsia="Calibri" w:hAnsi="Arial" w:cs="Arial"/>
          <w:color w:val="000000"/>
          <w:sz w:val="24"/>
          <w:szCs w:val="24"/>
        </w:rPr>
        <w:t xml:space="preserve"> practitioners to provide an inclusive environment and facilitate school belongingness and peer support, they must maintain an inclusive attitude and notice and address appropriate ways to structure relationships allowing children to fully connect thus encouraging the value of each individual (Riley, Coates and Allen, 2020; Ferdman, Prime and Riggio, 2021). Correspondingly, practitioners must be aware of school practices such as grouping by ability in which segregation of children prevents opportunities for cross-group friendships and interaction between all children (Juvonen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2019). Additionally, as children gravitate towards similar children and away from dissimilar children, opportunities should be made to educate on the importance of inclusion and provide activities for all children to take part in equally, thus encouraging the creation of friendships and inclusion for Tom (Juvonen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2019).</w:t>
      </w:r>
    </w:p>
    <w:p w14:paraId="3E4A25C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Additionally, Robinson (2019) discusses Bandura’s theory in which children are influenced and imitate the behaviour of those closest to them. Therefore, it is significant that practitioners have inclusive attitudes in order to influence the attitudes of children. However, children could imitate the behaviour of their parents, therefore Tom could be shy in school as he is imitating his father and the children in school could socially exclude Tom as they are imitating the behaviour of their parents at the school collection point. Therefore, practitioners must provide inclusive environments throughout the whole school in order to support the inclusion of Tom and his father.</w:t>
      </w:r>
    </w:p>
    <w:p w14:paraId="3D97153C"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Welham (2015) suggests that schools and practitioners could hold </w:t>
      </w:r>
      <w:proofErr w:type="gramStart"/>
      <w:r w:rsidRPr="00B13606">
        <w:rPr>
          <w:rFonts w:ascii="Arial" w:eastAsia="Calibri" w:hAnsi="Arial" w:cs="Arial"/>
          <w:color w:val="000000"/>
          <w:sz w:val="24"/>
          <w:szCs w:val="24"/>
        </w:rPr>
        <w:t>parents</w:t>
      </w:r>
      <w:proofErr w:type="gramEnd"/>
      <w:r w:rsidRPr="00B13606">
        <w:rPr>
          <w:rFonts w:ascii="Arial" w:eastAsia="Calibri" w:hAnsi="Arial" w:cs="Arial"/>
          <w:color w:val="000000"/>
          <w:sz w:val="24"/>
          <w:szCs w:val="24"/>
        </w:rPr>
        <w:t xml:space="preserve"> evenings or events in local areas where parents feel comfortable or involving the local community such as sports teams to encourage fathers to attend, therefore this could be a positive initiative to involve and include the father in the scenario. Correspondingly, other parents viewing the father communicating positively with the </w:t>
      </w:r>
      <w:r w:rsidRPr="00B13606">
        <w:rPr>
          <w:rFonts w:ascii="Arial" w:eastAsia="Calibri" w:hAnsi="Arial" w:cs="Arial"/>
          <w:color w:val="000000"/>
          <w:sz w:val="24"/>
          <w:szCs w:val="24"/>
        </w:rPr>
        <w:lastRenderedPageBreak/>
        <w:t>practitioners or attending events could encourage mixing and inclusion at the school collection point. This is supported by The Nemours Foundation (1995-2022) in which many schools rely on parents as resources and support bases for volunteer work within the school and should encourage parental involvement. Practitioners should encourage the father to participate within the school to demonstrate skills that may encourage other parents to cease social exclusion and instil new ways of behaving, interacting, and thinking thus becoming more inclusive (Ferdman, Prime, and Riggio, 2021). Similarly, many schools offer parenting skill classes to promote adult learning and advice from local parenting groups. Newport Academy (2019) suggests that parenting support groups allow parents to communicate with others in similar situations in non-judgmental environment, thus receiving support and a sense of belongingness. Additionally, joining groups for fathers provides a supportive atmosphere providing social interaction, opportunities to develop friendships, and gain support when parenting issues are raised and shared in understanding communities (Kilgore, 2019). Practitioners could ensure that parents are provided with the information needed about joining local groups. Furthermore, encouraging the father to participate in local groups and parenting skills classes within the school could enhance social inclusion and positive wellbeing for the father and Tom.</w:t>
      </w:r>
    </w:p>
    <w:p w14:paraId="68167A82"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In conclusion, there are many opportunities for practitioners to provide inclusive practice within the scenario. Practitioners </w:t>
      </w:r>
      <w:proofErr w:type="gramStart"/>
      <w:r w:rsidRPr="00B13606">
        <w:rPr>
          <w:rFonts w:ascii="Arial" w:eastAsia="Calibri" w:hAnsi="Arial" w:cs="Arial"/>
          <w:color w:val="000000"/>
          <w:sz w:val="24"/>
          <w:szCs w:val="24"/>
        </w:rPr>
        <w:t>have the opportunity to</w:t>
      </w:r>
      <w:proofErr w:type="gramEnd"/>
      <w:r w:rsidRPr="00B13606">
        <w:rPr>
          <w:rFonts w:ascii="Arial" w:eastAsia="Calibri" w:hAnsi="Arial" w:cs="Arial"/>
          <w:color w:val="000000"/>
          <w:sz w:val="24"/>
          <w:szCs w:val="24"/>
        </w:rPr>
        <w:t xml:space="preserve"> ensure that Tom and his father feel a sense of belongingness within the school and local community and do not experience social exclusion. However, </w:t>
      </w:r>
      <w:proofErr w:type="gramStart"/>
      <w:r w:rsidRPr="00B13606">
        <w:rPr>
          <w:rFonts w:ascii="Arial" w:eastAsia="Calibri" w:hAnsi="Arial" w:cs="Arial"/>
          <w:color w:val="000000"/>
          <w:sz w:val="24"/>
          <w:szCs w:val="24"/>
        </w:rPr>
        <w:t>in order for</w:t>
      </w:r>
      <w:proofErr w:type="gramEnd"/>
      <w:r w:rsidRPr="00B13606">
        <w:rPr>
          <w:rFonts w:ascii="Arial" w:eastAsia="Calibri" w:hAnsi="Arial" w:cs="Arial"/>
          <w:color w:val="000000"/>
          <w:sz w:val="24"/>
          <w:szCs w:val="24"/>
        </w:rPr>
        <w:t xml:space="preserve"> this to happen, practitioners must ensure that they have the skills and knowledge to provide inclusive leadership through continuous professional development. </w:t>
      </w:r>
    </w:p>
    <w:p w14:paraId="4166B3A7" w14:textId="77777777" w:rsidR="00B13606" w:rsidRPr="00B13606" w:rsidRDefault="00B13606" w:rsidP="00B13606">
      <w:pPr>
        <w:spacing w:line="360" w:lineRule="auto"/>
        <w:jc w:val="both"/>
        <w:rPr>
          <w:rFonts w:ascii="Arial" w:eastAsia="Calibri" w:hAnsi="Arial" w:cs="Arial"/>
          <w:color w:val="000000"/>
          <w:sz w:val="24"/>
          <w:szCs w:val="24"/>
        </w:rPr>
      </w:pPr>
    </w:p>
    <w:p w14:paraId="1C06F32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Section 2</w:t>
      </w:r>
    </w:p>
    <w:p w14:paraId="51A9C3D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As suggested by Pollack Porter, </w:t>
      </w:r>
      <w:proofErr w:type="spellStart"/>
      <w:r w:rsidRPr="00B13606">
        <w:rPr>
          <w:rFonts w:ascii="Arial" w:eastAsia="Calibri" w:hAnsi="Arial" w:cs="Arial"/>
          <w:color w:val="000000"/>
          <w:sz w:val="24"/>
          <w:szCs w:val="24"/>
        </w:rPr>
        <w:t>Rutkow</w:t>
      </w:r>
      <w:proofErr w:type="spellEnd"/>
      <w:r w:rsidRPr="00B13606">
        <w:rPr>
          <w:rFonts w:ascii="Arial" w:eastAsia="Calibri" w:hAnsi="Arial" w:cs="Arial"/>
          <w:color w:val="000000"/>
          <w:sz w:val="24"/>
          <w:szCs w:val="24"/>
        </w:rPr>
        <w:t xml:space="preserve">, and McGinty (2018), the term policy underlines guidance or strategies for a course of action. Similarly, Baldock, Fitzgerald, and Kay (2013) note that policy is an organisational attempt to logically decipher a method of achieving an objective. However, as stated by </w:t>
      </w:r>
      <w:proofErr w:type="spellStart"/>
      <w:r w:rsidRPr="00B13606">
        <w:rPr>
          <w:rFonts w:ascii="Arial" w:eastAsia="Calibri" w:hAnsi="Arial" w:cs="Arial"/>
          <w:color w:val="000000"/>
          <w:sz w:val="24"/>
          <w:szCs w:val="24"/>
        </w:rPr>
        <w:t>Viennet</w:t>
      </w:r>
      <w:proofErr w:type="spellEnd"/>
      <w:r w:rsidRPr="00B13606">
        <w:rPr>
          <w:rFonts w:ascii="Arial" w:eastAsia="Calibri" w:hAnsi="Arial" w:cs="Arial"/>
          <w:color w:val="000000"/>
          <w:sz w:val="24"/>
          <w:szCs w:val="24"/>
        </w:rPr>
        <w:t xml:space="preserve"> and Pont (2017), policymakers at macro levels do not comprehend or appreciate the complexity of policy implementation within educational settings. This is agreed with by Baldock, </w:t>
      </w:r>
      <w:r w:rsidRPr="00B13606">
        <w:rPr>
          <w:rFonts w:ascii="Arial" w:eastAsia="Calibri" w:hAnsi="Arial" w:cs="Arial"/>
          <w:color w:val="000000"/>
          <w:sz w:val="24"/>
          <w:szCs w:val="24"/>
        </w:rPr>
        <w:lastRenderedPageBreak/>
        <w:t>Fitzgerald, and Kay (2013) who suggest that once initiated by policymakers it is difficult to dispute against policies as they are pressed forward for completion. Policies are significant as they reflect values, facilitate action, and provide structure to comply with legal requirements within settings (Schools and Regional Services Department of Education and Training, 2021). Similarly, Hughes and Lewis (2020) note that curriculum making is predominantly governed by policymakers, after which practitioners in educational settings are expected to implement policy to practice efficiently. Furthermore, The New Curriculum for Wales policy aims to produce ethical, informed citizens, ready to learn throughout their lives (Welsh Government, 2020; Donaldson 2015), however, demands are being placed upon educational settings and practitioners to construct an inclusive curriculum suitable for their schools and the children that attend (Donaldson, 2015). Therefore, the purpose of this section is to critically evaluate whether professional guidance and policies of early years provisions, focusing on The New Curriculum for Wales, enables inclusive leadership to take place.</w:t>
      </w:r>
    </w:p>
    <w:p w14:paraId="78CB68FE"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As stated by Welsh Government (2021) the development of The New Curriculum for Wales should be at the core of all schools, practitioners, and the nation in order to improve educational standards and offer opportunities for all future learners in Wales. The design of the curriculum aims to recognise and celebrate the diverse cultures of society in an increasingly interconnected world, thus promoting equality, social cohesion, appreciation, and equality (Welsh Government, 2020). Therefore, a co-constructive approach has been appointed to the design of the New Curriculum for Wales, differing from the previous educational policies of a hierarchical approach (OECD, 2017). As suggested by Welsh Government (2020), schools and settings are required to co-construct a curriculum inclusive to their school, whilst working in conjunction with learners and their families and the wider community, which in turn, will enable teachers to have more influence in inclusive leadership and make a positive and meaningful change to the education received by the learners (Harris, Jones, and Crick, 2020; Welsh Government, 2020). Therefore, this will enable staff to provide inclusive education for individual children and their needs, thus promoting confidence in their identities (Welsh Government, 2021).</w:t>
      </w:r>
    </w:p>
    <w:p w14:paraId="2E87E092"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Additionally, in order to support this vision, Welsh Government (2020) states that every teacher will be supported and feel enabled to construct curricula that exhibits attention </w:t>
      </w:r>
      <w:r w:rsidRPr="00B13606">
        <w:rPr>
          <w:rFonts w:ascii="Arial" w:eastAsia="Calibri" w:hAnsi="Arial" w:cs="Arial"/>
          <w:color w:val="000000"/>
          <w:sz w:val="24"/>
          <w:szCs w:val="24"/>
        </w:rPr>
        <w:lastRenderedPageBreak/>
        <w:t>to the diverse contributions of all groups and individuals. This is agreed with in the Professional standards for teaching and leadership (Welsh Government, No Date) in which the teacher exercises leadership and encompasses personal and professional responsibilities in order to convey coherence and a collaborative commitment to achieving the vision for pedagogy.</w:t>
      </w:r>
    </w:p>
    <w:p w14:paraId="2DBF041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as stated in the Education in Wales: Our national mission guidance (Welsh Government, 2020), educational success requires co-construction with all individuals being valued and the different experiences and expertise appreciated. Similarly, as suggested by OECD (2017) the intentions of the New Curriculum for Wales must translate into practice by utilising a whole school-focused approach in preference of a policy-driven strategy, therefore, using leadership as the driver for the successful implementation of the curriculum. This is agreed with by Woods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(2021) who suggest that for the New Curriculum in Wales policy to be implemented efficiently, the development of value-driven, strong, visionary leaders is required. </w:t>
      </w:r>
    </w:p>
    <w:p w14:paraId="140D22BA"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However, with the recommendation of successful curriculum and inclusion policies to be implemented by all staff (Welsh Government, 2020), there is a lack of statuary inclusion within the Professional Standards for Teaching (Welsh Government, 2020) to support the professional development of staff at all career stages. Consequently, excluding a category of practitioners, including those aspiring for inclusive leadership roles from gaining knowledge to further their professional development could potentially obstruct the successful implementation of the curriculum and inclusivity for all learners. </w:t>
      </w:r>
    </w:p>
    <w:p w14:paraId="56FA05C5"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Correspondingly, Wilson, </w:t>
      </w:r>
      <w:proofErr w:type="spellStart"/>
      <w:r w:rsidRPr="00B13606">
        <w:rPr>
          <w:rFonts w:ascii="Arial" w:eastAsia="Calibri" w:hAnsi="Arial" w:cs="Arial"/>
          <w:color w:val="000000"/>
          <w:sz w:val="24"/>
          <w:szCs w:val="24"/>
        </w:rPr>
        <w:t>Woolfston</w:t>
      </w:r>
      <w:proofErr w:type="spellEnd"/>
      <w:r w:rsidRPr="00B13606">
        <w:rPr>
          <w:rFonts w:ascii="Arial" w:eastAsia="Calibri" w:hAnsi="Arial" w:cs="Arial"/>
          <w:color w:val="000000"/>
          <w:sz w:val="24"/>
          <w:szCs w:val="24"/>
        </w:rPr>
        <w:t xml:space="preserve">, and Durkin (2019) suggest that the New Curriculum for Wales policy mandates inclusion, however, it is the leaders and educational staff who determine how successful it is. This is supported by </w:t>
      </w:r>
      <w:proofErr w:type="spellStart"/>
      <w:r w:rsidRPr="00B13606">
        <w:rPr>
          <w:rFonts w:ascii="Arial" w:eastAsia="Calibri" w:hAnsi="Arial" w:cs="Arial"/>
          <w:color w:val="000000"/>
          <w:sz w:val="24"/>
          <w:szCs w:val="24"/>
        </w:rPr>
        <w:t>Mngo</w:t>
      </w:r>
      <w:proofErr w:type="spellEnd"/>
      <w:r w:rsidRPr="00B13606">
        <w:rPr>
          <w:rFonts w:ascii="Arial" w:eastAsia="Calibri" w:hAnsi="Arial" w:cs="Arial"/>
          <w:color w:val="000000"/>
          <w:sz w:val="24"/>
          <w:szCs w:val="24"/>
        </w:rPr>
        <w:t xml:space="preserve"> and </w:t>
      </w:r>
      <w:proofErr w:type="spellStart"/>
      <w:r w:rsidRPr="00B13606">
        <w:rPr>
          <w:rFonts w:ascii="Arial" w:eastAsia="Calibri" w:hAnsi="Arial" w:cs="Arial"/>
          <w:color w:val="000000"/>
          <w:sz w:val="24"/>
          <w:szCs w:val="24"/>
        </w:rPr>
        <w:t>Mngo</w:t>
      </w:r>
      <w:proofErr w:type="spellEnd"/>
      <w:r w:rsidRPr="00B13606">
        <w:rPr>
          <w:rFonts w:ascii="Arial" w:eastAsia="Calibri" w:hAnsi="Arial" w:cs="Arial"/>
          <w:color w:val="000000"/>
          <w:sz w:val="24"/>
          <w:szCs w:val="24"/>
        </w:rPr>
        <w:t xml:space="preserve"> (2018) who note that the success of inclusive leadership depends on the knowledge, attitude, and beliefs of all staff and potential leaders. This is agreed with by Tindall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(2015) who state that teachers may lack the confidence, competence, or skills needed to become inclusive leaders, therefore designing a curriculum for individual schools may result in a less inclusive policy if the staff does not comprehend the importance of inclusion. Similarly, Woods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(2021), states that the New Curriculum for Wales policy requires a high level of trust that leaders and practitioners </w:t>
      </w:r>
      <w:r w:rsidRPr="00B13606">
        <w:rPr>
          <w:rFonts w:ascii="Arial" w:eastAsia="Calibri" w:hAnsi="Arial" w:cs="Arial"/>
          <w:color w:val="000000"/>
          <w:sz w:val="24"/>
          <w:szCs w:val="24"/>
        </w:rPr>
        <w:lastRenderedPageBreak/>
        <w:t xml:space="preserve">are knowledgeable and prepared to follow the practicalities and principles of change. However, proficiencies and comprehension of leaders and staff to design and administer the curriculum and conduct inclusive leadership correctly must be managed as incoherence between curriculum policy proposals and delivery within educational settings have been identified (Waters, 2016; Kingston, Siraj, and Neilsen-Hewett, 2019; Power, Newton, and Taylor, 2020). Therefore, with a significant need for a lead agency to promote the implementation and success of the new curriculum, efforts must be made for continuous knowledge and development to support potential inclusive leaders (OECD, 2017). Similarly, potential inclusive leaders are placed in a challenging position for professional autonomy if they are not provided with clear guidance and understanding of how to establish policy intentions and concepts (Pietarinen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2017). </w:t>
      </w:r>
    </w:p>
    <w:p w14:paraId="50BC4C5A" w14:textId="5A9058DE"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Furthermore, to conclude, </w:t>
      </w:r>
      <w:r w:rsidR="00211C1C">
        <w:rPr>
          <w:rFonts w:ascii="Arial" w:eastAsia="Calibri" w:hAnsi="Arial" w:cs="Arial"/>
          <w:color w:val="000000"/>
          <w:sz w:val="24"/>
          <w:szCs w:val="24"/>
        </w:rPr>
        <w:t>t</w:t>
      </w:r>
      <w:r w:rsidRPr="00B13606">
        <w:rPr>
          <w:rFonts w:ascii="Arial" w:eastAsia="Calibri" w:hAnsi="Arial" w:cs="Arial"/>
          <w:color w:val="000000"/>
          <w:sz w:val="24"/>
          <w:szCs w:val="24"/>
        </w:rPr>
        <w:t xml:space="preserve">he new curriculum for Wales offers opportunities for development and guidance for inclusive leadership to take place, however, offering all staff at different career stages the prospects of gaining knowledge and furthering their development of inclusive leadership would enable a more successful inclusive environment and understanding for learners and aspiring leaders. </w:t>
      </w:r>
    </w:p>
    <w:p w14:paraId="62CA0736" w14:textId="77777777" w:rsidR="00B13606" w:rsidRPr="00B13606" w:rsidRDefault="00B13606" w:rsidP="00B13606">
      <w:pPr>
        <w:spacing w:line="360" w:lineRule="auto"/>
        <w:jc w:val="both"/>
        <w:rPr>
          <w:rFonts w:ascii="Arial" w:eastAsia="Calibri" w:hAnsi="Arial" w:cs="Arial"/>
          <w:color w:val="000000"/>
          <w:sz w:val="24"/>
          <w:szCs w:val="24"/>
        </w:rPr>
      </w:pPr>
    </w:p>
    <w:p w14:paraId="7B839FBE"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Section 3</w:t>
      </w:r>
    </w:p>
    <w:p w14:paraId="03944944"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This blog aims to promote inclusive leadership when working with fathers of young children. The blog will highlight how fathers and father figures play a significant role in the development of their children and how practitioners can encourage engagement and involvement.</w:t>
      </w:r>
    </w:p>
    <w:p w14:paraId="6ACB785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As stated by </w:t>
      </w:r>
      <w:proofErr w:type="spellStart"/>
      <w:r w:rsidRPr="00B13606">
        <w:rPr>
          <w:rFonts w:ascii="Arial" w:eastAsia="Calibri" w:hAnsi="Arial" w:cs="Arial"/>
          <w:color w:val="000000"/>
          <w:sz w:val="24"/>
          <w:szCs w:val="24"/>
        </w:rPr>
        <w:t>Alemann</w:t>
      </w:r>
      <w:proofErr w:type="spellEnd"/>
      <w:r w:rsidRPr="00B13606">
        <w:rPr>
          <w:rFonts w:ascii="Arial" w:eastAsia="Calibri" w:hAnsi="Arial" w:cs="Arial"/>
          <w:color w:val="000000"/>
          <w:sz w:val="24"/>
          <w:szCs w:val="24"/>
        </w:rPr>
        <w:t xml:space="preserve">, Garg, and </w:t>
      </w:r>
      <w:proofErr w:type="spellStart"/>
      <w:r w:rsidRPr="00B13606">
        <w:rPr>
          <w:rFonts w:ascii="Arial" w:eastAsia="Calibri" w:hAnsi="Arial" w:cs="Arial"/>
          <w:color w:val="000000"/>
          <w:sz w:val="24"/>
          <w:szCs w:val="24"/>
        </w:rPr>
        <w:t>Vlahovicova</w:t>
      </w:r>
      <w:proofErr w:type="spellEnd"/>
      <w:r w:rsidRPr="00B13606">
        <w:rPr>
          <w:rFonts w:ascii="Arial" w:eastAsia="Calibri" w:hAnsi="Arial" w:cs="Arial"/>
          <w:color w:val="000000"/>
          <w:sz w:val="24"/>
          <w:szCs w:val="24"/>
        </w:rPr>
        <w:t xml:space="preserve"> (2020) historically, the role of main nurturer and caregiver of children is given to mothers. This is agreed with by Cabrera, Volling, and Barr (2018) who state that models of developmental influences are traditionally focused on mothers, however, are now outdated and do not represent the lives of most children in the current world.</w:t>
      </w:r>
    </w:p>
    <w:p w14:paraId="1AD38143"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Correspondingly, father involvement has a significant impact on the development and progress of their children with improved cognitive development, social skills, positive </w:t>
      </w:r>
      <w:r w:rsidRPr="00B13606">
        <w:rPr>
          <w:rFonts w:ascii="Arial" w:eastAsia="Calibri" w:hAnsi="Arial" w:cs="Arial"/>
          <w:color w:val="000000"/>
          <w:sz w:val="24"/>
          <w:szCs w:val="24"/>
        </w:rPr>
        <w:lastRenderedPageBreak/>
        <w:t xml:space="preserve">self-esteem, and academic outcomes (Bateson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2017; World Health Organisation, 2018).</w:t>
      </w:r>
    </w:p>
    <w:p w14:paraId="3F12A5E8"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This is agreed with by Allport et al (2018) who state that research results indicate that children in family structures with fathers that do not engage tend to have worse outcomes than those that do. Similarly, Balu, Lee, and Steimle (2018) state that there are barriers that provide challenges to fathers wishing to engage with their children such as difficulties co-parenting due to failed relationships or participating in school events due to work commitments or feeling uncomfortable. However, Bateson </w:t>
      </w:r>
      <w:r w:rsidRPr="00211C1C">
        <w:rPr>
          <w:rFonts w:ascii="Arial" w:eastAsia="Calibri" w:hAnsi="Arial" w:cs="Arial"/>
          <w:i/>
          <w:iCs/>
          <w:color w:val="000000"/>
          <w:sz w:val="24"/>
          <w:szCs w:val="24"/>
        </w:rPr>
        <w:t>et al.</w:t>
      </w:r>
      <w:r w:rsidRPr="00B13606">
        <w:rPr>
          <w:rFonts w:ascii="Arial" w:eastAsia="Calibri" w:hAnsi="Arial" w:cs="Arial"/>
          <w:color w:val="000000"/>
          <w:sz w:val="24"/>
          <w:szCs w:val="24"/>
        </w:rPr>
        <w:t xml:space="preserve"> (2017) note that fathers now spend more time with their children than in previous years, although many wish they could be more involved. This is agreed with by Martell (2015) who suggests that many fathers are now equal to mothers in parenting, however, still feel like the minority in child group settings. Subsequently, McGeary (2021) states that practitioners and settings have the power to provide inclusive activities and environments to prevent fathers from feeling excluded from their children’s care and their lives.</w:t>
      </w:r>
    </w:p>
    <w:p w14:paraId="49738275"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Consequently, </w:t>
      </w:r>
      <w:proofErr w:type="spellStart"/>
      <w:r w:rsidRPr="00B13606">
        <w:rPr>
          <w:rFonts w:ascii="Arial" w:eastAsia="Calibri" w:hAnsi="Arial" w:cs="Arial"/>
          <w:color w:val="000000"/>
          <w:sz w:val="24"/>
          <w:szCs w:val="24"/>
        </w:rPr>
        <w:t>Alemann</w:t>
      </w:r>
      <w:proofErr w:type="spellEnd"/>
      <w:r w:rsidRPr="00B13606">
        <w:rPr>
          <w:rFonts w:ascii="Arial" w:eastAsia="Calibri" w:hAnsi="Arial" w:cs="Arial"/>
          <w:color w:val="000000"/>
          <w:sz w:val="24"/>
          <w:szCs w:val="24"/>
        </w:rPr>
        <w:t xml:space="preserve">, Garg, and </w:t>
      </w:r>
      <w:proofErr w:type="spellStart"/>
      <w:r w:rsidRPr="00B13606">
        <w:rPr>
          <w:rFonts w:ascii="Arial" w:eastAsia="Calibri" w:hAnsi="Arial" w:cs="Arial"/>
          <w:color w:val="000000"/>
          <w:sz w:val="24"/>
          <w:szCs w:val="24"/>
        </w:rPr>
        <w:t>Vlahovicova</w:t>
      </w:r>
      <w:proofErr w:type="spellEnd"/>
      <w:r w:rsidRPr="00B13606">
        <w:rPr>
          <w:rFonts w:ascii="Arial" w:eastAsia="Calibri" w:hAnsi="Arial" w:cs="Arial"/>
          <w:color w:val="000000"/>
          <w:sz w:val="24"/>
          <w:szCs w:val="24"/>
        </w:rPr>
        <w:t xml:space="preserve"> (2020) suggest that parenting programs and policies interacting with families should promote equality between mother and father in order to support the involvement and beneficial qualities of father engagement. Therefore, practitioners could offer father groups in order to facilitate attendance and support engagement. This is supported by World Health Organisation (2018) which states that contributing to the improvement of child development is beneficial for all macro and micro levels, from governments to babies. </w:t>
      </w:r>
    </w:p>
    <w:p w14:paraId="6F609FC9"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Additionally, Glynn and Dale (2015) suggest that advertising and marketing of father groups should include a diverse range of fathers in order to provide an inclusive approach and should be available in areas where fathers will have access to it, therefore practitioners at school are ideal sources of advertisement and invitation. Practitioners could provide leaflets to parents at school collection times and encourage fathers to attend. Similarly, practitioners must have an inclusive attitude in order to appreciate diversity and provide information to all fathers (Booysen, 2014; Ferdman, 2014).</w:t>
      </w:r>
    </w:p>
    <w:p w14:paraId="68DEE7B0" w14:textId="77777777" w:rsidR="00B13606" w:rsidRPr="00B13606"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lastRenderedPageBreak/>
        <w:t>Additionally, Balu, Lee, and Steimle (2018) suggest that fathers should be encouraged to attend groups with their children, thus promoting engagement between father and child and encouraging the child’s social development.</w:t>
      </w:r>
    </w:p>
    <w:p w14:paraId="3CA6B322" w14:textId="4A6B4CF0" w:rsidR="00B6637E" w:rsidRPr="00411A5F" w:rsidRDefault="00B13606" w:rsidP="00B13606">
      <w:pPr>
        <w:spacing w:line="360" w:lineRule="auto"/>
        <w:jc w:val="both"/>
        <w:rPr>
          <w:rFonts w:ascii="Arial" w:eastAsia="Calibri" w:hAnsi="Arial" w:cs="Arial"/>
          <w:color w:val="000000"/>
          <w:sz w:val="24"/>
          <w:szCs w:val="24"/>
        </w:rPr>
      </w:pPr>
      <w:r w:rsidRPr="00B13606">
        <w:rPr>
          <w:rFonts w:ascii="Arial" w:eastAsia="Calibri" w:hAnsi="Arial" w:cs="Arial"/>
          <w:color w:val="000000"/>
          <w:sz w:val="24"/>
          <w:szCs w:val="24"/>
        </w:rPr>
        <w:t xml:space="preserve">Hayes (2020) notes that becoming a father can be stressful and produce feelings of loneliness if they are unable to receive support or communicate with others and make friendships. However, Dad’s Groups (2021) state that 93% of fathers attending parenting groups such as Dad’s Group claim they have improved social connections and friendships. Similarly, Kilgore (2017) suggests that parenting groups not only offer fathers the opportunity to befriend like-minded fathers but also offer the opportunity to socialise with the local community through organised events, thus supporting the wellbeing of father and child. Therefore, practitioners providing and encouraging fathers to join a parenting group can enable inclusion and belongingness. Furthermore, practitioners </w:t>
      </w:r>
      <w:proofErr w:type="gramStart"/>
      <w:r w:rsidRPr="00B13606">
        <w:rPr>
          <w:rFonts w:ascii="Arial" w:eastAsia="Calibri" w:hAnsi="Arial" w:cs="Arial"/>
          <w:color w:val="000000"/>
          <w:sz w:val="24"/>
          <w:szCs w:val="24"/>
        </w:rPr>
        <w:t>have the ability to</w:t>
      </w:r>
      <w:proofErr w:type="gramEnd"/>
      <w:r w:rsidRPr="00B13606">
        <w:rPr>
          <w:rFonts w:ascii="Arial" w:eastAsia="Calibri" w:hAnsi="Arial" w:cs="Arial"/>
          <w:color w:val="000000"/>
          <w:sz w:val="24"/>
          <w:szCs w:val="24"/>
        </w:rPr>
        <w:t xml:space="preserve"> connect with fathers, encourage them to be a part of their children’s lives, and appreciate the importance of their engagement with the setting and their children for development and bonding experiences.</w:t>
      </w:r>
    </w:p>
    <w:p w14:paraId="622B826A" w14:textId="0027EDAA" w:rsidR="00411A5F" w:rsidRDefault="00411A5F" w:rsidP="00643588">
      <w:pPr>
        <w:spacing w:line="360" w:lineRule="auto"/>
        <w:jc w:val="both"/>
        <w:rPr>
          <w:rFonts w:ascii="Arial" w:eastAsia="Calibri" w:hAnsi="Arial" w:cs="Arial"/>
          <w:color w:val="000000"/>
        </w:rPr>
      </w:pPr>
    </w:p>
    <w:p w14:paraId="16D5318E" w14:textId="0BDAE12B" w:rsidR="00411A5F" w:rsidRDefault="00411A5F" w:rsidP="00643588">
      <w:pPr>
        <w:spacing w:line="360" w:lineRule="auto"/>
        <w:jc w:val="both"/>
        <w:rPr>
          <w:rFonts w:ascii="Arial" w:eastAsia="Calibri" w:hAnsi="Arial" w:cs="Arial"/>
          <w:color w:val="000000"/>
        </w:rPr>
      </w:pPr>
    </w:p>
    <w:p w14:paraId="66FCE287" w14:textId="77777777" w:rsidR="00411A5F" w:rsidRDefault="00411A5F" w:rsidP="00643588">
      <w:pPr>
        <w:spacing w:line="360" w:lineRule="auto"/>
        <w:jc w:val="both"/>
        <w:rPr>
          <w:rFonts w:ascii="Arial" w:eastAsia="Calibri" w:hAnsi="Arial" w:cs="Arial"/>
          <w:color w:val="000000"/>
        </w:rPr>
      </w:pPr>
    </w:p>
    <w:p w14:paraId="57526CB3" w14:textId="2777ABA2" w:rsidR="00B6637E" w:rsidRDefault="00411A5F" w:rsidP="00643588">
      <w:pPr>
        <w:spacing w:line="360" w:lineRule="auto"/>
        <w:jc w:val="both"/>
        <w:rPr>
          <w:rFonts w:ascii="Arial" w:eastAsia="Calibri" w:hAnsi="Arial" w:cs="Arial"/>
          <w:color w:val="000000"/>
        </w:rPr>
      </w:pPr>
      <w:r>
        <w:rPr>
          <w:rFonts w:ascii="Arial" w:eastAsia="Calibri" w:hAnsi="Arial" w:cs="Arial"/>
          <w:color w:val="000000"/>
        </w:rPr>
        <w:t>Reference list</w:t>
      </w:r>
    </w:p>
    <w:p w14:paraId="259E9DB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Action for Children (No Date) </w:t>
      </w:r>
      <w:r w:rsidRPr="00411A5F">
        <w:rPr>
          <w:rFonts w:ascii="Arial" w:hAnsi="Arial" w:cs="Arial"/>
          <w:i/>
          <w:iCs/>
          <w:sz w:val="24"/>
          <w:szCs w:val="24"/>
        </w:rPr>
        <w:t>A guide to measuring children’s well-being.</w:t>
      </w:r>
      <w:r w:rsidRPr="00411A5F">
        <w:rPr>
          <w:rFonts w:ascii="Arial" w:hAnsi="Arial" w:cs="Arial"/>
          <w:sz w:val="24"/>
          <w:szCs w:val="24"/>
        </w:rPr>
        <w:t xml:space="preserve"> Available at: </w:t>
      </w:r>
      <w:hyperlink r:id="rId9" w:history="1">
        <w:r w:rsidRPr="00411A5F">
          <w:rPr>
            <w:rFonts w:ascii="Arial" w:hAnsi="Arial" w:cs="Arial"/>
            <w:color w:val="0563C1" w:themeColor="hyperlink"/>
            <w:sz w:val="24"/>
            <w:szCs w:val="24"/>
            <w:u w:val="single"/>
          </w:rPr>
          <w:t>https://b.3cdn.net/nefoundation/094c9bd92c79f7129f_w5m6i2zzh.pdf</w:t>
        </w:r>
      </w:hyperlink>
      <w:r w:rsidRPr="00411A5F">
        <w:rPr>
          <w:rFonts w:ascii="Arial" w:hAnsi="Arial" w:cs="Arial"/>
          <w:sz w:val="24"/>
          <w:szCs w:val="24"/>
        </w:rPr>
        <w:t xml:space="preserve"> (Accessed: 16</w:t>
      </w:r>
      <w:r w:rsidRPr="00411A5F">
        <w:rPr>
          <w:rFonts w:ascii="Arial" w:hAnsi="Arial" w:cs="Arial"/>
          <w:sz w:val="24"/>
          <w:szCs w:val="24"/>
          <w:vertAlign w:val="superscript"/>
        </w:rPr>
        <w:t xml:space="preserve"> </w:t>
      </w:r>
      <w:r w:rsidRPr="00411A5F">
        <w:rPr>
          <w:rFonts w:ascii="Arial" w:hAnsi="Arial" w:cs="Arial"/>
          <w:sz w:val="24"/>
          <w:szCs w:val="24"/>
        </w:rPr>
        <w:t>January 2022).</w:t>
      </w:r>
    </w:p>
    <w:p w14:paraId="51148E3B" w14:textId="77777777" w:rsidR="00411A5F" w:rsidRPr="00411A5F" w:rsidRDefault="00411A5F" w:rsidP="00411A5F">
      <w:pPr>
        <w:spacing w:line="360" w:lineRule="auto"/>
        <w:jc w:val="both"/>
        <w:rPr>
          <w:rFonts w:ascii="Arial" w:hAnsi="Arial" w:cs="Arial"/>
          <w:sz w:val="24"/>
          <w:szCs w:val="24"/>
        </w:rPr>
      </w:pPr>
    </w:p>
    <w:p w14:paraId="1CA13BBC"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Alemann</w:t>
      </w:r>
      <w:proofErr w:type="spellEnd"/>
      <w:r w:rsidRPr="00411A5F">
        <w:rPr>
          <w:rFonts w:ascii="Arial" w:hAnsi="Arial" w:cs="Arial"/>
          <w:sz w:val="24"/>
          <w:szCs w:val="24"/>
        </w:rPr>
        <w:t xml:space="preserve">, C., Garg, A. and </w:t>
      </w:r>
      <w:proofErr w:type="spellStart"/>
      <w:r w:rsidRPr="00411A5F">
        <w:rPr>
          <w:rFonts w:ascii="Arial" w:hAnsi="Arial" w:cs="Arial"/>
          <w:sz w:val="24"/>
          <w:szCs w:val="24"/>
        </w:rPr>
        <w:t>Vlahovicova</w:t>
      </w:r>
      <w:proofErr w:type="spellEnd"/>
      <w:r w:rsidRPr="00411A5F">
        <w:rPr>
          <w:rFonts w:ascii="Arial" w:hAnsi="Arial" w:cs="Arial"/>
          <w:sz w:val="24"/>
          <w:szCs w:val="24"/>
        </w:rPr>
        <w:t xml:space="preserve">, K. (2020) </w:t>
      </w:r>
      <w:r w:rsidRPr="00411A5F">
        <w:rPr>
          <w:rFonts w:ascii="Arial" w:hAnsi="Arial" w:cs="Arial"/>
          <w:i/>
          <w:iCs/>
          <w:sz w:val="24"/>
          <w:szCs w:val="24"/>
        </w:rPr>
        <w:t>The role of fathers in parenting for gender equality</w:t>
      </w:r>
      <w:r w:rsidRPr="00411A5F">
        <w:rPr>
          <w:rFonts w:ascii="Arial" w:hAnsi="Arial" w:cs="Arial"/>
          <w:sz w:val="24"/>
          <w:szCs w:val="24"/>
        </w:rPr>
        <w:t xml:space="preserve">. Available at: </w:t>
      </w:r>
      <w:hyperlink r:id="rId10" w:history="1">
        <w:r w:rsidRPr="00411A5F">
          <w:rPr>
            <w:rFonts w:ascii="Arial" w:hAnsi="Arial" w:cs="Arial"/>
            <w:color w:val="0563C1" w:themeColor="hyperlink"/>
            <w:sz w:val="24"/>
            <w:szCs w:val="24"/>
            <w:u w:val="single"/>
          </w:rPr>
          <w:t>https://promundoglobal.org/wp-content/uploads/2020/08/Parenting-Education_-the-role-of-fathers_-paper-060520-2-col.pdf</w:t>
        </w:r>
      </w:hyperlink>
      <w:r w:rsidRPr="00411A5F">
        <w:rPr>
          <w:rFonts w:ascii="Arial" w:hAnsi="Arial" w:cs="Arial"/>
          <w:sz w:val="24"/>
          <w:szCs w:val="24"/>
        </w:rPr>
        <w:t xml:space="preserve"> (Accessed: 17</w:t>
      </w:r>
      <w:r w:rsidRPr="00411A5F">
        <w:rPr>
          <w:rFonts w:ascii="Arial" w:hAnsi="Arial" w:cs="Arial"/>
          <w:sz w:val="24"/>
          <w:szCs w:val="24"/>
          <w:vertAlign w:val="superscript"/>
        </w:rPr>
        <w:t xml:space="preserve"> </w:t>
      </w:r>
      <w:r w:rsidRPr="00411A5F">
        <w:rPr>
          <w:rFonts w:ascii="Arial" w:hAnsi="Arial" w:cs="Arial"/>
          <w:sz w:val="24"/>
          <w:szCs w:val="24"/>
        </w:rPr>
        <w:t>January 2022).</w:t>
      </w:r>
    </w:p>
    <w:p w14:paraId="707D6E04" w14:textId="77777777" w:rsidR="00411A5F" w:rsidRPr="00411A5F" w:rsidRDefault="00411A5F" w:rsidP="00411A5F">
      <w:pPr>
        <w:spacing w:line="360" w:lineRule="auto"/>
        <w:jc w:val="both"/>
        <w:rPr>
          <w:rFonts w:ascii="Arial" w:hAnsi="Arial" w:cs="Arial"/>
          <w:sz w:val="24"/>
          <w:szCs w:val="24"/>
        </w:rPr>
      </w:pPr>
    </w:p>
    <w:p w14:paraId="16F27DA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Allen, K. </w:t>
      </w:r>
      <w:r w:rsidRPr="00411A5F">
        <w:rPr>
          <w:rFonts w:ascii="Arial" w:hAnsi="Arial" w:cs="Arial"/>
          <w:i/>
          <w:iCs/>
          <w:sz w:val="24"/>
          <w:szCs w:val="24"/>
        </w:rPr>
        <w:t>et al.</w:t>
      </w:r>
      <w:r w:rsidRPr="00411A5F">
        <w:rPr>
          <w:rFonts w:ascii="Arial" w:hAnsi="Arial" w:cs="Arial"/>
          <w:sz w:val="24"/>
          <w:szCs w:val="24"/>
        </w:rPr>
        <w:t xml:space="preserve"> (2018) ‘What schools need to know about fostering school belonging: A meta-analysis’, </w:t>
      </w:r>
      <w:r w:rsidRPr="00411A5F">
        <w:rPr>
          <w:rFonts w:ascii="Arial" w:hAnsi="Arial" w:cs="Arial"/>
          <w:i/>
          <w:iCs/>
          <w:sz w:val="24"/>
          <w:szCs w:val="24"/>
        </w:rPr>
        <w:t>Educational Psychology Review</w:t>
      </w:r>
      <w:r w:rsidRPr="00411A5F">
        <w:rPr>
          <w:rFonts w:ascii="Arial" w:hAnsi="Arial" w:cs="Arial"/>
          <w:sz w:val="24"/>
          <w:szCs w:val="24"/>
        </w:rPr>
        <w:t xml:space="preserve">, 30(1), pp.1-34. URL: </w:t>
      </w:r>
      <w:hyperlink r:id="rId11" w:history="1">
        <w:r w:rsidRPr="00411A5F">
          <w:rPr>
            <w:rFonts w:ascii="Arial" w:hAnsi="Arial" w:cs="Arial"/>
            <w:color w:val="0563C1" w:themeColor="hyperlink"/>
            <w:sz w:val="24"/>
            <w:szCs w:val="24"/>
            <w:u w:val="single"/>
          </w:rPr>
          <w:t>http://www.peggykern.org/uploads/5/6/6/7/56678211/allen_2018_-_what_schools_need_to_know_about_belonging_-_a_meta-analysis.pdf</w:t>
        </w:r>
      </w:hyperlink>
      <w:r w:rsidRPr="00411A5F">
        <w:rPr>
          <w:rFonts w:ascii="Arial" w:hAnsi="Arial" w:cs="Arial"/>
          <w:sz w:val="24"/>
          <w:szCs w:val="24"/>
        </w:rPr>
        <w:t xml:space="preserve"> (Accessed: 16</w:t>
      </w:r>
      <w:r w:rsidRPr="00411A5F">
        <w:rPr>
          <w:rFonts w:ascii="Arial" w:hAnsi="Arial" w:cs="Arial"/>
          <w:sz w:val="24"/>
          <w:szCs w:val="24"/>
          <w:vertAlign w:val="superscript"/>
        </w:rPr>
        <w:t xml:space="preserve"> </w:t>
      </w:r>
      <w:r w:rsidRPr="00411A5F">
        <w:rPr>
          <w:rFonts w:ascii="Arial" w:hAnsi="Arial" w:cs="Arial"/>
          <w:sz w:val="24"/>
          <w:szCs w:val="24"/>
        </w:rPr>
        <w:t>January 2022).</w:t>
      </w:r>
    </w:p>
    <w:p w14:paraId="6FCC10D0" w14:textId="77777777" w:rsidR="00411A5F" w:rsidRPr="00411A5F" w:rsidRDefault="00411A5F" w:rsidP="00411A5F">
      <w:pPr>
        <w:spacing w:line="360" w:lineRule="auto"/>
        <w:jc w:val="both"/>
        <w:rPr>
          <w:rFonts w:ascii="Arial" w:hAnsi="Arial" w:cs="Arial"/>
          <w:sz w:val="24"/>
          <w:szCs w:val="24"/>
        </w:rPr>
      </w:pPr>
    </w:p>
    <w:p w14:paraId="02ADF9E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Allport, B.S. </w:t>
      </w:r>
      <w:r w:rsidRPr="00411A5F">
        <w:rPr>
          <w:rFonts w:ascii="Arial" w:hAnsi="Arial" w:cs="Arial"/>
          <w:i/>
          <w:iCs/>
          <w:sz w:val="24"/>
          <w:szCs w:val="24"/>
        </w:rPr>
        <w:t>et al.</w:t>
      </w:r>
      <w:r w:rsidRPr="00411A5F">
        <w:rPr>
          <w:rFonts w:ascii="Arial" w:hAnsi="Arial" w:cs="Arial"/>
          <w:sz w:val="24"/>
          <w:szCs w:val="24"/>
        </w:rPr>
        <w:t xml:space="preserve"> (2018) ‘Promoting father involvement for child and family health’, </w:t>
      </w:r>
      <w:r w:rsidRPr="00411A5F">
        <w:rPr>
          <w:rFonts w:ascii="Arial" w:hAnsi="Arial" w:cs="Arial"/>
          <w:i/>
          <w:iCs/>
          <w:sz w:val="24"/>
          <w:szCs w:val="24"/>
        </w:rPr>
        <w:t xml:space="preserve">Academic </w:t>
      </w:r>
      <w:proofErr w:type="spellStart"/>
      <w:r w:rsidRPr="00411A5F">
        <w:rPr>
          <w:rFonts w:ascii="Arial" w:hAnsi="Arial" w:cs="Arial"/>
          <w:i/>
          <w:iCs/>
          <w:sz w:val="24"/>
          <w:szCs w:val="24"/>
        </w:rPr>
        <w:t>pediatrics</w:t>
      </w:r>
      <w:proofErr w:type="spellEnd"/>
      <w:r w:rsidRPr="00411A5F">
        <w:rPr>
          <w:rFonts w:ascii="Arial" w:hAnsi="Arial" w:cs="Arial"/>
          <w:sz w:val="24"/>
          <w:szCs w:val="24"/>
        </w:rPr>
        <w:t xml:space="preserve">, 18(7), pp.746-753. DOI: </w:t>
      </w:r>
      <w:hyperlink r:id="rId12" w:history="1">
        <w:r w:rsidRPr="00411A5F">
          <w:rPr>
            <w:rFonts w:ascii="Arial" w:hAnsi="Arial" w:cs="Arial"/>
            <w:color w:val="0563C1" w:themeColor="hyperlink"/>
            <w:sz w:val="24"/>
            <w:szCs w:val="24"/>
            <w:u w:val="single"/>
          </w:rPr>
          <w:t>https://doi.org/10.1016/j.acap.2018.03.011</w:t>
        </w:r>
      </w:hyperlink>
      <w:r w:rsidRPr="00411A5F">
        <w:rPr>
          <w:rFonts w:ascii="Arial" w:hAnsi="Arial" w:cs="Arial"/>
          <w:sz w:val="24"/>
          <w:szCs w:val="24"/>
        </w:rPr>
        <w:t xml:space="preserve"> (Accessed: 15</w:t>
      </w:r>
      <w:r w:rsidRPr="00411A5F">
        <w:rPr>
          <w:rFonts w:ascii="Arial" w:hAnsi="Arial" w:cs="Arial"/>
          <w:sz w:val="24"/>
          <w:szCs w:val="24"/>
          <w:vertAlign w:val="superscript"/>
        </w:rPr>
        <w:t xml:space="preserve"> </w:t>
      </w:r>
      <w:r w:rsidRPr="00411A5F">
        <w:rPr>
          <w:rFonts w:ascii="Arial" w:hAnsi="Arial" w:cs="Arial"/>
          <w:sz w:val="24"/>
          <w:szCs w:val="24"/>
        </w:rPr>
        <w:t xml:space="preserve">January 2022). </w:t>
      </w:r>
    </w:p>
    <w:p w14:paraId="67588342" w14:textId="77777777" w:rsidR="00411A5F" w:rsidRPr="00411A5F" w:rsidRDefault="00411A5F" w:rsidP="00411A5F">
      <w:pPr>
        <w:spacing w:line="360" w:lineRule="auto"/>
        <w:jc w:val="both"/>
        <w:rPr>
          <w:rFonts w:ascii="Arial" w:hAnsi="Arial" w:cs="Arial"/>
          <w:sz w:val="24"/>
          <w:szCs w:val="24"/>
        </w:rPr>
      </w:pPr>
    </w:p>
    <w:p w14:paraId="49B0563E" w14:textId="0E9D93DE" w:rsid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Baldock, Fitzgerald and Kay (2013) </w:t>
      </w:r>
      <w:r w:rsidRPr="00411A5F">
        <w:rPr>
          <w:rFonts w:ascii="Arial" w:hAnsi="Arial" w:cs="Arial"/>
          <w:i/>
          <w:iCs/>
          <w:sz w:val="24"/>
          <w:szCs w:val="24"/>
        </w:rPr>
        <w:t xml:space="preserve">Understanding Early Years Policy. </w:t>
      </w:r>
      <w:r w:rsidRPr="00411A5F">
        <w:rPr>
          <w:rFonts w:ascii="Arial" w:hAnsi="Arial" w:cs="Arial"/>
          <w:sz w:val="24"/>
          <w:szCs w:val="24"/>
        </w:rPr>
        <w:t>3</w:t>
      </w:r>
      <w:r w:rsidRPr="00411A5F">
        <w:rPr>
          <w:rFonts w:ascii="Arial" w:hAnsi="Arial" w:cs="Arial"/>
          <w:sz w:val="24"/>
          <w:szCs w:val="24"/>
          <w:vertAlign w:val="superscript"/>
        </w:rPr>
        <w:t>rd</w:t>
      </w:r>
      <w:r w:rsidRPr="00411A5F">
        <w:rPr>
          <w:rFonts w:ascii="Arial" w:hAnsi="Arial" w:cs="Arial"/>
          <w:sz w:val="24"/>
          <w:szCs w:val="24"/>
        </w:rPr>
        <w:t xml:space="preserve"> ed. London: SAGE.</w:t>
      </w:r>
    </w:p>
    <w:p w14:paraId="4E3E638B" w14:textId="4A7DB8AB" w:rsidR="005E0EE5" w:rsidRDefault="005E0EE5" w:rsidP="00411A5F">
      <w:pPr>
        <w:spacing w:line="360" w:lineRule="auto"/>
        <w:jc w:val="both"/>
        <w:rPr>
          <w:rFonts w:ascii="Arial" w:hAnsi="Arial" w:cs="Arial"/>
          <w:sz w:val="24"/>
          <w:szCs w:val="24"/>
        </w:rPr>
      </w:pPr>
    </w:p>
    <w:p w14:paraId="5422448C" w14:textId="0A6DAF2C" w:rsidR="005E0EE5" w:rsidRPr="00411A5F" w:rsidRDefault="005E0EE5" w:rsidP="00411A5F">
      <w:pPr>
        <w:spacing w:line="360" w:lineRule="auto"/>
        <w:jc w:val="both"/>
        <w:rPr>
          <w:rFonts w:ascii="Arial" w:hAnsi="Arial" w:cs="Arial"/>
          <w:sz w:val="24"/>
          <w:szCs w:val="24"/>
        </w:rPr>
      </w:pPr>
      <w:r>
        <w:rPr>
          <w:rFonts w:ascii="Arial" w:hAnsi="Arial" w:cs="Arial"/>
          <w:sz w:val="24"/>
          <w:szCs w:val="24"/>
        </w:rPr>
        <w:t>Balu, R., Lee, S</w:t>
      </w:r>
      <w:r w:rsidR="006B50BB">
        <w:rPr>
          <w:rFonts w:ascii="Arial" w:hAnsi="Arial" w:cs="Arial"/>
          <w:sz w:val="24"/>
          <w:szCs w:val="24"/>
        </w:rPr>
        <w:t>.</w:t>
      </w:r>
      <w:r>
        <w:rPr>
          <w:rFonts w:ascii="Arial" w:hAnsi="Arial" w:cs="Arial"/>
          <w:sz w:val="24"/>
          <w:szCs w:val="24"/>
        </w:rPr>
        <w:t xml:space="preserve"> and </w:t>
      </w:r>
      <w:r w:rsidR="006B50BB">
        <w:rPr>
          <w:rFonts w:ascii="Arial" w:hAnsi="Arial" w:cs="Arial"/>
          <w:sz w:val="24"/>
          <w:szCs w:val="24"/>
        </w:rPr>
        <w:t>Steimle, S. (201</w:t>
      </w:r>
      <w:r w:rsidR="006B50BB" w:rsidRPr="00E25F41">
        <w:rPr>
          <w:rFonts w:ascii="Arial" w:hAnsi="Arial" w:cs="Arial"/>
          <w:sz w:val="24"/>
          <w:szCs w:val="24"/>
        </w:rPr>
        <w:t>8)</w:t>
      </w:r>
      <w:r w:rsidR="006B50BB" w:rsidRPr="00E25F41">
        <w:rPr>
          <w:rFonts w:ascii="Arial" w:hAnsi="Arial" w:cs="Arial"/>
          <w:i/>
          <w:iCs/>
          <w:sz w:val="24"/>
          <w:szCs w:val="24"/>
        </w:rPr>
        <w:t xml:space="preserve"> </w:t>
      </w:r>
      <w:r w:rsidR="002F387A" w:rsidRPr="00E25F41">
        <w:rPr>
          <w:rFonts w:ascii="Arial" w:hAnsi="Arial" w:cs="Arial"/>
          <w:i/>
          <w:iCs/>
          <w:sz w:val="24"/>
          <w:szCs w:val="24"/>
        </w:rPr>
        <w:t>Encouraging Attendance and Engagement in Parenting Programs</w:t>
      </w:r>
      <w:r w:rsidR="002F387A">
        <w:rPr>
          <w:rFonts w:ascii="Arial" w:hAnsi="Arial" w:cs="Arial"/>
          <w:sz w:val="24"/>
          <w:szCs w:val="24"/>
        </w:rPr>
        <w:t xml:space="preserve">. Available at: </w:t>
      </w:r>
      <w:hyperlink r:id="rId13" w:history="1">
        <w:r w:rsidR="00E25F41" w:rsidRPr="00EE2719">
          <w:rPr>
            <w:rStyle w:val="Hyperlink"/>
            <w:rFonts w:ascii="Arial" w:hAnsi="Arial" w:cs="Arial"/>
            <w:sz w:val="24"/>
            <w:szCs w:val="24"/>
          </w:rPr>
          <w:t>https://www.mdrc.org/publication/encouraging-attendance-and-engagement-parenting-programs</w:t>
        </w:r>
      </w:hyperlink>
      <w:r w:rsidR="00E25F41">
        <w:rPr>
          <w:rFonts w:ascii="Arial" w:hAnsi="Arial" w:cs="Arial"/>
          <w:sz w:val="24"/>
          <w:szCs w:val="24"/>
        </w:rPr>
        <w:t xml:space="preserve"> (Accessed: 18 January 2022).</w:t>
      </w:r>
    </w:p>
    <w:p w14:paraId="0CE95C26" w14:textId="77777777" w:rsidR="00411A5F" w:rsidRPr="00411A5F" w:rsidRDefault="00411A5F" w:rsidP="00411A5F">
      <w:pPr>
        <w:spacing w:line="360" w:lineRule="auto"/>
        <w:jc w:val="both"/>
        <w:rPr>
          <w:rFonts w:ascii="Arial" w:hAnsi="Arial" w:cs="Arial"/>
          <w:sz w:val="24"/>
          <w:szCs w:val="24"/>
        </w:rPr>
      </w:pPr>
    </w:p>
    <w:p w14:paraId="6F80C63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Bateson, K. </w:t>
      </w:r>
      <w:r w:rsidRPr="00411A5F">
        <w:rPr>
          <w:rFonts w:ascii="Arial" w:hAnsi="Arial" w:cs="Arial"/>
          <w:i/>
          <w:iCs/>
          <w:sz w:val="24"/>
          <w:szCs w:val="24"/>
        </w:rPr>
        <w:t>et al.</w:t>
      </w:r>
      <w:r w:rsidRPr="00411A5F">
        <w:rPr>
          <w:rFonts w:ascii="Arial" w:hAnsi="Arial" w:cs="Arial"/>
          <w:sz w:val="24"/>
          <w:szCs w:val="24"/>
        </w:rPr>
        <w:t xml:space="preserve"> (2017) ‘Engaging fathers: acknowledging the barriers’, </w:t>
      </w:r>
      <w:r w:rsidRPr="00411A5F">
        <w:rPr>
          <w:rFonts w:ascii="Arial" w:hAnsi="Arial" w:cs="Arial"/>
          <w:i/>
          <w:iCs/>
          <w:sz w:val="24"/>
          <w:szCs w:val="24"/>
        </w:rPr>
        <w:t>Journal of Health Visiting,</w:t>
      </w:r>
      <w:r w:rsidRPr="00411A5F">
        <w:rPr>
          <w:rFonts w:ascii="Arial" w:hAnsi="Arial" w:cs="Arial"/>
          <w:sz w:val="24"/>
          <w:szCs w:val="24"/>
        </w:rPr>
        <w:t xml:space="preserve"> 5(3), pp.126-132. DOI: </w:t>
      </w:r>
      <w:hyperlink r:id="rId14" w:history="1">
        <w:r w:rsidRPr="00411A5F">
          <w:rPr>
            <w:rFonts w:ascii="Arial" w:hAnsi="Arial" w:cs="Arial"/>
            <w:color w:val="0563C1" w:themeColor="hyperlink"/>
            <w:sz w:val="24"/>
            <w:szCs w:val="24"/>
            <w:u w:val="single"/>
          </w:rPr>
          <w:t>http://dx.doi.org/10.12968/johv.2017.5.3.126</w:t>
        </w:r>
      </w:hyperlink>
      <w:r w:rsidRPr="00411A5F">
        <w:rPr>
          <w:rFonts w:ascii="Arial" w:hAnsi="Arial" w:cs="Arial"/>
          <w:sz w:val="24"/>
          <w:szCs w:val="24"/>
        </w:rPr>
        <w:t xml:space="preserve"> (Accessed: 12 January 2022).</w:t>
      </w:r>
    </w:p>
    <w:p w14:paraId="3A401BF8" w14:textId="77777777" w:rsidR="00411A5F" w:rsidRPr="00411A5F" w:rsidRDefault="00411A5F" w:rsidP="00411A5F">
      <w:pPr>
        <w:spacing w:line="360" w:lineRule="auto"/>
        <w:jc w:val="both"/>
        <w:rPr>
          <w:rFonts w:ascii="Arial" w:hAnsi="Arial" w:cs="Arial"/>
          <w:sz w:val="24"/>
          <w:szCs w:val="24"/>
        </w:rPr>
      </w:pPr>
    </w:p>
    <w:p w14:paraId="487DCEB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Berger, L.M. and Langton, C.E. (2011) ‘Young disadvantaged men as fathers’, </w:t>
      </w:r>
      <w:r w:rsidRPr="00411A5F">
        <w:rPr>
          <w:rFonts w:ascii="Arial" w:hAnsi="Arial" w:cs="Arial"/>
          <w:i/>
          <w:iCs/>
          <w:sz w:val="24"/>
          <w:szCs w:val="24"/>
        </w:rPr>
        <w:t>The ANNALS of the American Academy of Political and Social Science</w:t>
      </w:r>
      <w:r w:rsidRPr="00411A5F">
        <w:rPr>
          <w:rFonts w:ascii="Arial" w:hAnsi="Arial" w:cs="Arial"/>
          <w:sz w:val="24"/>
          <w:szCs w:val="24"/>
        </w:rPr>
        <w:t xml:space="preserve"> 635(1), pp.56-75. DOI: </w:t>
      </w:r>
      <w:hyperlink r:id="rId15" w:history="1">
        <w:r w:rsidRPr="00411A5F">
          <w:rPr>
            <w:rFonts w:ascii="Arial" w:hAnsi="Arial" w:cs="Arial"/>
            <w:color w:val="0563C1" w:themeColor="hyperlink"/>
            <w:sz w:val="24"/>
            <w:szCs w:val="24"/>
            <w:u w:val="single"/>
          </w:rPr>
          <w:t>http://dx.doi.org/10.1177/0002716210393648</w:t>
        </w:r>
      </w:hyperlink>
      <w:r w:rsidRPr="00411A5F">
        <w:rPr>
          <w:rFonts w:ascii="Arial" w:hAnsi="Arial" w:cs="Arial"/>
          <w:sz w:val="24"/>
          <w:szCs w:val="24"/>
        </w:rPr>
        <w:t xml:space="preserve"> (Accessed: 12 January 2022). </w:t>
      </w:r>
    </w:p>
    <w:p w14:paraId="1D70F3BE" w14:textId="77777777" w:rsidR="00411A5F" w:rsidRPr="00411A5F" w:rsidRDefault="00411A5F" w:rsidP="00411A5F">
      <w:pPr>
        <w:spacing w:line="360" w:lineRule="auto"/>
        <w:jc w:val="both"/>
        <w:rPr>
          <w:rFonts w:ascii="Arial" w:hAnsi="Arial" w:cs="Arial"/>
          <w:sz w:val="24"/>
          <w:szCs w:val="24"/>
        </w:rPr>
      </w:pPr>
    </w:p>
    <w:p w14:paraId="114373A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Booysen, L. (2014) ‘The development of inclusive leadership practice and processes’, </w:t>
      </w:r>
      <w:r w:rsidRPr="00411A5F">
        <w:rPr>
          <w:rFonts w:ascii="Arial" w:hAnsi="Arial" w:cs="Arial"/>
          <w:i/>
          <w:iCs/>
          <w:sz w:val="24"/>
          <w:szCs w:val="24"/>
        </w:rPr>
        <w:t>Diversity at work: The practice of inclusion</w:t>
      </w:r>
      <w:r w:rsidRPr="00411A5F">
        <w:rPr>
          <w:rFonts w:ascii="Arial" w:hAnsi="Arial" w:cs="Arial"/>
          <w:sz w:val="24"/>
          <w:szCs w:val="24"/>
        </w:rPr>
        <w:t xml:space="preserve">, pp.296-329. DOI: </w:t>
      </w:r>
      <w:hyperlink r:id="rId16" w:history="1">
        <w:r w:rsidRPr="00411A5F">
          <w:rPr>
            <w:rFonts w:ascii="Arial" w:hAnsi="Arial" w:cs="Arial"/>
            <w:color w:val="0563C1" w:themeColor="hyperlink"/>
            <w:sz w:val="24"/>
            <w:szCs w:val="24"/>
            <w:u w:val="single"/>
          </w:rPr>
          <w:t>https://psycnet.apa.org/doi/10.1002/9781118764282.ch10</w:t>
        </w:r>
      </w:hyperlink>
      <w:r w:rsidRPr="00411A5F">
        <w:rPr>
          <w:rFonts w:ascii="Arial" w:hAnsi="Arial" w:cs="Arial"/>
          <w:sz w:val="24"/>
          <w:szCs w:val="24"/>
        </w:rPr>
        <w:t xml:space="preserve"> (Accessed: 18</w:t>
      </w:r>
      <w:r w:rsidRPr="00411A5F">
        <w:rPr>
          <w:rFonts w:ascii="Arial" w:hAnsi="Arial" w:cs="Arial"/>
          <w:sz w:val="24"/>
          <w:szCs w:val="24"/>
          <w:vertAlign w:val="superscript"/>
        </w:rPr>
        <w:t xml:space="preserve"> </w:t>
      </w:r>
      <w:r w:rsidRPr="00411A5F">
        <w:rPr>
          <w:rFonts w:ascii="Arial" w:hAnsi="Arial" w:cs="Arial"/>
          <w:sz w:val="24"/>
          <w:szCs w:val="24"/>
        </w:rPr>
        <w:t xml:space="preserve">November 2021). </w:t>
      </w:r>
    </w:p>
    <w:p w14:paraId="63B886E9" w14:textId="77777777" w:rsidR="00411A5F" w:rsidRPr="00411A5F" w:rsidRDefault="00411A5F" w:rsidP="00411A5F">
      <w:pPr>
        <w:spacing w:line="360" w:lineRule="auto"/>
        <w:jc w:val="both"/>
        <w:rPr>
          <w:rFonts w:ascii="Arial" w:hAnsi="Arial" w:cs="Arial"/>
          <w:sz w:val="24"/>
          <w:szCs w:val="24"/>
        </w:rPr>
      </w:pPr>
    </w:p>
    <w:p w14:paraId="391C9028"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lastRenderedPageBreak/>
        <w:t>Bortini</w:t>
      </w:r>
      <w:proofErr w:type="spellEnd"/>
      <w:r w:rsidRPr="00411A5F">
        <w:rPr>
          <w:rFonts w:ascii="Arial" w:hAnsi="Arial" w:cs="Arial"/>
          <w:sz w:val="24"/>
          <w:szCs w:val="24"/>
        </w:rPr>
        <w:t xml:space="preserve"> </w:t>
      </w:r>
      <w:r w:rsidRPr="00411A5F">
        <w:rPr>
          <w:rFonts w:ascii="Arial" w:hAnsi="Arial" w:cs="Arial"/>
          <w:i/>
          <w:iCs/>
          <w:sz w:val="24"/>
          <w:szCs w:val="24"/>
        </w:rPr>
        <w:t>et al.</w:t>
      </w:r>
      <w:r w:rsidRPr="00411A5F">
        <w:rPr>
          <w:rFonts w:ascii="Arial" w:hAnsi="Arial" w:cs="Arial"/>
          <w:sz w:val="24"/>
          <w:szCs w:val="24"/>
        </w:rPr>
        <w:t xml:space="preserve"> (2016) </w:t>
      </w:r>
      <w:r w:rsidRPr="00411A5F">
        <w:rPr>
          <w:rFonts w:ascii="Arial" w:hAnsi="Arial" w:cs="Arial"/>
          <w:i/>
          <w:iCs/>
          <w:sz w:val="24"/>
          <w:szCs w:val="24"/>
        </w:rPr>
        <w:t>Inclusive Leadership Theoretical Framework</w:t>
      </w:r>
      <w:r w:rsidRPr="00411A5F">
        <w:rPr>
          <w:rFonts w:ascii="Arial" w:hAnsi="Arial" w:cs="Arial"/>
          <w:sz w:val="24"/>
          <w:szCs w:val="24"/>
        </w:rPr>
        <w:t xml:space="preserve">. Available at: </w:t>
      </w:r>
      <w:hyperlink r:id="rId17" w:history="1">
        <w:r w:rsidRPr="00411A5F">
          <w:rPr>
            <w:rFonts w:ascii="Arial" w:hAnsi="Arial" w:cs="Arial"/>
            <w:color w:val="0563C1" w:themeColor="hyperlink"/>
            <w:sz w:val="24"/>
            <w:szCs w:val="24"/>
            <w:u w:val="single"/>
          </w:rPr>
          <w:t>https://inclusiveleadership.eu/il_theoreticalframework_en.pdf</w:t>
        </w:r>
      </w:hyperlink>
      <w:r w:rsidRPr="00411A5F">
        <w:rPr>
          <w:rFonts w:ascii="Arial" w:hAnsi="Arial" w:cs="Arial"/>
          <w:sz w:val="24"/>
          <w:szCs w:val="24"/>
        </w:rPr>
        <w:t xml:space="preserve"> (Accessed: 18 November 2021). </w:t>
      </w:r>
    </w:p>
    <w:p w14:paraId="17D31D82" w14:textId="77777777" w:rsidR="00411A5F" w:rsidRPr="00411A5F" w:rsidRDefault="00411A5F" w:rsidP="00411A5F">
      <w:pPr>
        <w:spacing w:line="360" w:lineRule="auto"/>
        <w:jc w:val="both"/>
        <w:rPr>
          <w:rFonts w:ascii="Arial" w:hAnsi="Arial" w:cs="Arial"/>
          <w:sz w:val="24"/>
          <w:szCs w:val="24"/>
        </w:rPr>
      </w:pPr>
    </w:p>
    <w:p w14:paraId="191FC8F0"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Bradsley</w:t>
      </w:r>
      <w:proofErr w:type="spellEnd"/>
      <w:r w:rsidRPr="00411A5F">
        <w:rPr>
          <w:rFonts w:ascii="Arial" w:hAnsi="Arial" w:cs="Arial"/>
          <w:sz w:val="24"/>
          <w:szCs w:val="24"/>
        </w:rPr>
        <w:t xml:space="preserve">, O. (2013) </w:t>
      </w:r>
      <w:r w:rsidRPr="00411A5F">
        <w:rPr>
          <w:rFonts w:ascii="Arial" w:hAnsi="Arial" w:cs="Arial"/>
          <w:i/>
          <w:iCs/>
          <w:sz w:val="24"/>
          <w:szCs w:val="24"/>
        </w:rPr>
        <w:t>Single parents: seeing beyond stigma</w:t>
      </w:r>
      <w:r w:rsidRPr="00411A5F">
        <w:rPr>
          <w:rFonts w:ascii="Arial" w:hAnsi="Arial" w:cs="Arial"/>
          <w:sz w:val="24"/>
          <w:szCs w:val="24"/>
        </w:rPr>
        <w:t xml:space="preserve">. Available at: </w:t>
      </w:r>
      <w:hyperlink r:id="rId18" w:history="1">
        <w:r w:rsidRPr="00411A5F">
          <w:rPr>
            <w:rFonts w:ascii="Arial" w:hAnsi="Arial" w:cs="Arial"/>
            <w:color w:val="0563C1" w:themeColor="hyperlink"/>
            <w:sz w:val="24"/>
            <w:szCs w:val="24"/>
            <w:u w:val="single"/>
          </w:rPr>
          <w:t>https://www.theguardian.com/social-care-network/2013/feb/21/single-parents-beyond-the-stigma</w:t>
        </w:r>
      </w:hyperlink>
      <w:r w:rsidRPr="00411A5F">
        <w:rPr>
          <w:rFonts w:ascii="Arial" w:hAnsi="Arial" w:cs="Arial"/>
          <w:sz w:val="24"/>
          <w:szCs w:val="24"/>
        </w:rPr>
        <w:t xml:space="preserve"> (Accessed: 10 January 2022).</w:t>
      </w:r>
    </w:p>
    <w:p w14:paraId="736C6851" w14:textId="77777777" w:rsidR="00411A5F" w:rsidRPr="00411A5F" w:rsidRDefault="00411A5F" w:rsidP="00411A5F">
      <w:pPr>
        <w:spacing w:line="360" w:lineRule="auto"/>
        <w:jc w:val="both"/>
        <w:rPr>
          <w:rFonts w:ascii="Arial" w:hAnsi="Arial" w:cs="Arial"/>
          <w:sz w:val="24"/>
          <w:szCs w:val="24"/>
        </w:rPr>
      </w:pPr>
    </w:p>
    <w:p w14:paraId="20EAD00F" w14:textId="77777777" w:rsidR="00411A5F" w:rsidRPr="00411A5F" w:rsidRDefault="00411A5F" w:rsidP="00411A5F">
      <w:pPr>
        <w:spacing w:line="360" w:lineRule="auto"/>
        <w:jc w:val="both"/>
        <w:rPr>
          <w:rFonts w:ascii="Arial" w:hAnsi="Arial" w:cs="Arial"/>
          <w:sz w:val="24"/>
          <w:szCs w:val="24"/>
        </w:rPr>
      </w:pPr>
    </w:p>
    <w:p w14:paraId="6B3C80D3"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Cabrera, N.J., Volling, B.L. and Barr, R. (2018) ‘Fathers are parents, too! Widening the lens on parenting for children's development’, </w:t>
      </w:r>
      <w:r w:rsidRPr="00411A5F">
        <w:rPr>
          <w:rFonts w:ascii="Arial" w:hAnsi="Arial" w:cs="Arial"/>
          <w:i/>
          <w:iCs/>
          <w:sz w:val="24"/>
          <w:szCs w:val="24"/>
        </w:rPr>
        <w:t>Child Development Perspectives,</w:t>
      </w:r>
      <w:r w:rsidRPr="00411A5F">
        <w:rPr>
          <w:rFonts w:ascii="Arial" w:hAnsi="Arial" w:cs="Arial"/>
          <w:sz w:val="24"/>
          <w:szCs w:val="24"/>
        </w:rPr>
        <w:t xml:space="preserve"> 12(3), pp.152-157. URL: </w:t>
      </w:r>
      <w:hyperlink r:id="rId19" w:history="1">
        <w:r w:rsidRPr="00411A5F">
          <w:rPr>
            <w:rFonts w:ascii="Arial" w:hAnsi="Arial" w:cs="Arial"/>
            <w:color w:val="0563C1" w:themeColor="hyperlink"/>
            <w:sz w:val="24"/>
            <w:szCs w:val="24"/>
            <w:u w:val="single"/>
          </w:rPr>
          <w:t>https://deepblue.lib.umich.edu/bitstream/handle/2027.42/145283/cdep12275.pdf?sequence=1</w:t>
        </w:r>
      </w:hyperlink>
      <w:r w:rsidRPr="00411A5F">
        <w:rPr>
          <w:rFonts w:ascii="Arial" w:hAnsi="Arial" w:cs="Arial"/>
          <w:sz w:val="24"/>
          <w:szCs w:val="24"/>
        </w:rPr>
        <w:t xml:space="preserve"> (Accessed: 12 January 2022).</w:t>
      </w:r>
    </w:p>
    <w:p w14:paraId="0B271365" w14:textId="77777777" w:rsidR="00411A5F" w:rsidRPr="00411A5F" w:rsidRDefault="00411A5F" w:rsidP="00411A5F">
      <w:pPr>
        <w:spacing w:line="360" w:lineRule="auto"/>
        <w:jc w:val="both"/>
        <w:rPr>
          <w:rFonts w:ascii="Arial" w:hAnsi="Arial" w:cs="Arial"/>
          <w:sz w:val="24"/>
          <w:szCs w:val="24"/>
        </w:rPr>
      </w:pPr>
    </w:p>
    <w:p w14:paraId="751FBD2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Cheung, S.K. and Kam, C.S. (2019) ‘Hong Kong pre-service early childhood teachers’ attitudes towards parental involvement and the role of their family relationship quality’, </w:t>
      </w:r>
      <w:r w:rsidRPr="00411A5F">
        <w:rPr>
          <w:rFonts w:ascii="Arial" w:hAnsi="Arial" w:cs="Arial"/>
          <w:i/>
          <w:iCs/>
          <w:sz w:val="24"/>
          <w:szCs w:val="24"/>
        </w:rPr>
        <w:t>Journal of Education for Teaching</w:t>
      </w:r>
      <w:r w:rsidRPr="00411A5F">
        <w:rPr>
          <w:rFonts w:ascii="Arial" w:hAnsi="Arial" w:cs="Arial"/>
          <w:sz w:val="24"/>
          <w:szCs w:val="24"/>
        </w:rPr>
        <w:t xml:space="preserve">, 45(4), pp.417-433. DOI: </w:t>
      </w:r>
      <w:hyperlink r:id="rId20" w:history="1">
        <w:r w:rsidRPr="00411A5F">
          <w:rPr>
            <w:rFonts w:ascii="Arial" w:hAnsi="Arial" w:cs="Arial"/>
            <w:color w:val="0563C1" w:themeColor="hyperlink"/>
            <w:sz w:val="24"/>
            <w:szCs w:val="24"/>
            <w:u w:val="single"/>
          </w:rPr>
          <w:t>https://doi.org/10.1080/02607476.2019.1639261</w:t>
        </w:r>
      </w:hyperlink>
      <w:r w:rsidRPr="00411A5F">
        <w:rPr>
          <w:rFonts w:ascii="Arial" w:hAnsi="Arial" w:cs="Arial"/>
          <w:sz w:val="24"/>
          <w:szCs w:val="24"/>
        </w:rPr>
        <w:t xml:space="preserve"> (Accessed: 12 January 2022).</w:t>
      </w:r>
    </w:p>
    <w:p w14:paraId="5DA8EC4B" w14:textId="77777777" w:rsidR="00411A5F" w:rsidRPr="00411A5F" w:rsidRDefault="00411A5F" w:rsidP="00411A5F">
      <w:pPr>
        <w:spacing w:line="360" w:lineRule="auto"/>
        <w:jc w:val="both"/>
        <w:rPr>
          <w:rFonts w:ascii="Arial" w:hAnsi="Arial" w:cs="Arial"/>
          <w:sz w:val="24"/>
          <w:szCs w:val="24"/>
        </w:rPr>
      </w:pPr>
    </w:p>
    <w:p w14:paraId="347DD2C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Childhood Education International (2021) </w:t>
      </w:r>
      <w:r w:rsidRPr="00411A5F">
        <w:rPr>
          <w:rFonts w:ascii="Arial" w:hAnsi="Arial" w:cs="Arial"/>
          <w:i/>
          <w:iCs/>
          <w:sz w:val="24"/>
          <w:szCs w:val="24"/>
        </w:rPr>
        <w:t>Inclusive Leadership in Education.</w:t>
      </w:r>
      <w:r w:rsidRPr="00411A5F">
        <w:rPr>
          <w:rFonts w:ascii="Arial" w:hAnsi="Arial" w:cs="Arial"/>
          <w:sz w:val="24"/>
          <w:szCs w:val="24"/>
        </w:rPr>
        <w:t xml:space="preserve"> Available at: </w:t>
      </w:r>
      <w:hyperlink r:id="rId21" w:history="1">
        <w:r w:rsidRPr="00411A5F">
          <w:rPr>
            <w:rFonts w:ascii="Arial" w:hAnsi="Arial" w:cs="Arial"/>
            <w:color w:val="0563C1" w:themeColor="hyperlink"/>
            <w:sz w:val="24"/>
            <w:szCs w:val="24"/>
            <w:u w:val="single"/>
          </w:rPr>
          <w:t>https://ceinternational1892.org/wp-content/uploads/2021/07/InclusiveLeadershipBriefJuly2021.pdf</w:t>
        </w:r>
      </w:hyperlink>
      <w:r w:rsidRPr="00411A5F">
        <w:rPr>
          <w:rFonts w:ascii="Arial" w:hAnsi="Arial" w:cs="Arial"/>
          <w:sz w:val="24"/>
          <w:szCs w:val="24"/>
        </w:rPr>
        <w:t xml:space="preserve"> (Accessed: 18 November 2021). </w:t>
      </w:r>
    </w:p>
    <w:p w14:paraId="5A0C452E" w14:textId="77777777" w:rsidR="00411A5F" w:rsidRPr="00411A5F" w:rsidRDefault="00411A5F" w:rsidP="00411A5F">
      <w:pPr>
        <w:spacing w:line="360" w:lineRule="auto"/>
        <w:jc w:val="both"/>
        <w:rPr>
          <w:rFonts w:ascii="Arial" w:hAnsi="Arial" w:cs="Arial"/>
          <w:sz w:val="24"/>
          <w:szCs w:val="24"/>
        </w:rPr>
      </w:pPr>
    </w:p>
    <w:p w14:paraId="23C6DF96" w14:textId="77777777" w:rsidR="00411A5F" w:rsidRPr="00411A5F" w:rsidRDefault="00411A5F" w:rsidP="00411A5F">
      <w:pPr>
        <w:spacing w:line="360" w:lineRule="auto"/>
        <w:jc w:val="both"/>
        <w:rPr>
          <w:rFonts w:ascii="Arial" w:hAnsi="Arial" w:cs="Arial"/>
          <w:sz w:val="24"/>
          <w:szCs w:val="24"/>
        </w:rPr>
      </w:pPr>
    </w:p>
    <w:p w14:paraId="1F7C4A3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Collins, C.S. (2013) </w:t>
      </w:r>
      <w:r w:rsidRPr="00411A5F">
        <w:rPr>
          <w:rFonts w:ascii="Arial" w:hAnsi="Arial" w:cs="Arial"/>
          <w:i/>
          <w:iCs/>
          <w:sz w:val="24"/>
          <w:szCs w:val="24"/>
        </w:rPr>
        <w:t xml:space="preserve">Applying an ecological perspective to variations in school exclusion levels. </w:t>
      </w:r>
      <w:r w:rsidRPr="00411A5F">
        <w:rPr>
          <w:rFonts w:ascii="Arial" w:hAnsi="Arial" w:cs="Arial"/>
          <w:sz w:val="24"/>
          <w:szCs w:val="24"/>
        </w:rPr>
        <w:t xml:space="preserve">Available at: </w:t>
      </w:r>
      <w:hyperlink r:id="rId22" w:history="1">
        <w:r w:rsidRPr="00411A5F">
          <w:rPr>
            <w:rFonts w:ascii="Arial" w:hAnsi="Arial" w:cs="Arial"/>
            <w:color w:val="0563C1" w:themeColor="hyperlink"/>
            <w:sz w:val="24"/>
            <w:szCs w:val="24"/>
            <w:u w:val="single"/>
          </w:rPr>
          <w:t>http://hpp.education.leeds.ac.uk/wp-</w:t>
        </w:r>
        <w:r w:rsidRPr="00411A5F">
          <w:rPr>
            <w:rFonts w:ascii="Arial" w:hAnsi="Arial" w:cs="Arial"/>
            <w:color w:val="0563C1" w:themeColor="hyperlink"/>
            <w:sz w:val="24"/>
            <w:szCs w:val="24"/>
            <w:u w:val="single"/>
          </w:rPr>
          <w:lastRenderedPageBreak/>
          <w:t>content/uploads/sites/131/2014/03/HPP2013-1Cherril_C.pdf</w:t>
        </w:r>
      </w:hyperlink>
      <w:r w:rsidRPr="00411A5F">
        <w:rPr>
          <w:rFonts w:ascii="Arial" w:hAnsi="Arial" w:cs="Arial"/>
          <w:sz w:val="24"/>
          <w:szCs w:val="24"/>
        </w:rPr>
        <w:t xml:space="preserve"> (Accessed: 10 January 2022).</w:t>
      </w:r>
    </w:p>
    <w:p w14:paraId="7E38202E" w14:textId="77777777" w:rsidR="00411A5F" w:rsidRPr="00411A5F" w:rsidRDefault="00411A5F" w:rsidP="00411A5F">
      <w:pPr>
        <w:spacing w:line="360" w:lineRule="auto"/>
        <w:jc w:val="both"/>
        <w:rPr>
          <w:rFonts w:ascii="Arial" w:hAnsi="Arial" w:cs="Arial"/>
          <w:sz w:val="24"/>
          <w:szCs w:val="24"/>
        </w:rPr>
      </w:pPr>
    </w:p>
    <w:p w14:paraId="4A377CBF" w14:textId="77777777" w:rsidR="00411A5F" w:rsidRPr="00411A5F" w:rsidRDefault="00411A5F" w:rsidP="00411A5F">
      <w:pPr>
        <w:spacing w:line="360" w:lineRule="auto"/>
        <w:jc w:val="both"/>
        <w:rPr>
          <w:rFonts w:ascii="Arial" w:hAnsi="Arial" w:cs="Arial"/>
          <w:sz w:val="24"/>
          <w:szCs w:val="24"/>
        </w:rPr>
      </w:pPr>
    </w:p>
    <w:p w14:paraId="4DB984E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lang w:val="en-US"/>
        </w:rPr>
        <w:t>Cottle, M. and Alexander, E. (2014)</w:t>
      </w:r>
      <w:r w:rsidRPr="00411A5F">
        <w:rPr>
          <w:rFonts w:ascii="Arial" w:hAnsi="Arial" w:cs="Arial"/>
          <w:color w:val="000000" w:themeColor="text1"/>
          <w:sz w:val="24"/>
          <w:szCs w:val="24"/>
          <w:lang w:val="en-US"/>
        </w:rPr>
        <w:t xml:space="preserve"> ‘</w:t>
      </w:r>
      <w:r w:rsidRPr="00411A5F">
        <w:rPr>
          <w:rFonts w:ascii="Arial" w:hAnsi="Arial" w:cs="Arial"/>
          <w:color w:val="000000" w:themeColor="text1"/>
          <w:sz w:val="24"/>
          <w:szCs w:val="24"/>
        </w:rPr>
        <w:t xml:space="preserve">Parent partnership and ‘quality’ early years services: practitioners' perspectives’, </w:t>
      </w:r>
      <w:r w:rsidRPr="00411A5F">
        <w:rPr>
          <w:rFonts w:ascii="Arial" w:hAnsi="Arial" w:cs="Arial"/>
          <w:i/>
          <w:iCs/>
          <w:color w:val="000000" w:themeColor="text1"/>
          <w:sz w:val="24"/>
          <w:szCs w:val="24"/>
        </w:rPr>
        <w:t xml:space="preserve">European Early Childhood Education Research Journal, </w:t>
      </w:r>
      <w:r w:rsidRPr="00411A5F">
        <w:rPr>
          <w:rFonts w:ascii="Arial" w:hAnsi="Arial" w:cs="Arial"/>
          <w:color w:val="000000" w:themeColor="text1"/>
          <w:sz w:val="24"/>
          <w:szCs w:val="24"/>
        </w:rPr>
        <w:t>22(5), pp. 637-659. DOI:</w:t>
      </w:r>
      <w:r w:rsidRPr="00411A5F">
        <w:rPr>
          <w:rFonts w:ascii="Arial" w:hAnsi="Arial" w:cs="Arial"/>
          <w:sz w:val="24"/>
          <w:szCs w:val="24"/>
        </w:rPr>
        <w:t xml:space="preserve"> </w:t>
      </w:r>
      <w:hyperlink r:id="rId23" w:history="1">
        <w:r w:rsidRPr="00411A5F">
          <w:rPr>
            <w:rFonts w:ascii="Arial" w:hAnsi="Arial" w:cs="Arial"/>
            <w:color w:val="0563C1" w:themeColor="hyperlink"/>
            <w:sz w:val="24"/>
            <w:szCs w:val="24"/>
            <w:u w:val="single"/>
          </w:rPr>
          <w:t>https://doi.org/10.1080/1350293X.2013.788314</w:t>
        </w:r>
      </w:hyperlink>
      <w:r w:rsidRPr="00411A5F">
        <w:rPr>
          <w:rFonts w:ascii="Arial" w:hAnsi="Arial" w:cs="Arial"/>
          <w:color w:val="000000" w:themeColor="text1"/>
          <w:sz w:val="24"/>
          <w:szCs w:val="24"/>
        </w:rPr>
        <w:t xml:space="preserve">  </w:t>
      </w:r>
      <w:r w:rsidRPr="00411A5F">
        <w:rPr>
          <w:rFonts w:ascii="Arial" w:hAnsi="Arial" w:cs="Arial"/>
          <w:sz w:val="24"/>
          <w:szCs w:val="24"/>
        </w:rPr>
        <w:t xml:space="preserve">(Accessed: 18 November 2021). </w:t>
      </w:r>
    </w:p>
    <w:p w14:paraId="612D5442" w14:textId="77777777" w:rsidR="00411A5F" w:rsidRPr="00411A5F" w:rsidRDefault="00411A5F" w:rsidP="00411A5F">
      <w:pPr>
        <w:spacing w:line="360" w:lineRule="auto"/>
        <w:jc w:val="both"/>
        <w:rPr>
          <w:rFonts w:ascii="Arial" w:hAnsi="Arial" w:cs="Arial"/>
          <w:sz w:val="24"/>
          <w:szCs w:val="24"/>
        </w:rPr>
      </w:pPr>
    </w:p>
    <w:p w14:paraId="230651D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Dads Groups (2021) </w:t>
      </w:r>
      <w:r w:rsidRPr="00411A5F">
        <w:rPr>
          <w:rFonts w:ascii="Arial" w:hAnsi="Arial" w:cs="Arial"/>
          <w:i/>
          <w:iCs/>
          <w:sz w:val="24"/>
          <w:szCs w:val="24"/>
        </w:rPr>
        <w:t>Dads Group</w:t>
      </w:r>
      <w:r w:rsidRPr="00411A5F">
        <w:rPr>
          <w:rFonts w:ascii="Arial" w:hAnsi="Arial" w:cs="Arial"/>
          <w:sz w:val="24"/>
          <w:szCs w:val="24"/>
        </w:rPr>
        <w:t xml:space="preserve">. Available at: </w:t>
      </w:r>
      <w:hyperlink r:id="rId24" w:history="1">
        <w:r w:rsidRPr="00411A5F">
          <w:rPr>
            <w:rFonts w:ascii="Arial" w:hAnsi="Arial" w:cs="Arial"/>
            <w:color w:val="0563C1" w:themeColor="hyperlink"/>
            <w:sz w:val="24"/>
            <w:szCs w:val="24"/>
            <w:u w:val="single"/>
          </w:rPr>
          <w:t>https://www.dadsgroup.org/dadsgroupabout</w:t>
        </w:r>
      </w:hyperlink>
      <w:r w:rsidRPr="00411A5F">
        <w:rPr>
          <w:rFonts w:ascii="Arial" w:hAnsi="Arial" w:cs="Arial"/>
          <w:sz w:val="24"/>
          <w:szCs w:val="24"/>
        </w:rPr>
        <w:t xml:space="preserve"> (Accessed: 12 January 2022).</w:t>
      </w:r>
    </w:p>
    <w:p w14:paraId="447EE4EC" w14:textId="77777777" w:rsidR="00411A5F" w:rsidRPr="00411A5F" w:rsidRDefault="00411A5F" w:rsidP="00411A5F">
      <w:pPr>
        <w:spacing w:line="360" w:lineRule="auto"/>
        <w:jc w:val="both"/>
        <w:rPr>
          <w:rFonts w:ascii="Arial" w:hAnsi="Arial" w:cs="Arial"/>
          <w:sz w:val="24"/>
          <w:szCs w:val="24"/>
        </w:rPr>
      </w:pPr>
    </w:p>
    <w:p w14:paraId="53210B93"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Department for Education (2010) </w:t>
      </w:r>
      <w:r w:rsidRPr="00411A5F">
        <w:rPr>
          <w:rFonts w:ascii="Arial" w:hAnsi="Arial" w:cs="Arial"/>
          <w:i/>
          <w:iCs/>
          <w:sz w:val="24"/>
          <w:szCs w:val="24"/>
        </w:rPr>
        <w:t>Review of best practice in parental engagement</w:t>
      </w:r>
      <w:r w:rsidRPr="00411A5F">
        <w:rPr>
          <w:rFonts w:ascii="Arial" w:hAnsi="Arial" w:cs="Arial"/>
          <w:sz w:val="24"/>
          <w:szCs w:val="24"/>
        </w:rPr>
        <w:t xml:space="preserve">. Available at: </w:t>
      </w:r>
      <w:hyperlink r:id="rId25" w:history="1">
        <w:r w:rsidRPr="00411A5F">
          <w:rPr>
            <w:rFonts w:ascii="Arial" w:hAnsi="Arial" w:cs="Arial"/>
            <w:color w:val="0563C1" w:themeColor="hyperlink"/>
            <w:sz w:val="24"/>
            <w:szCs w:val="24"/>
            <w:u w:val="single"/>
          </w:rPr>
          <w:t>https://assets.publishing.service.gov.uk/government/uploads/system/uploads/attachment_data/file/182508/DFE-RR156.pdf</w:t>
        </w:r>
      </w:hyperlink>
      <w:r w:rsidRPr="00411A5F">
        <w:rPr>
          <w:rFonts w:ascii="Arial" w:hAnsi="Arial" w:cs="Arial"/>
          <w:sz w:val="24"/>
          <w:szCs w:val="24"/>
        </w:rPr>
        <w:t xml:space="preserve"> (Accessed: 11 January 2022).</w:t>
      </w:r>
    </w:p>
    <w:p w14:paraId="35C5D813" w14:textId="77777777" w:rsidR="00411A5F" w:rsidRPr="00411A5F" w:rsidRDefault="00411A5F" w:rsidP="00411A5F">
      <w:pPr>
        <w:spacing w:line="360" w:lineRule="auto"/>
        <w:jc w:val="both"/>
        <w:rPr>
          <w:rFonts w:ascii="Arial" w:hAnsi="Arial" w:cs="Arial"/>
          <w:sz w:val="24"/>
          <w:szCs w:val="24"/>
        </w:rPr>
      </w:pPr>
    </w:p>
    <w:p w14:paraId="01FF2A4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Donaldson, G. (2015) </w:t>
      </w:r>
      <w:r w:rsidRPr="00411A5F">
        <w:rPr>
          <w:rFonts w:ascii="Arial" w:hAnsi="Arial" w:cs="Arial"/>
          <w:i/>
          <w:iCs/>
          <w:sz w:val="24"/>
          <w:szCs w:val="24"/>
        </w:rPr>
        <w:t xml:space="preserve">Successful Futures Independent Review of Curriculum and Assessment Arrangements in Wales. </w:t>
      </w:r>
      <w:r w:rsidRPr="00411A5F">
        <w:rPr>
          <w:rFonts w:ascii="Arial" w:hAnsi="Arial" w:cs="Arial"/>
          <w:sz w:val="24"/>
          <w:szCs w:val="24"/>
        </w:rPr>
        <w:t xml:space="preserve">Available at: </w:t>
      </w:r>
      <w:hyperlink r:id="rId26" w:history="1">
        <w:r w:rsidRPr="00411A5F">
          <w:rPr>
            <w:rFonts w:ascii="Arial" w:hAnsi="Arial" w:cs="Arial"/>
            <w:color w:val="0563C1" w:themeColor="hyperlink"/>
            <w:sz w:val="24"/>
            <w:szCs w:val="24"/>
            <w:u w:val="single"/>
          </w:rPr>
          <w:t>https://gov.wales/sites/default/files/publications/2018-03/successful-futures.pdf</w:t>
        </w:r>
      </w:hyperlink>
      <w:r w:rsidRPr="00411A5F">
        <w:rPr>
          <w:rFonts w:ascii="Arial" w:hAnsi="Arial" w:cs="Arial"/>
          <w:sz w:val="24"/>
          <w:szCs w:val="24"/>
        </w:rPr>
        <w:t xml:space="preserve"> (Accessed: 18 December 2021).</w:t>
      </w:r>
    </w:p>
    <w:p w14:paraId="35064D79" w14:textId="77777777" w:rsidR="00411A5F" w:rsidRPr="00411A5F" w:rsidRDefault="00411A5F" w:rsidP="00411A5F">
      <w:pPr>
        <w:spacing w:line="360" w:lineRule="auto"/>
        <w:jc w:val="both"/>
        <w:rPr>
          <w:rFonts w:ascii="Arial" w:hAnsi="Arial" w:cs="Arial"/>
          <w:sz w:val="24"/>
          <w:szCs w:val="24"/>
        </w:rPr>
      </w:pPr>
    </w:p>
    <w:p w14:paraId="4DD6E6B6"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Education Scotland (2019) </w:t>
      </w:r>
      <w:r w:rsidRPr="00411A5F">
        <w:rPr>
          <w:rFonts w:ascii="Arial" w:hAnsi="Arial" w:cs="Arial"/>
          <w:i/>
          <w:iCs/>
          <w:sz w:val="24"/>
          <w:szCs w:val="24"/>
        </w:rPr>
        <w:t>Engaging parents and families.</w:t>
      </w:r>
      <w:r w:rsidRPr="00411A5F">
        <w:rPr>
          <w:rFonts w:ascii="Arial" w:hAnsi="Arial" w:cs="Arial"/>
          <w:sz w:val="24"/>
          <w:szCs w:val="24"/>
        </w:rPr>
        <w:t xml:space="preserve"> Available at: </w:t>
      </w:r>
      <w:hyperlink r:id="rId27" w:history="1">
        <w:r w:rsidRPr="00411A5F">
          <w:rPr>
            <w:rFonts w:ascii="Arial" w:hAnsi="Arial" w:cs="Arial"/>
            <w:color w:val="0563C1" w:themeColor="hyperlink"/>
            <w:sz w:val="24"/>
            <w:szCs w:val="24"/>
            <w:u w:val="single"/>
          </w:rPr>
          <w:t>https://education.gov.scot/media/1uij4p20/section-3-involving-all-parents.pdf</w:t>
        </w:r>
      </w:hyperlink>
      <w:r w:rsidRPr="00411A5F">
        <w:rPr>
          <w:rFonts w:ascii="Arial" w:hAnsi="Arial" w:cs="Arial"/>
          <w:sz w:val="24"/>
          <w:szCs w:val="24"/>
        </w:rPr>
        <w:t xml:space="preserve"> (Accessed: 12 January 2022).</w:t>
      </w:r>
    </w:p>
    <w:p w14:paraId="485DB719" w14:textId="77777777" w:rsidR="00411A5F" w:rsidRPr="00411A5F" w:rsidRDefault="00411A5F" w:rsidP="00411A5F">
      <w:pPr>
        <w:spacing w:line="360" w:lineRule="auto"/>
        <w:jc w:val="both"/>
        <w:rPr>
          <w:rFonts w:ascii="Arial" w:hAnsi="Arial" w:cs="Arial"/>
          <w:sz w:val="24"/>
          <w:szCs w:val="24"/>
        </w:rPr>
      </w:pPr>
    </w:p>
    <w:p w14:paraId="4E4611E6"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Epstein, J. (2018) School, Family, and Community Partnerships: Preparing Educators and Improving Schools. 2</w:t>
      </w:r>
      <w:r w:rsidRPr="00411A5F">
        <w:rPr>
          <w:rFonts w:ascii="Arial" w:hAnsi="Arial" w:cs="Arial"/>
          <w:sz w:val="24"/>
          <w:szCs w:val="24"/>
          <w:vertAlign w:val="superscript"/>
        </w:rPr>
        <w:t>nd</w:t>
      </w:r>
      <w:r w:rsidRPr="00411A5F">
        <w:rPr>
          <w:rFonts w:ascii="Arial" w:hAnsi="Arial" w:cs="Arial"/>
          <w:sz w:val="24"/>
          <w:szCs w:val="24"/>
        </w:rPr>
        <w:t xml:space="preserve"> ed. London: Routledge. </w:t>
      </w:r>
    </w:p>
    <w:p w14:paraId="712979E5" w14:textId="77777777" w:rsidR="00411A5F" w:rsidRPr="00411A5F" w:rsidRDefault="00411A5F" w:rsidP="00411A5F">
      <w:pPr>
        <w:spacing w:line="360" w:lineRule="auto"/>
        <w:jc w:val="both"/>
        <w:rPr>
          <w:rFonts w:ascii="Arial" w:hAnsi="Arial" w:cs="Arial"/>
          <w:sz w:val="24"/>
          <w:szCs w:val="24"/>
        </w:rPr>
      </w:pPr>
    </w:p>
    <w:p w14:paraId="5F36421F"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Estyn (2020) </w:t>
      </w:r>
      <w:r w:rsidRPr="00411A5F">
        <w:rPr>
          <w:rFonts w:ascii="Arial" w:hAnsi="Arial" w:cs="Arial"/>
          <w:i/>
          <w:iCs/>
          <w:sz w:val="24"/>
          <w:szCs w:val="24"/>
        </w:rPr>
        <w:t xml:space="preserve">Building an ethos based on mutual respect. </w:t>
      </w:r>
      <w:r w:rsidRPr="00411A5F">
        <w:rPr>
          <w:rFonts w:ascii="Arial" w:hAnsi="Arial" w:cs="Arial"/>
          <w:sz w:val="24"/>
          <w:szCs w:val="24"/>
        </w:rPr>
        <w:t xml:space="preserve">Available at: </w:t>
      </w:r>
      <w:hyperlink r:id="rId28" w:history="1">
        <w:r w:rsidRPr="00411A5F">
          <w:rPr>
            <w:rFonts w:ascii="Arial" w:hAnsi="Arial" w:cs="Arial"/>
            <w:color w:val="0563C1" w:themeColor="hyperlink"/>
            <w:sz w:val="24"/>
            <w:szCs w:val="24"/>
            <w:u w:val="single"/>
          </w:rPr>
          <w:t>https://www.estyn.gov.wales/effective-practice/building-ethos-based-mutual-respect</w:t>
        </w:r>
      </w:hyperlink>
      <w:r w:rsidRPr="00411A5F">
        <w:rPr>
          <w:rFonts w:ascii="Arial" w:hAnsi="Arial" w:cs="Arial"/>
          <w:sz w:val="24"/>
          <w:szCs w:val="24"/>
        </w:rPr>
        <w:t xml:space="preserve"> (Accessed: 16 January 2022).</w:t>
      </w:r>
    </w:p>
    <w:p w14:paraId="3F9389E3" w14:textId="77777777" w:rsidR="00411A5F" w:rsidRPr="00411A5F" w:rsidRDefault="00411A5F" w:rsidP="00411A5F">
      <w:pPr>
        <w:spacing w:line="360" w:lineRule="auto"/>
        <w:jc w:val="both"/>
        <w:rPr>
          <w:rFonts w:ascii="Arial" w:hAnsi="Arial" w:cs="Arial"/>
          <w:sz w:val="24"/>
          <w:szCs w:val="24"/>
        </w:rPr>
      </w:pPr>
    </w:p>
    <w:p w14:paraId="1A1D8F2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Eurostat Statistics Explained (2020) </w:t>
      </w:r>
      <w:r w:rsidRPr="00411A5F">
        <w:rPr>
          <w:rFonts w:ascii="Arial" w:hAnsi="Arial" w:cs="Arial"/>
          <w:i/>
          <w:iCs/>
          <w:sz w:val="24"/>
          <w:szCs w:val="24"/>
        </w:rPr>
        <w:t xml:space="preserve">Children at risk of poverty or social exclusion. </w:t>
      </w:r>
      <w:r w:rsidRPr="00411A5F">
        <w:rPr>
          <w:rFonts w:ascii="Arial" w:hAnsi="Arial" w:cs="Arial"/>
          <w:sz w:val="24"/>
          <w:szCs w:val="24"/>
        </w:rPr>
        <w:t xml:space="preserve">Available at: </w:t>
      </w:r>
      <w:hyperlink r:id="rId29" w:anchor=":~:text=Children%20growing%20up%20in%20poverty%20and%20social%20exclusion,household%20with%20a%20very%20low%20work%20intensity%20" w:history="1">
        <w:r w:rsidRPr="00411A5F">
          <w:rPr>
            <w:rFonts w:ascii="Arial" w:hAnsi="Arial" w:cs="Arial"/>
            <w:color w:val="0563C1" w:themeColor="hyperlink"/>
            <w:sz w:val="24"/>
            <w:szCs w:val="24"/>
            <w:u w:val="single"/>
          </w:rPr>
          <w:t>https://ec.europa.eu/eurostat/statistics-explained/index.php?title=Children_at_risk_of_poverty_or_social_exclusion#:~:text=Children%20growing%20up%20in%20poverty%20and%20social%20exclusion,household%20with%20a%20very%20low%20work%20intensity%20</w:t>
        </w:r>
      </w:hyperlink>
      <w:r w:rsidRPr="00411A5F">
        <w:rPr>
          <w:rFonts w:ascii="Arial" w:hAnsi="Arial" w:cs="Arial"/>
          <w:sz w:val="24"/>
          <w:szCs w:val="24"/>
        </w:rPr>
        <w:t>. (Accessed: 14 January 2022).</w:t>
      </w:r>
    </w:p>
    <w:p w14:paraId="7B097BCB" w14:textId="77777777" w:rsidR="00411A5F" w:rsidRPr="00411A5F" w:rsidRDefault="00411A5F" w:rsidP="00411A5F">
      <w:pPr>
        <w:spacing w:line="360" w:lineRule="auto"/>
        <w:jc w:val="both"/>
        <w:rPr>
          <w:rFonts w:ascii="Arial" w:hAnsi="Arial" w:cs="Arial"/>
          <w:sz w:val="24"/>
          <w:szCs w:val="24"/>
        </w:rPr>
      </w:pPr>
    </w:p>
    <w:p w14:paraId="35DF168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lang w:val="en-US"/>
        </w:rPr>
        <w:t xml:space="preserve">Ferdman, B.M. (2014) </w:t>
      </w:r>
      <w:r w:rsidRPr="00411A5F">
        <w:rPr>
          <w:rFonts w:ascii="Arial" w:hAnsi="Arial" w:cs="Arial"/>
          <w:i/>
          <w:iCs/>
          <w:sz w:val="24"/>
          <w:szCs w:val="24"/>
          <w:lang w:val="en-US"/>
        </w:rPr>
        <w:t xml:space="preserve">Diversity at work: The practice of inclusion. </w:t>
      </w:r>
      <w:r w:rsidRPr="00411A5F">
        <w:rPr>
          <w:rFonts w:ascii="Arial" w:hAnsi="Arial" w:cs="Arial"/>
          <w:sz w:val="24"/>
          <w:szCs w:val="24"/>
          <w:lang w:val="en-US"/>
        </w:rPr>
        <w:t xml:space="preserve">Available at: </w:t>
      </w:r>
      <w:r w:rsidRPr="00411A5F">
        <w:rPr>
          <w:rFonts w:ascii="Arial" w:hAnsi="Arial" w:cs="Arial"/>
          <w:i/>
          <w:iCs/>
          <w:sz w:val="24"/>
          <w:szCs w:val="24"/>
          <w:lang w:val="en-US"/>
        </w:rPr>
        <w:t xml:space="preserve"> </w:t>
      </w:r>
      <w:hyperlink r:id="rId30" w:history="1">
        <w:r w:rsidRPr="00411A5F">
          <w:rPr>
            <w:rFonts w:ascii="Arial" w:hAnsi="Arial" w:cs="Arial"/>
            <w:i/>
            <w:iCs/>
            <w:color w:val="0563C1" w:themeColor="hyperlink"/>
            <w:sz w:val="24"/>
            <w:szCs w:val="24"/>
            <w:u w:val="single"/>
            <w:lang w:val="en-US"/>
          </w:rPr>
          <w:t>https://onlinelibrary-wiley-com.ezproxy.uwtsd.ac.uk/doi/book/10.1002/9781118764282</w:t>
        </w:r>
      </w:hyperlink>
      <w:r w:rsidRPr="00411A5F">
        <w:rPr>
          <w:rFonts w:ascii="Arial" w:hAnsi="Arial" w:cs="Arial"/>
          <w:i/>
          <w:iCs/>
          <w:sz w:val="24"/>
          <w:szCs w:val="24"/>
          <w:lang w:val="en-US"/>
        </w:rPr>
        <w:t xml:space="preserve"> (</w:t>
      </w:r>
      <w:r w:rsidRPr="00411A5F">
        <w:rPr>
          <w:rFonts w:ascii="Arial" w:hAnsi="Arial" w:cs="Arial"/>
          <w:sz w:val="24"/>
          <w:szCs w:val="24"/>
        </w:rPr>
        <w:t xml:space="preserve">Accessed: 18 November 2021). </w:t>
      </w:r>
    </w:p>
    <w:p w14:paraId="4A701594" w14:textId="77777777" w:rsidR="00411A5F" w:rsidRPr="00411A5F" w:rsidRDefault="00411A5F" w:rsidP="00411A5F">
      <w:pPr>
        <w:spacing w:line="360" w:lineRule="auto"/>
        <w:jc w:val="both"/>
        <w:rPr>
          <w:rFonts w:ascii="Arial" w:hAnsi="Arial" w:cs="Arial"/>
          <w:sz w:val="24"/>
          <w:szCs w:val="24"/>
        </w:rPr>
      </w:pPr>
    </w:p>
    <w:p w14:paraId="48F8B51E"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Ferdman, B.M., Prime, J. and Riggio, R.E. (2021) Inclusive Leadership: Transforming diverse lives, workplaces and societies. London: Routledge. </w:t>
      </w:r>
    </w:p>
    <w:p w14:paraId="08491E63" w14:textId="77777777" w:rsidR="00411A5F" w:rsidRPr="00411A5F" w:rsidRDefault="00411A5F" w:rsidP="00411A5F">
      <w:pPr>
        <w:spacing w:line="360" w:lineRule="auto"/>
        <w:jc w:val="both"/>
        <w:rPr>
          <w:rFonts w:ascii="Arial" w:hAnsi="Arial" w:cs="Arial"/>
          <w:sz w:val="24"/>
          <w:szCs w:val="24"/>
        </w:rPr>
      </w:pPr>
    </w:p>
    <w:p w14:paraId="781F715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Ferguson, H. </w:t>
      </w:r>
      <w:r w:rsidRPr="00411A5F">
        <w:rPr>
          <w:rFonts w:ascii="Arial" w:hAnsi="Arial" w:cs="Arial"/>
          <w:i/>
          <w:iCs/>
          <w:sz w:val="24"/>
          <w:szCs w:val="24"/>
        </w:rPr>
        <w:t>et al.</w:t>
      </w:r>
      <w:r w:rsidRPr="00411A5F">
        <w:rPr>
          <w:rFonts w:ascii="Arial" w:hAnsi="Arial" w:cs="Arial"/>
          <w:sz w:val="24"/>
          <w:szCs w:val="24"/>
        </w:rPr>
        <w:t xml:space="preserve"> (2021) ‘Hostile relationships in social work practice: anxiety, hate and conflict in long-term work with involuntary service users’, </w:t>
      </w:r>
      <w:r w:rsidRPr="00411A5F">
        <w:rPr>
          <w:rFonts w:ascii="Arial" w:hAnsi="Arial" w:cs="Arial"/>
          <w:i/>
          <w:iCs/>
          <w:sz w:val="24"/>
          <w:szCs w:val="24"/>
        </w:rPr>
        <w:t>Journal of Social Work Practice</w:t>
      </w:r>
      <w:r w:rsidRPr="00411A5F">
        <w:rPr>
          <w:rFonts w:ascii="Arial" w:hAnsi="Arial" w:cs="Arial"/>
          <w:sz w:val="24"/>
          <w:szCs w:val="24"/>
        </w:rPr>
        <w:t xml:space="preserve">, 35:1, 19-37. DOI: </w:t>
      </w:r>
      <w:hyperlink r:id="rId31" w:history="1">
        <w:r w:rsidRPr="00411A5F">
          <w:rPr>
            <w:rFonts w:ascii="Arial" w:hAnsi="Arial" w:cs="Arial"/>
            <w:color w:val="0563C1" w:themeColor="hyperlink"/>
            <w:sz w:val="24"/>
            <w:szCs w:val="24"/>
            <w:u w:val="single"/>
          </w:rPr>
          <w:t>https://doi.org/10.1080/02650533.2020.1834371</w:t>
        </w:r>
      </w:hyperlink>
      <w:r w:rsidRPr="00411A5F">
        <w:rPr>
          <w:rFonts w:ascii="Arial" w:hAnsi="Arial" w:cs="Arial"/>
          <w:sz w:val="24"/>
          <w:szCs w:val="24"/>
        </w:rPr>
        <w:t xml:space="preserve"> (Accessed: 18 November 2022).</w:t>
      </w:r>
    </w:p>
    <w:p w14:paraId="694AF07D" w14:textId="77777777" w:rsidR="00411A5F" w:rsidRPr="00411A5F" w:rsidRDefault="00411A5F" w:rsidP="00411A5F">
      <w:pPr>
        <w:spacing w:line="360" w:lineRule="auto"/>
        <w:jc w:val="both"/>
        <w:rPr>
          <w:rFonts w:ascii="Arial" w:hAnsi="Arial" w:cs="Arial"/>
          <w:sz w:val="24"/>
          <w:szCs w:val="24"/>
        </w:rPr>
      </w:pPr>
    </w:p>
    <w:p w14:paraId="7AF8D0EF"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Fletcher, C. (2019) IT’S A MUM’S WORLD: CHALLENGING THE ‘DOOFUS DAD’ STEREOTYPE. Available at: </w:t>
      </w:r>
      <w:hyperlink r:id="rId32" w:history="1">
        <w:r w:rsidRPr="00411A5F">
          <w:rPr>
            <w:rFonts w:ascii="Arial" w:hAnsi="Arial" w:cs="Arial"/>
            <w:color w:val="0563C1" w:themeColor="hyperlink"/>
            <w:sz w:val="24"/>
            <w:szCs w:val="24"/>
            <w:u w:val="single"/>
          </w:rPr>
          <w:t>https://www.derby.ac.uk/blog/its-a-mums-world-challenging-the-doofus-dad-stereotype/</w:t>
        </w:r>
      </w:hyperlink>
      <w:r w:rsidRPr="00411A5F">
        <w:rPr>
          <w:rFonts w:ascii="Arial" w:hAnsi="Arial" w:cs="Arial"/>
          <w:sz w:val="24"/>
          <w:szCs w:val="24"/>
        </w:rPr>
        <w:t xml:space="preserve"> (Accessed: 10 January 2022).</w:t>
      </w:r>
    </w:p>
    <w:p w14:paraId="367465BF" w14:textId="77777777" w:rsidR="00411A5F" w:rsidRPr="00411A5F" w:rsidRDefault="00411A5F" w:rsidP="00411A5F">
      <w:pPr>
        <w:spacing w:line="360" w:lineRule="auto"/>
        <w:jc w:val="both"/>
        <w:rPr>
          <w:rFonts w:ascii="Arial" w:hAnsi="Arial" w:cs="Arial"/>
          <w:sz w:val="24"/>
          <w:szCs w:val="24"/>
        </w:rPr>
      </w:pPr>
    </w:p>
    <w:p w14:paraId="2A70333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Gething, V. and </w:t>
      </w:r>
      <w:proofErr w:type="spellStart"/>
      <w:r w:rsidRPr="00411A5F">
        <w:rPr>
          <w:rFonts w:ascii="Arial" w:hAnsi="Arial" w:cs="Arial"/>
          <w:sz w:val="24"/>
          <w:szCs w:val="24"/>
        </w:rPr>
        <w:t>Irranca</w:t>
      </w:r>
      <w:proofErr w:type="spellEnd"/>
      <w:r w:rsidRPr="00411A5F">
        <w:rPr>
          <w:rFonts w:ascii="Arial" w:hAnsi="Arial" w:cs="Arial"/>
          <w:sz w:val="24"/>
          <w:szCs w:val="24"/>
        </w:rPr>
        <w:t xml:space="preserve">-Davies, H. (2019) </w:t>
      </w:r>
      <w:r w:rsidRPr="00411A5F">
        <w:rPr>
          <w:rFonts w:ascii="Arial" w:hAnsi="Arial" w:cs="Arial"/>
          <w:i/>
          <w:iCs/>
          <w:sz w:val="24"/>
          <w:szCs w:val="24"/>
        </w:rPr>
        <w:t>A Healthier Wales: our Plan for Health and Social Care.</w:t>
      </w:r>
      <w:r w:rsidRPr="00411A5F">
        <w:rPr>
          <w:rFonts w:ascii="Arial" w:hAnsi="Arial" w:cs="Arial"/>
          <w:sz w:val="24"/>
          <w:szCs w:val="24"/>
        </w:rPr>
        <w:t xml:space="preserve"> Available at: </w:t>
      </w:r>
      <w:hyperlink r:id="rId33" w:history="1">
        <w:r w:rsidRPr="00411A5F">
          <w:rPr>
            <w:rFonts w:ascii="Arial" w:hAnsi="Arial" w:cs="Arial"/>
            <w:color w:val="0563C1" w:themeColor="hyperlink"/>
            <w:sz w:val="24"/>
            <w:szCs w:val="24"/>
            <w:u w:val="single"/>
          </w:rPr>
          <w:t>https://gov.wales/sites/default/files/publications/2019-10/a-healthier-wales-action-plan.pdf</w:t>
        </w:r>
      </w:hyperlink>
      <w:r w:rsidRPr="00411A5F">
        <w:rPr>
          <w:rFonts w:ascii="Arial" w:hAnsi="Arial" w:cs="Arial"/>
          <w:sz w:val="24"/>
          <w:szCs w:val="24"/>
        </w:rPr>
        <w:t xml:space="preserve"> (Accessed: 10 January 2022). </w:t>
      </w:r>
    </w:p>
    <w:p w14:paraId="2D69B539" w14:textId="77777777" w:rsidR="00411A5F" w:rsidRPr="00411A5F" w:rsidRDefault="00411A5F" w:rsidP="00411A5F">
      <w:pPr>
        <w:spacing w:line="360" w:lineRule="auto"/>
        <w:jc w:val="both"/>
        <w:rPr>
          <w:rFonts w:ascii="Arial" w:hAnsi="Arial" w:cs="Arial"/>
          <w:sz w:val="24"/>
          <w:szCs w:val="24"/>
        </w:rPr>
      </w:pPr>
    </w:p>
    <w:p w14:paraId="4B5A294B"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Gibson, M. (2015) ‘Shame and guilt in child protection social work: new interpretations and opportunities for practice’, </w:t>
      </w:r>
      <w:r w:rsidRPr="00411A5F">
        <w:rPr>
          <w:rFonts w:ascii="Arial" w:hAnsi="Arial" w:cs="Arial"/>
          <w:i/>
          <w:iCs/>
          <w:sz w:val="24"/>
          <w:szCs w:val="24"/>
        </w:rPr>
        <w:t>Child &amp; Family Social Work</w:t>
      </w:r>
      <w:r w:rsidRPr="00411A5F">
        <w:rPr>
          <w:rFonts w:ascii="Arial" w:hAnsi="Arial" w:cs="Arial"/>
          <w:sz w:val="24"/>
          <w:szCs w:val="24"/>
        </w:rPr>
        <w:t xml:space="preserve">, 20(3), pp.333-343. DOI: </w:t>
      </w:r>
      <w:hyperlink r:id="rId34" w:history="1">
        <w:r w:rsidRPr="00411A5F">
          <w:rPr>
            <w:rFonts w:ascii="Arial" w:hAnsi="Arial" w:cs="Arial"/>
            <w:color w:val="0563C1" w:themeColor="hyperlink"/>
            <w:sz w:val="24"/>
            <w:szCs w:val="24"/>
            <w:u w:val="single"/>
          </w:rPr>
          <w:t>https://doi.org/10.1111/cfs.12081</w:t>
        </w:r>
      </w:hyperlink>
      <w:r w:rsidRPr="00411A5F">
        <w:rPr>
          <w:rFonts w:ascii="Arial" w:hAnsi="Arial" w:cs="Arial"/>
          <w:sz w:val="24"/>
          <w:szCs w:val="24"/>
        </w:rPr>
        <w:t xml:space="preserve"> (Accessed: 13 January 2022).</w:t>
      </w:r>
    </w:p>
    <w:p w14:paraId="5CEEF710" w14:textId="77777777" w:rsidR="00411A5F" w:rsidRPr="00411A5F" w:rsidRDefault="00411A5F" w:rsidP="00411A5F">
      <w:pPr>
        <w:spacing w:line="360" w:lineRule="auto"/>
        <w:jc w:val="both"/>
        <w:rPr>
          <w:rFonts w:ascii="Arial" w:hAnsi="Arial" w:cs="Arial"/>
          <w:sz w:val="24"/>
          <w:szCs w:val="24"/>
        </w:rPr>
      </w:pPr>
    </w:p>
    <w:p w14:paraId="5689125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Glynn, L. and Dale, M. (2015) ‘Engaging dads: Enhancing support for fathers through parenting programmes’, </w:t>
      </w:r>
      <w:r w:rsidRPr="00411A5F">
        <w:rPr>
          <w:rFonts w:ascii="Arial" w:hAnsi="Arial" w:cs="Arial"/>
          <w:i/>
          <w:iCs/>
          <w:sz w:val="24"/>
          <w:szCs w:val="24"/>
        </w:rPr>
        <w:t>Aotearoa New Zealand Social Work</w:t>
      </w:r>
      <w:r w:rsidRPr="00411A5F">
        <w:rPr>
          <w:rFonts w:ascii="Arial" w:hAnsi="Arial" w:cs="Arial"/>
          <w:sz w:val="24"/>
          <w:szCs w:val="24"/>
        </w:rPr>
        <w:t xml:space="preserve">, 27(1/2), pp.59-72. Available at: </w:t>
      </w:r>
      <w:hyperlink r:id="rId35" w:history="1">
        <w:r w:rsidRPr="00411A5F">
          <w:rPr>
            <w:rFonts w:ascii="Arial" w:hAnsi="Arial" w:cs="Arial"/>
            <w:color w:val="0563C1" w:themeColor="hyperlink"/>
            <w:sz w:val="24"/>
            <w:szCs w:val="24"/>
            <w:u w:val="single"/>
          </w:rPr>
          <w:t>https://search.informit.org/doi/abs/10.3316/INFORMIT.187023262934284</w:t>
        </w:r>
      </w:hyperlink>
      <w:r w:rsidRPr="00411A5F">
        <w:rPr>
          <w:rFonts w:ascii="Arial" w:hAnsi="Arial" w:cs="Arial"/>
          <w:sz w:val="24"/>
          <w:szCs w:val="24"/>
        </w:rPr>
        <w:t xml:space="preserve"> (Accessed: 15 January 2022).</w:t>
      </w:r>
    </w:p>
    <w:p w14:paraId="63910179" w14:textId="77777777" w:rsidR="00411A5F" w:rsidRPr="00411A5F" w:rsidRDefault="00411A5F" w:rsidP="00411A5F">
      <w:pPr>
        <w:spacing w:line="360" w:lineRule="auto"/>
        <w:jc w:val="both"/>
        <w:rPr>
          <w:rFonts w:ascii="Arial" w:hAnsi="Arial" w:cs="Arial"/>
          <w:sz w:val="24"/>
          <w:szCs w:val="24"/>
        </w:rPr>
      </w:pPr>
    </w:p>
    <w:p w14:paraId="4CF25A7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Graham, P.L., Russo, R. and Defeyter, M.A. (2015) ‘The advantages and disadvantages of breakfast clubs according to parents, children, and school staff in the </w:t>
      </w:r>
      <w:proofErr w:type="gramStart"/>
      <w:r w:rsidRPr="00411A5F">
        <w:rPr>
          <w:rFonts w:ascii="Arial" w:hAnsi="Arial" w:cs="Arial"/>
          <w:sz w:val="24"/>
          <w:szCs w:val="24"/>
        </w:rPr>
        <w:t>North East</w:t>
      </w:r>
      <w:proofErr w:type="gramEnd"/>
      <w:r w:rsidRPr="00411A5F">
        <w:rPr>
          <w:rFonts w:ascii="Arial" w:hAnsi="Arial" w:cs="Arial"/>
          <w:sz w:val="24"/>
          <w:szCs w:val="24"/>
        </w:rPr>
        <w:t xml:space="preserve"> of England, UK’, Frontiers in Public Health, 3, p.156. URL: </w:t>
      </w:r>
      <w:hyperlink r:id="rId36" w:history="1">
        <w:r w:rsidRPr="00411A5F">
          <w:rPr>
            <w:rFonts w:ascii="Arial" w:hAnsi="Arial" w:cs="Arial"/>
            <w:color w:val="0563C1" w:themeColor="hyperlink"/>
            <w:sz w:val="24"/>
            <w:szCs w:val="24"/>
            <w:u w:val="single"/>
          </w:rPr>
          <w:t>https://www.frontiersin.org/articles/10.3389/fpubh.2015.00156/full</w:t>
        </w:r>
      </w:hyperlink>
      <w:r w:rsidRPr="00411A5F">
        <w:rPr>
          <w:rFonts w:ascii="Arial" w:hAnsi="Arial" w:cs="Arial"/>
          <w:sz w:val="24"/>
          <w:szCs w:val="24"/>
        </w:rPr>
        <w:t xml:space="preserve"> (Accessed: 13 January 2022).</w:t>
      </w:r>
    </w:p>
    <w:p w14:paraId="088498F1" w14:textId="77777777" w:rsidR="00411A5F" w:rsidRPr="00411A5F" w:rsidRDefault="00411A5F" w:rsidP="00411A5F">
      <w:pPr>
        <w:spacing w:line="360" w:lineRule="auto"/>
        <w:jc w:val="both"/>
        <w:rPr>
          <w:rFonts w:ascii="Arial" w:hAnsi="Arial" w:cs="Arial"/>
          <w:sz w:val="24"/>
          <w:szCs w:val="24"/>
        </w:rPr>
      </w:pPr>
    </w:p>
    <w:p w14:paraId="61EBFAA3"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Baumberg</w:t>
      </w:r>
      <w:proofErr w:type="spellEnd"/>
      <w:r w:rsidRPr="00411A5F">
        <w:rPr>
          <w:rFonts w:ascii="Arial" w:hAnsi="Arial" w:cs="Arial"/>
          <w:sz w:val="24"/>
          <w:szCs w:val="24"/>
        </w:rPr>
        <w:t xml:space="preserve"> Geiger, B. (2016) ‘The stigma of claiming benefits: a quantitative study’, </w:t>
      </w:r>
      <w:r w:rsidRPr="00411A5F">
        <w:rPr>
          <w:rFonts w:ascii="Arial" w:hAnsi="Arial" w:cs="Arial"/>
          <w:i/>
          <w:iCs/>
          <w:sz w:val="24"/>
          <w:szCs w:val="24"/>
        </w:rPr>
        <w:t>Journal of Social Policy,</w:t>
      </w:r>
      <w:r w:rsidRPr="00411A5F">
        <w:rPr>
          <w:rFonts w:ascii="Arial" w:hAnsi="Arial" w:cs="Arial"/>
          <w:sz w:val="24"/>
          <w:szCs w:val="24"/>
        </w:rPr>
        <w:t xml:space="preserve"> 45 (2). pp. 181-199. URL: </w:t>
      </w:r>
      <w:hyperlink r:id="rId37" w:history="1">
        <w:r w:rsidRPr="00411A5F">
          <w:rPr>
            <w:rFonts w:ascii="Arial" w:hAnsi="Arial" w:cs="Arial"/>
            <w:color w:val="0563C1" w:themeColor="hyperlink"/>
            <w:sz w:val="24"/>
            <w:szCs w:val="24"/>
            <w:u w:val="single"/>
          </w:rPr>
          <w:t>https://kar.kent.ac.uk/55433/3/2016%20JSP%20stigma%20paper%20final%20post-print%20(2).pdf</w:t>
        </w:r>
      </w:hyperlink>
      <w:r w:rsidRPr="00411A5F">
        <w:rPr>
          <w:rFonts w:ascii="Arial" w:hAnsi="Arial" w:cs="Arial"/>
          <w:sz w:val="24"/>
          <w:szCs w:val="24"/>
        </w:rPr>
        <w:t xml:space="preserve"> (Accessed: 10 January 2022).</w:t>
      </w:r>
    </w:p>
    <w:p w14:paraId="34FB3C0C" w14:textId="77777777" w:rsidR="00411A5F" w:rsidRPr="00411A5F" w:rsidRDefault="00411A5F" w:rsidP="00411A5F">
      <w:pPr>
        <w:spacing w:line="360" w:lineRule="auto"/>
        <w:jc w:val="both"/>
        <w:rPr>
          <w:rFonts w:ascii="Arial" w:hAnsi="Arial" w:cs="Arial"/>
          <w:sz w:val="24"/>
          <w:szCs w:val="24"/>
        </w:rPr>
      </w:pPr>
    </w:p>
    <w:p w14:paraId="253B635D" w14:textId="77777777" w:rsidR="00411A5F" w:rsidRPr="00411A5F" w:rsidRDefault="00411A5F" w:rsidP="00411A5F">
      <w:pPr>
        <w:spacing w:line="360" w:lineRule="auto"/>
        <w:jc w:val="both"/>
        <w:rPr>
          <w:rFonts w:ascii="Arial" w:eastAsiaTheme="minorEastAsia" w:hAnsi="Arial" w:cs="Arial"/>
          <w:sz w:val="24"/>
          <w:szCs w:val="24"/>
          <w:lang w:eastAsia="zh-CN"/>
        </w:rPr>
      </w:pPr>
      <w:proofErr w:type="spellStart"/>
      <w:r w:rsidRPr="00411A5F">
        <w:rPr>
          <w:rFonts w:ascii="Arial" w:eastAsiaTheme="minorEastAsia" w:hAnsi="Arial" w:cs="Arial"/>
          <w:sz w:val="24"/>
          <w:szCs w:val="24"/>
          <w:lang w:eastAsia="zh-CN"/>
        </w:rPr>
        <w:t>Hafford-Letchfield</w:t>
      </w:r>
      <w:proofErr w:type="spellEnd"/>
      <w:r w:rsidRPr="00411A5F">
        <w:rPr>
          <w:rFonts w:ascii="Arial" w:eastAsiaTheme="minorEastAsia" w:hAnsi="Arial" w:cs="Arial"/>
          <w:sz w:val="24"/>
          <w:szCs w:val="24"/>
          <w:lang w:eastAsia="zh-CN"/>
        </w:rPr>
        <w:t>, T</w:t>
      </w:r>
      <w:r w:rsidRPr="00411A5F">
        <w:rPr>
          <w:rFonts w:ascii="Arial" w:eastAsiaTheme="minorEastAsia" w:hAnsi="Arial" w:cs="Arial"/>
          <w:i/>
          <w:iCs/>
          <w:sz w:val="24"/>
          <w:szCs w:val="24"/>
          <w:lang w:eastAsia="zh-CN"/>
        </w:rPr>
        <w:t>. et al</w:t>
      </w:r>
      <w:r w:rsidRPr="00411A5F">
        <w:rPr>
          <w:rFonts w:ascii="Arial" w:eastAsiaTheme="minorEastAsia" w:hAnsi="Arial" w:cs="Arial"/>
          <w:sz w:val="24"/>
          <w:szCs w:val="24"/>
          <w:lang w:eastAsia="zh-CN"/>
        </w:rPr>
        <w:t xml:space="preserve">. (2014) </w:t>
      </w:r>
      <w:r w:rsidRPr="00411A5F">
        <w:rPr>
          <w:rFonts w:ascii="Arial" w:eastAsiaTheme="minorEastAsia" w:hAnsi="Arial" w:cs="Arial"/>
          <w:i/>
          <w:iCs/>
          <w:sz w:val="24"/>
          <w:szCs w:val="24"/>
          <w:lang w:eastAsia="zh-CN"/>
        </w:rPr>
        <w:t xml:space="preserve">Inclusive leadership in social work and social care. </w:t>
      </w:r>
      <w:r w:rsidRPr="00411A5F">
        <w:rPr>
          <w:rFonts w:ascii="Arial" w:eastAsiaTheme="minorEastAsia" w:hAnsi="Arial" w:cs="Arial"/>
          <w:sz w:val="24"/>
          <w:szCs w:val="24"/>
          <w:lang w:eastAsia="zh-CN"/>
        </w:rPr>
        <w:t xml:space="preserve"> Bristol. Polity Press.</w:t>
      </w:r>
    </w:p>
    <w:p w14:paraId="725FB9CE" w14:textId="77777777" w:rsidR="00411A5F" w:rsidRPr="00411A5F" w:rsidRDefault="00411A5F" w:rsidP="00411A5F">
      <w:pPr>
        <w:spacing w:line="360" w:lineRule="auto"/>
        <w:jc w:val="both"/>
        <w:rPr>
          <w:rFonts w:ascii="Arial" w:hAnsi="Arial" w:cs="Arial"/>
          <w:sz w:val="24"/>
          <w:szCs w:val="24"/>
        </w:rPr>
      </w:pPr>
    </w:p>
    <w:p w14:paraId="5D67F79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Harris, A., Jones, M. and Crick, T. (2020) ‘Curriculum leadership: a critical contributor to school and system improvement’, </w:t>
      </w:r>
      <w:r w:rsidRPr="00411A5F">
        <w:rPr>
          <w:rFonts w:ascii="Arial" w:hAnsi="Arial" w:cs="Arial"/>
          <w:i/>
          <w:iCs/>
          <w:sz w:val="24"/>
          <w:szCs w:val="24"/>
        </w:rPr>
        <w:t>School Leadership &amp; Management</w:t>
      </w:r>
      <w:r w:rsidRPr="00411A5F">
        <w:rPr>
          <w:rFonts w:ascii="Arial" w:hAnsi="Arial" w:cs="Arial"/>
          <w:sz w:val="24"/>
          <w:szCs w:val="24"/>
        </w:rPr>
        <w:t xml:space="preserve">, 40(1), pp.1-4. DOI: </w:t>
      </w:r>
      <w:hyperlink r:id="rId38" w:history="1">
        <w:r w:rsidRPr="00411A5F">
          <w:rPr>
            <w:rFonts w:ascii="Arial" w:hAnsi="Arial" w:cs="Arial"/>
            <w:color w:val="0563C1" w:themeColor="hyperlink"/>
            <w:sz w:val="24"/>
            <w:szCs w:val="24"/>
            <w:u w:val="single"/>
          </w:rPr>
          <w:t>https://doi.org/10.1080/13632434.2020.1704470</w:t>
        </w:r>
      </w:hyperlink>
      <w:r w:rsidRPr="00411A5F">
        <w:rPr>
          <w:rFonts w:ascii="Arial" w:hAnsi="Arial" w:cs="Arial"/>
          <w:sz w:val="24"/>
          <w:szCs w:val="24"/>
        </w:rPr>
        <w:t xml:space="preserve"> (Accessed: 10 January 2022). </w:t>
      </w:r>
    </w:p>
    <w:p w14:paraId="78914685" w14:textId="77777777" w:rsidR="00411A5F" w:rsidRPr="00411A5F" w:rsidRDefault="00411A5F" w:rsidP="00411A5F">
      <w:pPr>
        <w:spacing w:line="360" w:lineRule="auto"/>
        <w:jc w:val="both"/>
        <w:rPr>
          <w:rFonts w:ascii="Arial" w:hAnsi="Arial" w:cs="Arial"/>
          <w:sz w:val="24"/>
          <w:szCs w:val="24"/>
        </w:rPr>
      </w:pPr>
    </w:p>
    <w:p w14:paraId="784B5C2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Hayes, E. (2020) Why Dads Can Feel Sad </w:t>
      </w:r>
      <w:proofErr w:type="gramStart"/>
      <w:r w:rsidRPr="00411A5F">
        <w:rPr>
          <w:rFonts w:ascii="Arial" w:hAnsi="Arial" w:cs="Arial"/>
          <w:sz w:val="24"/>
          <w:szCs w:val="24"/>
        </w:rPr>
        <w:t>And</w:t>
      </w:r>
      <w:proofErr w:type="gramEnd"/>
      <w:r w:rsidRPr="00411A5F">
        <w:rPr>
          <w:rFonts w:ascii="Arial" w:hAnsi="Arial" w:cs="Arial"/>
          <w:sz w:val="24"/>
          <w:szCs w:val="24"/>
        </w:rPr>
        <w:t xml:space="preserve"> Lonely Too. Available at: </w:t>
      </w:r>
      <w:hyperlink r:id="rId39" w:history="1">
        <w:r w:rsidRPr="00411A5F">
          <w:rPr>
            <w:rFonts w:ascii="Arial" w:hAnsi="Arial" w:cs="Arial"/>
            <w:color w:val="0563C1" w:themeColor="hyperlink"/>
            <w:sz w:val="24"/>
            <w:szCs w:val="24"/>
            <w:u w:val="single"/>
          </w:rPr>
          <w:t>https://www.familyfriendlyhq.ie/parenthood/health-wellness/dads-lonely-too-11667/</w:t>
        </w:r>
      </w:hyperlink>
      <w:r w:rsidRPr="00411A5F">
        <w:rPr>
          <w:rFonts w:ascii="Arial" w:hAnsi="Arial" w:cs="Arial"/>
          <w:sz w:val="24"/>
          <w:szCs w:val="24"/>
        </w:rPr>
        <w:t xml:space="preserve"> (Accessed: 13 January 2022).</w:t>
      </w:r>
    </w:p>
    <w:p w14:paraId="7E1ACCC8" w14:textId="77777777" w:rsidR="00411A5F" w:rsidRPr="00411A5F" w:rsidRDefault="00411A5F" w:rsidP="00411A5F">
      <w:pPr>
        <w:spacing w:line="360" w:lineRule="auto"/>
        <w:jc w:val="both"/>
        <w:rPr>
          <w:rFonts w:ascii="Arial" w:hAnsi="Arial" w:cs="Arial"/>
          <w:sz w:val="24"/>
          <w:szCs w:val="24"/>
        </w:rPr>
      </w:pPr>
    </w:p>
    <w:p w14:paraId="652F10A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Hughes, S. and Lewis, H. (2020) ‘Tensions in current curriculum reform and the development of teachers’ professional autonomy’, </w:t>
      </w:r>
      <w:r w:rsidRPr="00411A5F">
        <w:rPr>
          <w:rFonts w:ascii="Arial" w:hAnsi="Arial" w:cs="Arial"/>
          <w:i/>
          <w:iCs/>
          <w:sz w:val="24"/>
          <w:szCs w:val="24"/>
        </w:rPr>
        <w:t>The curriculum journal</w:t>
      </w:r>
      <w:r w:rsidRPr="00411A5F">
        <w:rPr>
          <w:rFonts w:ascii="Arial" w:hAnsi="Arial" w:cs="Arial"/>
          <w:sz w:val="24"/>
          <w:szCs w:val="24"/>
        </w:rPr>
        <w:t xml:space="preserve">, 31(2), pp.290-302. DOI: </w:t>
      </w:r>
      <w:hyperlink r:id="rId40" w:history="1">
        <w:r w:rsidRPr="00411A5F">
          <w:rPr>
            <w:rFonts w:ascii="Arial" w:hAnsi="Arial" w:cs="Arial"/>
            <w:color w:val="0563C1" w:themeColor="hyperlink"/>
            <w:sz w:val="24"/>
            <w:szCs w:val="24"/>
            <w:u w:val="single"/>
          </w:rPr>
          <w:t>https://doi.org/10.1002/curj.25</w:t>
        </w:r>
      </w:hyperlink>
      <w:r w:rsidRPr="00411A5F">
        <w:rPr>
          <w:rFonts w:ascii="Arial" w:hAnsi="Arial" w:cs="Arial"/>
          <w:sz w:val="24"/>
          <w:szCs w:val="24"/>
        </w:rPr>
        <w:t xml:space="preserve"> (Accessed: 18 November 2021).</w:t>
      </w:r>
    </w:p>
    <w:p w14:paraId="599F14E9" w14:textId="77777777" w:rsidR="00411A5F" w:rsidRPr="00411A5F" w:rsidRDefault="00411A5F" w:rsidP="00411A5F">
      <w:pPr>
        <w:spacing w:line="360" w:lineRule="auto"/>
        <w:jc w:val="both"/>
        <w:rPr>
          <w:rFonts w:ascii="Arial" w:hAnsi="Arial" w:cs="Arial"/>
          <w:sz w:val="24"/>
          <w:szCs w:val="24"/>
        </w:rPr>
      </w:pPr>
    </w:p>
    <w:p w14:paraId="46F20F9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Kilgore, B. D. (2019) </w:t>
      </w:r>
      <w:r w:rsidRPr="00411A5F">
        <w:rPr>
          <w:rFonts w:ascii="Arial" w:hAnsi="Arial" w:cs="Arial"/>
          <w:i/>
          <w:iCs/>
          <w:sz w:val="24"/>
          <w:szCs w:val="24"/>
        </w:rPr>
        <w:t>The Importance of Play Groups for Dads</w:t>
      </w:r>
      <w:r w:rsidRPr="00411A5F">
        <w:rPr>
          <w:rFonts w:ascii="Arial" w:hAnsi="Arial" w:cs="Arial"/>
          <w:sz w:val="24"/>
          <w:szCs w:val="24"/>
        </w:rPr>
        <w:t xml:space="preserve">. Available at: </w:t>
      </w:r>
      <w:hyperlink r:id="rId41" w:history="1">
        <w:r w:rsidRPr="00411A5F">
          <w:rPr>
            <w:rFonts w:ascii="Arial" w:hAnsi="Arial" w:cs="Arial"/>
            <w:color w:val="0563C1" w:themeColor="hyperlink"/>
            <w:sz w:val="24"/>
            <w:szCs w:val="24"/>
            <w:u w:val="single"/>
          </w:rPr>
          <w:t>https://www.washingtonpost.com/news/parenting/wp/2017/12/28/the-importance-of-a-play-group-for-dads/</w:t>
        </w:r>
      </w:hyperlink>
      <w:r w:rsidRPr="00411A5F">
        <w:rPr>
          <w:rFonts w:ascii="Arial" w:hAnsi="Arial" w:cs="Arial"/>
          <w:sz w:val="24"/>
          <w:szCs w:val="24"/>
        </w:rPr>
        <w:t xml:space="preserve"> (Accessed: 14 January 2022).</w:t>
      </w:r>
    </w:p>
    <w:p w14:paraId="4F4D626F" w14:textId="77777777" w:rsidR="00411A5F" w:rsidRPr="00411A5F" w:rsidRDefault="00411A5F" w:rsidP="00411A5F">
      <w:pPr>
        <w:spacing w:line="360" w:lineRule="auto"/>
        <w:jc w:val="both"/>
        <w:rPr>
          <w:rFonts w:ascii="Arial" w:hAnsi="Arial" w:cs="Arial"/>
          <w:sz w:val="24"/>
          <w:szCs w:val="24"/>
        </w:rPr>
      </w:pPr>
    </w:p>
    <w:p w14:paraId="66C60DD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Siraj, I., Kingston, D. and Neilsen-Hewett, C. (2019) ‘The Role of Professional Development in Improving Quality and Supporting Child Outcomes in Early Education and Care’</w:t>
      </w:r>
      <w:r w:rsidRPr="00411A5F">
        <w:rPr>
          <w:rFonts w:ascii="Arial" w:hAnsi="Arial" w:cs="Arial"/>
          <w:i/>
          <w:iCs/>
          <w:sz w:val="24"/>
          <w:szCs w:val="24"/>
        </w:rPr>
        <w:t>, Asia-Pacific Journal of Research in Early Childhood Education,</w:t>
      </w:r>
      <w:r w:rsidRPr="00411A5F">
        <w:rPr>
          <w:rFonts w:ascii="Arial" w:hAnsi="Arial" w:cs="Arial"/>
          <w:sz w:val="24"/>
          <w:szCs w:val="24"/>
        </w:rPr>
        <w:t xml:space="preserve"> 13(2). DOI: </w:t>
      </w:r>
      <w:hyperlink r:id="rId42" w:history="1">
        <w:r w:rsidRPr="00411A5F">
          <w:rPr>
            <w:rFonts w:ascii="Arial" w:hAnsi="Arial" w:cs="Arial"/>
            <w:color w:val="0563C1" w:themeColor="hyperlink"/>
            <w:sz w:val="24"/>
            <w:szCs w:val="24"/>
            <w:u w:val="single"/>
          </w:rPr>
          <w:t>http://dx.doi.org/10.17206/apjrece.2019.13.2.49</w:t>
        </w:r>
      </w:hyperlink>
      <w:r w:rsidRPr="00411A5F">
        <w:rPr>
          <w:rFonts w:ascii="Arial" w:hAnsi="Arial" w:cs="Arial"/>
          <w:sz w:val="24"/>
          <w:szCs w:val="24"/>
        </w:rPr>
        <w:t xml:space="preserve"> (Accessed: 18 November 2021).</w:t>
      </w:r>
    </w:p>
    <w:p w14:paraId="570E0949" w14:textId="77777777" w:rsidR="00411A5F" w:rsidRPr="00411A5F" w:rsidRDefault="00411A5F" w:rsidP="00411A5F">
      <w:pPr>
        <w:spacing w:line="360" w:lineRule="auto"/>
        <w:jc w:val="both"/>
        <w:rPr>
          <w:rFonts w:ascii="Arial" w:hAnsi="Arial" w:cs="Arial"/>
          <w:sz w:val="24"/>
          <w:szCs w:val="24"/>
        </w:rPr>
      </w:pPr>
    </w:p>
    <w:p w14:paraId="50870BF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Juvonen, J. </w:t>
      </w:r>
      <w:r w:rsidRPr="00411A5F">
        <w:rPr>
          <w:rFonts w:ascii="Arial" w:hAnsi="Arial" w:cs="Arial"/>
          <w:i/>
          <w:iCs/>
          <w:sz w:val="24"/>
          <w:szCs w:val="24"/>
        </w:rPr>
        <w:t>et al.</w:t>
      </w:r>
      <w:r w:rsidRPr="00411A5F">
        <w:rPr>
          <w:rFonts w:ascii="Arial" w:hAnsi="Arial" w:cs="Arial"/>
          <w:sz w:val="24"/>
          <w:szCs w:val="24"/>
        </w:rPr>
        <w:t xml:space="preserve">  (2019) ‘Promoting social inclusion in educational settings: Challenges and opportunities’, </w:t>
      </w:r>
      <w:r w:rsidRPr="00411A5F">
        <w:rPr>
          <w:rFonts w:ascii="Arial" w:hAnsi="Arial" w:cs="Arial"/>
          <w:i/>
          <w:iCs/>
          <w:sz w:val="24"/>
          <w:szCs w:val="24"/>
        </w:rPr>
        <w:t>Educational Psychologist</w:t>
      </w:r>
      <w:r w:rsidRPr="00411A5F">
        <w:rPr>
          <w:rFonts w:ascii="Arial" w:hAnsi="Arial" w:cs="Arial"/>
          <w:sz w:val="24"/>
          <w:szCs w:val="24"/>
        </w:rPr>
        <w:t xml:space="preserve">, 54(4), pp.250-270. DOI: </w:t>
      </w:r>
      <w:hyperlink r:id="rId43" w:history="1">
        <w:r w:rsidRPr="00411A5F">
          <w:rPr>
            <w:rFonts w:ascii="Arial" w:hAnsi="Arial" w:cs="Arial"/>
            <w:color w:val="0563C1" w:themeColor="hyperlink"/>
            <w:sz w:val="24"/>
            <w:szCs w:val="24"/>
            <w:u w:val="single"/>
          </w:rPr>
          <w:t>https://doi.org/10.1080/00461520.2019.1655645</w:t>
        </w:r>
      </w:hyperlink>
      <w:r w:rsidRPr="00411A5F">
        <w:rPr>
          <w:rFonts w:ascii="Arial" w:hAnsi="Arial" w:cs="Arial"/>
          <w:sz w:val="24"/>
          <w:szCs w:val="24"/>
        </w:rPr>
        <w:t xml:space="preserve"> (Accessed: 12 January 2022).</w:t>
      </w:r>
    </w:p>
    <w:p w14:paraId="67E3B3E9" w14:textId="77777777" w:rsidR="00411A5F" w:rsidRPr="00411A5F" w:rsidRDefault="00411A5F" w:rsidP="00411A5F">
      <w:pPr>
        <w:spacing w:line="360" w:lineRule="auto"/>
        <w:jc w:val="both"/>
        <w:rPr>
          <w:rFonts w:ascii="Arial" w:hAnsi="Arial" w:cs="Arial"/>
          <w:sz w:val="24"/>
          <w:szCs w:val="24"/>
        </w:rPr>
      </w:pPr>
    </w:p>
    <w:p w14:paraId="2579EB0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Martell, N. (2015) </w:t>
      </w:r>
      <w:r w:rsidRPr="00411A5F">
        <w:rPr>
          <w:rFonts w:ascii="Arial" w:hAnsi="Arial" w:cs="Arial"/>
          <w:i/>
          <w:iCs/>
          <w:sz w:val="24"/>
          <w:szCs w:val="24"/>
        </w:rPr>
        <w:t>Why it’s not easy to be a dad in a mom’s world</w:t>
      </w:r>
      <w:r w:rsidRPr="00411A5F">
        <w:rPr>
          <w:rFonts w:ascii="Arial" w:hAnsi="Arial" w:cs="Arial"/>
          <w:sz w:val="24"/>
          <w:szCs w:val="24"/>
        </w:rPr>
        <w:t xml:space="preserve">. Available at: </w:t>
      </w:r>
      <w:hyperlink r:id="rId44" w:history="1">
        <w:r w:rsidRPr="00411A5F">
          <w:rPr>
            <w:rFonts w:ascii="Arial" w:hAnsi="Arial" w:cs="Arial"/>
            <w:color w:val="0563C1" w:themeColor="hyperlink"/>
            <w:sz w:val="24"/>
            <w:szCs w:val="24"/>
            <w:u w:val="single"/>
          </w:rPr>
          <w:t>https://www.washingtonpost.com/news/parenting/wp/2015/04/20/im-a-dad-in-a-moms-world/</w:t>
        </w:r>
      </w:hyperlink>
      <w:r w:rsidRPr="00411A5F">
        <w:rPr>
          <w:rFonts w:ascii="Arial" w:hAnsi="Arial" w:cs="Arial"/>
          <w:sz w:val="24"/>
          <w:szCs w:val="24"/>
        </w:rPr>
        <w:t xml:space="preserve"> (Accessed: 13 January 2022).</w:t>
      </w:r>
    </w:p>
    <w:p w14:paraId="513A4F46" w14:textId="77777777" w:rsidR="00411A5F" w:rsidRPr="00411A5F" w:rsidRDefault="00411A5F" w:rsidP="00411A5F">
      <w:pPr>
        <w:spacing w:line="360" w:lineRule="auto"/>
        <w:jc w:val="both"/>
        <w:rPr>
          <w:rFonts w:ascii="Arial" w:hAnsi="Arial" w:cs="Arial"/>
          <w:sz w:val="24"/>
          <w:szCs w:val="24"/>
        </w:rPr>
      </w:pPr>
    </w:p>
    <w:p w14:paraId="45000134" w14:textId="6445193C" w:rsidR="00411A5F" w:rsidRDefault="00411A5F" w:rsidP="00411A5F">
      <w:pPr>
        <w:spacing w:line="360" w:lineRule="auto"/>
        <w:jc w:val="both"/>
        <w:rPr>
          <w:rFonts w:ascii="Arial" w:hAnsi="Arial" w:cs="Arial"/>
          <w:sz w:val="24"/>
          <w:szCs w:val="24"/>
        </w:rPr>
      </w:pPr>
      <w:r w:rsidRPr="00411A5F">
        <w:rPr>
          <w:rFonts w:ascii="Arial" w:hAnsi="Arial" w:cs="Arial"/>
          <w:sz w:val="24"/>
          <w:szCs w:val="24"/>
          <w:lang w:val="en-US"/>
        </w:rPr>
        <w:t xml:space="preserve">Mentally healthy schools (no date) </w:t>
      </w:r>
      <w:r w:rsidRPr="00411A5F">
        <w:rPr>
          <w:rFonts w:ascii="Arial" w:hAnsi="Arial" w:cs="Arial"/>
          <w:i/>
          <w:iCs/>
          <w:sz w:val="24"/>
          <w:szCs w:val="24"/>
          <w:lang w:val="en-US"/>
        </w:rPr>
        <w:t xml:space="preserve">Relationships and belonging. </w:t>
      </w:r>
      <w:r w:rsidRPr="00411A5F">
        <w:rPr>
          <w:rFonts w:ascii="Arial" w:hAnsi="Arial" w:cs="Arial"/>
          <w:sz w:val="24"/>
          <w:szCs w:val="24"/>
          <w:lang w:val="en-US"/>
        </w:rPr>
        <w:t xml:space="preserve">Available at: </w:t>
      </w:r>
      <w:hyperlink r:id="rId45" w:history="1">
        <w:r w:rsidRPr="00411A5F">
          <w:rPr>
            <w:rFonts w:ascii="Arial" w:hAnsi="Arial" w:cs="Arial"/>
            <w:color w:val="0563C1" w:themeColor="hyperlink"/>
            <w:sz w:val="24"/>
            <w:szCs w:val="24"/>
            <w:u w:val="single"/>
            <w:lang w:val="en-US"/>
          </w:rPr>
          <w:t>https://www.mentallyhealthyschools.org.uk/risks-and-protective-factors/school-based-risk-factors/relationships-and-belonging/</w:t>
        </w:r>
      </w:hyperlink>
      <w:r w:rsidRPr="00411A5F">
        <w:rPr>
          <w:rFonts w:ascii="Arial" w:hAnsi="Arial" w:cs="Arial"/>
          <w:sz w:val="24"/>
          <w:szCs w:val="24"/>
          <w:lang w:val="en-US"/>
        </w:rPr>
        <w:t xml:space="preserve"> </w:t>
      </w:r>
      <w:r w:rsidRPr="00411A5F">
        <w:rPr>
          <w:rFonts w:ascii="Arial" w:hAnsi="Arial" w:cs="Arial"/>
          <w:sz w:val="24"/>
          <w:szCs w:val="24"/>
        </w:rPr>
        <w:t xml:space="preserve">(Accessed: 18 November 2021). </w:t>
      </w:r>
    </w:p>
    <w:p w14:paraId="49E608CF" w14:textId="18ECCA43" w:rsidR="00B75ED7" w:rsidRDefault="00B75ED7" w:rsidP="00411A5F">
      <w:pPr>
        <w:spacing w:line="360" w:lineRule="auto"/>
        <w:jc w:val="both"/>
        <w:rPr>
          <w:rFonts w:ascii="Arial" w:hAnsi="Arial" w:cs="Arial"/>
          <w:sz w:val="24"/>
          <w:szCs w:val="24"/>
        </w:rPr>
      </w:pPr>
    </w:p>
    <w:p w14:paraId="4F1836BE" w14:textId="113F58BE" w:rsidR="00B75ED7" w:rsidRPr="00411A5F" w:rsidRDefault="00B75ED7" w:rsidP="00411A5F">
      <w:pPr>
        <w:spacing w:line="360" w:lineRule="auto"/>
        <w:jc w:val="both"/>
        <w:rPr>
          <w:rFonts w:ascii="Arial" w:hAnsi="Arial" w:cs="Arial"/>
          <w:sz w:val="24"/>
          <w:szCs w:val="24"/>
        </w:rPr>
      </w:pPr>
      <w:r>
        <w:rPr>
          <w:rFonts w:ascii="Arial" w:hAnsi="Arial" w:cs="Arial"/>
          <w:sz w:val="24"/>
          <w:szCs w:val="24"/>
        </w:rPr>
        <w:t>McGeary</w:t>
      </w:r>
      <w:r w:rsidR="004334DD">
        <w:rPr>
          <w:rFonts w:ascii="Arial" w:hAnsi="Arial" w:cs="Arial"/>
          <w:sz w:val="24"/>
          <w:szCs w:val="24"/>
        </w:rPr>
        <w:t xml:space="preserve">, B. (2021) </w:t>
      </w:r>
      <w:r w:rsidR="004334DD" w:rsidRPr="00730C19">
        <w:rPr>
          <w:rFonts w:ascii="Arial" w:hAnsi="Arial" w:cs="Arial"/>
          <w:i/>
          <w:iCs/>
          <w:sz w:val="24"/>
          <w:szCs w:val="24"/>
        </w:rPr>
        <w:t>How to get dads more involved in the Early Years</w:t>
      </w:r>
      <w:r w:rsidR="004334DD">
        <w:rPr>
          <w:rFonts w:ascii="Arial" w:hAnsi="Arial" w:cs="Arial"/>
          <w:sz w:val="24"/>
          <w:szCs w:val="24"/>
        </w:rPr>
        <w:t xml:space="preserve">. Available at: </w:t>
      </w:r>
      <w:hyperlink r:id="rId46" w:history="1">
        <w:r w:rsidR="004334DD" w:rsidRPr="00EE2719">
          <w:rPr>
            <w:rStyle w:val="Hyperlink"/>
            <w:rFonts w:ascii="Arial" w:hAnsi="Arial" w:cs="Arial"/>
            <w:sz w:val="24"/>
            <w:szCs w:val="24"/>
          </w:rPr>
          <w:t>https://www.famly.co/blog/how-to-get-dads-more-involved-in-the-early-years</w:t>
        </w:r>
      </w:hyperlink>
      <w:r w:rsidR="004334DD">
        <w:rPr>
          <w:rFonts w:ascii="Arial" w:hAnsi="Arial" w:cs="Arial"/>
          <w:sz w:val="24"/>
          <w:szCs w:val="24"/>
        </w:rPr>
        <w:t xml:space="preserve"> (Accessed: 18 January</w:t>
      </w:r>
      <w:r w:rsidR="00730C19">
        <w:rPr>
          <w:rFonts w:ascii="Arial" w:hAnsi="Arial" w:cs="Arial"/>
          <w:sz w:val="24"/>
          <w:szCs w:val="24"/>
        </w:rPr>
        <w:t xml:space="preserve"> 2022).</w:t>
      </w:r>
    </w:p>
    <w:p w14:paraId="2C3AFA63" w14:textId="77777777" w:rsidR="00411A5F" w:rsidRPr="00411A5F" w:rsidRDefault="00411A5F" w:rsidP="00411A5F">
      <w:pPr>
        <w:spacing w:line="360" w:lineRule="auto"/>
        <w:jc w:val="both"/>
        <w:rPr>
          <w:rFonts w:ascii="Arial" w:hAnsi="Arial" w:cs="Arial"/>
          <w:sz w:val="24"/>
          <w:szCs w:val="24"/>
        </w:rPr>
      </w:pPr>
    </w:p>
    <w:p w14:paraId="6DA48147"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t>Mngo</w:t>
      </w:r>
      <w:proofErr w:type="spellEnd"/>
      <w:r w:rsidRPr="00411A5F">
        <w:rPr>
          <w:rFonts w:ascii="Arial" w:hAnsi="Arial" w:cs="Arial"/>
          <w:sz w:val="24"/>
          <w:szCs w:val="24"/>
        </w:rPr>
        <w:t xml:space="preserve">, </w:t>
      </w:r>
      <w:proofErr w:type="spellStart"/>
      <w:r w:rsidRPr="00411A5F">
        <w:rPr>
          <w:rFonts w:ascii="Arial" w:hAnsi="Arial" w:cs="Arial"/>
          <w:sz w:val="24"/>
          <w:szCs w:val="24"/>
        </w:rPr>
        <w:t>Z.Y</w:t>
      </w:r>
      <w:proofErr w:type="spellEnd"/>
      <w:r w:rsidRPr="00411A5F">
        <w:rPr>
          <w:rFonts w:ascii="Arial" w:hAnsi="Arial" w:cs="Arial"/>
          <w:sz w:val="24"/>
          <w:szCs w:val="24"/>
        </w:rPr>
        <w:t xml:space="preserve">. and </w:t>
      </w:r>
      <w:proofErr w:type="spellStart"/>
      <w:r w:rsidRPr="00411A5F">
        <w:rPr>
          <w:rFonts w:ascii="Arial" w:hAnsi="Arial" w:cs="Arial"/>
          <w:sz w:val="24"/>
          <w:szCs w:val="24"/>
        </w:rPr>
        <w:t>Mngo</w:t>
      </w:r>
      <w:proofErr w:type="spellEnd"/>
      <w:r w:rsidRPr="00411A5F">
        <w:rPr>
          <w:rFonts w:ascii="Arial" w:hAnsi="Arial" w:cs="Arial"/>
          <w:sz w:val="24"/>
          <w:szCs w:val="24"/>
        </w:rPr>
        <w:t xml:space="preserve">, A.Y. (2018) ‘Teachers’ perceptions of inclusion in a pilot inclusive education program: Implications for instructional leadership’, </w:t>
      </w:r>
      <w:r w:rsidRPr="00411A5F">
        <w:rPr>
          <w:rFonts w:ascii="Arial" w:hAnsi="Arial" w:cs="Arial"/>
          <w:i/>
          <w:iCs/>
          <w:sz w:val="24"/>
          <w:szCs w:val="24"/>
        </w:rPr>
        <w:t xml:space="preserve">Education Research International. </w:t>
      </w:r>
      <w:r w:rsidRPr="00411A5F">
        <w:rPr>
          <w:rFonts w:ascii="Arial" w:hAnsi="Arial" w:cs="Arial"/>
          <w:sz w:val="24"/>
          <w:szCs w:val="24"/>
        </w:rPr>
        <w:t xml:space="preserve">URL: </w:t>
      </w:r>
      <w:hyperlink r:id="rId47" w:history="1">
        <w:r w:rsidRPr="00411A5F">
          <w:rPr>
            <w:rFonts w:ascii="Arial" w:hAnsi="Arial" w:cs="Arial"/>
            <w:color w:val="0563C1" w:themeColor="hyperlink"/>
            <w:sz w:val="24"/>
            <w:szCs w:val="24"/>
            <w:u w:val="single"/>
          </w:rPr>
          <w:t>https://www.hindawi.com/journals/edri/2018/3524879/</w:t>
        </w:r>
      </w:hyperlink>
      <w:r w:rsidRPr="00411A5F">
        <w:rPr>
          <w:rFonts w:ascii="Arial" w:hAnsi="Arial" w:cs="Arial"/>
          <w:sz w:val="24"/>
          <w:szCs w:val="24"/>
        </w:rPr>
        <w:t xml:space="preserve"> (Accessed: 11 January 2022). </w:t>
      </w:r>
    </w:p>
    <w:p w14:paraId="5B006E69" w14:textId="77777777" w:rsidR="00411A5F" w:rsidRPr="00411A5F" w:rsidRDefault="00411A5F" w:rsidP="00411A5F">
      <w:pPr>
        <w:spacing w:line="360" w:lineRule="auto"/>
        <w:jc w:val="both"/>
        <w:rPr>
          <w:rFonts w:ascii="Arial" w:hAnsi="Arial" w:cs="Arial"/>
          <w:sz w:val="24"/>
          <w:szCs w:val="24"/>
        </w:rPr>
      </w:pPr>
    </w:p>
    <w:p w14:paraId="3A98A87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Mullins, L. (2021) </w:t>
      </w:r>
      <w:r w:rsidRPr="00411A5F">
        <w:rPr>
          <w:rFonts w:ascii="Arial" w:hAnsi="Arial" w:cs="Arial"/>
          <w:i/>
          <w:iCs/>
          <w:sz w:val="24"/>
          <w:szCs w:val="24"/>
        </w:rPr>
        <w:t>Will social workers take your children away?</w:t>
      </w:r>
      <w:r w:rsidRPr="00411A5F">
        <w:rPr>
          <w:rFonts w:ascii="Arial" w:hAnsi="Arial" w:cs="Arial"/>
          <w:sz w:val="24"/>
          <w:szCs w:val="24"/>
        </w:rPr>
        <w:t xml:space="preserve"> Available at: </w:t>
      </w:r>
      <w:hyperlink r:id="rId48" w:history="1">
        <w:r w:rsidRPr="00411A5F">
          <w:rPr>
            <w:rFonts w:ascii="Arial" w:hAnsi="Arial" w:cs="Arial"/>
            <w:color w:val="0563C1" w:themeColor="hyperlink"/>
            <w:sz w:val="24"/>
            <w:szCs w:val="24"/>
            <w:u w:val="single"/>
          </w:rPr>
          <w:t>https://www.rte.ie/brainstorm/2021/0628/1231750-ireland-social-workers-tusla-children/</w:t>
        </w:r>
      </w:hyperlink>
      <w:r w:rsidRPr="00411A5F">
        <w:rPr>
          <w:rFonts w:ascii="Arial" w:hAnsi="Arial" w:cs="Arial"/>
          <w:sz w:val="24"/>
          <w:szCs w:val="24"/>
        </w:rPr>
        <w:t xml:space="preserve"> (Accessed: 15 January 2022).</w:t>
      </w:r>
    </w:p>
    <w:p w14:paraId="0D836314" w14:textId="77777777" w:rsidR="00411A5F" w:rsidRPr="00411A5F" w:rsidRDefault="00411A5F" w:rsidP="00411A5F">
      <w:pPr>
        <w:spacing w:line="360" w:lineRule="auto"/>
        <w:jc w:val="both"/>
        <w:rPr>
          <w:rFonts w:ascii="Arial" w:hAnsi="Arial" w:cs="Arial"/>
          <w:sz w:val="24"/>
          <w:szCs w:val="24"/>
        </w:rPr>
      </w:pPr>
    </w:p>
    <w:p w14:paraId="047CB03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Newport Academy (2019) </w:t>
      </w:r>
      <w:r w:rsidRPr="00411A5F">
        <w:rPr>
          <w:rFonts w:ascii="Arial" w:hAnsi="Arial" w:cs="Arial"/>
          <w:i/>
          <w:iCs/>
          <w:sz w:val="24"/>
          <w:szCs w:val="24"/>
        </w:rPr>
        <w:t>5 Reasons Why Parenting Support Groups Are So Important</w:t>
      </w:r>
      <w:r w:rsidRPr="00411A5F">
        <w:rPr>
          <w:rFonts w:ascii="Arial" w:hAnsi="Arial" w:cs="Arial"/>
          <w:sz w:val="24"/>
          <w:szCs w:val="24"/>
        </w:rPr>
        <w:t xml:space="preserve">. Available at: </w:t>
      </w:r>
      <w:hyperlink r:id="rId49" w:anchor=":~:text=Research%20shows%20that%20support%20groups%20provide%20healthy%20parenting,with%20anxiety%2C%20depression%2C%20or%20other%20mental%20health%20issues" w:history="1">
        <w:r w:rsidRPr="00411A5F">
          <w:rPr>
            <w:rFonts w:ascii="Arial" w:hAnsi="Arial" w:cs="Arial"/>
            <w:color w:val="0563C1" w:themeColor="hyperlink"/>
            <w:sz w:val="24"/>
            <w:szCs w:val="24"/>
            <w:u w:val="single"/>
          </w:rPr>
          <w:t>https://www.newportacademy.com/resources/restoring-families/parenting-support-groups/#:~:text=Research%20shows%20that%20support%20groups%20provide%20healthy%20parenting,with%20anxiety%2C%20depression%2C%20or%20other%20mental%20health%20issues</w:t>
        </w:r>
      </w:hyperlink>
      <w:r w:rsidRPr="00411A5F">
        <w:rPr>
          <w:rFonts w:ascii="Arial" w:hAnsi="Arial" w:cs="Arial"/>
          <w:sz w:val="24"/>
          <w:szCs w:val="24"/>
        </w:rPr>
        <w:t>. (Accessed: 10 January 2022).</w:t>
      </w:r>
    </w:p>
    <w:p w14:paraId="3E7FE493" w14:textId="77777777" w:rsidR="00411A5F" w:rsidRPr="00411A5F" w:rsidRDefault="00411A5F" w:rsidP="00411A5F">
      <w:pPr>
        <w:spacing w:line="360" w:lineRule="auto"/>
        <w:jc w:val="both"/>
        <w:rPr>
          <w:rFonts w:ascii="Arial" w:hAnsi="Arial" w:cs="Arial"/>
          <w:sz w:val="24"/>
          <w:szCs w:val="24"/>
        </w:rPr>
      </w:pPr>
    </w:p>
    <w:p w14:paraId="4B70ABA6"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NSPCC (2019) </w:t>
      </w:r>
      <w:r w:rsidRPr="00411A5F">
        <w:rPr>
          <w:rFonts w:ascii="Arial" w:hAnsi="Arial" w:cs="Arial"/>
          <w:i/>
          <w:iCs/>
          <w:sz w:val="24"/>
          <w:szCs w:val="24"/>
        </w:rPr>
        <w:t>Multi-agency working.</w:t>
      </w:r>
      <w:r w:rsidRPr="00411A5F">
        <w:rPr>
          <w:rFonts w:ascii="Arial" w:hAnsi="Arial" w:cs="Arial"/>
          <w:sz w:val="24"/>
          <w:szCs w:val="24"/>
        </w:rPr>
        <w:t xml:space="preserve"> Available at: </w:t>
      </w:r>
      <w:hyperlink r:id="rId50" w:anchor="heading-top" w:history="1">
        <w:r w:rsidRPr="00411A5F">
          <w:rPr>
            <w:rFonts w:ascii="Arial" w:hAnsi="Arial" w:cs="Arial"/>
            <w:color w:val="0563C1" w:themeColor="hyperlink"/>
            <w:sz w:val="24"/>
            <w:szCs w:val="24"/>
            <w:u w:val="single"/>
          </w:rPr>
          <w:t>https://learning.nspcc.org.uk/child-protection-system/multi-agency-working-child-protection#heading-top</w:t>
        </w:r>
      </w:hyperlink>
      <w:r w:rsidRPr="00411A5F">
        <w:rPr>
          <w:rFonts w:ascii="Arial" w:hAnsi="Arial" w:cs="Arial"/>
          <w:sz w:val="24"/>
          <w:szCs w:val="24"/>
        </w:rPr>
        <w:t xml:space="preserve"> (Accessed: 11 January 2022).</w:t>
      </w:r>
    </w:p>
    <w:p w14:paraId="3C75EDC0" w14:textId="77777777" w:rsidR="00411A5F" w:rsidRPr="00411A5F" w:rsidRDefault="00411A5F" w:rsidP="00411A5F">
      <w:pPr>
        <w:spacing w:line="360" w:lineRule="auto"/>
        <w:jc w:val="both"/>
        <w:rPr>
          <w:rFonts w:ascii="Arial" w:hAnsi="Arial" w:cs="Arial"/>
          <w:sz w:val="24"/>
          <w:szCs w:val="24"/>
        </w:rPr>
      </w:pPr>
    </w:p>
    <w:p w14:paraId="132EAE8D"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Nutbrown, C. (2011) </w:t>
      </w:r>
      <w:r w:rsidRPr="00411A5F">
        <w:rPr>
          <w:rFonts w:ascii="Arial" w:hAnsi="Arial" w:cs="Arial"/>
          <w:i/>
          <w:iCs/>
          <w:sz w:val="24"/>
          <w:szCs w:val="24"/>
        </w:rPr>
        <w:t>Early Years for Everyone.</w:t>
      </w:r>
      <w:r w:rsidRPr="00411A5F">
        <w:rPr>
          <w:rFonts w:ascii="Arial" w:hAnsi="Arial" w:cs="Arial"/>
          <w:sz w:val="24"/>
          <w:szCs w:val="24"/>
        </w:rPr>
        <w:t xml:space="preserve"> Available at:</w:t>
      </w:r>
    </w:p>
    <w:p w14:paraId="00EB1BDC" w14:textId="77777777" w:rsidR="00411A5F" w:rsidRPr="00411A5F" w:rsidRDefault="0038753C" w:rsidP="00411A5F">
      <w:pPr>
        <w:spacing w:line="360" w:lineRule="auto"/>
        <w:jc w:val="both"/>
        <w:rPr>
          <w:rFonts w:ascii="Arial" w:hAnsi="Arial" w:cs="Arial"/>
          <w:sz w:val="24"/>
          <w:szCs w:val="24"/>
        </w:rPr>
      </w:pPr>
      <w:hyperlink r:id="rId51" w:history="1">
        <w:r w:rsidR="00411A5F" w:rsidRPr="00411A5F">
          <w:rPr>
            <w:rFonts w:ascii="Arial" w:hAnsi="Arial" w:cs="Arial"/>
            <w:color w:val="0563C1" w:themeColor="hyperlink"/>
            <w:sz w:val="24"/>
            <w:szCs w:val="24"/>
            <w:u w:val="single"/>
          </w:rPr>
          <w:t>https://www.teachearlyyears.com/images/uploads/article/inclusion-in-early-years-settings.pdf</w:t>
        </w:r>
      </w:hyperlink>
      <w:r w:rsidR="00411A5F" w:rsidRPr="00411A5F">
        <w:rPr>
          <w:rFonts w:ascii="Arial" w:hAnsi="Arial" w:cs="Arial"/>
          <w:sz w:val="24"/>
          <w:szCs w:val="24"/>
        </w:rPr>
        <w:t xml:space="preserve"> (Accessed: 18 November 2021).</w:t>
      </w:r>
    </w:p>
    <w:p w14:paraId="56988915" w14:textId="77777777" w:rsidR="00411A5F" w:rsidRPr="00411A5F" w:rsidRDefault="00411A5F" w:rsidP="00411A5F">
      <w:pPr>
        <w:spacing w:line="360" w:lineRule="auto"/>
        <w:jc w:val="both"/>
        <w:rPr>
          <w:rFonts w:ascii="Arial" w:hAnsi="Arial" w:cs="Arial"/>
          <w:sz w:val="24"/>
          <w:szCs w:val="24"/>
        </w:rPr>
      </w:pPr>
    </w:p>
    <w:p w14:paraId="34CFD361"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OECD (2017) </w:t>
      </w:r>
      <w:r w:rsidRPr="00411A5F">
        <w:rPr>
          <w:rFonts w:ascii="Arial" w:hAnsi="Arial" w:cs="Arial"/>
          <w:i/>
          <w:iCs/>
          <w:sz w:val="24"/>
          <w:szCs w:val="24"/>
        </w:rPr>
        <w:t>Wales should continue reforms to boost quality and equity of school system.</w:t>
      </w:r>
      <w:r w:rsidRPr="00411A5F">
        <w:rPr>
          <w:rFonts w:ascii="Arial" w:hAnsi="Arial" w:cs="Arial"/>
          <w:sz w:val="24"/>
          <w:szCs w:val="24"/>
        </w:rPr>
        <w:t xml:space="preserve"> Available at: </w:t>
      </w:r>
      <w:hyperlink r:id="rId52" w:anchor=":~:text=28%2F02%2F2017%20-%20Wales%20should%20continue%20its%20efforts%20to,school%20system%2C%20according%20to%20a%20new%20OECD%20report" w:history="1">
        <w:r w:rsidRPr="00411A5F">
          <w:rPr>
            <w:rFonts w:ascii="Arial" w:hAnsi="Arial" w:cs="Arial"/>
            <w:color w:val="0563C1" w:themeColor="hyperlink"/>
            <w:sz w:val="24"/>
            <w:szCs w:val="24"/>
            <w:u w:val="single"/>
          </w:rPr>
          <w:t>https://www.oecd.org/education/wales-should-continue-reforms-to-boost-quality-and-equity-of-school-system.htm#:~:text=28%2F02%2F2017%20-%20Wales%20should%20continue%20its%20efforts%20to,school%20system%2C%20according%20to%20a%20new%20OECD%20report</w:t>
        </w:r>
      </w:hyperlink>
      <w:r w:rsidRPr="00411A5F">
        <w:rPr>
          <w:rFonts w:ascii="Arial" w:hAnsi="Arial" w:cs="Arial"/>
          <w:sz w:val="24"/>
          <w:szCs w:val="24"/>
        </w:rPr>
        <w:t xml:space="preserve">. (Accessed: 18 November 2021). </w:t>
      </w:r>
    </w:p>
    <w:p w14:paraId="23ED12FF" w14:textId="77777777" w:rsidR="00411A5F" w:rsidRPr="00411A5F" w:rsidRDefault="00411A5F" w:rsidP="00411A5F">
      <w:pPr>
        <w:spacing w:line="360" w:lineRule="auto"/>
        <w:jc w:val="both"/>
        <w:rPr>
          <w:rFonts w:ascii="Arial" w:hAnsi="Arial" w:cs="Arial"/>
          <w:sz w:val="24"/>
          <w:szCs w:val="24"/>
        </w:rPr>
      </w:pPr>
    </w:p>
    <w:p w14:paraId="58FE838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Öztürk, M. (2013) ‘Family partnership in early childhood assessment’, </w:t>
      </w:r>
      <w:r w:rsidRPr="00411A5F">
        <w:rPr>
          <w:rFonts w:ascii="Arial" w:hAnsi="Arial" w:cs="Arial"/>
          <w:i/>
          <w:iCs/>
          <w:sz w:val="24"/>
          <w:szCs w:val="24"/>
        </w:rPr>
        <w:t>Mediterranean Journal of Social Sciences</w:t>
      </w:r>
      <w:r w:rsidRPr="00411A5F">
        <w:rPr>
          <w:rFonts w:ascii="Arial" w:hAnsi="Arial" w:cs="Arial"/>
          <w:sz w:val="24"/>
          <w:szCs w:val="24"/>
        </w:rPr>
        <w:t xml:space="preserve">, 4(3), p.679. URL: </w:t>
      </w:r>
      <w:hyperlink r:id="rId53" w:history="1">
        <w:r w:rsidRPr="00411A5F">
          <w:rPr>
            <w:rFonts w:ascii="Arial" w:hAnsi="Arial" w:cs="Arial"/>
            <w:color w:val="0563C1" w:themeColor="hyperlink"/>
            <w:sz w:val="24"/>
            <w:szCs w:val="24"/>
            <w:u w:val="single"/>
          </w:rPr>
          <w:t>https://www.mcser.org/journal/index.php/mjss/article/viewFile/525/550</w:t>
        </w:r>
      </w:hyperlink>
      <w:r w:rsidRPr="00411A5F">
        <w:rPr>
          <w:rFonts w:ascii="Arial" w:hAnsi="Arial" w:cs="Arial"/>
          <w:sz w:val="24"/>
          <w:szCs w:val="24"/>
        </w:rPr>
        <w:t xml:space="preserve"> (Accessed: 18 November 2021).</w:t>
      </w:r>
    </w:p>
    <w:p w14:paraId="37097391" w14:textId="77777777" w:rsidR="00411A5F" w:rsidRPr="00411A5F" w:rsidRDefault="00411A5F" w:rsidP="00411A5F">
      <w:pPr>
        <w:spacing w:line="360" w:lineRule="auto"/>
        <w:jc w:val="both"/>
        <w:rPr>
          <w:rFonts w:ascii="Arial" w:hAnsi="Arial" w:cs="Arial"/>
          <w:sz w:val="24"/>
          <w:szCs w:val="24"/>
        </w:rPr>
      </w:pPr>
    </w:p>
    <w:p w14:paraId="00A3562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Park, S. and Park, K.S. (2014) ‘Family stigma: A concept analysis’, </w:t>
      </w:r>
      <w:r w:rsidRPr="00411A5F">
        <w:rPr>
          <w:rFonts w:ascii="Arial" w:hAnsi="Arial" w:cs="Arial"/>
          <w:i/>
          <w:iCs/>
          <w:sz w:val="24"/>
          <w:szCs w:val="24"/>
        </w:rPr>
        <w:t>Asian Nursing Research</w:t>
      </w:r>
      <w:r w:rsidRPr="00411A5F">
        <w:rPr>
          <w:rFonts w:ascii="Arial" w:hAnsi="Arial" w:cs="Arial"/>
          <w:sz w:val="24"/>
          <w:szCs w:val="24"/>
        </w:rPr>
        <w:t xml:space="preserve">, 8(3), pp.165-171. DOI: </w:t>
      </w:r>
      <w:hyperlink r:id="rId54" w:history="1">
        <w:r w:rsidRPr="00411A5F">
          <w:rPr>
            <w:rFonts w:ascii="Arial" w:hAnsi="Arial" w:cs="Arial"/>
            <w:color w:val="0563C1" w:themeColor="hyperlink"/>
            <w:sz w:val="24"/>
            <w:szCs w:val="24"/>
            <w:u w:val="single"/>
          </w:rPr>
          <w:t>https://doi.org/10.1016/j.anr.2014.02.006</w:t>
        </w:r>
      </w:hyperlink>
      <w:r w:rsidRPr="00411A5F">
        <w:rPr>
          <w:rFonts w:ascii="Arial" w:hAnsi="Arial" w:cs="Arial"/>
          <w:sz w:val="24"/>
          <w:szCs w:val="24"/>
        </w:rPr>
        <w:t xml:space="preserve"> (Accessed: 10 January 2022). </w:t>
      </w:r>
    </w:p>
    <w:p w14:paraId="152BB1F0" w14:textId="77777777" w:rsidR="00411A5F" w:rsidRPr="00411A5F" w:rsidRDefault="00411A5F" w:rsidP="00411A5F">
      <w:pPr>
        <w:spacing w:line="360" w:lineRule="auto"/>
        <w:jc w:val="both"/>
        <w:rPr>
          <w:rFonts w:ascii="Arial" w:hAnsi="Arial" w:cs="Arial"/>
          <w:sz w:val="24"/>
          <w:szCs w:val="24"/>
        </w:rPr>
      </w:pPr>
    </w:p>
    <w:p w14:paraId="48561363"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Pietarinen, J., </w:t>
      </w:r>
      <w:proofErr w:type="spellStart"/>
      <w:r w:rsidRPr="00411A5F">
        <w:rPr>
          <w:rFonts w:ascii="Arial" w:hAnsi="Arial" w:cs="Arial"/>
          <w:sz w:val="24"/>
          <w:szCs w:val="24"/>
        </w:rPr>
        <w:t>Pyhältö</w:t>
      </w:r>
      <w:proofErr w:type="spellEnd"/>
      <w:r w:rsidRPr="00411A5F">
        <w:rPr>
          <w:rFonts w:ascii="Arial" w:hAnsi="Arial" w:cs="Arial"/>
          <w:sz w:val="24"/>
          <w:szCs w:val="24"/>
        </w:rPr>
        <w:t xml:space="preserve">, K. and Soini, T. (2017) ‘Large-scale curriculum reform in Finland–exploring the interrelation between implementation strategy, the function of the reform, and curriculum coherence’, </w:t>
      </w:r>
      <w:r w:rsidRPr="00411A5F">
        <w:rPr>
          <w:rFonts w:ascii="Arial" w:hAnsi="Arial" w:cs="Arial"/>
          <w:i/>
          <w:iCs/>
          <w:sz w:val="24"/>
          <w:szCs w:val="24"/>
        </w:rPr>
        <w:t>The Curriculum Journal</w:t>
      </w:r>
      <w:r w:rsidRPr="00411A5F">
        <w:rPr>
          <w:rFonts w:ascii="Arial" w:hAnsi="Arial" w:cs="Arial"/>
          <w:sz w:val="24"/>
          <w:szCs w:val="24"/>
        </w:rPr>
        <w:t xml:space="preserve">, 28(1), pp.22-40. DOI: </w:t>
      </w:r>
      <w:hyperlink r:id="rId55" w:history="1">
        <w:r w:rsidRPr="00411A5F">
          <w:rPr>
            <w:rFonts w:ascii="Arial" w:hAnsi="Arial" w:cs="Arial"/>
            <w:color w:val="0563C1" w:themeColor="hyperlink"/>
            <w:sz w:val="24"/>
            <w:szCs w:val="24"/>
            <w:u w:val="single"/>
          </w:rPr>
          <w:t>https://doi.org/10.1080/09585176.2016.1179205</w:t>
        </w:r>
      </w:hyperlink>
      <w:r w:rsidRPr="00411A5F">
        <w:rPr>
          <w:rFonts w:ascii="Arial" w:hAnsi="Arial" w:cs="Arial"/>
          <w:sz w:val="24"/>
          <w:szCs w:val="24"/>
        </w:rPr>
        <w:t xml:space="preserve"> (Accessed: 18 November 2021).</w:t>
      </w:r>
    </w:p>
    <w:p w14:paraId="2932A215" w14:textId="77777777" w:rsidR="00411A5F" w:rsidRPr="00411A5F" w:rsidRDefault="00411A5F" w:rsidP="00411A5F">
      <w:pPr>
        <w:spacing w:line="360" w:lineRule="auto"/>
        <w:jc w:val="both"/>
        <w:rPr>
          <w:rFonts w:ascii="Arial" w:hAnsi="Arial" w:cs="Arial"/>
          <w:sz w:val="24"/>
          <w:szCs w:val="24"/>
        </w:rPr>
      </w:pPr>
    </w:p>
    <w:p w14:paraId="1680CB0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Pollack Porter, </w:t>
      </w:r>
      <w:proofErr w:type="spellStart"/>
      <w:r w:rsidRPr="00411A5F">
        <w:rPr>
          <w:rFonts w:ascii="Arial" w:hAnsi="Arial" w:cs="Arial"/>
          <w:sz w:val="24"/>
          <w:szCs w:val="24"/>
        </w:rPr>
        <w:t>K.M</w:t>
      </w:r>
      <w:proofErr w:type="spellEnd"/>
      <w:r w:rsidRPr="00411A5F">
        <w:rPr>
          <w:rFonts w:ascii="Arial" w:hAnsi="Arial" w:cs="Arial"/>
          <w:sz w:val="24"/>
          <w:szCs w:val="24"/>
        </w:rPr>
        <w:t xml:space="preserve">., </w:t>
      </w:r>
      <w:proofErr w:type="spellStart"/>
      <w:r w:rsidRPr="00411A5F">
        <w:rPr>
          <w:rFonts w:ascii="Arial" w:hAnsi="Arial" w:cs="Arial"/>
          <w:sz w:val="24"/>
          <w:szCs w:val="24"/>
        </w:rPr>
        <w:t>Rutkow</w:t>
      </w:r>
      <w:proofErr w:type="spellEnd"/>
      <w:r w:rsidRPr="00411A5F">
        <w:rPr>
          <w:rFonts w:ascii="Arial" w:hAnsi="Arial" w:cs="Arial"/>
          <w:sz w:val="24"/>
          <w:szCs w:val="24"/>
        </w:rPr>
        <w:t xml:space="preserve">, L. and McGinty, E.E. (2018) ‘The importance of policy change for addressing public health problems’, </w:t>
      </w:r>
      <w:r w:rsidRPr="00411A5F">
        <w:rPr>
          <w:rFonts w:ascii="Arial" w:hAnsi="Arial" w:cs="Arial"/>
          <w:i/>
          <w:iCs/>
          <w:sz w:val="24"/>
          <w:szCs w:val="24"/>
        </w:rPr>
        <w:t>Public Health Reports</w:t>
      </w:r>
      <w:r w:rsidRPr="00411A5F">
        <w:rPr>
          <w:rFonts w:ascii="Arial" w:hAnsi="Arial" w:cs="Arial"/>
          <w:sz w:val="24"/>
          <w:szCs w:val="24"/>
        </w:rPr>
        <w:t xml:space="preserve">, 133(1_suppl), pp.9S-14S URL: </w:t>
      </w:r>
      <w:hyperlink r:id="rId56" w:history="1">
        <w:r w:rsidRPr="00411A5F">
          <w:rPr>
            <w:rFonts w:ascii="Arial" w:hAnsi="Arial" w:cs="Arial"/>
            <w:color w:val="0563C1" w:themeColor="hyperlink"/>
            <w:sz w:val="24"/>
            <w:szCs w:val="24"/>
            <w:u w:val="single"/>
          </w:rPr>
          <w:t>https://journals.sagepub.com/doi/pdf/10.1177/0033354918788880</w:t>
        </w:r>
      </w:hyperlink>
      <w:r w:rsidRPr="00411A5F">
        <w:rPr>
          <w:rFonts w:ascii="Arial" w:hAnsi="Arial" w:cs="Arial"/>
          <w:sz w:val="24"/>
          <w:szCs w:val="24"/>
        </w:rPr>
        <w:t xml:space="preserve"> (Accessed: 18 November 2021).</w:t>
      </w:r>
    </w:p>
    <w:p w14:paraId="65F8DB39" w14:textId="77777777" w:rsidR="00411A5F" w:rsidRPr="00411A5F" w:rsidRDefault="00411A5F" w:rsidP="00411A5F">
      <w:pPr>
        <w:spacing w:line="360" w:lineRule="auto"/>
        <w:jc w:val="both"/>
        <w:rPr>
          <w:rFonts w:ascii="Arial" w:hAnsi="Arial" w:cs="Arial"/>
          <w:sz w:val="24"/>
          <w:szCs w:val="24"/>
        </w:rPr>
      </w:pPr>
    </w:p>
    <w:p w14:paraId="16FF0F33" w14:textId="77777777" w:rsidR="00411A5F" w:rsidRPr="00411A5F" w:rsidRDefault="00411A5F" w:rsidP="00411A5F">
      <w:pPr>
        <w:spacing w:line="360" w:lineRule="auto"/>
        <w:jc w:val="both"/>
        <w:rPr>
          <w:rFonts w:ascii="Arial" w:hAnsi="Arial" w:cs="Arial"/>
          <w:sz w:val="24"/>
          <w:szCs w:val="24"/>
        </w:rPr>
      </w:pPr>
    </w:p>
    <w:p w14:paraId="51F6C3CF"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Power, S., Newton, N. and Taylor, C. (2020) ‘Successful futures’ for all in Wales? The challenges of curriculum reform for addressing educational inequalities’, </w:t>
      </w:r>
      <w:r w:rsidRPr="00411A5F">
        <w:rPr>
          <w:rFonts w:ascii="Arial" w:hAnsi="Arial" w:cs="Arial"/>
          <w:i/>
          <w:iCs/>
          <w:sz w:val="24"/>
          <w:szCs w:val="24"/>
        </w:rPr>
        <w:t>The Curriculum Journal,</w:t>
      </w:r>
      <w:r w:rsidRPr="00411A5F">
        <w:rPr>
          <w:rFonts w:ascii="Arial" w:hAnsi="Arial" w:cs="Arial"/>
          <w:sz w:val="24"/>
          <w:szCs w:val="24"/>
        </w:rPr>
        <w:t xml:space="preserve"> 31(2), pp.317-333. DOI: </w:t>
      </w:r>
      <w:hyperlink r:id="rId57" w:history="1">
        <w:r w:rsidRPr="00411A5F">
          <w:rPr>
            <w:rFonts w:ascii="Arial" w:hAnsi="Arial" w:cs="Arial"/>
            <w:color w:val="0563C1" w:themeColor="hyperlink"/>
            <w:sz w:val="24"/>
            <w:szCs w:val="24"/>
            <w:u w:val="single"/>
          </w:rPr>
          <w:t>https://doi.org/10.1002/curj.39</w:t>
        </w:r>
      </w:hyperlink>
      <w:r w:rsidRPr="00411A5F">
        <w:rPr>
          <w:rFonts w:ascii="Arial" w:hAnsi="Arial" w:cs="Arial"/>
          <w:sz w:val="24"/>
          <w:szCs w:val="24"/>
        </w:rPr>
        <w:t xml:space="preserve"> (Accessed: 17 November 2021).</w:t>
      </w:r>
    </w:p>
    <w:p w14:paraId="02C2C374" w14:textId="77777777" w:rsidR="00411A5F" w:rsidRPr="00411A5F" w:rsidRDefault="00411A5F" w:rsidP="00411A5F">
      <w:pPr>
        <w:spacing w:line="360" w:lineRule="auto"/>
        <w:jc w:val="both"/>
        <w:rPr>
          <w:rFonts w:ascii="Arial" w:hAnsi="Arial" w:cs="Arial"/>
          <w:sz w:val="24"/>
          <w:szCs w:val="24"/>
        </w:rPr>
      </w:pPr>
    </w:p>
    <w:p w14:paraId="04D0F82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Institute of Public Health in Ireland and the Centre for Effective Services (2016</w:t>
      </w:r>
      <w:r w:rsidRPr="00411A5F">
        <w:rPr>
          <w:rFonts w:ascii="Arial" w:hAnsi="Arial" w:cs="Arial"/>
          <w:i/>
          <w:iCs/>
          <w:sz w:val="24"/>
          <w:szCs w:val="24"/>
        </w:rPr>
        <w:t>) Improving Health and Wellbeing Outcomes in the Early Years: Research and Practice Dublin: Institute of Public Health in Ireland and the Centre for Effective Services</w:t>
      </w:r>
      <w:r w:rsidRPr="00411A5F">
        <w:rPr>
          <w:rFonts w:ascii="Arial" w:hAnsi="Arial" w:cs="Arial"/>
          <w:sz w:val="24"/>
          <w:szCs w:val="24"/>
        </w:rPr>
        <w:t xml:space="preserve">. Available at: </w:t>
      </w:r>
      <w:hyperlink r:id="rId58" w:history="1">
        <w:r w:rsidRPr="00411A5F">
          <w:rPr>
            <w:rFonts w:ascii="Arial" w:hAnsi="Arial" w:cs="Arial"/>
            <w:color w:val="0563C1" w:themeColor="hyperlink"/>
            <w:sz w:val="24"/>
            <w:szCs w:val="24"/>
            <w:u w:val="single"/>
          </w:rPr>
          <w:t>https://www.publichealth.ie/sites/default/files/IPH_CES_report_AW%20(2).pdf</w:t>
        </w:r>
      </w:hyperlink>
      <w:r w:rsidRPr="00411A5F">
        <w:rPr>
          <w:rFonts w:ascii="Arial" w:hAnsi="Arial" w:cs="Arial"/>
          <w:sz w:val="24"/>
          <w:szCs w:val="24"/>
        </w:rPr>
        <w:t xml:space="preserve"> (Accessed: 18 November 2021).</w:t>
      </w:r>
    </w:p>
    <w:p w14:paraId="5FCCE728" w14:textId="77777777" w:rsidR="00411A5F" w:rsidRPr="00411A5F" w:rsidRDefault="00411A5F" w:rsidP="00411A5F">
      <w:pPr>
        <w:spacing w:line="360" w:lineRule="auto"/>
        <w:jc w:val="both"/>
        <w:rPr>
          <w:rFonts w:ascii="Arial" w:hAnsi="Arial" w:cs="Arial"/>
          <w:sz w:val="24"/>
          <w:szCs w:val="24"/>
        </w:rPr>
      </w:pPr>
    </w:p>
    <w:p w14:paraId="52CCC51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Riley, K., Coates, M. and Allen, T. (2020) </w:t>
      </w:r>
      <w:r w:rsidRPr="00411A5F">
        <w:rPr>
          <w:rFonts w:ascii="Arial" w:hAnsi="Arial" w:cs="Arial"/>
          <w:i/>
          <w:iCs/>
          <w:sz w:val="24"/>
          <w:szCs w:val="24"/>
        </w:rPr>
        <w:t>PLACE AND BELONGING IN SCHOOL: WHY IT MATTERS TODAY</w:t>
      </w:r>
      <w:r w:rsidRPr="00411A5F">
        <w:rPr>
          <w:rFonts w:ascii="Arial" w:hAnsi="Arial" w:cs="Arial"/>
          <w:sz w:val="24"/>
          <w:szCs w:val="24"/>
        </w:rPr>
        <w:t xml:space="preserve">. Available at: </w:t>
      </w:r>
      <w:hyperlink r:id="rId59" w:history="1">
        <w:r w:rsidRPr="00411A5F">
          <w:rPr>
            <w:rFonts w:ascii="Arial" w:hAnsi="Arial" w:cs="Arial"/>
            <w:color w:val="0563C1" w:themeColor="hyperlink"/>
            <w:sz w:val="24"/>
            <w:szCs w:val="24"/>
            <w:u w:val="single"/>
          </w:rPr>
          <w:t>https://neu.org.uk/media/13026/view</w:t>
        </w:r>
      </w:hyperlink>
      <w:r w:rsidRPr="00411A5F">
        <w:rPr>
          <w:rFonts w:ascii="Arial" w:hAnsi="Arial" w:cs="Arial"/>
          <w:sz w:val="24"/>
          <w:szCs w:val="24"/>
        </w:rPr>
        <w:t xml:space="preserve"> (Accessed: 11 January 2022).</w:t>
      </w:r>
    </w:p>
    <w:p w14:paraId="14B1A633" w14:textId="77777777" w:rsidR="00411A5F" w:rsidRPr="00411A5F" w:rsidRDefault="00411A5F" w:rsidP="00411A5F">
      <w:pPr>
        <w:spacing w:line="360" w:lineRule="auto"/>
        <w:jc w:val="both"/>
        <w:rPr>
          <w:rFonts w:ascii="Arial" w:hAnsi="Arial" w:cs="Arial"/>
          <w:sz w:val="24"/>
          <w:szCs w:val="24"/>
        </w:rPr>
      </w:pPr>
    </w:p>
    <w:p w14:paraId="7E41B7C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Robinson, A. (2019) </w:t>
      </w:r>
      <w:r w:rsidRPr="00411A5F">
        <w:rPr>
          <w:rFonts w:ascii="Arial" w:hAnsi="Arial" w:cs="Arial"/>
          <w:i/>
          <w:iCs/>
          <w:sz w:val="24"/>
          <w:szCs w:val="24"/>
        </w:rPr>
        <w:t>Early Childhood Theories: Albert Bandura.</w:t>
      </w:r>
      <w:r w:rsidRPr="00411A5F">
        <w:rPr>
          <w:rFonts w:ascii="Arial" w:hAnsi="Arial" w:cs="Arial"/>
          <w:sz w:val="24"/>
          <w:szCs w:val="24"/>
        </w:rPr>
        <w:t xml:space="preserve"> Available at: </w:t>
      </w:r>
      <w:hyperlink r:id="rId60" w:history="1">
        <w:r w:rsidRPr="00411A5F">
          <w:rPr>
            <w:rFonts w:ascii="Arial" w:hAnsi="Arial" w:cs="Arial"/>
            <w:color w:val="0563C1" w:themeColor="hyperlink"/>
            <w:sz w:val="24"/>
            <w:szCs w:val="24"/>
            <w:u w:val="single"/>
          </w:rPr>
          <w:t>https://www.allanarobinson.com/early-childhood-theories-albert-bandura/</w:t>
        </w:r>
      </w:hyperlink>
      <w:r w:rsidRPr="00411A5F">
        <w:rPr>
          <w:rFonts w:ascii="Arial" w:hAnsi="Arial" w:cs="Arial"/>
          <w:sz w:val="24"/>
          <w:szCs w:val="24"/>
        </w:rPr>
        <w:t xml:space="preserve"> (Accessed: 12 January 2022).</w:t>
      </w:r>
    </w:p>
    <w:p w14:paraId="3A338763" w14:textId="77777777" w:rsidR="00411A5F" w:rsidRPr="00411A5F" w:rsidRDefault="00411A5F" w:rsidP="00411A5F">
      <w:pPr>
        <w:spacing w:line="360" w:lineRule="auto"/>
        <w:jc w:val="both"/>
        <w:rPr>
          <w:rFonts w:ascii="Arial" w:hAnsi="Arial" w:cs="Arial"/>
          <w:sz w:val="24"/>
          <w:szCs w:val="24"/>
        </w:rPr>
      </w:pPr>
    </w:p>
    <w:p w14:paraId="65DDA8D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Schools and Regional Services Department of Education and Training (2021) </w:t>
      </w:r>
      <w:r w:rsidRPr="00411A5F">
        <w:rPr>
          <w:rFonts w:ascii="Arial" w:hAnsi="Arial" w:cs="Arial"/>
          <w:i/>
          <w:iCs/>
          <w:sz w:val="24"/>
          <w:szCs w:val="24"/>
        </w:rPr>
        <w:t>Policy &amp; Review improving School Governance</w:t>
      </w:r>
      <w:r w:rsidRPr="00411A5F">
        <w:rPr>
          <w:rFonts w:ascii="Arial" w:hAnsi="Arial" w:cs="Arial"/>
          <w:sz w:val="24"/>
          <w:szCs w:val="24"/>
        </w:rPr>
        <w:t xml:space="preserve">. Available at: </w:t>
      </w:r>
      <w:hyperlink r:id="rId61" w:history="1">
        <w:r w:rsidRPr="00411A5F">
          <w:rPr>
            <w:rFonts w:ascii="Arial" w:hAnsi="Arial" w:cs="Arial"/>
            <w:color w:val="0563C1" w:themeColor="hyperlink"/>
            <w:sz w:val="24"/>
            <w:szCs w:val="24"/>
            <w:u w:val="single"/>
          </w:rPr>
          <w:t>https://www.education.vic.gov.au/Documents/school/principals/governance/PolicyandReviewph.pdf</w:t>
        </w:r>
      </w:hyperlink>
      <w:r w:rsidRPr="00411A5F">
        <w:rPr>
          <w:rFonts w:ascii="Arial" w:hAnsi="Arial" w:cs="Arial"/>
          <w:sz w:val="24"/>
          <w:szCs w:val="24"/>
        </w:rPr>
        <w:t xml:space="preserve"> (Accessed: 17 November 2021).</w:t>
      </w:r>
    </w:p>
    <w:p w14:paraId="03A2618D" w14:textId="77777777" w:rsidR="00411A5F" w:rsidRPr="00411A5F" w:rsidRDefault="00411A5F" w:rsidP="00411A5F">
      <w:pPr>
        <w:spacing w:line="360" w:lineRule="auto"/>
        <w:jc w:val="both"/>
        <w:rPr>
          <w:rFonts w:ascii="Arial" w:hAnsi="Arial" w:cs="Arial"/>
          <w:sz w:val="24"/>
          <w:szCs w:val="24"/>
        </w:rPr>
      </w:pPr>
    </w:p>
    <w:p w14:paraId="078508D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Siva, N. (2020) ‘Loneliness in children and young people in the UK’, </w:t>
      </w:r>
      <w:r w:rsidRPr="00411A5F">
        <w:rPr>
          <w:rFonts w:ascii="Arial" w:hAnsi="Arial" w:cs="Arial"/>
          <w:i/>
          <w:iCs/>
          <w:sz w:val="24"/>
          <w:szCs w:val="24"/>
        </w:rPr>
        <w:t>The Lancet Child &amp; Adolescent Health</w:t>
      </w:r>
      <w:r w:rsidRPr="00411A5F">
        <w:rPr>
          <w:rFonts w:ascii="Arial" w:hAnsi="Arial" w:cs="Arial"/>
          <w:sz w:val="24"/>
          <w:szCs w:val="24"/>
        </w:rPr>
        <w:t xml:space="preserve">, 4(8), pp.567-568. DOI: </w:t>
      </w:r>
      <w:hyperlink r:id="rId62" w:history="1">
        <w:r w:rsidRPr="00411A5F">
          <w:rPr>
            <w:rFonts w:ascii="Arial" w:hAnsi="Arial" w:cs="Arial"/>
            <w:color w:val="0563C1" w:themeColor="hyperlink"/>
            <w:sz w:val="24"/>
            <w:szCs w:val="24"/>
            <w:u w:val="single"/>
          </w:rPr>
          <w:t>https://dx.doi.org/10.1016%2FS2352-4642(20)30213-3</w:t>
        </w:r>
      </w:hyperlink>
      <w:r w:rsidRPr="00411A5F">
        <w:rPr>
          <w:rFonts w:ascii="Arial" w:hAnsi="Arial" w:cs="Arial"/>
          <w:sz w:val="24"/>
          <w:szCs w:val="24"/>
        </w:rPr>
        <w:t xml:space="preserve"> (Accessed: 14 January 2022).</w:t>
      </w:r>
    </w:p>
    <w:p w14:paraId="15B1A0F6" w14:textId="77777777" w:rsidR="00411A5F" w:rsidRPr="00411A5F" w:rsidRDefault="00411A5F" w:rsidP="00411A5F">
      <w:pPr>
        <w:spacing w:line="360" w:lineRule="auto"/>
        <w:jc w:val="both"/>
        <w:rPr>
          <w:rFonts w:ascii="Arial" w:hAnsi="Arial" w:cs="Arial"/>
          <w:sz w:val="24"/>
          <w:szCs w:val="24"/>
        </w:rPr>
      </w:pPr>
    </w:p>
    <w:p w14:paraId="5A78CA51"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Social Care Wales (2020) The Drama Triangle in Child Protection [Video]. Available at: </w:t>
      </w:r>
      <w:hyperlink r:id="rId63" w:history="1">
        <w:r w:rsidRPr="00411A5F">
          <w:rPr>
            <w:rFonts w:ascii="Arial" w:hAnsi="Arial" w:cs="Arial"/>
            <w:color w:val="0563C1" w:themeColor="hyperlink"/>
            <w:sz w:val="24"/>
            <w:szCs w:val="24"/>
            <w:u w:val="single"/>
          </w:rPr>
          <w:t>https://www.youtube.com/watch?v=-gzQbhyEsr4&amp;t=513s</w:t>
        </w:r>
      </w:hyperlink>
      <w:r w:rsidRPr="00411A5F">
        <w:rPr>
          <w:rFonts w:ascii="Arial" w:hAnsi="Arial" w:cs="Arial"/>
          <w:sz w:val="24"/>
          <w:szCs w:val="24"/>
        </w:rPr>
        <w:t xml:space="preserve"> (Accessed: 11 January 2022). </w:t>
      </w:r>
    </w:p>
    <w:p w14:paraId="66F6742B" w14:textId="77777777" w:rsidR="00411A5F" w:rsidRPr="00411A5F" w:rsidRDefault="00411A5F" w:rsidP="00411A5F">
      <w:pPr>
        <w:spacing w:line="360" w:lineRule="auto"/>
        <w:jc w:val="both"/>
        <w:rPr>
          <w:rFonts w:ascii="Arial" w:hAnsi="Arial" w:cs="Arial"/>
          <w:sz w:val="24"/>
          <w:szCs w:val="24"/>
        </w:rPr>
      </w:pPr>
    </w:p>
    <w:p w14:paraId="17D3814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The Nemours Foundation (1995-2022) </w:t>
      </w:r>
      <w:r w:rsidRPr="00411A5F">
        <w:rPr>
          <w:rFonts w:ascii="Arial" w:hAnsi="Arial" w:cs="Arial"/>
          <w:i/>
          <w:iCs/>
          <w:sz w:val="24"/>
          <w:szCs w:val="24"/>
        </w:rPr>
        <w:t xml:space="preserve">Getting Involved at Your Child's School. </w:t>
      </w:r>
      <w:r w:rsidRPr="00411A5F">
        <w:rPr>
          <w:rFonts w:ascii="Arial" w:hAnsi="Arial" w:cs="Arial"/>
          <w:sz w:val="24"/>
          <w:szCs w:val="24"/>
        </w:rPr>
        <w:t xml:space="preserve">Available at: </w:t>
      </w:r>
      <w:hyperlink r:id="rId64" w:history="1">
        <w:r w:rsidRPr="00411A5F">
          <w:rPr>
            <w:rFonts w:ascii="Arial" w:hAnsi="Arial" w:cs="Arial"/>
            <w:color w:val="0563C1" w:themeColor="hyperlink"/>
            <w:sz w:val="24"/>
            <w:szCs w:val="24"/>
            <w:u w:val="single"/>
          </w:rPr>
          <w:t>https://kidshealth.org/en/parents/school.html</w:t>
        </w:r>
      </w:hyperlink>
      <w:r w:rsidRPr="00411A5F">
        <w:rPr>
          <w:rFonts w:ascii="Arial" w:hAnsi="Arial" w:cs="Arial"/>
          <w:sz w:val="24"/>
          <w:szCs w:val="24"/>
        </w:rPr>
        <w:t xml:space="preserve"> (Accessed: 12 January 2022).</w:t>
      </w:r>
    </w:p>
    <w:p w14:paraId="2813F4C3" w14:textId="77777777" w:rsidR="00411A5F" w:rsidRPr="00411A5F" w:rsidRDefault="00411A5F" w:rsidP="00411A5F">
      <w:pPr>
        <w:spacing w:line="360" w:lineRule="auto"/>
        <w:jc w:val="both"/>
        <w:rPr>
          <w:rFonts w:ascii="Arial" w:hAnsi="Arial" w:cs="Arial"/>
          <w:sz w:val="24"/>
          <w:szCs w:val="24"/>
        </w:rPr>
      </w:pPr>
    </w:p>
    <w:p w14:paraId="20A1A081"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Tindall </w:t>
      </w:r>
      <w:r w:rsidRPr="00411A5F">
        <w:rPr>
          <w:rFonts w:ascii="Arial" w:hAnsi="Arial" w:cs="Arial"/>
          <w:i/>
          <w:iCs/>
          <w:sz w:val="24"/>
          <w:szCs w:val="24"/>
        </w:rPr>
        <w:t>et al.</w:t>
      </w:r>
      <w:r w:rsidRPr="00411A5F">
        <w:rPr>
          <w:rFonts w:ascii="Arial" w:hAnsi="Arial" w:cs="Arial"/>
          <w:sz w:val="24"/>
          <w:szCs w:val="24"/>
        </w:rPr>
        <w:t xml:space="preserve"> (2015) ‘Pre-service teachers’ attitudes towards children with disabilities: An Irish perspective’, </w:t>
      </w:r>
      <w:r w:rsidRPr="00411A5F">
        <w:rPr>
          <w:rFonts w:ascii="Arial" w:hAnsi="Arial" w:cs="Arial"/>
          <w:i/>
          <w:iCs/>
          <w:sz w:val="24"/>
          <w:szCs w:val="24"/>
        </w:rPr>
        <w:t>European Physical Education Review</w:t>
      </w:r>
      <w:r w:rsidRPr="00411A5F">
        <w:rPr>
          <w:rFonts w:ascii="Arial" w:hAnsi="Arial" w:cs="Arial"/>
          <w:sz w:val="24"/>
          <w:szCs w:val="24"/>
        </w:rPr>
        <w:t xml:space="preserve">, 21(2), pp.206-221. URL: </w:t>
      </w:r>
      <w:hyperlink r:id="rId65" w:history="1">
        <w:r w:rsidRPr="00411A5F">
          <w:rPr>
            <w:rFonts w:ascii="Arial" w:hAnsi="Arial" w:cs="Arial"/>
            <w:color w:val="0563C1" w:themeColor="hyperlink"/>
            <w:sz w:val="24"/>
            <w:szCs w:val="24"/>
            <w:u w:val="single"/>
          </w:rPr>
          <w:t>https://www.researchgate.net/profile/Daniel-Tindall/publication/267979629_Pre-service_teachers%27_attitudes_towards_children_with_disabilities_An_Irish_perspective/links/552faacd0cf22d43717119ad/Pre-service-teachers-attitudes-towards-children-with-disabilities-An-Irish-perspective.pdf</w:t>
        </w:r>
      </w:hyperlink>
      <w:r w:rsidRPr="00411A5F">
        <w:rPr>
          <w:rFonts w:ascii="Arial" w:hAnsi="Arial" w:cs="Arial"/>
          <w:sz w:val="24"/>
          <w:szCs w:val="24"/>
        </w:rPr>
        <w:t xml:space="preserve"> (Accessed: 20 November 2022).</w:t>
      </w:r>
    </w:p>
    <w:p w14:paraId="73972929" w14:textId="77777777" w:rsidR="00411A5F" w:rsidRPr="00411A5F" w:rsidRDefault="00411A5F" w:rsidP="00411A5F">
      <w:pPr>
        <w:spacing w:line="360" w:lineRule="auto"/>
        <w:jc w:val="both"/>
        <w:rPr>
          <w:rFonts w:ascii="Arial" w:hAnsi="Arial" w:cs="Arial"/>
          <w:sz w:val="24"/>
          <w:szCs w:val="24"/>
        </w:rPr>
      </w:pPr>
    </w:p>
    <w:p w14:paraId="091301D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UNICEF (no date) A summary of The United Nations Convention on the Rights of the Child. Available at: </w:t>
      </w:r>
      <w:hyperlink r:id="rId66" w:history="1">
        <w:r w:rsidRPr="00411A5F">
          <w:rPr>
            <w:rFonts w:ascii="Arial" w:hAnsi="Arial" w:cs="Arial"/>
            <w:color w:val="0563C1" w:themeColor="hyperlink"/>
            <w:sz w:val="24"/>
            <w:szCs w:val="24"/>
            <w:u w:val="single"/>
          </w:rPr>
          <w:t>https://downloads.unicef.org.uk/wp-content/uploads/2019/10/UNCRC_summary-1_1.pdf?_adal_sd=www.unicef.org.uk.1636894905449&amp;_adal_ca=so%3DLive%26me%3Dorganic%26ca%3D(not%2520set)%26co%3D(not%2520set)%26ke%3D(not%2520set).1636894905449&amp;_adal_cw=1636894900203.1636894905449&amp;_adal_id=941af5fc-f1ea-40ca-b363-8a955b747b8f.1602085649.8.1636894900.1634639623.229581f4-d1ad-4935-8eda-efb888baa9d9.1636894905449&amp;_ga=2.123362766.455716028.1636894900-1400654250.1584200325</w:t>
        </w:r>
      </w:hyperlink>
      <w:r w:rsidRPr="00411A5F">
        <w:rPr>
          <w:rFonts w:ascii="Arial" w:hAnsi="Arial" w:cs="Arial"/>
          <w:sz w:val="24"/>
          <w:szCs w:val="24"/>
        </w:rPr>
        <w:t xml:space="preserve">  (Accessed: 18 November 2021).</w:t>
      </w:r>
    </w:p>
    <w:p w14:paraId="393B010E" w14:textId="77777777" w:rsidR="00411A5F" w:rsidRPr="00411A5F" w:rsidRDefault="00411A5F" w:rsidP="00411A5F">
      <w:pPr>
        <w:spacing w:line="360" w:lineRule="auto"/>
        <w:jc w:val="both"/>
        <w:rPr>
          <w:rFonts w:ascii="Arial" w:hAnsi="Arial" w:cs="Arial"/>
          <w:sz w:val="24"/>
          <w:szCs w:val="24"/>
        </w:rPr>
      </w:pPr>
    </w:p>
    <w:p w14:paraId="27A44F67" w14:textId="77777777" w:rsidR="00411A5F" w:rsidRPr="00411A5F" w:rsidRDefault="00411A5F" w:rsidP="00411A5F">
      <w:pPr>
        <w:spacing w:line="360" w:lineRule="auto"/>
        <w:jc w:val="both"/>
        <w:rPr>
          <w:rFonts w:ascii="Arial" w:hAnsi="Arial" w:cs="Arial"/>
          <w:sz w:val="24"/>
          <w:szCs w:val="24"/>
        </w:rPr>
      </w:pPr>
      <w:proofErr w:type="spellStart"/>
      <w:r w:rsidRPr="00411A5F">
        <w:rPr>
          <w:rFonts w:ascii="Arial" w:hAnsi="Arial" w:cs="Arial"/>
          <w:sz w:val="24"/>
          <w:szCs w:val="24"/>
        </w:rPr>
        <w:lastRenderedPageBreak/>
        <w:t>Viennet</w:t>
      </w:r>
      <w:proofErr w:type="spellEnd"/>
      <w:r w:rsidRPr="00411A5F">
        <w:rPr>
          <w:rFonts w:ascii="Arial" w:hAnsi="Arial" w:cs="Arial"/>
          <w:sz w:val="24"/>
          <w:szCs w:val="24"/>
        </w:rPr>
        <w:t xml:space="preserve">, R. and Pont, B. (2017) </w:t>
      </w:r>
      <w:r w:rsidRPr="00411A5F">
        <w:rPr>
          <w:rFonts w:ascii="Arial" w:hAnsi="Arial" w:cs="Arial"/>
          <w:i/>
          <w:iCs/>
          <w:sz w:val="24"/>
          <w:szCs w:val="24"/>
        </w:rPr>
        <w:t xml:space="preserve">Education policy implementation: A literature review and proposed framework. </w:t>
      </w:r>
      <w:r w:rsidRPr="00411A5F">
        <w:rPr>
          <w:rFonts w:ascii="Arial" w:hAnsi="Arial" w:cs="Arial"/>
          <w:sz w:val="24"/>
          <w:szCs w:val="24"/>
        </w:rPr>
        <w:t xml:space="preserve">Available at: </w:t>
      </w:r>
      <w:hyperlink r:id="rId67" w:history="1">
        <w:r w:rsidRPr="00411A5F">
          <w:rPr>
            <w:rFonts w:ascii="Arial" w:hAnsi="Arial" w:cs="Arial"/>
            <w:color w:val="0563C1" w:themeColor="hyperlink"/>
            <w:sz w:val="24"/>
            <w:szCs w:val="24"/>
            <w:u w:val="single"/>
          </w:rPr>
          <w:t>https://www.bvekennis.nl/wp-content/uploads/documents/18-0047.pdf</w:t>
        </w:r>
      </w:hyperlink>
      <w:r w:rsidRPr="00411A5F">
        <w:rPr>
          <w:rFonts w:ascii="Arial" w:hAnsi="Arial" w:cs="Arial"/>
          <w:sz w:val="24"/>
          <w:szCs w:val="24"/>
        </w:rPr>
        <w:t xml:space="preserve"> (Accessed: 20 November 2021).</w:t>
      </w:r>
    </w:p>
    <w:p w14:paraId="6586E9AC" w14:textId="77777777" w:rsidR="00411A5F" w:rsidRPr="00411A5F" w:rsidRDefault="00411A5F" w:rsidP="00411A5F">
      <w:pPr>
        <w:spacing w:line="360" w:lineRule="auto"/>
        <w:jc w:val="both"/>
        <w:rPr>
          <w:rFonts w:ascii="Arial" w:hAnsi="Arial" w:cs="Arial"/>
          <w:sz w:val="24"/>
          <w:szCs w:val="24"/>
        </w:rPr>
      </w:pPr>
    </w:p>
    <w:p w14:paraId="03BF61B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Ward </w:t>
      </w:r>
      <w:r w:rsidRPr="00411A5F">
        <w:rPr>
          <w:rFonts w:ascii="Arial" w:hAnsi="Arial" w:cs="Arial"/>
          <w:i/>
          <w:iCs/>
          <w:sz w:val="24"/>
          <w:szCs w:val="24"/>
        </w:rPr>
        <w:t>et al.</w:t>
      </w:r>
      <w:r w:rsidRPr="00411A5F">
        <w:rPr>
          <w:rFonts w:ascii="Arial" w:hAnsi="Arial" w:cs="Arial"/>
          <w:sz w:val="24"/>
          <w:szCs w:val="24"/>
        </w:rPr>
        <w:t xml:space="preserve"> (2014) </w:t>
      </w:r>
      <w:r w:rsidRPr="00411A5F">
        <w:rPr>
          <w:rFonts w:ascii="Arial" w:hAnsi="Arial" w:cs="Arial"/>
          <w:i/>
          <w:iCs/>
          <w:sz w:val="24"/>
          <w:szCs w:val="24"/>
        </w:rPr>
        <w:t xml:space="preserve">Assessing Parental Capacity to Change when Children are on the Edge of Care: an overview of current research evidence.  </w:t>
      </w:r>
      <w:r w:rsidRPr="00411A5F">
        <w:rPr>
          <w:rFonts w:ascii="Arial" w:hAnsi="Arial" w:cs="Arial"/>
          <w:sz w:val="24"/>
          <w:szCs w:val="24"/>
        </w:rPr>
        <w:t xml:space="preserve">Available at: </w:t>
      </w:r>
      <w:hyperlink r:id="rId68" w:history="1">
        <w:r w:rsidRPr="00411A5F">
          <w:rPr>
            <w:rFonts w:ascii="Arial" w:hAnsi="Arial" w:cs="Arial"/>
            <w:color w:val="0563C1" w:themeColor="hyperlink"/>
            <w:sz w:val="24"/>
            <w:szCs w:val="24"/>
            <w:u w:val="single"/>
          </w:rPr>
          <w:t>https://assets.publishing.service.gov.uk/government/uploads/system/uploads/attachment_data/file/330332/RR369_Assessing_parental_capacity_to_change_Final.pdf</w:t>
        </w:r>
      </w:hyperlink>
      <w:r w:rsidRPr="00411A5F">
        <w:rPr>
          <w:rFonts w:ascii="Arial" w:hAnsi="Arial" w:cs="Arial"/>
          <w:sz w:val="24"/>
          <w:szCs w:val="24"/>
        </w:rPr>
        <w:t xml:space="preserve"> (Accessed: 21 November 2021).</w:t>
      </w:r>
    </w:p>
    <w:p w14:paraId="6014C1CF" w14:textId="77777777" w:rsidR="00411A5F" w:rsidRPr="00411A5F" w:rsidRDefault="00411A5F" w:rsidP="00411A5F">
      <w:pPr>
        <w:spacing w:line="360" w:lineRule="auto"/>
        <w:jc w:val="both"/>
        <w:rPr>
          <w:rFonts w:ascii="Arial" w:hAnsi="Arial" w:cs="Arial"/>
          <w:sz w:val="24"/>
          <w:szCs w:val="24"/>
        </w:rPr>
      </w:pPr>
    </w:p>
    <w:p w14:paraId="175C069B"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Ward, H., Brown, R. and Hyde-Dryden, G. (2014) </w:t>
      </w:r>
      <w:r w:rsidRPr="00411A5F">
        <w:rPr>
          <w:rFonts w:ascii="Arial" w:hAnsi="Arial" w:cs="Arial"/>
          <w:i/>
          <w:iCs/>
          <w:sz w:val="24"/>
          <w:szCs w:val="24"/>
        </w:rPr>
        <w:t>Assessing Parental Capacity to Change when Children are on the Edge of Care: an overview of current research evidence.</w:t>
      </w:r>
      <w:r w:rsidRPr="00411A5F">
        <w:rPr>
          <w:rFonts w:ascii="Arial" w:hAnsi="Arial" w:cs="Arial"/>
          <w:sz w:val="24"/>
          <w:szCs w:val="24"/>
        </w:rPr>
        <w:t xml:space="preserve"> Available at: </w:t>
      </w:r>
      <w:hyperlink r:id="rId69" w:history="1">
        <w:r w:rsidRPr="00411A5F">
          <w:rPr>
            <w:rFonts w:ascii="Arial" w:hAnsi="Arial" w:cs="Arial"/>
            <w:color w:val="0563C1" w:themeColor="hyperlink"/>
            <w:sz w:val="24"/>
            <w:szCs w:val="24"/>
            <w:u w:val="single"/>
          </w:rPr>
          <w:t>https://repository.lboro.ac.uk/articles/report/Assessing_parental_capacity_to_change_when_children_are_on_the_edge_of_care_an_overview_of_current_research_evidence/9580151</w:t>
        </w:r>
      </w:hyperlink>
      <w:r w:rsidRPr="00411A5F">
        <w:rPr>
          <w:rFonts w:ascii="Arial" w:hAnsi="Arial" w:cs="Arial"/>
          <w:sz w:val="24"/>
          <w:szCs w:val="24"/>
        </w:rPr>
        <w:t xml:space="preserve"> (Accessed: 18 November 2021). </w:t>
      </w:r>
    </w:p>
    <w:p w14:paraId="40762B12" w14:textId="77777777" w:rsidR="00411A5F" w:rsidRPr="00411A5F" w:rsidRDefault="00411A5F" w:rsidP="00411A5F">
      <w:pPr>
        <w:spacing w:line="360" w:lineRule="auto"/>
        <w:jc w:val="both"/>
        <w:rPr>
          <w:rFonts w:ascii="Arial" w:hAnsi="Arial" w:cs="Arial"/>
          <w:sz w:val="24"/>
          <w:szCs w:val="24"/>
        </w:rPr>
      </w:pPr>
    </w:p>
    <w:p w14:paraId="105F255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Waters, J. (2016) ‘The Foundation Phase in Wales–time to grow up?’, </w:t>
      </w:r>
      <w:proofErr w:type="spellStart"/>
      <w:r w:rsidRPr="00411A5F">
        <w:rPr>
          <w:rFonts w:ascii="Arial" w:hAnsi="Arial" w:cs="Arial"/>
          <w:i/>
          <w:iCs/>
          <w:sz w:val="24"/>
          <w:szCs w:val="24"/>
        </w:rPr>
        <w:t>Cylchgrawn</w:t>
      </w:r>
      <w:proofErr w:type="spellEnd"/>
      <w:r w:rsidRPr="00411A5F">
        <w:rPr>
          <w:rFonts w:ascii="Arial" w:hAnsi="Arial" w:cs="Arial"/>
          <w:i/>
          <w:iCs/>
          <w:sz w:val="24"/>
          <w:szCs w:val="24"/>
        </w:rPr>
        <w:t xml:space="preserve"> Addysg Cymru/Wales Journal of Education</w:t>
      </w:r>
      <w:r w:rsidRPr="00411A5F">
        <w:rPr>
          <w:rFonts w:ascii="Arial" w:hAnsi="Arial" w:cs="Arial"/>
          <w:sz w:val="24"/>
          <w:szCs w:val="24"/>
        </w:rPr>
        <w:t xml:space="preserve">, 18(1), pp.179-198. URL: </w:t>
      </w:r>
      <w:hyperlink r:id="rId70" w:history="1">
        <w:r w:rsidRPr="00411A5F">
          <w:rPr>
            <w:rFonts w:ascii="Arial" w:hAnsi="Arial" w:cs="Arial"/>
            <w:color w:val="0563C1" w:themeColor="hyperlink"/>
            <w:sz w:val="24"/>
            <w:szCs w:val="24"/>
            <w:u w:val="single"/>
          </w:rPr>
          <w:t>https://repository.uwtsd.ac.uk/id/eprint/715/1/Waters%2C%20J.%282016%29%20The%20foundation%20phase%20in%20Wales%20-%20time%20to%20grow.pdf</w:t>
        </w:r>
      </w:hyperlink>
      <w:r w:rsidRPr="00411A5F">
        <w:rPr>
          <w:rFonts w:ascii="Arial" w:hAnsi="Arial" w:cs="Arial"/>
          <w:sz w:val="24"/>
          <w:szCs w:val="24"/>
        </w:rPr>
        <w:t xml:space="preserve"> (Accessed: 18 November 2021). </w:t>
      </w:r>
    </w:p>
    <w:p w14:paraId="2D272463" w14:textId="77777777" w:rsidR="00411A5F" w:rsidRPr="00411A5F" w:rsidRDefault="00411A5F" w:rsidP="00411A5F">
      <w:pPr>
        <w:spacing w:line="360" w:lineRule="auto"/>
        <w:jc w:val="both"/>
        <w:rPr>
          <w:rFonts w:ascii="Arial" w:hAnsi="Arial" w:cs="Arial"/>
          <w:sz w:val="24"/>
          <w:szCs w:val="24"/>
        </w:rPr>
      </w:pPr>
    </w:p>
    <w:p w14:paraId="51ABB7E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Weale, S. (2019) </w:t>
      </w:r>
      <w:r w:rsidRPr="00411A5F">
        <w:rPr>
          <w:rFonts w:ascii="Arial" w:hAnsi="Arial" w:cs="Arial"/>
          <w:i/>
          <w:iCs/>
          <w:sz w:val="24"/>
          <w:szCs w:val="24"/>
        </w:rPr>
        <w:t>Children in low-income families suffer 'shame and social exclusion'</w:t>
      </w:r>
      <w:r w:rsidRPr="00411A5F">
        <w:rPr>
          <w:rFonts w:ascii="Arial" w:hAnsi="Arial" w:cs="Arial"/>
          <w:sz w:val="24"/>
          <w:szCs w:val="24"/>
        </w:rPr>
        <w:t xml:space="preserve">. Available at: </w:t>
      </w:r>
      <w:hyperlink r:id="rId71" w:history="1">
        <w:r w:rsidRPr="00411A5F">
          <w:rPr>
            <w:rFonts w:ascii="Arial" w:hAnsi="Arial" w:cs="Arial"/>
            <w:color w:val="0563C1" w:themeColor="hyperlink"/>
            <w:sz w:val="24"/>
            <w:szCs w:val="24"/>
            <w:u w:val="single"/>
          </w:rPr>
          <w:t>https://www.theguardian.com/society/2019/apr/02/children-in-low-income-families-suffer-shame-and-social-exclusion</w:t>
        </w:r>
      </w:hyperlink>
      <w:r w:rsidRPr="00411A5F">
        <w:rPr>
          <w:rFonts w:ascii="Arial" w:hAnsi="Arial" w:cs="Arial"/>
          <w:sz w:val="24"/>
          <w:szCs w:val="24"/>
        </w:rPr>
        <w:t xml:space="preserve"> (Accessed: 15 January 2022).</w:t>
      </w:r>
    </w:p>
    <w:p w14:paraId="43BA7C12" w14:textId="77777777" w:rsidR="00411A5F" w:rsidRPr="00411A5F" w:rsidRDefault="00411A5F" w:rsidP="00411A5F">
      <w:pPr>
        <w:spacing w:line="360" w:lineRule="auto"/>
        <w:jc w:val="both"/>
        <w:rPr>
          <w:rFonts w:ascii="Arial" w:hAnsi="Arial" w:cs="Arial"/>
          <w:sz w:val="24"/>
          <w:szCs w:val="24"/>
        </w:rPr>
      </w:pPr>
    </w:p>
    <w:p w14:paraId="64369B00"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Weed, K and Nicholson, J. (2015) ‘Differential social evaluation of pregnant teens, teen mothers and teen fathers by university students’, </w:t>
      </w:r>
      <w:r w:rsidRPr="00411A5F">
        <w:rPr>
          <w:rFonts w:ascii="Arial" w:hAnsi="Arial" w:cs="Arial"/>
          <w:i/>
          <w:iCs/>
          <w:sz w:val="24"/>
          <w:szCs w:val="24"/>
        </w:rPr>
        <w:t xml:space="preserve">International Journal of </w:t>
      </w:r>
      <w:r w:rsidRPr="00411A5F">
        <w:rPr>
          <w:rFonts w:ascii="Arial" w:hAnsi="Arial" w:cs="Arial"/>
          <w:i/>
          <w:iCs/>
          <w:sz w:val="24"/>
          <w:szCs w:val="24"/>
        </w:rPr>
        <w:lastRenderedPageBreak/>
        <w:t>Adolescence and Youth,</w:t>
      </w:r>
      <w:r w:rsidRPr="00411A5F">
        <w:rPr>
          <w:rFonts w:ascii="Arial" w:hAnsi="Arial" w:cs="Arial"/>
          <w:sz w:val="24"/>
          <w:szCs w:val="24"/>
        </w:rPr>
        <w:t xml:space="preserve"> 20:1, 1-16. DOI: </w:t>
      </w:r>
      <w:hyperlink r:id="rId72" w:history="1">
        <w:r w:rsidRPr="00411A5F">
          <w:rPr>
            <w:rFonts w:ascii="Arial" w:hAnsi="Arial" w:cs="Arial"/>
            <w:color w:val="0563C1" w:themeColor="hyperlink"/>
            <w:sz w:val="24"/>
            <w:szCs w:val="24"/>
            <w:u w:val="single"/>
          </w:rPr>
          <w:t>https://doi.org/10.1080/02673843.2014.963630</w:t>
        </w:r>
      </w:hyperlink>
      <w:r w:rsidRPr="00411A5F">
        <w:rPr>
          <w:rFonts w:ascii="Arial" w:hAnsi="Arial" w:cs="Arial"/>
          <w:sz w:val="24"/>
          <w:szCs w:val="24"/>
        </w:rPr>
        <w:t xml:space="preserve"> (Accessed: 15 January 2022).</w:t>
      </w:r>
    </w:p>
    <w:p w14:paraId="1DE52E63" w14:textId="77777777" w:rsidR="00411A5F" w:rsidRPr="00411A5F" w:rsidRDefault="00411A5F" w:rsidP="00411A5F">
      <w:pPr>
        <w:spacing w:line="360" w:lineRule="auto"/>
        <w:jc w:val="both"/>
        <w:rPr>
          <w:rFonts w:ascii="Arial" w:hAnsi="Arial" w:cs="Arial"/>
          <w:sz w:val="24"/>
          <w:szCs w:val="24"/>
        </w:rPr>
      </w:pPr>
    </w:p>
    <w:p w14:paraId="7C314834"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(2021) Introduction to Curriculum for Wales guidance. Available at: </w:t>
      </w:r>
      <w:hyperlink r:id="rId73" w:history="1">
        <w:r w:rsidRPr="00411A5F">
          <w:rPr>
            <w:rFonts w:ascii="Arial" w:hAnsi="Arial" w:cs="Arial"/>
            <w:color w:val="0563C1" w:themeColor="hyperlink"/>
            <w:sz w:val="24"/>
            <w:szCs w:val="24"/>
            <w:u w:val="single"/>
          </w:rPr>
          <w:t>https://hwb.gov.wales/curriculum-for-wales/introduction</w:t>
        </w:r>
      </w:hyperlink>
      <w:r w:rsidRPr="00411A5F">
        <w:rPr>
          <w:rFonts w:ascii="Arial" w:hAnsi="Arial" w:cs="Arial"/>
          <w:sz w:val="24"/>
          <w:szCs w:val="24"/>
        </w:rPr>
        <w:t xml:space="preserve"> (Accessed: 18 November 2021).</w:t>
      </w:r>
    </w:p>
    <w:p w14:paraId="09ABF498" w14:textId="77777777" w:rsidR="00411A5F" w:rsidRPr="00411A5F" w:rsidRDefault="00411A5F" w:rsidP="00411A5F">
      <w:pPr>
        <w:spacing w:line="360" w:lineRule="auto"/>
        <w:jc w:val="both"/>
        <w:rPr>
          <w:rFonts w:ascii="Arial" w:hAnsi="Arial" w:cs="Arial"/>
          <w:sz w:val="24"/>
          <w:szCs w:val="24"/>
        </w:rPr>
      </w:pPr>
    </w:p>
    <w:p w14:paraId="24D32EE2"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(2016) An overview of the Healthy Child Wales Programme. Available at: </w:t>
      </w:r>
      <w:hyperlink r:id="rId74" w:history="1">
        <w:r w:rsidRPr="00411A5F">
          <w:rPr>
            <w:rFonts w:ascii="Arial" w:hAnsi="Arial" w:cs="Arial"/>
            <w:color w:val="0563C1" w:themeColor="hyperlink"/>
            <w:sz w:val="24"/>
            <w:szCs w:val="24"/>
            <w:u w:val="single"/>
          </w:rPr>
          <w:t>https://gov.wales/sites/default/files/publications/2019-05/an-overview-of-the-healthy-child-wales-programme.pdf</w:t>
        </w:r>
      </w:hyperlink>
      <w:r w:rsidRPr="00411A5F">
        <w:rPr>
          <w:rFonts w:ascii="Arial" w:hAnsi="Arial" w:cs="Arial"/>
          <w:sz w:val="24"/>
          <w:szCs w:val="24"/>
        </w:rPr>
        <w:t xml:space="preserve"> (Accessed: 18 November 2021). </w:t>
      </w:r>
    </w:p>
    <w:p w14:paraId="54BA4867" w14:textId="77777777" w:rsidR="00411A5F" w:rsidRPr="00411A5F" w:rsidRDefault="00411A5F" w:rsidP="00411A5F">
      <w:pPr>
        <w:spacing w:line="360" w:lineRule="auto"/>
        <w:jc w:val="both"/>
        <w:rPr>
          <w:rFonts w:ascii="Arial" w:hAnsi="Arial" w:cs="Arial"/>
          <w:sz w:val="24"/>
          <w:szCs w:val="24"/>
        </w:rPr>
      </w:pPr>
    </w:p>
    <w:p w14:paraId="0978690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(2017) Education in Wales: Our national mission Action plan 2017–21. Available at: </w:t>
      </w:r>
      <w:hyperlink r:id="rId75" w:history="1">
        <w:r w:rsidRPr="00411A5F">
          <w:rPr>
            <w:rFonts w:ascii="Arial" w:hAnsi="Arial" w:cs="Arial"/>
            <w:color w:val="0563C1" w:themeColor="hyperlink"/>
            <w:sz w:val="24"/>
            <w:szCs w:val="24"/>
            <w:u w:val="single"/>
          </w:rPr>
          <w:t>https://gov.wales/sites/default/files/publications/2018-03/education-in-wales-our-national-mission.pdf</w:t>
        </w:r>
      </w:hyperlink>
      <w:r w:rsidRPr="00411A5F">
        <w:rPr>
          <w:rFonts w:ascii="Arial" w:hAnsi="Arial" w:cs="Arial"/>
          <w:sz w:val="24"/>
          <w:szCs w:val="24"/>
        </w:rPr>
        <w:t xml:space="preserve"> (Accessed: 18 November 2021).</w:t>
      </w:r>
    </w:p>
    <w:p w14:paraId="6B6190DF" w14:textId="77777777" w:rsidR="00411A5F" w:rsidRPr="00411A5F" w:rsidRDefault="00411A5F" w:rsidP="00411A5F">
      <w:pPr>
        <w:spacing w:line="360" w:lineRule="auto"/>
        <w:jc w:val="both"/>
        <w:rPr>
          <w:rFonts w:ascii="Arial" w:hAnsi="Arial" w:cs="Arial"/>
          <w:sz w:val="24"/>
          <w:szCs w:val="24"/>
        </w:rPr>
      </w:pPr>
    </w:p>
    <w:p w14:paraId="18FFB3B9"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(2019) </w:t>
      </w:r>
      <w:r w:rsidRPr="00411A5F">
        <w:rPr>
          <w:rFonts w:ascii="Arial" w:hAnsi="Arial" w:cs="Arial"/>
          <w:i/>
          <w:iCs/>
          <w:sz w:val="24"/>
          <w:szCs w:val="24"/>
        </w:rPr>
        <w:t>Substance Misuse Delivery Plan 2019-2022</w:t>
      </w:r>
      <w:r w:rsidRPr="00411A5F">
        <w:rPr>
          <w:rFonts w:ascii="Arial" w:hAnsi="Arial" w:cs="Arial"/>
          <w:sz w:val="24"/>
          <w:szCs w:val="24"/>
        </w:rPr>
        <w:t xml:space="preserve">. Available at: </w:t>
      </w:r>
      <w:hyperlink r:id="rId76" w:history="1">
        <w:r w:rsidRPr="00411A5F">
          <w:rPr>
            <w:rFonts w:ascii="Arial" w:hAnsi="Arial" w:cs="Arial"/>
            <w:color w:val="0563C1" w:themeColor="hyperlink"/>
            <w:sz w:val="24"/>
            <w:szCs w:val="24"/>
            <w:u w:val="single"/>
          </w:rPr>
          <w:t>https://gov.wales/sites/default/files/publications/2019-10/substance-misuse-delivery-plan-2019-22.pdf</w:t>
        </w:r>
      </w:hyperlink>
      <w:r w:rsidRPr="00411A5F">
        <w:rPr>
          <w:rFonts w:ascii="Arial" w:hAnsi="Arial" w:cs="Arial"/>
          <w:sz w:val="24"/>
          <w:szCs w:val="24"/>
        </w:rPr>
        <w:t xml:space="preserve"> (Accessed: 13 January 2022).</w:t>
      </w:r>
    </w:p>
    <w:p w14:paraId="249E8BA9" w14:textId="77777777" w:rsidR="00411A5F" w:rsidRPr="00411A5F" w:rsidRDefault="00411A5F" w:rsidP="00411A5F">
      <w:pPr>
        <w:spacing w:line="360" w:lineRule="auto"/>
        <w:jc w:val="both"/>
        <w:rPr>
          <w:rFonts w:ascii="Arial" w:hAnsi="Arial" w:cs="Arial"/>
          <w:sz w:val="24"/>
          <w:szCs w:val="24"/>
        </w:rPr>
      </w:pPr>
    </w:p>
    <w:p w14:paraId="7160A8DC"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(2020) </w:t>
      </w:r>
      <w:r w:rsidRPr="00411A5F">
        <w:rPr>
          <w:rFonts w:ascii="Arial" w:hAnsi="Arial" w:cs="Arial"/>
          <w:i/>
          <w:iCs/>
          <w:sz w:val="24"/>
          <w:szCs w:val="24"/>
        </w:rPr>
        <w:t>Education in Wales: Our national mission guidance.</w:t>
      </w:r>
      <w:r w:rsidRPr="00411A5F">
        <w:rPr>
          <w:rFonts w:ascii="Arial" w:hAnsi="Arial" w:cs="Arial"/>
          <w:sz w:val="24"/>
          <w:szCs w:val="24"/>
        </w:rPr>
        <w:t xml:space="preserve"> Available at: </w:t>
      </w:r>
      <w:hyperlink r:id="rId77" w:history="1">
        <w:r w:rsidRPr="00411A5F">
          <w:rPr>
            <w:rFonts w:ascii="Arial" w:hAnsi="Arial" w:cs="Arial"/>
            <w:color w:val="0563C1" w:themeColor="hyperlink"/>
            <w:sz w:val="24"/>
            <w:szCs w:val="24"/>
            <w:u w:val="single"/>
          </w:rPr>
          <w:t>https://gov.wales/sites/default/files/publications/2020-10/education-in-Wales-our-national-mission-update-october-2020.pdf</w:t>
        </w:r>
      </w:hyperlink>
      <w:r w:rsidRPr="00411A5F">
        <w:rPr>
          <w:rFonts w:ascii="Arial" w:hAnsi="Arial" w:cs="Arial"/>
          <w:sz w:val="24"/>
          <w:szCs w:val="24"/>
        </w:rPr>
        <w:t xml:space="preserve"> (Accessed: 12 January 2022).</w:t>
      </w:r>
    </w:p>
    <w:p w14:paraId="243AF14A" w14:textId="77777777" w:rsidR="00411A5F" w:rsidRPr="00411A5F" w:rsidRDefault="00411A5F" w:rsidP="00411A5F">
      <w:pPr>
        <w:spacing w:line="360" w:lineRule="auto"/>
        <w:jc w:val="both"/>
        <w:rPr>
          <w:rFonts w:ascii="Arial" w:hAnsi="Arial" w:cs="Arial"/>
          <w:sz w:val="24"/>
          <w:szCs w:val="24"/>
        </w:rPr>
      </w:pPr>
    </w:p>
    <w:p w14:paraId="044776FB"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Welsh Government (2021) </w:t>
      </w:r>
      <w:r w:rsidRPr="00411A5F">
        <w:rPr>
          <w:rFonts w:ascii="Arial" w:hAnsi="Arial" w:cs="Arial"/>
          <w:i/>
          <w:iCs/>
          <w:sz w:val="24"/>
          <w:szCs w:val="24"/>
        </w:rPr>
        <w:t>Introduction to Curriculum for Wales guidance.</w:t>
      </w:r>
      <w:r w:rsidRPr="00411A5F">
        <w:rPr>
          <w:rFonts w:ascii="Arial" w:hAnsi="Arial" w:cs="Arial"/>
          <w:sz w:val="24"/>
          <w:szCs w:val="24"/>
        </w:rPr>
        <w:t xml:space="preserve"> Available at: </w:t>
      </w:r>
      <w:hyperlink r:id="rId78" w:history="1">
        <w:r w:rsidRPr="00411A5F">
          <w:rPr>
            <w:rFonts w:ascii="Arial" w:hAnsi="Arial" w:cs="Arial"/>
            <w:color w:val="0563C1" w:themeColor="hyperlink"/>
            <w:sz w:val="24"/>
            <w:szCs w:val="24"/>
            <w:u w:val="single"/>
          </w:rPr>
          <w:t>https://hwb.gov.wales/curriculum-for-wales/introduction</w:t>
        </w:r>
      </w:hyperlink>
      <w:r w:rsidRPr="00411A5F">
        <w:rPr>
          <w:rFonts w:ascii="Arial" w:hAnsi="Arial" w:cs="Arial"/>
          <w:sz w:val="24"/>
          <w:szCs w:val="24"/>
        </w:rPr>
        <w:t xml:space="preserve"> (Accessed: 18 November 2021).</w:t>
      </w:r>
    </w:p>
    <w:p w14:paraId="44AC3F85" w14:textId="77777777" w:rsidR="00411A5F" w:rsidRPr="00411A5F" w:rsidRDefault="00411A5F" w:rsidP="00411A5F">
      <w:pPr>
        <w:spacing w:line="360" w:lineRule="auto"/>
        <w:jc w:val="both"/>
        <w:rPr>
          <w:rFonts w:ascii="Arial" w:hAnsi="Arial" w:cs="Arial"/>
          <w:sz w:val="24"/>
          <w:szCs w:val="24"/>
        </w:rPr>
      </w:pPr>
    </w:p>
    <w:p w14:paraId="1F0D9DF8"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lastRenderedPageBreak/>
        <w:t xml:space="preserve">Welsh Government (No Date) </w:t>
      </w:r>
      <w:r w:rsidRPr="00411A5F">
        <w:rPr>
          <w:rFonts w:ascii="Arial" w:hAnsi="Arial" w:cs="Arial"/>
          <w:i/>
          <w:iCs/>
          <w:sz w:val="24"/>
          <w:szCs w:val="24"/>
        </w:rPr>
        <w:t>Professional standards for teaching and leadership.</w:t>
      </w:r>
      <w:r w:rsidRPr="00411A5F">
        <w:rPr>
          <w:rFonts w:ascii="Arial" w:hAnsi="Arial" w:cs="Arial"/>
          <w:sz w:val="24"/>
          <w:szCs w:val="24"/>
        </w:rPr>
        <w:t xml:space="preserve"> Available at: </w:t>
      </w:r>
      <w:hyperlink r:id="rId79" w:history="1">
        <w:r w:rsidRPr="00411A5F">
          <w:rPr>
            <w:rFonts w:ascii="Arial" w:hAnsi="Arial" w:cs="Arial"/>
            <w:color w:val="0563C1" w:themeColor="hyperlink"/>
            <w:sz w:val="24"/>
            <w:szCs w:val="24"/>
            <w:u w:val="single"/>
          </w:rPr>
          <w:t>https://hwb.gov.wales/api/storage/19bc948b-8a3f-41e0-944a-7bf2cadf7d18/professional-standards-for-teaching-and-leadership-interactive-pdf-for-pc.pdf</w:t>
        </w:r>
      </w:hyperlink>
      <w:r w:rsidRPr="00411A5F">
        <w:rPr>
          <w:rFonts w:ascii="Arial" w:hAnsi="Arial" w:cs="Arial"/>
          <w:sz w:val="24"/>
          <w:szCs w:val="24"/>
        </w:rPr>
        <w:t xml:space="preserve"> (Accessed: 18 November 2021).</w:t>
      </w:r>
    </w:p>
    <w:p w14:paraId="687205F6" w14:textId="77777777" w:rsidR="00411A5F" w:rsidRPr="00411A5F" w:rsidRDefault="00411A5F" w:rsidP="00411A5F">
      <w:pPr>
        <w:spacing w:line="360" w:lineRule="auto"/>
        <w:jc w:val="both"/>
        <w:rPr>
          <w:rFonts w:ascii="Arial" w:hAnsi="Arial" w:cs="Arial"/>
          <w:sz w:val="24"/>
          <w:szCs w:val="24"/>
        </w:rPr>
      </w:pPr>
    </w:p>
    <w:p w14:paraId="795BAA85"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Welham, H. (2015) </w:t>
      </w:r>
      <w:r w:rsidRPr="00411A5F">
        <w:rPr>
          <w:rFonts w:ascii="Arial" w:hAnsi="Arial" w:cs="Arial"/>
          <w:i/>
          <w:iCs/>
          <w:sz w:val="24"/>
          <w:szCs w:val="24"/>
        </w:rPr>
        <w:t>Top tips for teachers on engaging parents in learning</w:t>
      </w:r>
      <w:r w:rsidRPr="00411A5F">
        <w:rPr>
          <w:rFonts w:ascii="Arial" w:hAnsi="Arial" w:cs="Arial"/>
          <w:sz w:val="24"/>
          <w:szCs w:val="24"/>
        </w:rPr>
        <w:t xml:space="preserve">. Available at: </w:t>
      </w:r>
      <w:hyperlink r:id="rId80" w:history="1">
        <w:r w:rsidRPr="00411A5F">
          <w:rPr>
            <w:rFonts w:ascii="Arial" w:hAnsi="Arial" w:cs="Arial"/>
            <w:color w:val="0563C1" w:themeColor="hyperlink"/>
            <w:sz w:val="24"/>
            <w:szCs w:val="24"/>
            <w:u w:val="single"/>
          </w:rPr>
          <w:t>https://www.theguardian.com/teacher-network/2015/jun/28/top-tips-for-teachers-on-engaging-parents-in-learning</w:t>
        </w:r>
      </w:hyperlink>
      <w:r w:rsidRPr="00411A5F">
        <w:rPr>
          <w:rFonts w:ascii="Arial" w:hAnsi="Arial" w:cs="Arial"/>
          <w:sz w:val="24"/>
          <w:szCs w:val="24"/>
        </w:rPr>
        <w:t xml:space="preserve"> (Accessed: 13 January 2022).</w:t>
      </w:r>
    </w:p>
    <w:p w14:paraId="4CA9AFB2" w14:textId="77777777" w:rsidR="00411A5F" w:rsidRPr="00411A5F" w:rsidRDefault="00411A5F" w:rsidP="00411A5F">
      <w:pPr>
        <w:spacing w:line="360" w:lineRule="auto"/>
        <w:jc w:val="both"/>
        <w:rPr>
          <w:rFonts w:ascii="Arial" w:hAnsi="Arial" w:cs="Arial"/>
          <w:sz w:val="24"/>
          <w:szCs w:val="24"/>
        </w:rPr>
      </w:pPr>
    </w:p>
    <w:p w14:paraId="24C6116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Wilson, C., Woolfson, L.M. and Durkin, K. (2019) ‘The impact of explicit and implicit teacher beliefs on reports of inclusive teaching practices in Scotland’, </w:t>
      </w:r>
      <w:r w:rsidRPr="00411A5F">
        <w:rPr>
          <w:rFonts w:ascii="Arial" w:hAnsi="Arial" w:cs="Arial"/>
          <w:i/>
          <w:iCs/>
          <w:sz w:val="24"/>
          <w:szCs w:val="24"/>
        </w:rPr>
        <w:t>International Journal of Inclusive Education,</w:t>
      </w:r>
      <w:r w:rsidRPr="00411A5F">
        <w:rPr>
          <w:rFonts w:ascii="Arial" w:hAnsi="Arial" w:cs="Arial"/>
          <w:sz w:val="24"/>
          <w:szCs w:val="24"/>
        </w:rPr>
        <w:t xml:space="preserve"> pp.1-19. URL: </w:t>
      </w:r>
      <w:hyperlink r:id="rId81" w:history="1">
        <w:r w:rsidRPr="00411A5F">
          <w:rPr>
            <w:rFonts w:ascii="Arial" w:hAnsi="Arial" w:cs="Arial"/>
            <w:color w:val="0563C1" w:themeColor="hyperlink"/>
            <w:sz w:val="24"/>
            <w:szCs w:val="24"/>
            <w:u w:val="single"/>
          </w:rPr>
          <w:t>https://pure.strath.ac.uk/ws/portalfiles/portal/89721645/Wilson_etal_IJIE_2019_The_impact_of_explicit_and_implicit_teacher_beliefs_on_reports_of_inclusive.pdf</w:t>
        </w:r>
      </w:hyperlink>
      <w:r w:rsidRPr="00411A5F">
        <w:rPr>
          <w:rFonts w:ascii="Arial" w:hAnsi="Arial" w:cs="Arial"/>
          <w:sz w:val="24"/>
          <w:szCs w:val="24"/>
        </w:rPr>
        <w:t xml:space="preserve"> (Accessed: 18 November 2021).</w:t>
      </w:r>
    </w:p>
    <w:p w14:paraId="5D96C980" w14:textId="77777777" w:rsidR="00411A5F" w:rsidRPr="00411A5F" w:rsidRDefault="00411A5F" w:rsidP="00411A5F">
      <w:pPr>
        <w:spacing w:line="360" w:lineRule="auto"/>
        <w:jc w:val="both"/>
        <w:rPr>
          <w:rFonts w:ascii="Arial" w:hAnsi="Arial" w:cs="Arial"/>
          <w:sz w:val="24"/>
          <w:szCs w:val="24"/>
        </w:rPr>
      </w:pPr>
    </w:p>
    <w:p w14:paraId="7CBD23F7"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Woods </w:t>
      </w:r>
      <w:r w:rsidRPr="00411A5F">
        <w:rPr>
          <w:rFonts w:ascii="Arial" w:hAnsi="Arial" w:cs="Arial"/>
          <w:i/>
          <w:iCs/>
          <w:sz w:val="24"/>
          <w:szCs w:val="24"/>
        </w:rPr>
        <w:t>et al.</w:t>
      </w:r>
      <w:r w:rsidRPr="00411A5F">
        <w:rPr>
          <w:rFonts w:ascii="Arial" w:hAnsi="Arial" w:cs="Arial"/>
          <w:sz w:val="24"/>
          <w:szCs w:val="24"/>
        </w:rPr>
        <w:t xml:space="preserve"> (2021)</w:t>
      </w:r>
      <w:r w:rsidRPr="00411A5F">
        <w:rPr>
          <w:rFonts w:ascii="Arial" w:hAnsi="Arial" w:cs="Arial"/>
          <w:i/>
          <w:iCs/>
          <w:sz w:val="24"/>
          <w:szCs w:val="24"/>
        </w:rPr>
        <w:t xml:space="preserve"> Constructions and purposes of school leadership in the UK, School Leadership &amp; Management.</w:t>
      </w:r>
      <w:r w:rsidRPr="00411A5F">
        <w:rPr>
          <w:rFonts w:ascii="Arial" w:hAnsi="Arial" w:cs="Arial"/>
          <w:sz w:val="24"/>
          <w:szCs w:val="24"/>
        </w:rPr>
        <w:t xml:space="preserve"> URL: </w:t>
      </w:r>
      <w:hyperlink r:id="rId82" w:history="1">
        <w:r w:rsidRPr="00411A5F">
          <w:rPr>
            <w:rFonts w:ascii="Arial" w:hAnsi="Arial" w:cs="Arial"/>
            <w:color w:val="0563C1" w:themeColor="hyperlink"/>
            <w:sz w:val="24"/>
            <w:szCs w:val="24"/>
            <w:u w:val="single"/>
          </w:rPr>
          <w:t>https://www.researchgate.net/profile/Philip-Woods/publication/349593208_Constructions_and_purposes_of_school_leadership_in_the_UK/links/603f4f7d4585154e8c7296e4/Constructions-and-purposes-of-school-leadership-in-the-UK.pdf</w:t>
        </w:r>
      </w:hyperlink>
      <w:r w:rsidRPr="00411A5F">
        <w:rPr>
          <w:rFonts w:ascii="Arial" w:hAnsi="Arial" w:cs="Arial"/>
          <w:sz w:val="24"/>
          <w:szCs w:val="24"/>
        </w:rPr>
        <w:t xml:space="preserve"> (Accessed: 19 November 2021).</w:t>
      </w:r>
    </w:p>
    <w:p w14:paraId="7F19AD38" w14:textId="77777777" w:rsidR="00411A5F" w:rsidRPr="00411A5F" w:rsidRDefault="00411A5F" w:rsidP="00411A5F">
      <w:pPr>
        <w:spacing w:line="360" w:lineRule="auto"/>
        <w:jc w:val="both"/>
        <w:rPr>
          <w:rFonts w:ascii="Arial" w:hAnsi="Arial" w:cs="Arial"/>
          <w:sz w:val="24"/>
          <w:szCs w:val="24"/>
        </w:rPr>
      </w:pPr>
    </w:p>
    <w:p w14:paraId="17172C2A" w14:textId="77777777" w:rsidR="00411A5F" w:rsidRPr="00411A5F" w:rsidRDefault="00411A5F" w:rsidP="00411A5F">
      <w:pPr>
        <w:spacing w:line="360" w:lineRule="auto"/>
        <w:jc w:val="both"/>
        <w:rPr>
          <w:rFonts w:ascii="Arial" w:hAnsi="Arial" w:cs="Arial"/>
          <w:sz w:val="24"/>
          <w:szCs w:val="24"/>
        </w:rPr>
      </w:pPr>
      <w:r w:rsidRPr="00411A5F">
        <w:rPr>
          <w:rFonts w:ascii="Arial" w:hAnsi="Arial" w:cs="Arial"/>
          <w:sz w:val="24"/>
          <w:szCs w:val="24"/>
        </w:rPr>
        <w:t xml:space="preserve">World Health Organisation (2018) NURTURING CARE FOR EARLY CHILDHOOD DEVELOPMENT. Available at: </w:t>
      </w:r>
      <w:hyperlink r:id="rId83" w:history="1">
        <w:r w:rsidRPr="00411A5F">
          <w:rPr>
            <w:rFonts w:ascii="Arial" w:hAnsi="Arial" w:cs="Arial"/>
            <w:color w:val="0563C1" w:themeColor="hyperlink"/>
            <w:sz w:val="24"/>
            <w:szCs w:val="24"/>
            <w:u w:val="single"/>
          </w:rPr>
          <w:t>https://apps.who.int/iris/bitstream/handle/10665/272603/9789241514064-eng.pdf</w:t>
        </w:r>
      </w:hyperlink>
      <w:r w:rsidRPr="00411A5F">
        <w:rPr>
          <w:rFonts w:ascii="Arial" w:hAnsi="Arial" w:cs="Arial"/>
          <w:sz w:val="24"/>
          <w:szCs w:val="24"/>
        </w:rPr>
        <w:t xml:space="preserve"> (Accessed: 15 January 2022).</w:t>
      </w:r>
    </w:p>
    <w:p w14:paraId="5D77E45F" w14:textId="6D622A25" w:rsidR="00803589" w:rsidRDefault="00803589"/>
    <w:sectPr w:rsidR="00803589">
      <w:headerReference w:type="even" r:id="rId84"/>
      <w:headerReference w:type="default" r:id="rId85"/>
      <w:footerReference w:type="even" r:id="rId86"/>
      <w:footerReference w:type="default" r:id="rId87"/>
      <w:headerReference w:type="first" r:id="rId88"/>
      <w:footerReference w:type="first" r:id="rId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F93C4" w14:textId="77777777" w:rsidR="0038753C" w:rsidRDefault="0038753C" w:rsidP="00B21E1A">
      <w:pPr>
        <w:spacing w:after="0" w:line="240" w:lineRule="auto"/>
      </w:pPr>
      <w:r>
        <w:separator/>
      </w:r>
    </w:p>
  </w:endnote>
  <w:endnote w:type="continuationSeparator" w:id="0">
    <w:p w14:paraId="037B0DBB" w14:textId="77777777" w:rsidR="0038753C" w:rsidRDefault="0038753C" w:rsidP="00B21E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CC7A0" w14:textId="77777777" w:rsidR="00B8350B" w:rsidRDefault="00B835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0406152"/>
      <w:docPartObj>
        <w:docPartGallery w:val="Page Numbers (Bottom of Page)"/>
        <w:docPartUnique/>
      </w:docPartObj>
    </w:sdtPr>
    <w:sdtEndPr>
      <w:rPr>
        <w:noProof/>
      </w:rPr>
    </w:sdtEndPr>
    <w:sdtContent>
      <w:p w14:paraId="5EED853D" w14:textId="5909EF85" w:rsidR="006C53BA" w:rsidRDefault="006C53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38A6B9" w14:textId="77777777" w:rsidR="006C53BA" w:rsidRDefault="006C53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AD14" w14:textId="77777777" w:rsidR="00B8350B" w:rsidRDefault="00B835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F96CE" w14:textId="77777777" w:rsidR="0038753C" w:rsidRDefault="0038753C" w:rsidP="00B21E1A">
      <w:pPr>
        <w:spacing w:after="0" w:line="240" w:lineRule="auto"/>
      </w:pPr>
      <w:r>
        <w:separator/>
      </w:r>
    </w:p>
  </w:footnote>
  <w:footnote w:type="continuationSeparator" w:id="0">
    <w:p w14:paraId="2DB21D4C" w14:textId="77777777" w:rsidR="0038753C" w:rsidRDefault="0038753C" w:rsidP="00B21E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18628" w14:textId="77777777" w:rsidR="00B8350B" w:rsidRDefault="00B835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C7A1E" w14:textId="324D2807" w:rsidR="00B21E1A" w:rsidRPr="006C53BA" w:rsidRDefault="00B21E1A">
    <w:pPr>
      <w:pStyle w:val="Header"/>
      <w:rPr>
        <w:rFonts w:ascii="Arial" w:hAnsi="Arial" w:cs="Arial"/>
        <w:sz w:val="24"/>
        <w:szCs w:val="24"/>
      </w:rPr>
    </w:pPr>
    <w:r w:rsidRPr="006C53BA">
      <w:rPr>
        <w:rFonts w:ascii="Arial" w:hAnsi="Arial" w:cs="Arial"/>
        <w:sz w:val="24"/>
        <w:szCs w:val="24"/>
      </w:rPr>
      <w:ptab w:relativeTo="margin" w:alignment="center" w:leader="none"/>
    </w:r>
    <w:r w:rsidR="006F0393" w:rsidRPr="006C53BA">
      <w:rPr>
        <w:rFonts w:ascii="Arial" w:hAnsi="Arial" w:cs="Arial"/>
        <w:sz w:val="24"/>
        <w:szCs w:val="24"/>
      </w:rPr>
      <w:t>ECEY6004</w:t>
    </w:r>
    <w:r w:rsidRPr="006C53BA">
      <w:rPr>
        <w:rFonts w:ascii="Arial" w:hAnsi="Arial" w:cs="Arial"/>
        <w:sz w:val="24"/>
        <w:szCs w:val="24"/>
      </w:rPr>
      <w:ptab w:relativeTo="margin" w:alignment="right" w:leader="none"/>
    </w:r>
    <w:r w:rsidR="006C53BA" w:rsidRPr="006C53BA">
      <w:rPr>
        <w:rFonts w:ascii="Arial" w:hAnsi="Arial" w:cs="Arial"/>
        <w:sz w:val="24"/>
        <w:szCs w:val="24"/>
      </w:rPr>
      <w:t>4212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0E3B3" w14:textId="77777777" w:rsidR="00B8350B" w:rsidRDefault="00B835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527"/>
    <w:rsid w:val="00011741"/>
    <w:rsid w:val="00013FC8"/>
    <w:rsid w:val="00015B3F"/>
    <w:rsid w:val="0001631F"/>
    <w:rsid w:val="00020507"/>
    <w:rsid w:val="000314DF"/>
    <w:rsid w:val="00032A61"/>
    <w:rsid w:val="000357F3"/>
    <w:rsid w:val="0004242F"/>
    <w:rsid w:val="00042BB2"/>
    <w:rsid w:val="00045480"/>
    <w:rsid w:val="00045932"/>
    <w:rsid w:val="00047766"/>
    <w:rsid w:val="00051809"/>
    <w:rsid w:val="00052A13"/>
    <w:rsid w:val="00052D8C"/>
    <w:rsid w:val="000548DF"/>
    <w:rsid w:val="00055CE9"/>
    <w:rsid w:val="0005622F"/>
    <w:rsid w:val="000576CD"/>
    <w:rsid w:val="0006132B"/>
    <w:rsid w:val="0006340F"/>
    <w:rsid w:val="00063CE9"/>
    <w:rsid w:val="00064058"/>
    <w:rsid w:val="000701D7"/>
    <w:rsid w:val="0007028B"/>
    <w:rsid w:val="000763D7"/>
    <w:rsid w:val="00077D24"/>
    <w:rsid w:val="0008093B"/>
    <w:rsid w:val="00080A79"/>
    <w:rsid w:val="00082863"/>
    <w:rsid w:val="00090AE6"/>
    <w:rsid w:val="000961D5"/>
    <w:rsid w:val="000A035E"/>
    <w:rsid w:val="000A250A"/>
    <w:rsid w:val="000A2565"/>
    <w:rsid w:val="000A2F7B"/>
    <w:rsid w:val="000A3CE9"/>
    <w:rsid w:val="000A4112"/>
    <w:rsid w:val="000B04EB"/>
    <w:rsid w:val="000B2E82"/>
    <w:rsid w:val="000B3B7C"/>
    <w:rsid w:val="000B4826"/>
    <w:rsid w:val="000B5F31"/>
    <w:rsid w:val="000C3C4C"/>
    <w:rsid w:val="000C420D"/>
    <w:rsid w:val="000C5E2F"/>
    <w:rsid w:val="000C7402"/>
    <w:rsid w:val="000D1BAF"/>
    <w:rsid w:val="000D508D"/>
    <w:rsid w:val="000D6CF7"/>
    <w:rsid w:val="000E792D"/>
    <w:rsid w:val="000F2F9F"/>
    <w:rsid w:val="000F3923"/>
    <w:rsid w:val="000F542B"/>
    <w:rsid w:val="000F6495"/>
    <w:rsid w:val="00104C41"/>
    <w:rsid w:val="0011040C"/>
    <w:rsid w:val="001107B0"/>
    <w:rsid w:val="00111D07"/>
    <w:rsid w:val="00113800"/>
    <w:rsid w:val="001205F8"/>
    <w:rsid w:val="00127D18"/>
    <w:rsid w:val="00127E2B"/>
    <w:rsid w:val="001306F1"/>
    <w:rsid w:val="00131610"/>
    <w:rsid w:val="00133F07"/>
    <w:rsid w:val="00135EEB"/>
    <w:rsid w:val="0013610F"/>
    <w:rsid w:val="0013724D"/>
    <w:rsid w:val="00137A68"/>
    <w:rsid w:val="001437EC"/>
    <w:rsid w:val="00143F97"/>
    <w:rsid w:val="00147417"/>
    <w:rsid w:val="00152699"/>
    <w:rsid w:val="001537EC"/>
    <w:rsid w:val="00156D2E"/>
    <w:rsid w:val="00157553"/>
    <w:rsid w:val="00164973"/>
    <w:rsid w:val="00165EF7"/>
    <w:rsid w:val="001671D9"/>
    <w:rsid w:val="00167BDA"/>
    <w:rsid w:val="00176229"/>
    <w:rsid w:val="0018083F"/>
    <w:rsid w:val="00180FA2"/>
    <w:rsid w:val="001822B0"/>
    <w:rsid w:val="00185EBE"/>
    <w:rsid w:val="00185F13"/>
    <w:rsid w:val="00191FBF"/>
    <w:rsid w:val="001922C7"/>
    <w:rsid w:val="00194299"/>
    <w:rsid w:val="00194A5E"/>
    <w:rsid w:val="001A0B8F"/>
    <w:rsid w:val="001A143A"/>
    <w:rsid w:val="001A2263"/>
    <w:rsid w:val="001A7A6C"/>
    <w:rsid w:val="001B4970"/>
    <w:rsid w:val="001B546D"/>
    <w:rsid w:val="001B5753"/>
    <w:rsid w:val="001B6DCD"/>
    <w:rsid w:val="001C0EEA"/>
    <w:rsid w:val="001C1070"/>
    <w:rsid w:val="001C3843"/>
    <w:rsid w:val="001C3DF7"/>
    <w:rsid w:val="001C5FE7"/>
    <w:rsid w:val="001D5429"/>
    <w:rsid w:val="001D56E5"/>
    <w:rsid w:val="001D7C85"/>
    <w:rsid w:val="001E0A36"/>
    <w:rsid w:val="001E0BFB"/>
    <w:rsid w:val="001E34D4"/>
    <w:rsid w:val="001E386E"/>
    <w:rsid w:val="001E4BEF"/>
    <w:rsid w:val="001F3340"/>
    <w:rsid w:val="001F548C"/>
    <w:rsid w:val="00200480"/>
    <w:rsid w:val="0020083A"/>
    <w:rsid w:val="00202D9A"/>
    <w:rsid w:val="00205E60"/>
    <w:rsid w:val="002112F1"/>
    <w:rsid w:val="00211C1C"/>
    <w:rsid w:val="002124C8"/>
    <w:rsid w:val="00215A59"/>
    <w:rsid w:val="002211FD"/>
    <w:rsid w:val="00223017"/>
    <w:rsid w:val="00223C77"/>
    <w:rsid w:val="00230D89"/>
    <w:rsid w:val="002310D6"/>
    <w:rsid w:val="00232353"/>
    <w:rsid w:val="00232B8E"/>
    <w:rsid w:val="0023322F"/>
    <w:rsid w:val="002337D5"/>
    <w:rsid w:val="0023692A"/>
    <w:rsid w:val="00237976"/>
    <w:rsid w:val="0024549F"/>
    <w:rsid w:val="00247241"/>
    <w:rsid w:val="00253275"/>
    <w:rsid w:val="002555AE"/>
    <w:rsid w:val="00255B69"/>
    <w:rsid w:val="0025686A"/>
    <w:rsid w:val="00260EF6"/>
    <w:rsid w:val="002621BD"/>
    <w:rsid w:val="002662C3"/>
    <w:rsid w:val="002721B0"/>
    <w:rsid w:val="002825BB"/>
    <w:rsid w:val="00282765"/>
    <w:rsid w:val="00283549"/>
    <w:rsid w:val="0028682B"/>
    <w:rsid w:val="00290294"/>
    <w:rsid w:val="00293F38"/>
    <w:rsid w:val="00293FDC"/>
    <w:rsid w:val="00296237"/>
    <w:rsid w:val="00296AA0"/>
    <w:rsid w:val="002977C8"/>
    <w:rsid w:val="002A04A2"/>
    <w:rsid w:val="002A13BF"/>
    <w:rsid w:val="002B1A18"/>
    <w:rsid w:val="002B1CF4"/>
    <w:rsid w:val="002B304A"/>
    <w:rsid w:val="002B4E34"/>
    <w:rsid w:val="002B5B09"/>
    <w:rsid w:val="002B65F8"/>
    <w:rsid w:val="002B67AD"/>
    <w:rsid w:val="002B7527"/>
    <w:rsid w:val="002C0163"/>
    <w:rsid w:val="002C0506"/>
    <w:rsid w:val="002C0A20"/>
    <w:rsid w:val="002C259D"/>
    <w:rsid w:val="002C375A"/>
    <w:rsid w:val="002C41CF"/>
    <w:rsid w:val="002C45C6"/>
    <w:rsid w:val="002D0AC0"/>
    <w:rsid w:val="002D28F0"/>
    <w:rsid w:val="002D5A62"/>
    <w:rsid w:val="002E223A"/>
    <w:rsid w:val="002E2359"/>
    <w:rsid w:val="002E40F4"/>
    <w:rsid w:val="002E60E7"/>
    <w:rsid w:val="002E67B6"/>
    <w:rsid w:val="002E7615"/>
    <w:rsid w:val="002E7FB8"/>
    <w:rsid w:val="002F0842"/>
    <w:rsid w:val="002F387A"/>
    <w:rsid w:val="002F3D9E"/>
    <w:rsid w:val="002F408E"/>
    <w:rsid w:val="0030697A"/>
    <w:rsid w:val="00307ADD"/>
    <w:rsid w:val="00310557"/>
    <w:rsid w:val="00312476"/>
    <w:rsid w:val="00316D2C"/>
    <w:rsid w:val="0031733E"/>
    <w:rsid w:val="003239DC"/>
    <w:rsid w:val="00327324"/>
    <w:rsid w:val="00327785"/>
    <w:rsid w:val="003421A3"/>
    <w:rsid w:val="00343359"/>
    <w:rsid w:val="00343ACA"/>
    <w:rsid w:val="003500FD"/>
    <w:rsid w:val="0035508A"/>
    <w:rsid w:val="00355B93"/>
    <w:rsid w:val="0036383B"/>
    <w:rsid w:val="00364E72"/>
    <w:rsid w:val="00371102"/>
    <w:rsid w:val="00377481"/>
    <w:rsid w:val="00381757"/>
    <w:rsid w:val="0038293C"/>
    <w:rsid w:val="003845EA"/>
    <w:rsid w:val="003866E8"/>
    <w:rsid w:val="0038753C"/>
    <w:rsid w:val="003915CA"/>
    <w:rsid w:val="003A4195"/>
    <w:rsid w:val="003A4CEB"/>
    <w:rsid w:val="003B00BA"/>
    <w:rsid w:val="003B3250"/>
    <w:rsid w:val="003C137E"/>
    <w:rsid w:val="003C1867"/>
    <w:rsid w:val="003C2880"/>
    <w:rsid w:val="003C2918"/>
    <w:rsid w:val="003C4330"/>
    <w:rsid w:val="003D2FA9"/>
    <w:rsid w:val="003D526F"/>
    <w:rsid w:val="003E0CF8"/>
    <w:rsid w:val="003E2A3E"/>
    <w:rsid w:val="003E3A59"/>
    <w:rsid w:val="003E43C5"/>
    <w:rsid w:val="003E4817"/>
    <w:rsid w:val="003E4CF4"/>
    <w:rsid w:val="003F1598"/>
    <w:rsid w:val="003F6563"/>
    <w:rsid w:val="00400D3D"/>
    <w:rsid w:val="004045E3"/>
    <w:rsid w:val="00406B8F"/>
    <w:rsid w:val="00407C1D"/>
    <w:rsid w:val="004118A3"/>
    <w:rsid w:val="00411A5F"/>
    <w:rsid w:val="0041365A"/>
    <w:rsid w:val="00413EBC"/>
    <w:rsid w:val="00414ED0"/>
    <w:rsid w:val="0042482A"/>
    <w:rsid w:val="00427C77"/>
    <w:rsid w:val="00427E95"/>
    <w:rsid w:val="00432703"/>
    <w:rsid w:val="0043270D"/>
    <w:rsid w:val="004334DD"/>
    <w:rsid w:val="0043381A"/>
    <w:rsid w:val="00436B47"/>
    <w:rsid w:val="00440801"/>
    <w:rsid w:val="00443F43"/>
    <w:rsid w:val="00445667"/>
    <w:rsid w:val="00445D02"/>
    <w:rsid w:val="004540E7"/>
    <w:rsid w:val="004579A7"/>
    <w:rsid w:val="00464A1A"/>
    <w:rsid w:val="00466BCC"/>
    <w:rsid w:val="00471B85"/>
    <w:rsid w:val="00471F21"/>
    <w:rsid w:val="0047679B"/>
    <w:rsid w:val="00482374"/>
    <w:rsid w:val="00483020"/>
    <w:rsid w:val="00485EF3"/>
    <w:rsid w:val="00486196"/>
    <w:rsid w:val="00487F2E"/>
    <w:rsid w:val="00496E88"/>
    <w:rsid w:val="004B0C14"/>
    <w:rsid w:val="004B2957"/>
    <w:rsid w:val="004B35A0"/>
    <w:rsid w:val="004C031A"/>
    <w:rsid w:val="004C266E"/>
    <w:rsid w:val="004C2AE2"/>
    <w:rsid w:val="004C7394"/>
    <w:rsid w:val="004C77FD"/>
    <w:rsid w:val="004D04B2"/>
    <w:rsid w:val="004D24E5"/>
    <w:rsid w:val="004D34C7"/>
    <w:rsid w:val="004E28A0"/>
    <w:rsid w:val="004E4CC4"/>
    <w:rsid w:val="004E68D2"/>
    <w:rsid w:val="004E6F29"/>
    <w:rsid w:val="004F0E37"/>
    <w:rsid w:val="004F2A19"/>
    <w:rsid w:val="004F4A1A"/>
    <w:rsid w:val="00503A68"/>
    <w:rsid w:val="00505659"/>
    <w:rsid w:val="00507B3D"/>
    <w:rsid w:val="005128CF"/>
    <w:rsid w:val="00515005"/>
    <w:rsid w:val="0051518D"/>
    <w:rsid w:val="005151C6"/>
    <w:rsid w:val="00516DD5"/>
    <w:rsid w:val="00521437"/>
    <w:rsid w:val="0052162D"/>
    <w:rsid w:val="005223CE"/>
    <w:rsid w:val="00522800"/>
    <w:rsid w:val="00522CF0"/>
    <w:rsid w:val="00525965"/>
    <w:rsid w:val="00525BCD"/>
    <w:rsid w:val="005273A6"/>
    <w:rsid w:val="00531C15"/>
    <w:rsid w:val="00533D21"/>
    <w:rsid w:val="00534FB7"/>
    <w:rsid w:val="005350F4"/>
    <w:rsid w:val="00540A3A"/>
    <w:rsid w:val="00540FAD"/>
    <w:rsid w:val="005424D4"/>
    <w:rsid w:val="00542927"/>
    <w:rsid w:val="005501B3"/>
    <w:rsid w:val="00551CB9"/>
    <w:rsid w:val="0055380B"/>
    <w:rsid w:val="00554130"/>
    <w:rsid w:val="0055479A"/>
    <w:rsid w:val="00554A17"/>
    <w:rsid w:val="00556250"/>
    <w:rsid w:val="00560A8F"/>
    <w:rsid w:val="00560ECD"/>
    <w:rsid w:val="0056276B"/>
    <w:rsid w:val="005636E6"/>
    <w:rsid w:val="005656C0"/>
    <w:rsid w:val="00567C05"/>
    <w:rsid w:val="00567DF5"/>
    <w:rsid w:val="00570A87"/>
    <w:rsid w:val="00574041"/>
    <w:rsid w:val="0058071A"/>
    <w:rsid w:val="0058172E"/>
    <w:rsid w:val="005832C8"/>
    <w:rsid w:val="005977BD"/>
    <w:rsid w:val="005A3235"/>
    <w:rsid w:val="005A5DD0"/>
    <w:rsid w:val="005A6B7F"/>
    <w:rsid w:val="005B0D35"/>
    <w:rsid w:val="005B29AB"/>
    <w:rsid w:val="005C0E75"/>
    <w:rsid w:val="005C10FD"/>
    <w:rsid w:val="005C3EC9"/>
    <w:rsid w:val="005C448A"/>
    <w:rsid w:val="005C5EC2"/>
    <w:rsid w:val="005C6558"/>
    <w:rsid w:val="005D295B"/>
    <w:rsid w:val="005D2D3D"/>
    <w:rsid w:val="005D4DF9"/>
    <w:rsid w:val="005E0D31"/>
    <w:rsid w:val="005E0EE5"/>
    <w:rsid w:val="005E4EDA"/>
    <w:rsid w:val="005E77C2"/>
    <w:rsid w:val="005F02C0"/>
    <w:rsid w:val="005F28CA"/>
    <w:rsid w:val="005F39E5"/>
    <w:rsid w:val="005F3AAF"/>
    <w:rsid w:val="005F6B5C"/>
    <w:rsid w:val="005F7F22"/>
    <w:rsid w:val="00602EE9"/>
    <w:rsid w:val="006035D0"/>
    <w:rsid w:val="006073D6"/>
    <w:rsid w:val="006110CC"/>
    <w:rsid w:val="00612DA9"/>
    <w:rsid w:val="00614B8D"/>
    <w:rsid w:val="00614F78"/>
    <w:rsid w:val="00616521"/>
    <w:rsid w:val="00621E12"/>
    <w:rsid w:val="006222D7"/>
    <w:rsid w:val="00630C75"/>
    <w:rsid w:val="006350DC"/>
    <w:rsid w:val="00637382"/>
    <w:rsid w:val="00643588"/>
    <w:rsid w:val="00644300"/>
    <w:rsid w:val="00644C59"/>
    <w:rsid w:val="0064636E"/>
    <w:rsid w:val="00650933"/>
    <w:rsid w:val="00653A2B"/>
    <w:rsid w:val="006562EC"/>
    <w:rsid w:val="00661EEE"/>
    <w:rsid w:val="00665D03"/>
    <w:rsid w:val="00667EBA"/>
    <w:rsid w:val="00672791"/>
    <w:rsid w:val="00675D6B"/>
    <w:rsid w:val="0067753D"/>
    <w:rsid w:val="006803FD"/>
    <w:rsid w:val="0068132A"/>
    <w:rsid w:val="00681DE1"/>
    <w:rsid w:val="00684B35"/>
    <w:rsid w:val="00684BA1"/>
    <w:rsid w:val="00694929"/>
    <w:rsid w:val="006A2EF7"/>
    <w:rsid w:val="006A466C"/>
    <w:rsid w:val="006A5072"/>
    <w:rsid w:val="006A7542"/>
    <w:rsid w:val="006B346D"/>
    <w:rsid w:val="006B50BB"/>
    <w:rsid w:val="006C236E"/>
    <w:rsid w:val="006C2B8A"/>
    <w:rsid w:val="006C5246"/>
    <w:rsid w:val="006C53BA"/>
    <w:rsid w:val="006C5500"/>
    <w:rsid w:val="006C7E1A"/>
    <w:rsid w:val="006D20ED"/>
    <w:rsid w:val="006D2342"/>
    <w:rsid w:val="006D6D79"/>
    <w:rsid w:val="006E2245"/>
    <w:rsid w:val="006E571E"/>
    <w:rsid w:val="006E69C1"/>
    <w:rsid w:val="006F0393"/>
    <w:rsid w:val="006F32E6"/>
    <w:rsid w:val="006F5D6F"/>
    <w:rsid w:val="006F683E"/>
    <w:rsid w:val="006F6BEB"/>
    <w:rsid w:val="00702A12"/>
    <w:rsid w:val="00704FFB"/>
    <w:rsid w:val="00705FBA"/>
    <w:rsid w:val="00717206"/>
    <w:rsid w:val="0071750A"/>
    <w:rsid w:val="0071773B"/>
    <w:rsid w:val="0072269D"/>
    <w:rsid w:val="007234C4"/>
    <w:rsid w:val="00724754"/>
    <w:rsid w:val="00727158"/>
    <w:rsid w:val="00730C19"/>
    <w:rsid w:val="00732364"/>
    <w:rsid w:val="00740CB2"/>
    <w:rsid w:val="007425F5"/>
    <w:rsid w:val="007455FD"/>
    <w:rsid w:val="007461B7"/>
    <w:rsid w:val="007464FF"/>
    <w:rsid w:val="00746C21"/>
    <w:rsid w:val="00761426"/>
    <w:rsid w:val="00762935"/>
    <w:rsid w:val="007657BA"/>
    <w:rsid w:val="00770083"/>
    <w:rsid w:val="0077028C"/>
    <w:rsid w:val="007715D3"/>
    <w:rsid w:val="00771B65"/>
    <w:rsid w:val="007766FF"/>
    <w:rsid w:val="00780619"/>
    <w:rsid w:val="0078476A"/>
    <w:rsid w:val="00785C2E"/>
    <w:rsid w:val="00792A8B"/>
    <w:rsid w:val="00794B15"/>
    <w:rsid w:val="00795AEC"/>
    <w:rsid w:val="00796219"/>
    <w:rsid w:val="007A192E"/>
    <w:rsid w:val="007A1AAE"/>
    <w:rsid w:val="007A3B12"/>
    <w:rsid w:val="007A4380"/>
    <w:rsid w:val="007A6372"/>
    <w:rsid w:val="007B23E0"/>
    <w:rsid w:val="007B2B7D"/>
    <w:rsid w:val="007B3F25"/>
    <w:rsid w:val="007B59AE"/>
    <w:rsid w:val="007B73D1"/>
    <w:rsid w:val="007C23FD"/>
    <w:rsid w:val="007C2D9E"/>
    <w:rsid w:val="007C3502"/>
    <w:rsid w:val="007C386A"/>
    <w:rsid w:val="007C3A13"/>
    <w:rsid w:val="007C3F69"/>
    <w:rsid w:val="007C4B0A"/>
    <w:rsid w:val="007C6527"/>
    <w:rsid w:val="007C72C3"/>
    <w:rsid w:val="007D0C2F"/>
    <w:rsid w:val="007D121E"/>
    <w:rsid w:val="007D1C23"/>
    <w:rsid w:val="007D24A0"/>
    <w:rsid w:val="007D36DD"/>
    <w:rsid w:val="007D4BC0"/>
    <w:rsid w:val="007D6D18"/>
    <w:rsid w:val="007E6FAA"/>
    <w:rsid w:val="007F32BB"/>
    <w:rsid w:val="007F784A"/>
    <w:rsid w:val="0080121D"/>
    <w:rsid w:val="00803589"/>
    <w:rsid w:val="00804EC8"/>
    <w:rsid w:val="00805450"/>
    <w:rsid w:val="00806060"/>
    <w:rsid w:val="00810F1C"/>
    <w:rsid w:val="00821523"/>
    <w:rsid w:val="008217F6"/>
    <w:rsid w:val="008223D8"/>
    <w:rsid w:val="00824234"/>
    <w:rsid w:val="00830E8D"/>
    <w:rsid w:val="00833429"/>
    <w:rsid w:val="00834402"/>
    <w:rsid w:val="008430A9"/>
    <w:rsid w:val="0084487C"/>
    <w:rsid w:val="00845BBB"/>
    <w:rsid w:val="008470E2"/>
    <w:rsid w:val="0086255D"/>
    <w:rsid w:val="008638C9"/>
    <w:rsid w:val="0086467F"/>
    <w:rsid w:val="00873D58"/>
    <w:rsid w:val="0087448E"/>
    <w:rsid w:val="008760BF"/>
    <w:rsid w:val="00876387"/>
    <w:rsid w:val="00877270"/>
    <w:rsid w:val="00881AEC"/>
    <w:rsid w:val="008829E4"/>
    <w:rsid w:val="00882C69"/>
    <w:rsid w:val="00882D0D"/>
    <w:rsid w:val="0088541F"/>
    <w:rsid w:val="00885501"/>
    <w:rsid w:val="00885757"/>
    <w:rsid w:val="00887321"/>
    <w:rsid w:val="00891F44"/>
    <w:rsid w:val="008B00AF"/>
    <w:rsid w:val="008B3104"/>
    <w:rsid w:val="008B3EEF"/>
    <w:rsid w:val="008B5B71"/>
    <w:rsid w:val="008B6F6B"/>
    <w:rsid w:val="008C203B"/>
    <w:rsid w:val="008C2BE9"/>
    <w:rsid w:val="008C4F2F"/>
    <w:rsid w:val="008C53C7"/>
    <w:rsid w:val="008D0A03"/>
    <w:rsid w:val="008D14DE"/>
    <w:rsid w:val="008D18EC"/>
    <w:rsid w:val="008D2A9D"/>
    <w:rsid w:val="008D355D"/>
    <w:rsid w:val="008D4B81"/>
    <w:rsid w:val="008D7F18"/>
    <w:rsid w:val="008E0693"/>
    <w:rsid w:val="008E1DBC"/>
    <w:rsid w:val="008E687B"/>
    <w:rsid w:val="008E7350"/>
    <w:rsid w:val="009000AD"/>
    <w:rsid w:val="009010C8"/>
    <w:rsid w:val="00902831"/>
    <w:rsid w:val="00903013"/>
    <w:rsid w:val="00903234"/>
    <w:rsid w:val="00904FC2"/>
    <w:rsid w:val="00906A0D"/>
    <w:rsid w:val="009162BF"/>
    <w:rsid w:val="009224C4"/>
    <w:rsid w:val="00922C33"/>
    <w:rsid w:val="00922F96"/>
    <w:rsid w:val="00925A76"/>
    <w:rsid w:val="00925AEC"/>
    <w:rsid w:val="0092783A"/>
    <w:rsid w:val="00932407"/>
    <w:rsid w:val="00935489"/>
    <w:rsid w:val="00936969"/>
    <w:rsid w:val="009408A5"/>
    <w:rsid w:val="009421F7"/>
    <w:rsid w:val="009424A6"/>
    <w:rsid w:val="009478D4"/>
    <w:rsid w:val="00950812"/>
    <w:rsid w:val="00953428"/>
    <w:rsid w:val="00953CC9"/>
    <w:rsid w:val="0095477F"/>
    <w:rsid w:val="00956BB3"/>
    <w:rsid w:val="0095777A"/>
    <w:rsid w:val="00957E5E"/>
    <w:rsid w:val="009628B7"/>
    <w:rsid w:val="00964637"/>
    <w:rsid w:val="009646F1"/>
    <w:rsid w:val="00966B1E"/>
    <w:rsid w:val="0097085D"/>
    <w:rsid w:val="00972727"/>
    <w:rsid w:val="0097579B"/>
    <w:rsid w:val="00977326"/>
    <w:rsid w:val="0097789D"/>
    <w:rsid w:val="009816C2"/>
    <w:rsid w:val="00987626"/>
    <w:rsid w:val="009951AF"/>
    <w:rsid w:val="00996731"/>
    <w:rsid w:val="00997D93"/>
    <w:rsid w:val="009A2E2B"/>
    <w:rsid w:val="009A352D"/>
    <w:rsid w:val="009A493B"/>
    <w:rsid w:val="009A533A"/>
    <w:rsid w:val="009B2905"/>
    <w:rsid w:val="009B2EB1"/>
    <w:rsid w:val="009B682B"/>
    <w:rsid w:val="009B731C"/>
    <w:rsid w:val="009C0067"/>
    <w:rsid w:val="009C1267"/>
    <w:rsid w:val="009C5711"/>
    <w:rsid w:val="009C6048"/>
    <w:rsid w:val="009D2959"/>
    <w:rsid w:val="009D3A09"/>
    <w:rsid w:val="009D3A4B"/>
    <w:rsid w:val="009D4238"/>
    <w:rsid w:val="009D4A92"/>
    <w:rsid w:val="009D68FA"/>
    <w:rsid w:val="009E5457"/>
    <w:rsid w:val="009F20BE"/>
    <w:rsid w:val="009F2622"/>
    <w:rsid w:val="009F5066"/>
    <w:rsid w:val="009F66DB"/>
    <w:rsid w:val="009F6F9F"/>
    <w:rsid w:val="009F7D3B"/>
    <w:rsid w:val="00A01ECD"/>
    <w:rsid w:val="00A03BAC"/>
    <w:rsid w:val="00A1011B"/>
    <w:rsid w:val="00A13FAA"/>
    <w:rsid w:val="00A21184"/>
    <w:rsid w:val="00A26BFE"/>
    <w:rsid w:val="00A27806"/>
    <w:rsid w:val="00A31E75"/>
    <w:rsid w:val="00A33BB0"/>
    <w:rsid w:val="00A3745F"/>
    <w:rsid w:val="00A4126C"/>
    <w:rsid w:val="00A474C8"/>
    <w:rsid w:val="00A47FEE"/>
    <w:rsid w:val="00A52CD4"/>
    <w:rsid w:val="00A5355E"/>
    <w:rsid w:val="00A544A4"/>
    <w:rsid w:val="00A60EF0"/>
    <w:rsid w:val="00A67370"/>
    <w:rsid w:val="00A72FF9"/>
    <w:rsid w:val="00A763FE"/>
    <w:rsid w:val="00A773BD"/>
    <w:rsid w:val="00A85CA8"/>
    <w:rsid w:val="00A914B6"/>
    <w:rsid w:val="00A94039"/>
    <w:rsid w:val="00A9443D"/>
    <w:rsid w:val="00A94AB9"/>
    <w:rsid w:val="00A96D6F"/>
    <w:rsid w:val="00A97122"/>
    <w:rsid w:val="00AA11F4"/>
    <w:rsid w:val="00AA2CD7"/>
    <w:rsid w:val="00AA4445"/>
    <w:rsid w:val="00AA72BF"/>
    <w:rsid w:val="00AB095C"/>
    <w:rsid w:val="00AB158E"/>
    <w:rsid w:val="00AB2454"/>
    <w:rsid w:val="00AB49F3"/>
    <w:rsid w:val="00AB4D14"/>
    <w:rsid w:val="00AB55F2"/>
    <w:rsid w:val="00AC7A4E"/>
    <w:rsid w:val="00AD0F36"/>
    <w:rsid w:val="00AD38F9"/>
    <w:rsid w:val="00AD43B9"/>
    <w:rsid w:val="00AD4D0D"/>
    <w:rsid w:val="00AD5CB7"/>
    <w:rsid w:val="00AD5EAC"/>
    <w:rsid w:val="00AD6AFB"/>
    <w:rsid w:val="00AD756F"/>
    <w:rsid w:val="00AE3267"/>
    <w:rsid w:val="00AF1044"/>
    <w:rsid w:val="00AF389B"/>
    <w:rsid w:val="00AF576D"/>
    <w:rsid w:val="00AF7AA1"/>
    <w:rsid w:val="00B02CC3"/>
    <w:rsid w:val="00B03CBC"/>
    <w:rsid w:val="00B07861"/>
    <w:rsid w:val="00B07BD7"/>
    <w:rsid w:val="00B11C7D"/>
    <w:rsid w:val="00B13606"/>
    <w:rsid w:val="00B17262"/>
    <w:rsid w:val="00B21E1A"/>
    <w:rsid w:val="00B22DB7"/>
    <w:rsid w:val="00B334C9"/>
    <w:rsid w:val="00B34E22"/>
    <w:rsid w:val="00B3533A"/>
    <w:rsid w:val="00B35439"/>
    <w:rsid w:val="00B36923"/>
    <w:rsid w:val="00B37F9D"/>
    <w:rsid w:val="00B40418"/>
    <w:rsid w:val="00B420D2"/>
    <w:rsid w:val="00B4217F"/>
    <w:rsid w:val="00B43339"/>
    <w:rsid w:val="00B45A77"/>
    <w:rsid w:val="00B5032D"/>
    <w:rsid w:val="00B56E11"/>
    <w:rsid w:val="00B644A4"/>
    <w:rsid w:val="00B655D9"/>
    <w:rsid w:val="00B6566A"/>
    <w:rsid w:val="00B6637E"/>
    <w:rsid w:val="00B67ED3"/>
    <w:rsid w:val="00B739BD"/>
    <w:rsid w:val="00B75ED7"/>
    <w:rsid w:val="00B770B3"/>
    <w:rsid w:val="00B823F5"/>
    <w:rsid w:val="00B8350B"/>
    <w:rsid w:val="00B84246"/>
    <w:rsid w:val="00B853CE"/>
    <w:rsid w:val="00B85D8B"/>
    <w:rsid w:val="00B92EC3"/>
    <w:rsid w:val="00B93B72"/>
    <w:rsid w:val="00B93E91"/>
    <w:rsid w:val="00BA0CD2"/>
    <w:rsid w:val="00BB0ED4"/>
    <w:rsid w:val="00BB3E42"/>
    <w:rsid w:val="00BB5E83"/>
    <w:rsid w:val="00BB6EBA"/>
    <w:rsid w:val="00BB79CD"/>
    <w:rsid w:val="00BD503F"/>
    <w:rsid w:val="00BD54D8"/>
    <w:rsid w:val="00BD618A"/>
    <w:rsid w:val="00BD7399"/>
    <w:rsid w:val="00BE04F5"/>
    <w:rsid w:val="00BE0DFB"/>
    <w:rsid w:val="00BE24AF"/>
    <w:rsid w:val="00BE5B28"/>
    <w:rsid w:val="00BE5DCB"/>
    <w:rsid w:val="00BF2086"/>
    <w:rsid w:val="00BF3D0A"/>
    <w:rsid w:val="00C003D2"/>
    <w:rsid w:val="00C02645"/>
    <w:rsid w:val="00C04948"/>
    <w:rsid w:val="00C071E8"/>
    <w:rsid w:val="00C15D5D"/>
    <w:rsid w:val="00C177A9"/>
    <w:rsid w:val="00C179C1"/>
    <w:rsid w:val="00C21CF6"/>
    <w:rsid w:val="00C22ABA"/>
    <w:rsid w:val="00C22D9D"/>
    <w:rsid w:val="00C25164"/>
    <w:rsid w:val="00C26D1C"/>
    <w:rsid w:val="00C30953"/>
    <w:rsid w:val="00C31DF7"/>
    <w:rsid w:val="00C321D3"/>
    <w:rsid w:val="00C33B7B"/>
    <w:rsid w:val="00C42E23"/>
    <w:rsid w:val="00C45814"/>
    <w:rsid w:val="00C46693"/>
    <w:rsid w:val="00C469E9"/>
    <w:rsid w:val="00C5648F"/>
    <w:rsid w:val="00C660F1"/>
    <w:rsid w:val="00C6654A"/>
    <w:rsid w:val="00C66BF6"/>
    <w:rsid w:val="00C67EEC"/>
    <w:rsid w:val="00C725AF"/>
    <w:rsid w:val="00C84016"/>
    <w:rsid w:val="00C84401"/>
    <w:rsid w:val="00C84D47"/>
    <w:rsid w:val="00C85FD8"/>
    <w:rsid w:val="00C869C0"/>
    <w:rsid w:val="00C92B05"/>
    <w:rsid w:val="00C94FE4"/>
    <w:rsid w:val="00CA043A"/>
    <w:rsid w:val="00CA12F0"/>
    <w:rsid w:val="00CA69A6"/>
    <w:rsid w:val="00CA7537"/>
    <w:rsid w:val="00CA7FAE"/>
    <w:rsid w:val="00CB125A"/>
    <w:rsid w:val="00CB15A1"/>
    <w:rsid w:val="00CB2C5D"/>
    <w:rsid w:val="00CB5D6C"/>
    <w:rsid w:val="00CC2311"/>
    <w:rsid w:val="00CC6F43"/>
    <w:rsid w:val="00CD1458"/>
    <w:rsid w:val="00CD15BA"/>
    <w:rsid w:val="00CD757D"/>
    <w:rsid w:val="00CE192E"/>
    <w:rsid w:val="00CE2550"/>
    <w:rsid w:val="00CE2AAA"/>
    <w:rsid w:val="00CE32A7"/>
    <w:rsid w:val="00CE3F49"/>
    <w:rsid w:val="00CE58BB"/>
    <w:rsid w:val="00CE6A98"/>
    <w:rsid w:val="00CF36B5"/>
    <w:rsid w:val="00CF636B"/>
    <w:rsid w:val="00CF64A1"/>
    <w:rsid w:val="00D01ED1"/>
    <w:rsid w:val="00D04746"/>
    <w:rsid w:val="00D05572"/>
    <w:rsid w:val="00D10F0E"/>
    <w:rsid w:val="00D118CA"/>
    <w:rsid w:val="00D13C97"/>
    <w:rsid w:val="00D16577"/>
    <w:rsid w:val="00D202A6"/>
    <w:rsid w:val="00D2567F"/>
    <w:rsid w:val="00D264C2"/>
    <w:rsid w:val="00D32583"/>
    <w:rsid w:val="00D32F6A"/>
    <w:rsid w:val="00D331FF"/>
    <w:rsid w:val="00D43AFA"/>
    <w:rsid w:val="00D469A1"/>
    <w:rsid w:val="00D46E60"/>
    <w:rsid w:val="00D56369"/>
    <w:rsid w:val="00D563CB"/>
    <w:rsid w:val="00D5764A"/>
    <w:rsid w:val="00D60D49"/>
    <w:rsid w:val="00D6214F"/>
    <w:rsid w:val="00D67581"/>
    <w:rsid w:val="00D718A0"/>
    <w:rsid w:val="00D74788"/>
    <w:rsid w:val="00D9053B"/>
    <w:rsid w:val="00DA2A86"/>
    <w:rsid w:val="00DA2EFD"/>
    <w:rsid w:val="00DB0AF6"/>
    <w:rsid w:val="00DB6340"/>
    <w:rsid w:val="00DB6EC3"/>
    <w:rsid w:val="00DC1845"/>
    <w:rsid w:val="00DC3831"/>
    <w:rsid w:val="00DC5AB6"/>
    <w:rsid w:val="00DD2E62"/>
    <w:rsid w:val="00DD5D18"/>
    <w:rsid w:val="00DD6823"/>
    <w:rsid w:val="00DE00FD"/>
    <w:rsid w:val="00DE051E"/>
    <w:rsid w:val="00DE2AE5"/>
    <w:rsid w:val="00DE7362"/>
    <w:rsid w:val="00DE7FE8"/>
    <w:rsid w:val="00DF1059"/>
    <w:rsid w:val="00DF3190"/>
    <w:rsid w:val="00E013E8"/>
    <w:rsid w:val="00E0189E"/>
    <w:rsid w:val="00E1000E"/>
    <w:rsid w:val="00E10262"/>
    <w:rsid w:val="00E10B55"/>
    <w:rsid w:val="00E11961"/>
    <w:rsid w:val="00E25F41"/>
    <w:rsid w:val="00E26100"/>
    <w:rsid w:val="00E279FA"/>
    <w:rsid w:val="00E33EA5"/>
    <w:rsid w:val="00E344C2"/>
    <w:rsid w:val="00E36B21"/>
    <w:rsid w:val="00E37082"/>
    <w:rsid w:val="00E377A1"/>
    <w:rsid w:val="00E43838"/>
    <w:rsid w:val="00E51978"/>
    <w:rsid w:val="00E53135"/>
    <w:rsid w:val="00E54C68"/>
    <w:rsid w:val="00E563B4"/>
    <w:rsid w:val="00E57E49"/>
    <w:rsid w:val="00E602C2"/>
    <w:rsid w:val="00E6071D"/>
    <w:rsid w:val="00E6363B"/>
    <w:rsid w:val="00E64C53"/>
    <w:rsid w:val="00E7214A"/>
    <w:rsid w:val="00E76242"/>
    <w:rsid w:val="00E765BB"/>
    <w:rsid w:val="00E76E6D"/>
    <w:rsid w:val="00E80603"/>
    <w:rsid w:val="00E8450C"/>
    <w:rsid w:val="00E84F59"/>
    <w:rsid w:val="00E853D1"/>
    <w:rsid w:val="00E869B6"/>
    <w:rsid w:val="00EA2EDF"/>
    <w:rsid w:val="00EA2FB4"/>
    <w:rsid w:val="00EA37C8"/>
    <w:rsid w:val="00EA520C"/>
    <w:rsid w:val="00EA7227"/>
    <w:rsid w:val="00EB53D9"/>
    <w:rsid w:val="00EC30F6"/>
    <w:rsid w:val="00EC4946"/>
    <w:rsid w:val="00ED042F"/>
    <w:rsid w:val="00ED264B"/>
    <w:rsid w:val="00ED4A40"/>
    <w:rsid w:val="00ED55C1"/>
    <w:rsid w:val="00ED7162"/>
    <w:rsid w:val="00EF0F5F"/>
    <w:rsid w:val="00EF5B1F"/>
    <w:rsid w:val="00EF670E"/>
    <w:rsid w:val="00EF6C2D"/>
    <w:rsid w:val="00F01AFE"/>
    <w:rsid w:val="00F05BC4"/>
    <w:rsid w:val="00F1031A"/>
    <w:rsid w:val="00F175D5"/>
    <w:rsid w:val="00F17CF9"/>
    <w:rsid w:val="00F233CA"/>
    <w:rsid w:val="00F23D3A"/>
    <w:rsid w:val="00F275F0"/>
    <w:rsid w:val="00F302BE"/>
    <w:rsid w:val="00F3080E"/>
    <w:rsid w:val="00F31415"/>
    <w:rsid w:val="00F35246"/>
    <w:rsid w:val="00F37BA0"/>
    <w:rsid w:val="00F37C54"/>
    <w:rsid w:val="00F4239D"/>
    <w:rsid w:val="00F423A0"/>
    <w:rsid w:val="00F44423"/>
    <w:rsid w:val="00F47B5E"/>
    <w:rsid w:val="00F56BF9"/>
    <w:rsid w:val="00F57109"/>
    <w:rsid w:val="00F5741E"/>
    <w:rsid w:val="00F57934"/>
    <w:rsid w:val="00F6285D"/>
    <w:rsid w:val="00F65130"/>
    <w:rsid w:val="00F701B9"/>
    <w:rsid w:val="00F72843"/>
    <w:rsid w:val="00F743EB"/>
    <w:rsid w:val="00F809C1"/>
    <w:rsid w:val="00F817E2"/>
    <w:rsid w:val="00F817EB"/>
    <w:rsid w:val="00F83682"/>
    <w:rsid w:val="00F83C8F"/>
    <w:rsid w:val="00F85B63"/>
    <w:rsid w:val="00F87953"/>
    <w:rsid w:val="00F92680"/>
    <w:rsid w:val="00F92EB1"/>
    <w:rsid w:val="00F97121"/>
    <w:rsid w:val="00FA0332"/>
    <w:rsid w:val="00FA21C4"/>
    <w:rsid w:val="00FA2F13"/>
    <w:rsid w:val="00FA5F09"/>
    <w:rsid w:val="00FA6790"/>
    <w:rsid w:val="00FA7247"/>
    <w:rsid w:val="00FB1364"/>
    <w:rsid w:val="00FB2E56"/>
    <w:rsid w:val="00FB6F9C"/>
    <w:rsid w:val="00FC02FA"/>
    <w:rsid w:val="00FC1B70"/>
    <w:rsid w:val="00FC241E"/>
    <w:rsid w:val="00FC3959"/>
    <w:rsid w:val="00FC4FC6"/>
    <w:rsid w:val="00FC5F0E"/>
    <w:rsid w:val="00FC66B9"/>
    <w:rsid w:val="00FD2C24"/>
    <w:rsid w:val="00FD3FC9"/>
    <w:rsid w:val="00FD4EAC"/>
    <w:rsid w:val="00FD7D1C"/>
    <w:rsid w:val="00FE164C"/>
    <w:rsid w:val="00FE2466"/>
    <w:rsid w:val="00FE43C4"/>
    <w:rsid w:val="00FF1482"/>
    <w:rsid w:val="00FF1B37"/>
    <w:rsid w:val="00FF1D96"/>
    <w:rsid w:val="00FF419D"/>
    <w:rsid w:val="00FF65D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FCE89"/>
  <w15:chartTrackingRefBased/>
  <w15:docId w15:val="{1A0D8306-362A-4921-BD01-6C6C2794E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E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F7D3B"/>
    <w:rPr>
      <w:rFonts w:ascii="Times New Roman" w:hAnsi="Times New Roman" w:cs="Times New Roman"/>
      <w:sz w:val="24"/>
      <w:szCs w:val="24"/>
    </w:rPr>
  </w:style>
  <w:style w:type="numbering" w:customStyle="1" w:styleId="NoList1">
    <w:name w:val="No List1"/>
    <w:next w:val="NoList"/>
    <w:uiPriority w:val="99"/>
    <w:semiHidden/>
    <w:unhideWhenUsed/>
    <w:rsid w:val="00411A5F"/>
  </w:style>
  <w:style w:type="character" w:styleId="Hyperlink">
    <w:name w:val="Hyperlink"/>
    <w:basedOn w:val="DefaultParagraphFont"/>
    <w:uiPriority w:val="99"/>
    <w:unhideWhenUsed/>
    <w:rsid w:val="00411A5F"/>
    <w:rPr>
      <w:color w:val="0563C1" w:themeColor="hyperlink"/>
      <w:u w:val="single"/>
    </w:rPr>
  </w:style>
  <w:style w:type="character" w:styleId="UnresolvedMention">
    <w:name w:val="Unresolved Mention"/>
    <w:basedOn w:val="DefaultParagraphFont"/>
    <w:uiPriority w:val="99"/>
    <w:semiHidden/>
    <w:unhideWhenUsed/>
    <w:rsid w:val="00411A5F"/>
    <w:rPr>
      <w:color w:val="605E5C"/>
      <w:shd w:val="clear" w:color="auto" w:fill="E1DFDD"/>
    </w:rPr>
  </w:style>
  <w:style w:type="paragraph" w:styleId="Header">
    <w:name w:val="header"/>
    <w:basedOn w:val="Normal"/>
    <w:link w:val="HeaderChar"/>
    <w:uiPriority w:val="99"/>
    <w:unhideWhenUsed/>
    <w:rsid w:val="00B21E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E1A"/>
  </w:style>
  <w:style w:type="paragraph" w:styleId="Footer">
    <w:name w:val="footer"/>
    <w:basedOn w:val="Normal"/>
    <w:link w:val="FooterChar"/>
    <w:uiPriority w:val="99"/>
    <w:unhideWhenUsed/>
    <w:rsid w:val="00B21E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3230797">
      <w:bodyDiv w:val="1"/>
      <w:marLeft w:val="0"/>
      <w:marRight w:val="0"/>
      <w:marTop w:val="0"/>
      <w:marBottom w:val="0"/>
      <w:divBdr>
        <w:top w:val="none" w:sz="0" w:space="0" w:color="auto"/>
        <w:left w:val="none" w:sz="0" w:space="0" w:color="auto"/>
        <w:bottom w:val="none" w:sz="0" w:space="0" w:color="auto"/>
        <w:right w:val="none" w:sz="0" w:space="0" w:color="auto"/>
      </w:divBdr>
    </w:div>
    <w:div w:id="1994405179">
      <w:bodyDiv w:val="1"/>
      <w:marLeft w:val="0"/>
      <w:marRight w:val="0"/>
      <w:marTop w:val="0"/>
      <w:marBottom w:val="0"/>
      <w:divBdr>
        <w:top w:val="none" w:sz="0" w:space="0" w:color="auto"/>
        <w:left w:val="none" w:sz="0" w:space="0" w:color="auto"/>
        <w:bottom w:val="none" w:sz="0" w:space="0" w:color="auto"/>
        <w:right w:val="none" w:sz="0" w:space="0" w:color="auto"/>
      </w:divBdr>
    </w:div>
    <w:div w:id="2042127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gov.wales/sites/default/files/publications/2018-03/successful-futures.pdf" TargetMode="External"/><Relationship Id="rId21" Type="http://schemas.openxmlformats.org/officeDocument/2006/relationships/hyperlink" Target="https://ceinternational1892.org/wp-content/uploads/2021/07/InclusiveLeadershipBriefJuly2021.pdf" TargetMode="External"/><Relationship Id="rId42" Type="http://schemas.openxmlformats.org/officeDocument/2006/relationships/hyperlink" Target="http://dx.doi.org/10.17206/apjrece.2019.13.2.49" TargetMode="External"/><Relationship Id="rId47" Type="http://schemas.openxmlformats.org/officeDocument/2006/relationships/hyperlink" Target="https://www.hindawi.com/journals/edri/2018/3524879/" TargetMode="External"/><Relationship Id="rId63" Type="http://schemas.openxmlformats.org/officeDocument/2006/relationships/hyperlink" Target="https://www.youtube.com/watch?v=-gzQbhyEsr4&amp;t=513s" TargetMode="External"/><Relationship Id="rId68" Type="http://schemas.openxmlformats.org/officeDocument/2006/relationships/hyperlink" Target="https://assets.publishing.service.gov.uk/government/uploads/system/uploads/attachment_data/file/330332/RR369_Assessing_parental_capacity_to_change_Final.pdf" TargetMode="External"/><Relationship Id="rId84" Type="http://schemas.openxmlformats.org/officeDocument/2006/relationships/header" Target="header1.xml"/><Relationship Id="rId89" Type="http://schemas.openxmlformats.org/officeDocument/2006/relationships/footer" Target="footer3.xml"/><Relationship Id="rId16" Type="http://schemas.openxmlformats.org/officeDocument/2006/relationships/hyperlink" Target="https://psycnet.apa.org/doi/10.1002/9781118764282.ch10" TargetMode="External"/><Relationship Id="rId11" Type="http://schemas.openxmlformats.org/officeDocument/2006/relationships/hyperlink" Target="http://www.peggykern.org/uploads/5/6/6/7/56678211/allen_2018_-_what_schools_need_to_know_about_belonging_-_a_meta-analysis.pdf" TargetMode="External"/><Relationship Id="rId32" Type="http://schemas.openxmlformats.org/officeDocument/2006/relationships/hyperlink" Target="https://www.derby.ac.uk/blog/its-a-mums-world-challenging-the-doofus-dad-stereotype/" TargetMode="External"/><Relationship Id="rId37" Type="http://schemas.openxmlformats.org/officeDocument/2006/relationships/hyperlink" Target="https://kar.kent.ac.uk/55433/3/2016%20JSP%20stigma%20paper%20final%20post-print%20(2).pdf" TargetMode="External"/><Relationship Id="rId53" Type="http://schemas.openxmlformats.org/officeDocument/2006/relationships/hyperlink" Target="https://www.mcser.org/journal/index.php/mjss/article/viewFile/525/550" TargetMode="External"/><Relationship Id="rId58" Type="http://schemas.openxmlformats.org/officeDocument/2006/relationships/hyperlink" Target="https://www.publichealth.ie/sites/default/files/IPH_CES_report_AW%20(2).pdf" TargetMode="External"/><Relationship Id="rId74" Type="http://schemas.openxmlformats.org/officeDocument/2006/relationships/hyperlink" Target="https://gov.wales/sites/default/files/publications/2019-05/an-overview-of-the-healthy-child-wales-programme.pdf" TargetMode="External"/><Relationship Id="rId79" Type="http://schemas.openxmlformats.org/officeDocument/2006/relationships/hyperlink" Target="https://hwb.gov.wales/api/storage/19bc948b-8a3f-41e0-944a-7bf2cadf7d18/professional-standards-for-teaching-and-leadership-interactive-pdf-for-pc.pdf" TargetMode="External"/><Relationship Id="rId5" Type="http://schemas.openxmlformats.org/officeDocument/2006/relationships/settings" Target="settings.xml"/><Relationship Id="rId90" Type="http://schemas.openxmlformats.org/officeDocument/2006/relationships/fontTable" Target="fontTable.xml"/><Relationship Id="rId14" Type="http://schemas.openxmlformats.org/officeDocument/2006/relationships/hyperlink" Target="http://dx.doi.org/10.12968/johv.2017.5.3.126" TargetMode="External"/><Relationship Id="rId22" Type="http://schemas.openxmlformats.org/officeDocument/2006/relationships/hyperlink" Target="http://hpp.education.leeds.ac.uk/wp-content/uploads/sites/131/2014/03/HPP2013-1Cherril_C.pdf" TargetMode="External"/><Relationship Id="rId27" Type="http://schemas.openxmlformats.org/officeDocument/2006/relationships/hyperlink" Target="https://education.gov.scot/media/1uij4p20/section-3-involving-all-parents.pdf" TargetMode="External"/><Relationship Id="rId30" Type="http://schemas.openxmlformats.org/officeDocument/2006/relationships/hyperlink" Target="https://onlinelibrary-wiley-com.ezproxy.uwtsd.ac.uk/doi/book/10.1002/9781118764282" TargetMode="External"/><Relationship Id="rId35" Type="http://schemas.openxmlformats.org/officeDocument/2006/relationships/hyperlink" Target="https://search.informit.org/doi/abs/10.3316/INFORMIT.187023262934284" TargetMode="External"/><Relationship Id="rId43" Type="http://schemas.openxmlformats.org/officeDocument/2006/relationships/hyperlink" Target="https://doi.org/10.1080/00461520.2019.1655645" TargetMode="External"/><Relationship Id="rId48" Type="http://schemas.openxmlformats.org/officeDocument/2006/relationships/hyperlink" Target="https://www.rte.ie/brainstorm/2021/0628/1231750-ireland-social-workers-tusla-children/" TargetMode="External"/><Relationship Id="rId56" Type="http://schemas.openxmlformats.org/officeDocument/2006/relationships/hyperlink" Target="https://journals.sagepub.com/doi/pdf/10.1177/0033354918788880" TargetMode="External"/><Relationship Id="rId64" Type="http://schemas.openxmlformats.org/officeDocument/2006/relationships/hyperlink" Target="https://kidshealth.org/en/parents/school.html" TargetMode="External"/><Relationship Id="rId69" Type="http://schemas.openxmlformats.org/officeDocument/2006/relationships/hyperlink" Target="https://repository.lboro.ac.uk/articles/report/Assessing_parental_capacity_to_change_when_children_are_on_the_edge_of_care_an_overview_of_current_research_evidence/9580151" TargetMode="External"/><Relationship Id="rId77" Type="http://schemas.openxmlformats.org/officeDocument/2006/relationships/hyperlink" Target="https://gov.wales/sites/default/files/publications/2020-10/education-in-Wales-our-national-mission-update-october-2020.pdf" TargetMode="External"/><Relationship Id="rId8" Type="http://schemas.openxmlformats.org/officeDocument/2006/relationships/endnotes" Target="endnotes.xml"/><Relationship Id="rId51" Type="http://schemas.openxmlformats.org/officeDocument/2006/relationships/hyperlink" Target="https://www.teachearlyyears.com/images/uploads/article/inclusion-in-early-years-settings.pdf" TargetMode="External"/><Relationship Id="rId72" Type="http://schemas.openxmlformats.org/officeDocument/2006/relationships/hyperlink" Target="https://doi.org/10.1080/02673843.2014.963630" TargetMode="External"/><Relationship Id="rId80" Type="http://schemas.openxmlformats.org/officeDocument/2006/relationships/hyperlink" Target="https://www.theguardian.com/teacher-network/2015/jun/28/top-tips-for-teachers-on-engaging-parents-in-learning" TargetMode="External"/><Relationship Id="rId85"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hyperlink" Target="https://doi.org/10.1016/j.acap.2018.03.011" TargetMode="External"/><Relationship Id="rId17" Type="http://schemas.openxmlformats.org/officeDocument/2006/relationships/hyperlink" Target="https://inclusiveleadership.eu/il_theoreticalframework_en.pdf" TargetMode="External"/><Relationship Id="rId25" Type="http://schemas.openxmlformats.org/officeDocument/2006/relationships/hyperlink" Target="https://assets.publishing.service.gov.uk/government/uploads/system/uploads/attachment_data/file/182508/DFE-RR156.pdf" TargetMode="External"/><Relationship Id="rId33" Type="http://schemas.openxmlformats.org/officeDocument/2006/relationships/hyperlink" Target="https://gov.wales/sites/default/files/publications/2019-10/a-healthier-wales-action-plan.pdf" TargetMode="External"/><Relationship Id="rId38" Type="http://schemas.openxmlformats.org/officeDocument/2006/relationships/hyperlink" Target="https://doi.org/10.1080/13632434.2020.1704470" TargetMode="External"/><Relationship Id="rId46" Type="http://schemas.openxmlformats.org/officeDocument/2006/relationships/hyperlink" Target="https://www.famly.co/blog/how-to-get-dads-more-involved-in-the-early-years" TargetMode="External"/><Relationship Id="rId59" Type="http://schemas.openxmlformats.org/officeDocument/2006/relationships/hyperlink" Target="https://neu.org.uk/media/13026/view" TargetMode="External"/><Relationship Id="rId67" Type="http://schemas.openxmlformats.org/officeDocument/2006/relationships/hyperlink" Target="https://www.bvekennis.nl/wp-content/uploads/documents/18-0047.pdf" TargetMode="External"/><Relationship Id="rId20" Type="http://schemas.openxmlformats.org/officeDocument/2006/relationships/hyperlink" Target="https://doi.org/10.1080/02607476.2019.1639261" TargetMode="External"/><Relationship Id="rId41" Type="http://schemas.openxmlformats.org/officeDocument/2006/relationships/hyperlink" Target="https://www.washingtonpost.com/news/parenting/wp/2017/12/28/the-importance-of-a-play-group-for-dads/" TargetMode="External"/><Relationship Id="rId54" Type="http://schemas.openxmlformats.org/officeDocument/2006/relationships/hyperlink" Target="https://doi.org/10.1016/j.anr.2014.02.006" TargetMode="External"/><Relationship Id="rId62" Type="http://schemas.openxmlformats.org/officeDocument/2006/relationships/hyperlink" Target="https://dx.doi.org/10.1016%2FS2352-4642(20)30213-3" TargetMode="External"/><Relationship Id="rId70" Type="http://schemas.openxmlformats.org/officeDocument/2006/relationships/hyperlink" Target="https://repository.uwtsd.ac.uk/id/eprint/715/1/Waters%2C%20J.%282016%29%20The%20foundation%20phase%20in%20Wales%20-%20time%20to%20grow.pdf" TargetMode="External"/><Relationship Id="rId75" Type="http://schemas.openxmlformats.org/officeDocument/2006/relationships/hyperlink" Target="https://gov.wales/sites/default/files/publications/2018-03/education-in-wales-our-national-mission.pdf" TargetMode="External"/><Relationship Id="rId83" Type="http://schemas.openxmlformats.org/officeDocument/2006/relationships/hyperlink" Target="https://apps.who.int/iris/bitstream/handle/10665/272603/9789241514064-eng.pdf" TargetMode="External"/><Relationship Id="rId88" Type="http://schemas.openxmlformats.org/officeDocument/2006/relationships/header" Target="header3.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dx.doi.org/10.1177/0002716210393648" TargetMode="External"/><Relationship Id="rId23" Type="http://schemas.openxmlformats.org/officeDocument/2006/relationships/hyperlink" Target="https://doi.org/10.1080/1350293X.2013.788314" TargetMode="External"/><Relationship Id="rId28" Type="http://schemas.openxmlformats.org/officeDocument/2006/relationships/hyperlink" Target="https://www.estyn.gov.wales/effective-practice/building-ethos-based-mutual-respect" TargetMode="External"/><Relationship Id="rId36" Type="http://schemas.openxmlformats.org/officeDocument/2006/relationships/hyperlink" Target="https://www.frontiersin.org/articles/10.3389/fpubh.2015.00156/full" TargetMode="External"/><Relationship Id="rId49" Type="http://schemas.openxmlformats.org/officeDocument/2006/relationships/hyperlink" Target="https://www.newportacademy.com/resources/restoring-families/parenting-support-groups/" TargetMode="External"/><Relationship Id="rId57" Type="http://schemas.openxmlformats.org/officeDocument/2006/relationships/hyperlink" Target="https://doi.org/10.1002/curj.39" TargetMode="External"/><Relationship Id="rId10" Type="http://schemas.openxmlformats.org/officeDocument/2006/relationships/hyperlink" Target="https://promundoglobal.org/wp-content/uploads/2020/08/Parenting-Education_-the-role-of-fathers_-paper-060520-2-col.pdf" TargetMode="External"/><Relationship Id="rId31" Type="http://schemas.openxmlformats.org/officeDocument/2006/relationships/hyperlink" Target="https://doi.org/10.1080/02650533.2020.1834371" TargetMode="External"/><Relationship Id="rId44" Type="http://schemas.openxmlformats.org/officeDocument/2006/relationships/hyperlink" Target="https://www.washingtonpost.com/news/parenting/wp/2015/04/20/im-a-dad-in-a-moms-world/" TargetMode="External"/><Relationship Id="rId52" Type="http://schemas.openxmlformats.org/officeDocument/2006/relationships/hyperlink" Target="https://www.oecd.org/education/wales-should-continue-reforms-to-boost-quality-and-equity-of-school-system.htm" TargetMode="External"/><Relationship Id="rId60" Type="http://schemas.openxmlformats.org/officeDocument/2006/relationships/hyperlink" Target="https://www.allanarobinson.com/early-childhood-theories-albert-bandura/" TargetMode="External"/><Relationship Id="rId65" Type="http://schemas.openxmlformats.org/officeDocument/2006/relationships/hyperlink" Target="https://www.researchgate.net/profile/Daniel-Tindall/publication/267979629_Pre-service_teachers%27_attitudes_towards_children_with_disabilities_An_Irish_perspective/links/552faacd0cf22d43717119ad/Pre-service-teachers-attitudes-towards-children-with-disabilities-An-Irish-perspective.pdf" TargetMode="External"/><Relationship Id="rId73" Type="http://schemas.openxmlformats.org/officeDocument/2006/relationships/hyperlink" Target="https://hwb.gov.wales/curriculum-for-wales/introduction" TargetMode="External"/><Relationship Id="rId78" Type="http://schemas.openxmlformats.org/officeDocument/2006/relationships/hyperlink" Target="https://hwb.gov.wales/curriculum-for-wales/introduction" TargetMode="External"/><Relationship Id="rId81" Type="http://schemas.openxmlformats.org/officeDocument/2006/relationships/hyperlink" Target="https://pure.strath.ac.uk/ws/portalfiles/portal/89721645/Wilson_etal_IJIE_2019_The_impact_of_explicit_and_implicit_teacher_beliefs_on_reports_of_inclusive.pdf" TargetMode="External"/><Relationship Id="rId86"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b.3cdn.net/nefoundation/094c9bd92c79f7129f_w5m6i2zzh.pdf" TargetMode="External"/><Relationship Id="rId13" Type="http://schemas.openxmlformats.org/officeDocument/2006/relationships/hyperlink" Target="https://www.mdrc.org/publication/encouraging-attendance-and-engagement-parenting-programs" TargetMode="External"/><Relationship Id="rId18" Type="http://schemas.openxmlformats.org/officeDocument/2006/relationships/hyperlink" Target="https://www.theguardian.com/social-care-network/2013/feb/21/single-parents-beyond-the-stigma" TargetMode="External"/><Relationship Id="rId39" Type="http://schemas.openxmlformats.org/officeDocument/2006/relationships/hyperlink" Target="https://www.familyfriendlyhq.ie/parenthood/health-wellness/dads-lonely-too-11667/" TargetMode="External"/><Relationship Id="rId34" Type="http://schemas.openxmlformats.org/officeDocument/2006/relationships/hyperlink" Target="https://doi.org/10.1111/cfs.12081" TargetMode="External"/><Relationship Id="rId50" Type="http://schemas.openxmlformats.org/officeDocument/2006/relationships/hyperlink" Target="https://learning.nspcc.org.uk/child-protection-system/multi-agency-working-child-protection" TargetMode="External"/><Relationship Id="rId55" Type="http://schemas.openxmlformats.org/officeDocument/2006/relationships/hyperlink" Target="https://doi.org/10.1080/09585176.2016.1179205" TargetMode="External"/><Relationship Id="rId76" Type="http://schemas.openxmlformats.org/officeDocument/2006/relationships/hyperlink" Target="https://gov.wales/sites/default/files/publications/2019-10/substance-misuse-delivery-plan-2019-22.pdf" TargetMode="External"/><Relationship Id="rId7" Type="http://schemas.openxmlformats.org/officeDocument/2006/relationships/footnotes" Target="footnotes.xml"/><Relationship Id="rId71" Type="http://schemas.openxmlformats.org/officeDocument/2006/relationships/hyperlink" Target="https://www.theguardian.com/society/2019/apr/02/children-in-low-income-families-suffer-shame-and-social-exclusion" TargetMode="External"/><Relationship Id="rId2" Type="http://schemas.openxmlformats.org/officeDocument/2006/relationships/customXml" Target="../customXml/item2.xml"/><Relationship Id="rId29" Type="http://schemas.openxmlformats.org/officeDocument/2006/relationships/hyperlink" Target="https://ec.europa.eu/eurostat/statistics-explained/index.php?title=Children_at_risk_of_poverty_or_social_exclusion" TargetMode="External"/><Relationship Id="rId24" Type="http://schemas.openxmlformats.org/officeDocument/2006/relationships/hyperlink" Target="https://www.dadsgroup.org/dadsgroupabout" TargetMode="External"/><Relationship Id="rId40" Type="http://schemas.openxmlformats.org/officeDocument/2006/relationships/hyperlink" Target="https://doi.org/10.1002/curj.25" TargetMode="External"/><Relationship Id="rId45" Type="http://schemas.openxmlformats.org/officeDocument/2006/relationships/hyperlink" Target="https://www.mentallyhealthyschools.org.uk/risks-and-protective-factors/school-based-risk-factors/relationships-and-belonging/" TargetMode="External"/><Relationship Id="rId66" Type="http://schemas.openxmlformats.org/officeDocument/2006/relationships/hyperlink" Target="https://downloads.unicef.org.uk/wp-content/uploads/2019/10/UNCRC_summary-1_1.pdf?_adal_sd=www.unicef.org.uk.1636894905449&amp;_adal_ca=so%3DLive%26me%3Dorganic%26ca%3D(not%2520set)%26co%3D(not%2520set)%26ke%3D(not%2520set).1636894905449&amp;_adal_cw=1636894900203.1636894905449&amp;_adal_id=941af5fc-f1ea-40ca-b363-8a955b747b8f.1602085649.8.1636894900.1634639623.229581f4-d1ad-4935-8eda-efb888baa9d9.1636894905449&amp;_ga=2.123362766.455716028.1636894900-1400654250.1584200325" TargetMode="External"/><Relationship Id="rId87" Type="http://schemas.openxmlformats.org/officeDocument/2006/relationships/footer" Target="footer2.xml"/><Relationship Id="rId61" Type="http://schemas.openxmlformats.org/officeDocument/2006/relationships/hyperlink" Target="https://www.education.vic.gov.au/Documents/school/principals/governance/PolicyandReviewph.pdf" TargetMode="External"/><Relationship Id="rId82" Type="http://schemas.openxmlformats.org/officeDocument/2006/relationships/hyperlink" Target="https://www.researchgate.net/profile/Philip-Woods/publication/349593208_Constructions_and_purposes_of_school_leadership_in_the_UK/links/603f4f7d4585154e8c7296e4/Constructions-and-purposes-of-school-leadership-in-the-UK.pdf" TargetMode="External"/><Relationship Id="rId19" Type="http://schemas.openxmlformats.org/officeDocument/2006/relationships/hyperlink" Target="https://deepblue.lib.umich.edu/bitstream/handle/2027.42/145283/cdep12275.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95da395fe66bdda5251c44b19138df5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079f5513e46e229d44fae5e726b93aa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6D1E8E-ADEA-40A3-A425-6AB5FAC9203E}">
  <ds:schemaRefs>
    <ds:schemaRef ds:uri="http://schemas.microsoft.com/sharepoint/v3/contenttype/forms"/>
  </ds:schemaRefs>
</ds:datastoreItem>
</file>

<file path=customXml/itemProps2.xml><?xml version="1.0" encoding="utf-8"?>
<ds:datastoreItem xmlns:ds="http://schemas.openxmlformats.org/officeDocument/2006/customXml" ds:itemID="{134085B1-16F6-4D86-AAF7-FA9A55092D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2E312D-6ECE-4903-8E4B-06F69F45A91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8450</Words>
  <Characters>48166</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 (1908986)</dc:creator>
  <cp:keywords/>
  <dc:description/>
  <cp:lastModifiedBy>Jessica Pitman</cp:lastModifiedBy>
  <cp:revision>2</cp:revision>
  <dcterms:created xsi:type="dcterms:W3CDTF">2022-05-17T13:29:00Z</dcterms:created>
  <dcterms:modified xsi:type="dcterms:W3CDTF">2022-05-17T13:29:00Z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