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1C6B6" w14:textId="1EF67810" w:rsidR="00350882" w:rsidRPr="00442A0B" w:rsidRDefault="006B69E1" w:rsidP="00442A0B">
      <w:pPr>
        <w:spacing w:line="360" w:lineRule="auto"/>
        <w:jc w:val="center"/>
        <w:rPr>
          <w:sz w:val="24"/>
          <w:szCs w:val="24"/>
          <w:u w:val="single"/>
        </w:rPr>
      </w:pPr>
      <w:r w:rsidRPr="00442A0B">
        <w:rPr>
          <w:sz w:val="24"/>
          <w:szCs w:val="24"/>
          <w:u w:val="single"/>
        </w:rPr>
        <w:t xml:space="preserve">2,000 Word Report – How has colonialism and empire impacted the </w:t>
      </w:r>
      <w:r w:rsidR="002E4070">
        <w:rPr>
          <w:sz w:val="24"/>
          <w:szCs w:val="24"/>
          <w:u w:val="single"/>
        </w:rPr>
        <w:t>Institution of the Museum</w:t>
      </w:r>
      <w:r w:rsidRPr="00442A0B">
        <w:rPr>
          <w:sz w:val="24"/>
          <w:szCs w:val="24"/>
          <w:u w:val="single"/>
        </w:rPr>
        <w:t>?</w:t>
      </w:r>
    </w:p>
    <w:p w14:paraId="2112B91B" w14:textId="565D9F23" w:rsidR="006B69E1" w:rsidRDefault="006B69E1" w:rsidP="00442A0B">
      <w:pPr>
        <w:spacing w:line="360" w:lineRule="auto"/>
      </w:pPr>
    </w:p>
    <w:p w14:paraId="60AEF1F5" w14:textId="7B4F306A" w:rsidR="006B69E1" w:rsidRDefault="006B69E1" w:rsidP="00442A0B">
      <w:pPr>
        <w:spacing w:line="360" w:lineRule="auto"/>
        <w:rPr>
          <w:b/>
          <w:bCs/>
        </w:rPr>
      </w:pPr>
      <w:r>
        <w:rPr>
          <w:b/>
          <w:bCs/>
        </w:rPr>
        <w:t xml:space="preserve">Title </w:t>
      </w:r>
    </w:p>
    <w:p w14:paraId="280143E0" w14:textId="5D5FA4B5" w:rsidR="006B69E1" w:rsidRDefault="006B69E1" w:rsidP="00442A0B">
      <w:pPr>
        <w:spacing w:line="360" w:lineRule="auto"/>
      </w:pPr>
      <w:r>
        <w:t>How has colonialism and empire impacted the</w:t>
      </w:r>
      <w:r w:rsidR="002E4070">
        <w:t xml:space="preserve"> Institution of the Museum</w:t>
      </w:r>
      <w:r>
        <w:t xml:space="preserve">? </w:t>
      </w:r>
    </w:p>
    <w:p w14:paraId="54E36095" w14:textId="31FD079A" w:rsidR="006B69E1" w:rsidRDefault="006B69E1" w:rsidP="00442A0B">
      <w:pPr>
        <w:spacing w:line="360" w:lineRule="auto"/>
      </w:pPr>
    </w:p>
    <w:p w14:paraId="53195FC2" w14:textId="1B8AE9C9" w:rsidR="006B69E1" w:rsidRDefault="006B69E1" w:rsidP="00442A0B">
      <w:pPr>
        <w:spacing w:line="360" w:lineRule="auto"/>
      </w:pPr>
      <w:r>
        <w:rPr>
          <w:b/>
          <w:bCs/>
        </w:rPr>
        <w:t xml:space="preserve">Abstract </w:t>
      </w:r>
    </w:p>
    <w:p w14:paraId="44632C7E" w14:textId="457ED874" w:rsidR="006B69E1" w:rsidRPr="00F93726" w:rsidRDefault="00EF3253" w:rsidP="00442A0B">
      <w:pPr>
        <w:spacing w:line="360" w:lineRule="auto"/>
      </w:pPr>
      <w:r>
        <w:t xml:space="preserve">This Report will examine </w:t>
      </w:r>
      <w:r w:rsidR="001B1C8B">
        <w:t xml:space="preserve">how both colonialism and empire have impacted on the institution of the museum. </w:t>
      </w:r>
      <w:r w:rsidR="007F162C">
        <w:t xml:space="preserve">This will start by examining </w:t>
      </w:r>
      <w:r w:rsidR="005D07AF">
        <w:t xml:space="preserve">the origins of the museum, where it came from and how its development in the era of colonialism and empire has </w:t>
      </w:r>
      <w:r w:rsidR="00623958">
        <w:t xml:space="preserve">impacted on its values </w:t>
      </w:r>
      <w:r w:rsidR="00946F2D">
        <w:t>and principles</w:t>
      </w:r>
      <w:r w:rsidR="00032460">
        <w:t xml:space="preserve">, especially </w:t>
      </w:r>
      <w:r w:rsidR="00F75462">
        <w:t>regarding</w:t>
      </w:r>
      <w:r w:rsidR="00032460">
        <w:t xml:space="preserve"> principles of nationality and completionism. </w:t>
      </w:r>
      <w:r w:rsidR="00F75462">
        <w:t xml:space="preserve">It will then examine an example in the Benin Bronzes case, </w:t>
      </w:r>
      <w:r w:rsidR="007E3AFB">
        <w:t xml:space="preserve">how it showcases modern museum attitudes to control, categorisation, nationality, and </w:t>
      </w:r>
      <w:r w:rsidR="00440130">
        <w:t xml:space="preserve">repatriation. While the Bronzes aren’t a perfect example, they do shed light on the control Western museums have over artefacts, and their reluctance to return items taken </w:t>
      </w:r>
      <w:r w:rsidR="00721AFA">
        <w:t xml:space="preserve">by imperial soldiers during occupations, both results of the colonial era fuelling the expansion and success of museums. </w:t>
      </w:r>
      <w:r w:rsidR="0038375B">
        <w:t xml:space="preserve">This report will then examine </w:t>
      </w:r>
      <w:r w:rsidR="00E15C8B">
        <w:t>postcolonial attitudes to museums, and how museums themselves are attempting to move away from the</w:t>
      </w:r>
      <w:r w:rsidR="00FD789A">
        <w:t xml:space="preserve"> imperialist principles they were founded on, before summarising and concluding the report. </w:t>
      </w:r>
    </w:p>
    <w:p w14:paraId="6AB25D97" w14:textId="57BD5B72" w:rsidR="006B69E1" w:rsidRDefault="006B69E1" w:rsidP="00442A0B">
      <w:pPr>
        <w:spacing w:line="360" w:lineRule="auto"/>
        <w:rPr>
          <w:b/>
          <w:bCs/>
        </w:rPr>
      </w:pPr>
    </w:p>
    <w:p w14:paraId="166A0C58" w14:textId="3A7C5DC2" w:rsidR="006B69E1" w:rsidRPr="006B69E1" w:rsidRDefault="006B69E1" w:rsidP="00442A0B">
      <w:pPr>
        <w:spacing w:line="360" w:lineRule="auto"/>
        <w:rPr>
          <w:b/>
          <w:bCs/>
        </w:rPr>
      </w:pPr>
      <w:r>
        <w:rPr>
          <w:b/>
          <w:bCs/>
        </w:rPr>
        <w:t xml:space="preserve">Introduction </w:t>
      </w:r>
    </w:p>
    <w:p w14:paraId="30073AF5" w14:textId="59FD55E1" w:rsidR="006B69E1" w:rsidRDefault="00135480" w:rsidP="00442A0B">
      <w:pPr>
        <w:spacing w:line="360" w:lineRule="auto"/>
      </w:pPr>
      <w:r>
        <w:t xml:space="preserve">The Museum is often seen as a cornerstone of our society. With </w:t>
      </w:r>
      <w:r w:rsidR="00853DCD">
        <w:t xml:space="preserve">an estimated 55,000 museums in 202 countries (as of 2014), </w:t>
      </w:r>
      <w:r w:rsidR="0009439B">
        <w:t xml:space="preserve">they play a vital role in society, both as a place of education and learning, and somewhere to spend leisure time and socialise. However, many </w:t>
      </w:r>
      <w:r w:rsidR="00AA3333">
        <w:t xml:space="preserve">European </w:t>
      </w:r>
      <w:r w:rsidR="0009439B">
        <w:t>museums are deeply rooted in</w:t>
      </w:r>
      <w:r w:rsidR="009D768C">
        <w:t xml:space="preserve"> their period of origin as places to store artefacts of colonial and imperial conquest. They often hold </w:t>
      </w:r>
      <w:r w:rsidR="00CC4C8F">
        <w:t xml:space="preserve">subconscious ideals of superiority, </w:t>
      </w:r>
      <w:r w:rsidR="00AA3333">
        <w:t xml:space="preserve">as the only place capable enough to store artefacts that were often taken from </w:t>
      </w:r>
      <w:r w:rsidR="004E6016">
        <w:t xml:space="preserve">other countries. While in the postcolonial era, many museums are working on decolonising </w:t>
      </w:r>
      <w:r w:rsidR="00C74120">
        <w:t xml:space="preserve">and repatriating their past actions, these biases can remain. This report aims to identify the impact that colonialism and empire had on the institution of the museum, particularly British museums, and </w:t>
      </w:r>
      <w:r w:rsidR="000D5B47">
        <w:t xml:space="preserve">how they are decolonising in the modern era. </w:t>
      </w:r>
    </w:p>
    <w:p w14:paraId="66D47FD6" w14:textId="77777777" w:rsidR="00C862DF" w:rsidRDefault="00C862DF" w:rsidP="00442A0B">
      <w:pPr>
        <w:spacing w:line="360" w:lineRule="auto"/>
      </w:pPr>
    </w:p>
    <w:p w14:paraId="41B7B930" w14:textId="6FEC7CD1" w:rsidR="006B69E1" w:rsidRDefault="006B69E1" w:rsidP="00442A0B">
      <w:pPr>
        <w:spacing w:line="360" w:lineRule="auto"/>
        <w:rPr>
          <w:b/>
          <w:bCs/>
        </w:rPr>
      </w:pPr>
      <w:r>
        <w:rPr>
          <w:b/>
          <w:bCs/>
        </w:rPr>
        <w:lastRenderedPageBreak/>
        <w:t xml:space="preserve">The Origins of Museology </w:t>
      </w:r>
    </w:p>
    <w:p w14:paraId="5287B7C1" w14:textId="4C662782" w:rsidR="006B69E1" w:rsidRDefault="0084260C" w:rsidP="00442A0B">
      <w:pPr>
        <w:spacing w:line="360" w:lineRule="auto"/>
      </w:pPr>
      <w:r>
        <w:t>The Concept of the museum has its ro</w:t>
      </w:r>
      <w:r w:rsidR="0007120D">
        <w:t>o</w:t>
      </w:r>
      <w:r>
        <w:t>ts in the Renaissance period</w:t>
      </w:r>
      <w:r w:rsidR="006157CB">
        <w:t xml:space="preserve">. </w:t>
      </w:r>
      <w:r w:rsidR="00B3496F">
        <w:t xml:space="preserve">This is when collections known as ‘Cabinets of Curiosity’ began to appear, </w:t>
      </w:r>
      <w:r w:rsidR="00C13167">
        <w:t xml:space="preserve">most likely as a result of humanity’s desire to collect, categorise, and understand their place in the world. While these collections started out as </w:t>
      </w:r>
      <w:r w:rsidR="0026114B">
        <w:t xml:space="preserve">an explanation of the ‘Great Chain of Being’, a renaissance religious idea where every living being was organised into a </w:t>
      </w:r>
      <w:r w:rsidR="000D3F7E">
        <w:t>hierarchical</w:t>
      </w:r>
      <w:r w:rsidR="0026114B">
        <w:t xml:space="preserve"> chain</w:t>
      </w:r>
      <w:r w:rsidR="000D3F7E">
        <w:t xml:space="preserve"> with God at the top, they progressed into wanting to learn about the surrounding natural world. </w:t>
      </w:r>
      <w:r w:rsidR="00744F69">
        <w:t>These cabinets therefore became heavily linked with the West</w:t>
      </w:r>
      <w:r w:rsidR="00526CEA">
        <w:t xml:space="preserve">ern Europe’s expansion </w:t>
      </w:r>
      <w:r w:rsidR="00E8281A">
        <w:t xml:space="preserve">into lands other than their own. </w:t>
      </w:r>
      <w:r w:rsidR="008578A2">
        <w:t xml:space="preserve">They provided both the motive to expand and explore, and </w:t>
      </w:r>
      <w:r w:rsidR="00423DDA">
        <w:t>a way of making newly explored places visible and understandable.</w:t>
      </w:r>
      <w:r w:rsidR="00423DDA">
        <w:rPr>
          <w:rStyle w:val="FootnoteReference"/>
        </w:rPr>
        <w:footnoteReference w:id="1"/>
      </w:r>
      <w:r w:rsidR="006C0EC8">
        <w:t xml:space="preserve"> </w:t>
      </w:r>
      <w:r w:rsidR="00C0590A">
        <w:t xml:space="preserve">Thus, </w:t>
      </w:r>
      <w:r w:rsidR="00E57641">
        <w:t xml:space="preserve">cabinets, and their successor museums, because heavily linked with colonialist expansion and its ideas of heirarchy, categorisation, and control. </w:t>
      </w:r>
    </w:p>
    <w:p w14:paraId="279D47D1" w14:textId="46C46F4A" w:rsidR="00C43AC8" w:rsidRDefault="00C43AC8" w:rsidP="00442A0B">
      <w:pPr>
        <w:spacing w:line="360" w:lineRule="auto"/>
      </w:pPr>
    </w:p>
    <w:p w14:paraId="78EE3ACD" w14:textId="37B5ED0F" w:rsidR="00C43AC8" w:rsidRPr="0084260C" w:rsidRDefault="00C43AC8" w:rsidP="00442A0B">
      <w:pPr>
        <w:spacing w:line="360" w:lineRule="auto"/>
      </w:pPr>
      <w:r>
        <w:t xml:space="preserve">The earliest public museum, the Ashmolean Museum of Oxford, was founded on one of these cabinets. </w:t>
      </w:r>
      <w:r w:rsidR="00610A78">
        <w:t xml:space="preserve">This museum, and many others, </w:t>
      </w:r>
      <w:r w:rsidR="00AC5BD6">
        <w:t xml:space="preserve">replaced people’s need to travel and experience by collating objects and narrative under one roof, available for people to experience in one place. </w:t>
      </w:r>
      <w:r w:rsidR="00B81064">
        <w:t xml:space="preserve">The exhibits were </w:t>
      </w:r>
      <w:r w:rsidR="00512EBA">
        <w:t xml:space="preserve">grouped and organised to create a form of heirarchy, reflecting on the imperial desire for control. </w:t>
      </w:r>
      <w:r w:rsidR="00983885">
        <w:t xml:space="preserve">However, as time progressed into the 1700s and museums grew in popularity, </w:t>
      </w:r>
      <w:r w:rsidR="00F457D7">
        <w:t xml:space="preserve">they </w:t>
      </w:r>
      <w:r w:rsidR="00BA19FC">
        <w:t xml:space="preserve">were further sorted into newly developed academic boundaries, </w:t>
      </w:r>
      <w:r w:rsidR="000530DD">
        <w:t xml:space="preserve">such as high art and natural history. </w:t>
      </w:r>
      <w:r w:rsidR="008A32F1">
        <w:t>These boundaries gave a feeling of order and thus safety</w:t>
      </w:r>
      <w:r w:rsidR="001D4C88">
        <w:t xml:space="preserve"> in a rapidly changing world, while the museum was (and continues to be) an authoritarian structure that often excludes groups of people to create its own narrative. </w:t>
      </w:r>
      <w:r w:rsidR="006D0ED0">
        <w:t xml:space="preserve">Its ideals of complete collection and organisation </w:t>
      </w:r>
      <w:r w:rsidR="00EA7D72">
        <w:t xml:space="preserve">are deeply rooted in colonial ideals of control. </w:t>
      </w:r>
      <w:r w:rsidR="00D376FE">
        <w:t xml:space="preserve">Museums also became heavily involved in debates of </w:t>
      </w:r>
      <w:r w:rsidR="008D5CD1">
        <w:t xml:space="preserve">modernity and nationalism, both subjects being saturated with Western colonialist </w:t>
      </w:r>
      <w:r w:rsidR="003F6404">
        <w:t xml:space="preserve">ideologies, such as expanding and changing borders and the quest for control. </w:t>
      </w:r>
    </w:p>
    <w:p w14:paraId="335FACA9" w14:textId="786F9932" w:rsidR="006B69E1" w:rsidRDefault="006B69E1" w:rsidP="00442A0B">
      <w:pPr>
        <w:spacing w:line="360" w:lineRule="auto"/>
        <w:rPr>
          <w:b/>
          <w:bCs/>
        </w:rPr>
      </w:pPr>
    </w:p>
    <w:p w14:paraId="6C551024" w14:textId="197E5506" w:rsidR="006B69E1" w:rsidRDefault="006B69E1" w:rsidP="00442A0B">
      <w:pPr>
        <w:spacing w:line="360" w:lineRule="auto"/>
        <w:rPr>
          <w:b/>
          <w:bCs/>
        </w:rPr>
      </w:pPr>
      <w:r>
        <w:rPr>
          <w:b/>
          <w:bCs/>
        </w:rPr>
        <w:t xml:space="preserve">The Benin Bronzes </w:t>
      </w:r>
      <w:r w:rsidR="00B8071E">
        <w:rPr>
          <w:b/>
          <w:bCs/>
        </w:rPr>
        <w:t>–</w:t>
      </w:r>
      <w:r>
        <w:rPr>
          <w:b/>
          <w:bCs/>
        </w:rPr>
        <w:t xml:space="preserve"> </w:t>
      </w:r>
      <w:r w:rsidR="00B8071E">
        <w:rPr>
          <w:b/>
          <w:bCs/>
        </w:rPr>
        <w:t xml:space="preserve">colonialism and the museum collection </w:t>
      </w:r>
    </w:p>
    <w:p w14:paraId="50E872A5" w14:textId="4000B501" w:rsidR="00B8071E" w:rsidRDefault="00B8071E" w:rsidP="00442A0B">
      <w:pPr>
        <w:spacing w:line="360" w:lineRule="auto"/>
      </w:pPr>
      <w:r>
        <w:t xml:space="preserve">One example of both colonialism and empire impacting the field of Museology is the Benin Bronzes. These are a collection of plaques and sculptures, created by the Edo people, and were taken from Benin’s royal palace by a British </w:t>
      </w:r>
      <w:r w:rsidR="00632A69">
        <w:t>forces’</w:t>
      </w:r>
      <w:r>
        <w:t xml:space="preserve"> expedition in 1897</w:t>
      </w:r>
      <w:r w:rsidR="00632A69">
        <w:t>.</w:t>
      </w:r>
      <w:r w:rsidR="00632A69">
        <w:rPr>
          <w:rStyle w:val="FootnoteReference"/>
        </w:rPr>
        <w:footnoteReference w:id="2"/>
      </w:r>
      <w:r w:rsidR="00632A69">
        <w:t xml:space="preserve"> </w:t>
      </w:r>
      <w:r w:rsidR="006B486D">
        <w:t xml:space="preserve">Today, the British Museum holds most </w:t>
      </w:r>
      <w:r w:rsidR="006B486D">
        <w:lastRenderedPageBreak/>
        <w:t>of the collection, with over 900 items from Benin, but other institutions across Europe and the United States have been known to hold some of the items.</w:t>
      </w:r>
      <w:r w:rsidR="006B486D">
        <w:rPr>
          <w:rStyle w:val="FootnoteReference"/>
        </w:rPr>
        <w:footnoteReference w:id="3"/>
      </w:r>
      <w:r w:rsidR="006B486D">
        <w:t xml:space="preserve"> </w:t>
      </w:r>
      <w:r w:rsidR="00C27B0E">
        <w:t xml:space="preserve">Unlike other famous empire-driven cases, the taking of the Benin Bronzes was not the result of any legal deals or collaboration between countries. Instead, their acquirement can be seen as theft, and is by many. </w:t>
      </w:r>
    </w:p>
    <w:p w14:paraId="762CB1C4" w14:textId="177507D1" w:rsidR="00DD3D57" w:rsidRDefault="00DD3D57" w:rsidP="00442A0B">
      <w:pPr>
        <w:spacing w:line="360" w:lineRule="auto"/>
      </w:pPr>
    </w:p>
    <w:p w14:paraId="3A96E71E" w14:textId="1F945958" w:rsidR="00B8071E" w:rsidRDefault="00DD3D57" w:rsidP="00442A0B">
      <w:pPr>
        <w:spacing w:line="360" w:lineRule="auto"/>
      </w:pPr>
      <w:r>
        <w:t xml:space="preserve">While most of the discussion around the Benin Bronzes advocates for their return, there are a few who are against ‘giving up’ these collections and returning them to Nigeria. Their main argument for this tends to be that the museum is universal and open to everyone, representing an ideal of Enlightenment held since the Renaissance era and the dawn of the museum. Museums are seen as a form of preservation for humanity’s artefacts and ideas. This argument hits both </w:t>
      </w:r>
      <w:r w:rsidR="00404DB6">
        <w:t>ideas of ownership and culture, and safety.</w:t>
      </w:r>
      <w:r w:rsidR="00404DB6">
        <w:rPr>
          <w:rStyle w:val="FootnoteReference"/>
        </w:rPr>
        <w:footnoteReference w:id="4"/>
      </w:r>
      <w:r w:rsidR="00404DB6">
        <w:t xml:space="preserve"> However, </w:t>
      </w:r>
      <w:r w:rsidR="00442A0B">
        <w:t>both</w:t>
      </w:r>
      <w:r w:rsidR="006747D8">
        <w:t xml:space="preserve"> points are shaky at best. While the museum could be seen as a form of preservation, this does not mean they are universal, as some claim. While museums are a form of cross-cultural collaboration and education, they are still deeply rooted in the</w:t>
      </w:r>
      <w:r w:rsidR="009E4624">
        <w:t xml:space="preserve"> politics of their home nation. For example, the British Museum, and other museums of the UK, were formed by, and still show heavy influences of, the former British empire. The mainly comes across in their collections, holding many artefacts from their period of colonialism, and with little to no plans to return these objects as a form of repatriation. Empire also influences how many of these museums showcase their collection, with the British Museum being an example of this. Their displays of object from other cultures, particularly Africa and Asia, omits most, if not all, information on how they were acquired, condensing down the information into just their location and where they came from prior to </w:t>
      </w:r>
      <w:r w:rsidR="00CB1BB0">
        <w:t xml:space="preserve">the museum. This form of omitting information shows that the British Museum still cannot take responsibility for the actions of a colonial Britain. The recent creation of an Instagram filter known as ‘The Unfiltered History Tour’, designed to explain the history of some of the museum’s artefacts, shows just how far behind the museum is when it comes to taking responsibility for their colonial past. This, in turn, could be seen as colonial values and ideal still impacting the museum itself. The </w:t>
      </w:r>
      <w:r w:rsidR="00906678">
        <w:t>counterarguments</w:t>
      </w:r>
      <w:r w:rsidR="00CB1BB0">
        <w:t xml:space="preserve"> to returning the Benin Bronzes also raise the issue of </w:t>
      </w:r>
      <w:r w:rsidR="00906678">
        <w:t xml:space="preserve">security and safety. They believe that the Benin Bronzes are safest where they are, scattered in museums across Europe and the United States, rather than in their home country of Nigeria. While Nigerian museums are being repaired and refurnished </w:t>
      </w:r>
      <w:r w:rsidR="00442A0B">
        <w:t>to</w:t>
      </w:r>
      <w:r w:rsidR="00906678">
        <w:t xml:space="preserve"> hold items such as the Bronzes, questioning the ability of Nigeria to protect and preserve their artefacts could be seen as the result of a superiority complex rooted in a colonial past. </w:t>
      </w:r>
      <w:r w:rsidR="009F7443">
        <w:t xml:space="preserve">Furthermore, those who are from the culture can speak with more authority on </w:t>
      </w:r>
      <w:r w:rsidR="009F7443">
        <w:lastRenderedPageBreak/>
        <w:t>matters of return and cultural restitution than those who are not. Any counterarguments to return are often seen as implicit excuses of undeclared colonialist intentions.</w:t>
      </w:r>
      <w:r w:rsidR="009F7443">
        <w:rPr>
          <w:rStyle w:val="FootnoteReference"/>
        </w:rPr>
        <w:footnoteReference w:id="5"/>
      </w:r>
      <w:r w:rsidR="008A3318">
        <w:t xml:space="preserve"> This all contributions to the question of what museums are doing to decolonise and </w:t>
      </w:r>
      <w:r w:rsidR="00442A0B">
        <w:t xml:space="preserve">reinvent themselves in the post-colonial era. </w:t>
      </w:r>
    </w:p>
    <w:p w14:paraId="193436A6" w14:textId="77777777" w:rsidR="00C862DF" w:rsidRPr="00C862DF" w:rsidRDefault="00C862DF" w:rsidP="00442A0B">
      <w:pPr>
        <w:spacing w:line="360" w:lineRule="auto"/>
      </w:pPr>
    </w:p>
    <w:p w14:paraId="423C8CF3" w14:textId="424EF3C2" w:rsidR="00B8071E" w:rsidRDefault="00B8071E" w:rsidP="00442A0B">
      <w:pPr>
        <w:spacing w:line="360" w:lineRule="auto"/>
        <w:rPr>
          <w:b/>
          <w:bCs/>
        </w:rPr>
      </w:pPr>
      <w:r>
        <w:rPr>
          <w:b/>
          <w:bCs/>
        </w:rPr>
        <w:t xml:space="preserve">Postcolonial approaches and decolonising the museum </w:t>
      </w:r>
    </w:p>
    <w:p w14:paraId="773B5E74" w14:textId="600F341C" w:rsidR="006B69E1" w:rsidRDefault="00451BC8" w:rsidP="00DE179E">
      <w:pPr>
        <w:spacing w:line="360" w:lineRule="auto"/>
      </w:pPr>
      <w:r>
        <w:t>Today, museums are trusted public institutions</w:t>
      </w:r>
      <w:r w:rsidR="002F67F4">
        <w:t xml:space="preserve">. They provide a service in educating and entertaining the </w:t>
      </w:r>
      <w:r w:rsidR="002E4070">
        <w:t>public and</w:t>
      </w:r>
      <w:r w:rsidR="002F67F4">
        <w:t xml:space="preserve"> are held in high esteem for </w:t>
      </w:r>
      <w:r w:rsidR="00540DB0">
        <w:t>their credibility and knowledge.</w:t>
      </w:r>
      <w:r w:rsidR="00540DB0">
        <w:rPr>
          <w:rStyle w:val="FootnoteReference"/>
        </w:rPr>
        <w:footnoteReference w:id="6"/>
      </w:r>
      <w:r w:rsidR="002E4070">
        <w:t xml:space="preserve"> </w:t>
      </w:r>
      <w:r w:rsidR="00070EF7">
        <w:t xml:space="preserve">However, they still hold on to these foundational ideas of </w:t>
      </w:r>
      <w:r w:rsidR="00182394">
        <w:t xml:space="preserve">categorisation, control, nationality, and security. </w:t>
      </w:r>
      <w:r w:rsidR="008B0C6D">
        <w:t xml:space="preserve">Thus, many museums are working to </w:t>
      </w:r>
      <w:r w:rsidR="001F1D25">
        <w:t>remove these foundations</w:t>
      </w:r>
      <w:r w:rsidR="00F63A0C">
        <w:t xml:space="preserve">. </w:t>
      </w:r>
      <w:r w:rsidR="00742D71">
        <w:t xml:space="preserve">Many institutions are working with governments for repatriation and the return of artefacts taken </w:t>
      </w:r>
      <w:r w:rsidR="000C67AD">
        <w:t xml:space="preserve">during the colonial era. </w:t>
      </w:r>
      <w:r w:rsidR="004F5BB0">
        <w:t>For example, the Benin Dialogue group</w:t>
      </w:r>
      <w:r w:rsidR="000A3D9E">
        <w:t xml:space="preserve"> is a</w:t>
      </w:r>
      <w:r w:rsidR="00DE179E">
        <w:t>n</w:t>
      </w:r>
      <w:r w:rsidR="000A3D9E">
        <w:t xml:space="preserve"> organisation dedicated to the return of the Benin Bronzes </w:t>
      </w:r>
      <w:r w:rsidR="003A44FF">
        <w:t xml:space="preserve">and establishing a museum in Nigeria where they can be displayed permanently. Other notable examples include </w:t>
      </w:r>
      <w:r w:rsidR="00344ABB">
        <w:t xml:space="preserve">Flemish artwork that is currently situated in the Louvre, </w:t>
      </w:r>
      <w:r w:rsidR="00111E9C">
        <w:t>who’s return was debated heavily in i</w:t>
      </w:r>
      <w:r w:rsidR="00DE179E">
        <w:t xml:space="preserve">nternational courts, and the Elgin Marbles, who’s return campaign has spanned decades and will continue into the foreseeable future. </w:t>
      </w:r>
      <w:r w:rsidR="0061337D">
        <w:t>Museums</w:t>
      </w:r>
      <w:r w:rsidR="00324093">
        <w:t xml:space="preserve"> are also recruiting </w:t>
      </w:r>
      <w:r w:rsidR="00787099">
        <w:t xml:space="preserve">experts in </w:t>
      </w:r>
      <w:r w:rsidR="00406194">
        <w:t xml:space="preserve">different fields to examine their exhibits and hold them accountable </w:t>
      </w:r>
      <w:r w:rsidR="0061337D">
        <w:t xml:space="preserve">in terms of representation and how artefacts are labelled, presented, and displayed to the public. </w:t>
      </w:r>
      <w:r w:rsidR="002B6B54">
        <w:t xml:space="preserve">However, this </w:t>
      </w:r>
      <w:r w:rsidR="00AF031E">
        <w:t xml:space="preserve">does not solve every issue that museums have. </w:t>
      </w:r>
      <w:r w:rsidR="005B63CF">
        <w:t xml:space="preserve">The institution of the museum is rooted in ideas of completionism, </w:t>
      </w:r>
      <w:r w:rsidR="002B0BE1">
        <w:t xml:space="preserve">nationalism, </w:t>
      </w:r>
      <w:r w:rsidR="0090003F">
        <w:t xml:space="preserve">and the concept of the ‘universal museum’. </w:t>
      </w:r>
      <w:r w:rsidR="00C84F4C">
        <w:t>These are all intrinsically western</w:t>
      </w:r>
      <w:r w:rsidR="005A1B8A">
        <w:t xml:space="preserve"> colonialist ideas, as they encourage a heirarchy system</w:t>
      </w:r>
      <w:r w:rsidR="001E5808">
        <w:t xml:space="preserve"> where the </w:t>
      </w:r>
      <w:r w:rsidR="00B5611B">
        <w:t xml:space="preserve">West is placed at the top. In many ways, the museum has always maintained its roots in those original Renaissance cabinets, exploring a heirarchy, that when religious worldviews changed, it </w:t>
      </w:r>
      <w:r w:rsidR="0035404F">
        <w:t xml:space="preserve">had to create for itself through imperialist intentions. While decolonising the museum will take </w:t>
      </w:r>
      <w:r w:rsidR="00B66F33">
        <w:t xml:space="preserve">plenty of time, and will by no means be a fast process, it is possible. By listening and referring to the opinions and worldviews </w:t>
      </w:r>
      <w:r w:rsidR="00CC5FB6">
        <w:t xml:space="preserve">of those outside the </w:t>
      </w:r>
      <w:r w:rsidR="00533B2B">
        <w:t xml:space="preserve">borders of Western Europe, the museum will be able to generate the ‘universal’ </w:t>
      </w:r>
      <w:r w:rsidR="009B419A">
        <w:t xml:space="preserve">status it believes it already has, and by making its contents accessible to all, it will hopefully be able to become </w:t>
      </w:r>
      <w:r w:rsidR="00E67279">
        <w:t xml:space="preserve">the trusted institution that many believe it already is. </w:t>
      </w:r>
    </w:p>
    <w:p w14:paraId="00663AA3" w14:textId="1B07B4E1" w:rsidR="00B8071E" w:rsidRDefault="00B8071E" w:rsidP="00442A0B">
      <w:pPr>
        <w:spacing w:line="360" w:lineRule="auto"/>
      </w:pPr>
    </w:p>
    <w:p w14:paraId="11B2CD59" w14:textId="7B119E48" w:rsidR="00B8071E" w:rsidRPr="00B8071E" w:rsidRDefault="00B8071E" w:rsidP="00442A0B">
      <w:pPr>
        <w:spacing w:line="360" w:lineRule="auto"/>
      </w:pPr>
      <w:r>
        <w:rPr>
          <w:b/>
          <w:bCs/>
        </w:rPr>
        <w:t xml:space="preserve">Conclusion  </w:t>
      </w:r>
    </w:p>
    <w:p w14:paraId="44BE2766" w14:textId="580D1707" w:rsidR="006B69E1" w:rsidRDefault="003F6404" w:rsidP="00442A0B">
      <w:pPr>
        <w:spacing w:line="360" w:lineRule="auto"/>
      </w:pPr>
      <w:r>
        <w:lastRenderedPageBreak/>
        <w:t xml:space="preserve">In conclusion, </w:t>
      </w:r>
      <w:r w:rsidR="002E4070">
        <w:t xml:space="preserve">the museum </w:t>
      </w:r>
      <w:r w:rsidR="00434892">
        <w:t>has been deeply rooted in colonialist ideologies since its conception. The Ren</w:t>
      </w:r>
      <w:r w:rsidR="00E30228">
        <w:t xml:space="preserve">aissance ‘Cabinets of Curiosity’ that formed museums both encouraged and were encouraged by the Western European expansion and </w:t>
      </w:r>
      <w:r w:rsidR="002B4C9D">
        <w:t xml:space="preserve">colonisation of everything in sight. </w:t>
      </w:r>
      <w:r w:rsidR="004F7557">
        <w:t>Museums, by collating and organising objects brought in by colonialism</w:t>
      </w:r>
      <w:r w:rsidR="00C36E33">
        <w:t xml:space="preserve">, encouraged further expansion and allowed regular people to experience the outside world without the need for travel. With the example of the Benin Bronzes, we can see that colonialist and imperialist ideologies </w:t>
      </w:r>
      <w:r w:rsidR="00D86E7F">
        <w:t xml:space="preserve">extend to modern day, and indeed form the root of museum ideology. </w:t>
      </w:r>
      <w:r w:rsidR="006E2C0B">
        <w:t xml:space="preserve">Here, European and United States museums hold a piece of another country’s heritage and argue that it cannot be given back, both for safety reasons and so they </w:t>
      </w:r>
      <w:r w:rsidR="00DB5ECB">
        <w:t xml:space="preserve">can collate and categorise the objects. </w:t>
      </w:r>
      <w:r w:rsidR="004775DC">
        <w:t>Both</w:t>
      </w:r>
      <w:r w:rsidR="00907364">
        <w:t xml:space="preserve"> reasons are deeply rooted in the colonial ideas of control and categorisation, forming the basis of the museum’s </w:t>
      </w:r>
      <w:r w:rsidR="004775DC">
        <w:t>functions,</w:t>
      </w:r>
      <w:r w:rsidR="00907364">
        <w:t xml:space="preserve"> and showing that museums in themselves are incredibly affected by this basis. While many museums </w:t>
      </w:r>
      <w:r w:rsidR="00A22C05">
        <w:t xml:space="preserve">are attempting to decolonise within the context of the modern postcolonial era, this does not change the fact that the </w:t>
      </w:r>
      <w:r w:rsidR="004775DC">
        <w:t xml:space="preserve">institution of the museum was heavily impacted by its roots in empire and colonialism. </w:t>
      </w:r>
    </w:p>
    <w:p w14:paraId="15436A9C" w14:textId="6971D700" w:rsidR="006B69E1" w:rsidRDefault="006B69E1" w:rsidP="00442A0B">
      <w:pPr>
        <w:spacing w:line="360" w:lineRule="auto"/>
      </w:pPr>
    </w:p>
    <w:p w14:paraId="4F52089F" w14:textId="4C0A90CF" w:rsidR="00DD3D57" w:rsidRDefault="00DD3D57" w:rsidP="00442A0B">
      <w:pPr>
        <w:spacing w:line="360" w:lineRule="auto"/>
      </w:pPr>
      <w:r>
        <w:t xml:space="preserve">[Word Count: </w:t>
      </w:r>
      <w:r w:rsidR="00E67279">
        <w:t xml:space="preserve">1,820] </w:t>
      </w:r>
    </w:p>
    <w:p w14:paraId="44350F3A" w14:textId="4295F61E" w:rsidR="00DD3D57" w:rsidRDefault="00DD3D57" w:rsidP="00442A0B">
      <w:pPr>
        <w:spacing w:line="360" w:lineRule="auto"/>
      </w:pPr>
    </w:p>
    <w:p w14:paraId="0E0FB2C5" w14:textId="0B49E931" w:rsidR="00DD3D57" w:rsidRDefault="00DD3D57" w:rsidP="00442A0B">
      <w:pPr>
        <w:spacing w:line="360" w:lineRule="auto"/>
      </w:pPr>
    </w:p>
    <w:p w14:paraId="2D83A411" w14:textId="5A721C43" w:rsidR="00DD3D57" w:rsidRDefault="00DD3D57" w:rsidP="00442A0B">
      <w:pPr>
        <w:spacing w:line="360" w:lineRule="auto"/>
        <w:rPr>
          <w:b/>
        </w:rPr>
      </w:pPr>
      <w:r>
        <w:rPr>
          <w:b/>
        </w:rPr>
        <w:t xml:space="preserve">Bibliography </w:t>
      </w:r>
    </w:p>
    <w:p w14:paraId="66B31366" w14:textId="3D90C373" w:rsidR="00643234" w:rsidRDefault="00643234" w:rsidP="00442A0B">
      <w:pPr>
        <w:spacing w:line="360" w:lineRule="auto"/>
        <w:rPr>
          <w:b/>
        </w:rPr>
      </w:pPr>
      <w:r>
        <w:t>‘Benin Bronzes’, Art Monthly, 446 (2021), 21-22.</w:t>
      </w:r>
    </w:p>
    <w:p w14:paraId="1940BEE0" w14:textId="77777777" w:rsidR="00643234" w:rsidRPr="00632A69" w:rsidRDefault="00643234" w:rsidP="00643234">
      <w:pPr>
        <w:pStyle w:val="FootnoteText"/>
      </w:pPr>
      <w:r>
        <w:t xml:space="preserve">“Germany to Surrender Invaluable Benin Bronzes”, </w:t>
      </w:r>
      <w:proofErr w:type="gramStart"/>
      <w:r>
        <w:rPr>
          <w:i/>
          <w:iCs/>
        </w:rPr>
        <w:t>New  African</w:t>
      </w:r>
      <w:proofErr w:type="gramEnd"/>
      <w:r>
        <w:t xml:space="preserve">, 608 (June 2021), p. 6. </w:t>
      </w:r>
    </w:p>
    <w:p w14:paraId="2984004B" w14:textId="77777777" w:rsidR="00643234" w:rsidRDefault="00643234" w:rsidP="00442A0B">
      <w:pPr>
        <w:spacing w:line="360" w:lineRule="auto"/>
        <w:rPr>
          <w:b/>
        </w:rPr>
      </w:pPr>
    </w:p>
    <w:p w14:paraId="0FF1F7A0" w14:textId="5C12DB40" w:rsidR="00643234" w:rsidRPr="006108CB" w:rsidRDefault="00643234" w:rsidP="00643234">
      <w:pPr>
        <w:pStyle w:val="FootnoteText"/>
      </w:pPr>
      <w:r>
        <w:t xml:space="preserve">Heffernan, Michael; Withers, Charles; Domosh, Mona; “Memory, Materiality, Museology”, </w:t>
      </w:r>
      <w:r>
        <w:rPr>
          <w:i/>
          <w:iCs/>
        </w:rPr>
        <w:t>SAGE Handbook of Historical Geography</w:t>
      </w:r>
      <w:r>
        <w:t xml:space="preserve">, vol.2 (2020), p.942 </w:t>
      </w:r>
    </w:p>
    <w:p w14:paraId="20C783AE" w14:textId="77777777" w:rsidR="00E67279" w:rsidRDefault="00E67279" w:rsidP="00E67279">
      <w:pPr>
        <w:pStyle w:val="FootnoteText"/>
      </w:pPr>
    </w:p>
    <w:p w14:paraId="020337D3" w14:textId="77777777" w:rsidR="00E67279" w:rsidRDefault="00E67279" w:rsidP="00E67279">
      <w:pPr>
        <w:pStyle w:val="FootnoteText"/>
      </w:pPr>
    </w:p>
    <w:p w14:paraId="390FEEB9" w14:textId="211371D8" w:rsidR="00E67279" w:rsidRPr="00404DB6" w:rsidRDefault="00E67279" w:rsidP="00E67279">
      <w:pPr>
        <w:pStyle w:val="FootnoteText"/>
      </w:pPr>
      <w:r>
        <w:t xml:space="preserve">Wood, Paul, “Display, Restitution and World Art History: The Case of the ‘Benin Bronzes’.”, </w:t>
      </w:r>
      <w:r>
        <w:rPr>
          <w:i/>
          <w:iCs/>
        </w:rPr>
        <w:t xml:space="preserve">Visual Culture </w:t>
      </w:r>
      <w:proofErr w:type="gramStart"/>
      <w:r>
        <w:rPr>
          <w:i/>
          <w:iCs/>
        </w:rPr>
        <w:t>In</w:t>
      </w:r>
      <w:proofErr w:type="gramEnd"/>
      <w:r>
        <w:rPr>
          <w:i/>
          <w:iCs/>
        </w:rPr>
        <w:t xml:space="preserve"> Britain</w:t>
      </w:r>
      <w:r>
        <w:t xml:space="preserve">, vol. 13 no. 1 (March 2012), p.115-137. </w:t>
      </w:r>
    </w:p>
    <w:p w14:paraId="4BA5F760" w14:textId="77777777" w:rsidR="00E67279" w:rsidRPr="00E67279" w:rsidRDefault="00E67279" w:rsidP="00442A0B">
      <w:pPr>
        <w:spacing w:line="360" w:lineRule="auto"/>
        <w:rPr>
          <w:bCs/>
        </w:rPr>
      </w:pPr>
    </w:p>
    <w:sectPr w:rsidR="00E67279" w:rsidRPr="00E672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CBC40" w14:textId="77777777" w:rsidR="00632A69" w:rsidRDefault="00632A69" w:rsidP="00632A69">
      <w:pPr>
        <w:spacing w:after="0" w:line="240" w:lineRule="auto"/>
      </w:pPr>
      <w:r>
        <w:separator/>
      </w:r>
    </w:p>
  </w:endnote>
  <w:endnote w:type="continuationSeparator" w:id="0">
    <w:p w14:paraId="7AD32872" w14:textId="77777777" w:rsidR="00632A69" w:rsidRDefault="00632A69" w:rsidP="00632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3515D" w14:textId="77777777" w:rsidR="00632A69" w:rsidRDefault="00632A69" w:rsidP="00632A69">
      <w:pPr>
        <w:spacing w:after="0" w:line="240" w:lineRule="auto"/>
      </w:pPr>
      <w:r>
        <w:separator/>
      </w:r>
    </w:p>
  </w:footnote>
  <w:footnote w:type="continuationSeparator" w:id="0">
    <w:p w14:paraId="358CD70F" w14:textId="77777777" w:rsidR="00632A69" w:rsidRDefault="00632A69" w:rsidP="00632A69">
      <w:pPr>
        <w:spacing w:after="0" w:line="240" w:lineRule="auto"/>
      </w:pPr>
      <w:r>
        <w:continuationSeparator/>
      </w:r>
    </w:p>
  </w:footnote>
  <w:footnote w:id="1">
    <w:p w14:paraId="6F550F0C" w14:textId="62AB986D" w:rsidR="00423DDA" w:rsidRPr="006108CB" w:rsidRDefault="00423DDA">
      <w:pPr>
        <w:pStyle w:val="FootnoteText"/>
      </w:pPr>
      <w:r>
        <w:rPr>
          <w:rStyle w:val="FootnoteReference"/>
        </w:rPr>
        <w:footnoteRef/>
      </w:r>
      <w:r>
        <w:t xml:space="preserve"> </w:t>
      </w:r>
      <w:r w:rsidR="006108CB">
        <w:t xml:space="preserve">Heffernan, Michael; Withers, Charles; Domosh, Mona; </w:t>
      </w:r>
      <w:r>
        <w:t xml:space="preserve">“Memory, </w:t>
      </w:r>
      <w:r w:rsidR="006108CB">
        <w:t>Materiality</w:t>
      </w:r>
      <w:r>
        <w:t xml:space="preserve">, Museology”, </w:t>
      </w:r>
      <w:r>
        <w:rPr>
          <w:i/>
          <w:iCs/>
        </w:rPr>
        <w:t xml:space="preserve">SAGE Handbook of Historical </w:t>
      </w:r>
      <w:r w:rsidR="006108CB">
        <w:rPr>
          <w:i/>
          <w:iCs/>
        </w:rPr>
        <w:t>Geography</w:t>
      </w:r>
      <w:r w:rsidR="006108CB">
        <w:t xml:space="preserve">, </w:t>
      </w:r>
      <w:r w:rsidR="006C0EC8">
        <w:t>vol.2 (2020), p.942</w:t>
      </w:r>
      <w:r w:rsidR="00643234">
        <w:t>.</w:t>
      </w:r>
    </w:p>
  </w:footnote>
  <w:footnote w:id="2">
    <w:p w14:paraId="5C7CB32E" w14:textId="50FC19A9" w:rsidR="00632A69" w:rsidRPr="00632A69" w:rsidRDefault="00632A69">
      <w:pPr>
        <w:pStyle w:val="FootnoteText"/>
      </w:pPr>
      <w:r>
        <w:rPr>
          <w:rStyle w:val="FootnoteReference"/>
        </w:rPr>
        <w:footnoteRef/>
      </w:r>
      <w:r>
        <w:t xml:space="preserve"> “Germany to Surrender Invaluable Benin Bronzes”, </w:t>
      </w:r>
      <w:proofErr w:type="gramStart"/>
      <w:r>
        <w:rPr>
          <w:i/>
          <w:iCs/>
        </w:rPr>
        <w:t>New  African</w:t>
      </w:r>
      <w:proofErr w:type="gramEnd"/>
      <w:r>
        <w:t>, 608 (June 2021), p. 6</w:t>
      </w:r>
      <w:r w:rsidR="006B486D">
        <w:t xml:space="preserve">. </w:t>
      </w:r>
    </w:p>
  </w:footnote>
  <w:footnote w:id="3">
    <w:p w14:paraId="582B4DC1" w14:textId="19127DD8" w:rsidR="006B486D" w:rsidRDefault="006B486D">
      <w:pPr>
        <w:pStyle w:val="FootnoteText"/>
      </w:pPr>
      <w:r>
        <w:rPr>
          <w:rStyle w:val="FootnoteReference"/>
        </w:rPr>
        <w:footnoteRef/>
      </w:r>
      <w:r>
        <w:t xml:space="preserve"> ‘Benin Bronzes’, Art Monthly, 446 (2021), 21-22. </w:t>
      </w:r>
    </w:p>
  </w:footnote>
  <w:footnote w:id="4">
    <w:p w14:paraId="5A65C7DA" w14:textId="295126CF" w:rsidR="00404DB6" w:rsidRPr="00404DB6" w:rsidRDefault="00404DB6">
      <w:pPr>
        <w:pStyle w:val="FootnoteText"/>
      </w:pPr>
      <w:r>
        <w:rPr>
          <w:rStyle w:val="FootnoteReference"/>
        </w:rPr>
        <w:footnoteRef/>
      </w:r>
      <w:r>
        <w:t xml:space="preserve"> Wood, Paul, “Display, Restitution and World Art History: The Case of the ‘Benin Bronzes’.”, </w:t>
      </w:r>
      <w:r>
        <w:rPr>
          <w:i/>
          <w:iCs/>
        </w:rPr>
        <w:t xml:space="preserve">Visual Culture </w:t>
      </w:r>
      <w:proofErr w:type="gramStart"/>
      <w:r>
        <w:rPr>
          <w:i/>
          <w:iCs/>
        </w:rPr>
        <w:t>In</w:t>
      </w:r>
      <w:proofErr w:type="gramEnd"/>
      <w:r>
        <w:rPr>
          <w:i/>
          <w:iCs/>
        </w:rPr>
        <w:t xml:space="preserve"> Britain</w:t>
      </w:r>
      <w:r>
        <w:t xml:space="preserve">, vol. 13 no. 1 (March 2012), p.115-137. </w:t>
      </w:r>
    </w:p>
  </w:footnote>
  <w:footnote w:id="5">
    <w:p w14:paraId="558D3F19" w14:textId="75A6F4DB" w:rsidR="009F7443" w:rsidRDefault="009F7443">
      <w:pPr>
        <w:pStyle w:val="FootnoteText"/>
      </w:pPr>
      <w:r>
        <w:rPr>
          <w:rStyle w:val="FootnoteReference"/>
        </w:rPr>
        <w:footnoteRef/>
      </w:r>
      <w:r>
        <w:t xml:space="preserve"> Wood, “</w:t>
      </w:r>
      <w:proofErr w:type="spellStart"/>
      <w:r>
        <w:t>Restition</w:t>
      </w:r>
      <w:proofErr w:type="spellEnd"/>
      <w:r>
        <w:t>: Benin Bronzes”, p.</w:t>
      </w:r>
      <w:r w:rsidR="002E4070">
        <w:t>136</w:t>
      </w:r>
      <w:r w:rsidR="00643234">
        <w:t>.</w:t>
      </w:r>
    </w:p>
  </w:footnote>
  <w:footnote w:id="6">
    <w:p w14:paraId="66E77EC4" w14:textId="74B87AE6" w:rsidR="00540DB0" w:rsidRPr="006108CB" w:rsidRDefault="00540DB0" w:rsidP="00540DB0">
      <w:pPr>
        <w:pStyle w:val="FootnoteText"/>
      </w:pPr>
      <w:r>
        <w:rPr>
          <w:rStyle w:val="FootnoteReference"/>
        </w:rPr>
        <w:footnoteRef/>
      </w:r>
      <w:r>
        <w:t xml:space="preserve"> Heffernan, Withers, Domosh, “Memory, Materiality, Museology”, p.942</w:t>
      </w:r>
      <w:r w:rsidR="00643234">
        <w:t>.</w:t>
      </w:r>
    </w:p>
    <w:p w14:paraId="295C2B06" w14:textId="59F70D5A" w:rsidR="00540DB0" w:rsidRDefault="00540DB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9E1"/>
    <w:rsid w:val="000270B9"/>
    <w:rsid w:val="00032460"/>
    <w:rsid w:val="000530DD"/>
    <w:rsid w:val="00070EF7"/>
    <w:rsid w:val="0007120D"/>
    <w:rsid w:val="0009439B"/>
    <w:rsid w:val="000A3D9E"/>
    <w:rsid w:val="000C5755"/>
    <w:rsid w:val="000C67AD"/>
    <w:rsid w:val="000D3F7E"/>
    <w:rsid w:val="000D5B47"/>
    <w:rsid w:val="00111E9C"/>
    <w:rsid w:val="00135480"/>
    <w:rsid w:val="00182394"/>
    <w:rsid w:val="001B1C8B"/>
    <w:rsid w:val="001D4C88"/>
    <w:rsid w:val="001E5808"/>
    <w:rsid w:val="001F1D25"/>
    <w:rsid w:val="00255A22"/>
    <w:rsid w:val="0026114B"/>
    <w:rsid w:val="002B0BE1"/>
    <w:rsid w:val="002B4C9D"/>
    <w:rsid w:val="002B6B54"/>
    <w:rsid w:val="002D3789"/>
    <w:rsid w:val="002E4070"/>
    <w:rsid w:val="002F67F4"/>
    <w:rsid w:val="00324093"/>
    <w:rsid w:val="00344ABB"/>
    <w:rsid w:val="0035404F"/>
    <w:rsid w:val="0038375B"/>
    <w:rsid w:val="003A44FF"/>
    <w:rsid w:val="003F6404"/>
    <w:rsid w:val="00404DB6"/>
    <w:rsid w:val="00406194"/>
    <w:rsid w:val="00423DDA"/>
    <w:rsid w:val="00434892"/>
    <w:rsid w:val="00440130"/>
    <w:rsid w:val="00442A0B"/>
    <w:rsid w:val="00451BC8"/>
    <w:rsid w:val="004775DC"/>
    <w:rsid w:val="004A4D71"/>
    <w:rsid w:val="004E6016"/>
    <w:rsid w:val="004F5BB0"/>
    <w:rsid w:val="004F7557"/>
    <w:rsid w:val="00512EBA"/>
    <w:rsid w:val="00513642"/>
    <w:rsid w:val="00526CEA"/>
    <w:rsid w:val="00533B2B"/>
    <w:rsid w:val="00540DB0"/>
    <w:rsid w:val="005A1B8A"/>
    <w:rsid w:val="005B63CF"/>
    <w:rsid w:val="005D07AF"/>
    <w:rsid w:val="005E58DE"/>
    <w:rsid w:val="005F70FE"/>
    <w:rsid w:val="006108CB"/>
    <w:rsid w:val="00610A78"/>
    <w:rsid w:val="0061337D"/>
    <w:rsid w:val="006157CB"/>
    <w:rsid w:val="00623958"/>
    <w:rsid w:val="00632A69"/>
    <w:rsid w:val="00643234"/>
    <w:rsid w:val="006747D8"/>
    <w:rsid w:val="006B486D"/>
    <w:rsid w:val="006B69E1"/>
    <w:rsid w:val="006C0EC8"/>
    <w:rsid w:val="006D0ED0"/>
    <w:rsid w:val="006E2C0B"/>
    <w:rsid w:val="00721AFA"/>
    <w:rsid w:val="00742D71"/>
    <w:rsid w:val="00744F69"/>
    <w:rsid w:val="00787099"/>
    <w:rsid w:val="007E3AFB"/>
    <w:rsid w:val="007F162C"/>
    <w:rsid w:val="0084260C"/>
    <w:rsid w:val="00853DCD"/>
    <w:rsid w:val="008578A2"/>
    <w:rsid w:val="00875302"/>
    <w:rsid w:val="00893C7E"/>
    <w:rsid w:val="008A32F1"/>
    <w:rsid w:val="008A3318"/>
    <w:rsid w:val="008B0C6D"/>
    <w:rsid w:val="008D5CD1"/>
    <w:rsid w:val="0090003F"/>
    <w:rsid w:val="00906678"/>
    <w:rsid w:val="00907364"/>
    <w:rsid w:val="00946F2D"/>
    <w:rsid w:val="00983885"/>
    <w:rsid w:val="009B419A"/>
    <w:rsid w:val="009D768C"/>
    <w:rsid w:val="009E16E0"/>
    <w:rsid w:val="009E4624"/>
    <w:rsid w:val="009F7443"/>
    <w:rsid w:val="00A22C05"/>
    <w:rsid w:val="00AA3333"/>
    <w:rsid w:val="00AC5BD6"/>
    <w:rsid w:val="00AF031E"/>
    <w:rsid w:val="00B3496F"/>
    <w:rsid w:val="00B52F9B"/>
    <w:rsid w:val="00B5611B"/>
    <w:rsid w:val="00B66F33"/>
    <w:rsid w:val="00B8071E"/>
    <w:rsid w:val="00B81064"/>
    <w:rsid w:val="00BA19FC"/>
    <w:rsid w:val="00C0590A"/>
    <w:rsid w:val="00C13167"/>
    <w:rsid w:val="00C27B0E"/>
    <w:rsid w:val="00C36E33"/>
    <w:rsid w:val="00C43AC8"/>
    <w:rsid w:val="00C74120"/>
    <w:rsid w:val="00C84F4C"/>
    <w:rsid w:val="00C862DF"/>
    <w:rsid w:val="00CB1BB0"/>
    <w:rsid w:val="00CC4C8F"/>
    <w:rsid w:val="00CC5FB6"/>
    <w:rsid w:val="00D376FE"/>
    <w:rsid w:val="00D86E7F"/>
    <w:rsid w:val="00DB5ECB"/>
    <w:rsid w:val="00DD3D57"/>
    <w:rsid w:val="00DE179E"/>
    <w:rsid w:val="00E15C8B"/>
    <w:rsid w:val="00E30228"/>
    <w:rsid w:val="00E5385F"/>
    <w:rsid w:val="00E57641"/>
    <w:rsid w:val="00E67279"/>
    <w:rsid w:val="00E8281A"/>
    <w:rsid w:val="00EA7D72"/>
    <w:rsid w:val="00EF3253"/>
    <w:rsid w:val="00F457D7"/>
    <w:rsid w:val="00F63A0C"/>
    <w:rsid w:val="00F75462"/>
    <w:rsid w:val="00F84F21"/>
    <w:rsid w:val="00F93726"/>
    <w:rsid w:val="00FD7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29BDB"/>
  <w15:chartTrackingRefBased/>
  <w15:docId w15:val="{4E9D0F5D-7F14-47C6-8ED0-3301370C9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2A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2A69"/>
    <w:rPr>
      <w:sz w:val="20"/>
      <w:szCs w:val="20"/>
    </w:rPr>
  </w:style>
  <w:style w:type="character" w:styleId="FootnoteReference">
    <w:name w:val="footnote reference"/>
    <w:basedOn w:val="DefaultParagraphFont"/>
    <w:uiPriority w:val="99"/>
    <w:semiHidden/>
    <w:unhideWhenUsed/>
    <w:rsid w:val="00632A6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1732</Words>
  <Characters>9877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2</cp:revision>
  <dcterms:created xsi:type="dcterms:W3CDTF">2022-01-22T18:20:00Z</dcterms:created>
  <dcterms:modified xsi:type="dcterms:W3CDTF">2022-01-22T18:20:00Z</dcterms:modified>
</cp:coreProperties>
</file>