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ABF35D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68891889"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 xml:space="preserve">Student </w:t>
      </w:r>
      <w:r w:rsidR="00A87BB4" w:rsidRPr="0040098D">
        <w:rPr>
          <w:rFonts w:asciiTheme="minorBidi" w:hAnsiTheme="minorBidi"/>
          <w:b/>
          <w:sz w:val="48"/>
          <w:szCs w:val="48"/>
        </w:rPr>
        <w:t>Name:</w:t>
      </w:r>
      <w:r w:rsidR="00A87BB4">
        <w:rPr>
          <w:rFonts w:asciiTheme="minorBidi" w:hAnsiTheme="minorBidi"/>
          <w:b/>
          <w:sz w:val="48"/>
          <w:szCs w:val="48"/>
        </w:rPr>
        <w:t xml:space="preserve"> Monika Sugarova</w:t>
      </w:r>
    </w:p>
    <w:p w14:paraId="1B6CEBE0" w14:textId="12D79BC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A87BB4">
        <w:rPr>
          <w:rFonts w:asciiTheme="minorBidi" w:hAnsiTheme="minorBidi"/>
          <w:b/>
          <w:sz w:val="48"/>
          <w:szCs w:val="48"/>
        </w:rPr>
        <w:t>2326119</w:t>
      </w:r>
    </w:p>
    <w:p w14:paraId="3CA1AB6B" w14:textId="2067806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A87BB4">
        <w:rPr>
          <w:rFonts w:asciiTheme="minorBidi" w:hAnsiTheme="minorBidi"/>
          <w:b/>
          <w:sz w:val="48"/>
          <w:szCs w:val="48"/>
        </w:rPr>
        <w:t xml:space="preserve">Chris </w:t>
      </w:r>
      <w:r w:rsidRPr="0040098D">
        <w:rPr>
          <w:rFonts w:asciiTheme="minorBidi" w:hAnsiTheme="minorBidi"/>
          <w:b/>
          <w:sz w:val="48"/>
          <w:szCs w:val="48"/>
        </w:rPr>
        <w:br/>
        <w:t xml:space="preserve">Deadline: </w:t>
      </w:r>
      <w:r w:rsidR="00A87BB4">
        <w:rPr>
          <w:rFonts w:asciiTheme="minorBidi" w:hAnsiTheme="minorBidi"/>
          <w:b/>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0DD1493B" w14:textId="77777777" w:rsidR="00A87BB4" w:rsidRDefault="00A87BB4" w:rsidP="00DB3AE7">
      <w:pPr>
        <w:jc w:val="both"/>
        <w:rPr>
          <w:rFonts w:ascii="Arial" w:hAnsi="Arial" w:cs="Arial"/>
          <w:b/>
          <w:bCs/>
        </w:rPr>
      </w:pPr>
    </w:p>
    <w:p w14:paraId="77B90F2F" w14:textId="77777777" w:rsidR="00A87BB4" w:rsidRDefault="00A87BB4" w:rsidP="00DB3AE7">
      <w:pPr>
        <w:jc w:val="both"/>
        <w:rPr>
          <w:rFonts w:ascii="Arial" w:hAnsi="Arial" w:cs="Arial"/>
          <w:b/>
          <w:bCs/>
        </w:rPr>
      </w:pPr>
    </w:p>
    <w:p w14:paraId="5D479A65" w14:textId="30F30FFC" w:rsidR="00DB3AE7" w:rsidRPr="003965FE"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12993A2C" w14:textId="669AF355" w:rsidR="00DB3AE7" w:rsidRPr="003965FE" w:rsidRDefault="00DB3AE7" w:rsidP="00DB3AE7">
      <w:pPr>
        <w:jc w:val="both"/>
        <w:rPr>
          <w:rFonts w:ascii="Arial" w:hAnsi="Arial" w:cs="Arial"/>
        </w:rPr>
      </w:pPr>
      <w:r w:rsidRPr="003965FE">
        <w:rPr>
          <w:rFonts w:ascii="Arial" w:hAnsi="Arial" w:cs="Arial"/>
        </w:rPr>
        <w:t xml:space="preserve">I acknowledge the use of ChatGPT (https://chatgpt.com/) on </w:t>
      </w:r>
      <w:r w:rsidR="00A87BB4">
        <w:rPr>
          <w:rFonts w:ascii="Arial" w:hAnsi="Arial" w:cs="Arial"/>
        </w:rPr>
        <w:t xml:space="preserve">24,25 </w:t>
      </w:r>
      <w:r w:rsidRPr="003965FE">
        <w:rPr>
          <w:rFonts w:ascii="Arial" w:hAnsi="Arial" w:cs="Arial"/>
        </w:rPr>
        <w:t>202</w:t>
      </w:r>
      <w:r w:rsidR="00A87BB4">
        <w:rPr>
          <w:rFonts w:ascii="Arial" w:hAnsi="Arial" w:cs="Arial"/>
        </w:rPr>
        <w:t>6</w:t>
      </w:r>
      <w:r w:rsidRPr="003965FE">
        <w:rPr>
          <w:rFonts w:ascii="Arial" w:hAnsi="Arial" w:cs="Arial"/>
        </w:rPr>
        <w:t xml:space="preserve"> to write my notes into submission format using the </w:t>
      </w:r>
      <w:r w:rsidR="00A87BB4">
        <w:rPr>
          <w:rFonts w:ascii="Arial" w:hAnsi="Arial" w:cs="Arial"/>
        </w:rPr>
        <w:t>spell check prompt.</w:t>
      </w:r>
    </w:p>
    <w:p w14:paraId="51EFA0AC" w14:textId="14D69B31" w:rsidR="00DB3AE7" w:rsidRPr="003965FE" w:rsidRDefault="00DB3AE7" w:rsidP="00DE22B3">
      <w:pPr>
        <w:jc w:val="both"/>
        <w:rPr>
          <w:rFonts w:ascii="Arial" w:hAnsi="Arial" w:cs="Arial"/>
        </w:rPr>
      </w:pPr>
      <w:r w:rsidRPr="003965FE">
        <w:rPr>
          <w:rFonts w:ascii="Arial" w:hAnsi="Arial" w:cs="Arial"/>
        </w:rPr>
        <w:t xml:space="preserve">1. Please write up these bullet points as an essay paragraph at university level. </w:t>
      </w:r>
    </w:p>
    <w:p w14:paraId="70F3C1F8"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Pr="003965FE" w:rsidRDefault="00DE22B3" w:rsidP="00DB3AE7">
      <w:pPr>
        <w:jc w:val="both"/>
        <w:rPr>
          <w:rFonts w:ascii="Arial" w:hAnsi="Arial" w:cs="Arial"/>
          <w:b/>
          <w:bCs/>
          <w:u w:val="single"/>
        </w:rPr>
      </w:pPr>
    </w:p>
    <w:p w14:paraId="24D1C62E" w14:textId="77777777" w:rsidR="00A87BB4" w:rsidRPr="00A87BB4" w:rsidRDefault="00A87BB4" w:rsidP="00A87BB4">
      <w:pPr>
        <w:rPr>
          <w:rFonts w:ascii="Aptos" w:eastAsia="Aptos" w:hAnsi="Aptos" w:cs="Times New Roman"/>
          <w:lang w:eastAsia="en-US"/>
        </w:rPr>
      </w:pPr>
    </w:p>
    <w:p w14:paraId="4DF58140" w14:textId="77777777" w:rsidR="00A87BB4" w:rsidRDefault="00A87BB4" w:rsidP="00A87BB4">
      <w:pPr>
        <w:rPr>
          <w:rFonts w:ascii="Aptos" w:eastAsia="Aptos" w:hAnsi="Aptos" w:cs="Times New Roman"/>
          <w:lang w:eastAsia="en-US"/>
        </w:rPr>
      </w:pPr>
    </w:p>
    <w:p w14:paraId="7EB9FA78" w14:textId="77777777" w:rsidR="00A87BB4" w:rsidRDefault="00A87BB4" w:rsidP="00A87BB4">
      <w:pPr>
        <w:rPr>
          <w:rFonts w:ascii="Aptos" w:eastAsia="Aptos" w:hAnsi="Aptos" w:cs="Times New Roman"/>
          <w:lang w:eastAsia="en-US"/>
        </w:rPr>
      </w:pPr>
    </w:p>
    <w:p w14:paraId="60FE2B99" w14:textId="77777777" w:rsidR="00A87BB4" w:rsidRDefault="00A87BB4" w:rsidP="00A87BB4">
      <w:pPr>
        <w:rPr>
          <w:rFonts w:ascii="Aptos" w:eastAsia="Aptos" w:hAnsi="Aptos" w:cs="Times New Roman"/>
          <w:lang w:eastAsia="en-US"/>
        </w:rPr>
      </w:pPr>
    </w:p>
    <w:p w14:paraId="2B59535D" w14:textId="77777777" w:rsidR="00A87BB4" w:rsidRDefault="00A87BB4" w:rsidP="00A87BB4">
      <w:pPr>
        <w:rPr>
          <w:rFonts w:ascii="Aptos" w:eastAsia="Aptos" w:hAnsi="Aptos" w:cs="Times New Roman"/>
          <w:lang w:eastAsia="en-US"/>
        </w:rPr>
      </w:pPr>
    </w:p>
    <w:p w14:paraId="50FD56E6" w14:textId="77777777" w:rsidR="00A87BB4" w:rsidRDefault="00A87BB4" w:rsidP="00A87BB4">
      <w:pPr>
        <w:rPr>
          <w:rFonts w:ascii="Aptos" w:eastAsia="Aptos" w:hAnsi="Aptos" w:cs="Times New Roman"/>
          <w:lang w:eastAsia="en-US"/>
        </w:rPr>
      </w:pPr>
    </w:p>
    <w:p w14:paraId="4B2EC20F" w14:textId="77777777" w:rsidR="00A87BB4" w:rsidRDefault="00A87BB4" w:rsidP="00A87BB4">
      <w:pPr>
        <w:rPr>
          <w:rFonts w:ascii="Aptos" w:eastAsia="Aptos" w:hAnsi="Aptos" w:cs="Times New Roman"/>
          <w:lang w:eastAsia="en-US"/>
        </w:rPr>
      </w:pPr>
    </w:p>
    <w:p w14:paraId="7B95C8E2" w14:textId="77777777" w:rsidR="00A87BB4" w:rsidRDefault="00A87BB4" w:rsidP="00A87BB4">
      <w:pPr>
        <w:rPr>
          <w:rFonts w:ascii="Aptos" w:eastAsia="Aptos" w:hAnsi="Aptos" w:cs="Times New Roman"/>
          <w:lang w:eastAsia="en-US"/>
        </w:rPr>
      </w:pPr>
    </w:p>
    <w:p w14:paraId="449498AC" w14:textId="77777777" w:rsidR="00A87BB4" w:rsidRDefault="00A87BB4" w:rsidP="00A87BB4">
      <w:pPr>
        <w:rPr>
          <w:rFonts w:ascii="Aptos" w:eastAsia="Aptos" w:hAnsi="Aptos" w:cs="Times New Roman"/>
          <w:lang w:eastAsia="en-US"/>
        </w:rPr>
      </w:pPr>
    </w:p>
    <w:p w14:paraId="29D5CD8A" w14:textId="77777777" w:rsidR="00A87BB4" w:rsidRDefault="00A87BB4" w:rsidP="00A87BB4">
      <w:pPr>
        <w:rPr>
          <w:rFonts w:ascii="Aptos" w:eastAsia="Aptos" w:hAnsi="Aptos" w:cs="Times New Roman"/>
          <w:lang w:eastAsia="en-US"/>
        </w:rPr>
      </w:pPr>
    </w:p>
    <w:p w14:paraId="1362107D" w14:textId="77777777" w:rsidR="00A87BB4" w:rsidRDefault="00A87BB4" w:rsidP="00A87BB4">
      <w:pPr>
        <w:rPr>
          <w:rFonts w:ascii="Aptos" w:eastAsia="Aptos" w:hAnsi="Aptos" w:cs="Times New Roman"/>
          <w:lang w:eastAsia="en-US"/>
        </w:rPr>
      </w:pPr>
    </w:p>
    <w:p w14:paraId="2D3B01F5" w14:textId="77777777" w:rsidR="00A87BB4" w:rsidRDefault="00A87BB4" w:rsidP="00A87BB4">
      <w:pPr>
        <w:rPr>
          <w:rFonts w:ascii="Aptos" w:eastAsia="Aptos" w:hAnsi="Aptos" w:cs="Times New Roman"/>
          <w:lang w:eastAsia="en-US"/>
        </w:rPr>
      </w:pPr>
    </w:p>
    <w:p w14:paraId="2899B4E9" w14:textId="77777777" w:rsidR="00A87BB4" w:rsidRDefault="00A87BB4" w:rsidP="00A87BB4">
      <w:pPr>
        <w:rPr>
          <w:rFonts w:ascii="Aptos" w:eastAsia="Aptos" w:hAnsi="Aptos" w:cs="Times New Roman"/>
          <w:lang w:eastAsia="en-US"/>
        </w:rPr>
      </w:pPr>
    </w:p>
    <w:p w14:paraId="37C81E5E" w14:textId="77777777" w:rsidR="00A87BB4" w:rsidRDefault="00A87BB4" w:rsidP="00A87BB4">
      <w:pPr>
        <w:rPr>
          <w:rFonts w:ascii="Aptos" w:eastAsia="Aptos" w:hAnsi="Aptos" w:cs="Times New Roman"/>
          <w:lang w:eastAsia="en-US"/>
        </w:rPr>
      </w:pPr>
    </w:p>
    <w:p w14:paraId="5FA6FD7C" w14:textId="77777777" w:rsidR="00A87BB4" w:rsidRDefault="00A87BB4" w:rsidP="00A87BB4">
      <w:pPr>
        <w:rPr>
          <w:rFonts w:ascii="Aptos" w:eastAsia="Aptos" w:hAnsi="Aptos" w:cs="Times New Roman"/>
          <w:lang w:eastAsia="en-US"/>
        </w:rPr>
      </w:pPr>
    </w:p>
    <w:p w14:paraId="4A14E01F" w14:textId="77777777" w:rsidR="00A87BB4" w:rsidRDefault="00A87BB4" w:rsidP="00A87BB4">
      <w:pPr>
        <w:rPr>
          <w:rFonts w:ascii="Aptos" w:eastAsia="Aptos" w:hAnsi="Aptos" w:cs="Times New Roman"/>
          <w:lang w:eastAsia="en-US"/>
        </w:rPr>
      </w:pPr>
    </w:p>
    <w:p w14:paraId="3E9F07E2" w14:textId="77777777" w:rsidR="00A87BB4" w:rsidRDefault="00A87BB4" w:rsidP="00A87BB4">
      <w:pPr>
        <w:rPr>
          <w:rFonts w:ascii="Aptos" w:eastAsia="Aptos" w:hAnsi="Aptos" w:cs="Times New Roman"/>
          <w:lang w:eastAsia="en-US"/>
        </w:rPr>
      </w:pPr>
    </w:p>
    <w:p w14:paraId="357213B3" w14:textId="77777777" w:rsidR="00A87BB4" w:rsidRDefault="00A87BB4" w:rsidP="00A87BB4">
      <w:pPr>
        <w:rPr>
          <w:rFonts w:ascii="Aptos" w:eastAsia="Aptos" w:hAnsi="Aptos" w:cs="Times New Roman"/>
          <w:lang w:eastAsia="en-US"/>
        </w:rPr>
      </w:pPr>
    </w:p>
    <w:p w14:paraId="35F151C1" w14:textId="77777777" w:rsidR="00A87BB4" w:rsidRDefault="00A87BB4" w:rsidP="00A87BB4">
      <w:pPr>
        <w:rPr>
          <w:rFonts w:ascii="Aptos" w:eastAsia="Aptos" w:hAnsi="Aptos" w:cs="Times New Roman"/>
          <w:lang w:eastAsia="en-US"/>
        </w:rPr>
      </w:pPr>
    </w:p>
    <w:p w14:paraId="1EA80EE7" w14:textId="77777777" w:rsidR="00A87BB4" w:rsidRDefault="00A87BB4" w:rsidP="00A87BB4">
      <w:pPr>
        <w:rPr>
          <w:rFonts w:ascii="Aptos" w:eastAsia="Aptos" w:hAnsi="Aptos" w:cs="Times New Roman"/>
          <w:lang w:eastAsia="en-US"/>
        </w:rPr>
      </w:pPr>
    </w:p>
    <w:p w14:paraId="1EAC8C1C" w14:textId="13120838"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lastRenderedPageBreak/>
        <w:t>The class discussion on whether school uniforms are important was a surprisingly meaningful experience for me, especially considering how long it had been since I last took part in a structured debate. The activity took place during my academic skills class with my lecturer, Chris, and involved the whole class being divided into two groups: one arguing for school uniforms and the other arguing against them. I was placed in the pro</w:t>
      </w:r>
      <w:r w:rsidRPr="00A87BB4">
        <w:rPr>
          <w:rFonts w:ascii="Aptos" w:eastAsia="Aptos" w:hAnsi="Aptos" w:cs="Times New Roman"/>
          <w:lang w:eastAsia="en-US"/>
        </w:rPr>
        <w:noBreakHyphen/>
        <w:t xml:space="preserve">uniform group. At first, I thought it would be a simple classroom task, but as the discussion unfolded, I realised it was </w:t>
      </w:r>
      <w:r w:rsidR="00BC0FB1" w:rsidRPr="00A87BB4">
        <w:rPr>
          <w:rFonts w:ascii="Aptos" w:eastAsia="Aptos" w:hAnsi="Aptos" w:cs="Times New Roman"/>
          <w:lang w:eastAsia="en-US"/>
        </w:rPr>
        <w:t>a</w:t>
      </w:r>
      <w:r w:rsidRPr="00A87BB4">
        <w:rPr>
          <w:rFonts w:ascii="Aptos" w:eastAsia="Aptos" w:hAnsi="Aptos" w:cs="Times New Roman"/>
          <w:lang w:eastAsia="en-US"/>
        </w:rPr>
        <w:t xml:space="preserve"> valuable opportunity to develop my communication skills, confidence, and ability to work effectively in a team. Group discussions like this are widely recognised as a powerful way to build critical thinking and collaborative learning skills (Mercer 2000).</w:t>
      </w:r>
    </w:p>
    <w:p w14:paraId="5C87C6E4" w14:textId="7DFC6D78"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 xml:space="preserve">The discussion took place during a normal class session, but the atmosphere felt different from a typical lecture. Instead of listening passively, we were all expected to contribute, challenge ideas, and defend our viewpoints. Chris assigned each student to a side, and I ended up working with Maria, Conor, Marie, Zander and Carina. Even though we were all still getting to know each other, the activity pushed us to communicate and rely on one another. According to Johnson and Johnson (2009), clear role allocation and shared responsibility are essential for effective group work, and this </w:t>
      </w:r>
      <w:r w:rsidR="00BC0FB1" w:rsidRPr="00A87BB4">
        <w:rPr>
          <w:rFonts w:ascii="Aptos" w:eastAsia="Aptos" w:hAnsi="Aptos" w:cs="Times New Roman"/>
          <w:lang w:eastAsia="en-US"/>
        </w:rPr>
        <w:t>proved</w:t>
      </w:r>
      <w:r w:rsidRPr="00A87BB4">
        <w:rPr>
          <w:rFonts w:ascii="Aptos" w:eastAsia="Aptos" w:hAnsi="Aptos" w:cs="Times New Roman"/>
          <w:lang w:eastAsia="en-US"/>
        </w:rPr>
        <w:t xml:space="preserve"> true in </w:t>
      </w:r>
      <w:r w:rsidR="00BC0FB1">
        <w:rPr>
          <w:rFonts w:ascii="Aptos" w:eastAsia="Aptos" w:hAnsi="Aptos" w:cs="Times New Roman"/>
          <w:lang w:eastAsia="en-US"/>
        </w:rPr>
        <w:t>this case.</w:t>
      </w:r>
    </w:p>
    <w:p w14:paraId="5FE605EC"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My role in the group was to take notes. I listened carefully to everyone’s ideas and wrote them down in a clear and organised way so that the group could refer back to them during the discussion. At first, I felt a bit unsure about whether this role was “important enough,” but I quickly realised how essential it was. Without someone keeping track of the arguments, it would have been easy for us to lose focus or repeat ourselves. Tuckman’s (1965) model of group development suggests that groups become more effective when roles are clearly defined, and I could see this happening in real time as our group became more coordinated.</w:t>
      </w:r>
    </w:p>
    <w:p w14:paraId="167E1A8F"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When the discussion began, I felt nervous. It had been nearly eight years since I last took part in a class debate, back when I was in high school. I worried that I might freeze up or say something that didn’t make sense. At the same time, I was excited to push myself out of my comfort zone. Gibbs (1988) highlights the importance of acknowledging emotions in reflective practice, and looking back, I can see how my nervousness and excitement shaped the way I approached the task.</w:t>
      </w:r>
    </w:p>
    <w:p w14:paraId="7ECDA208"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As the opposing group began presenting their arguments, I found myself genuinely conflicted. They made strong points about self</w:t>
      </w:r>
      <w:r w:rsidRPr="00A87BB4">
        <w:rPr>
          <w:rFonts w:ascii="Aptos" w:eastAsia="Aptos" w:hAnsi="Aptos" w:cs="Times New Roman"/>
          <w:lang w:eastAsia="en-US"/>
        </w:rPr>
        <w:noBreakHyphen/>
        <w:t xml:space="preserve">expression and individuality, arguing that students should be able to wear what they want. Their argument aligns with some academic research suggesting that uniforms can limit personal identity (Brunsma 2006). I actually agreed with parts of what they were saying, which made me think more deeply about the topic. However, I still believed that uniforms offer benefits such as reducing peer pressure and creating a sense of equality. I also felt that students can </w:t>
      </w:r>
      <w:r w:rsidRPr="00A87BB4">
        <w:rPr>
          <w:rFonts w:ascii="Aptos" w:eastAsia="Aptos" w:hAnsi="Aptos" w:cs="Times New Roman"/>
          <w:lang w:eastAsia="en-US"/>
        </w:rPr>
        <w:lastRenderedPageBreak/>
        <w:t>express themselves in other ways, such as through accessories like keychains, stickers or water bottles.</w:t>
      </w:r>
    </w:p>
    <w:p w14:paraId="31CE150D"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As the discussion progressed, my confidence grew. When it was our group’s turn to speak, I felt much more comfortable with the points we had prepared. Everyone in my group contributed, and we supported each other throughout the debate. This sense of collaboration reflects Kolb’s (1984) idea that learning is most effective when it involves shared experiences and active participation. Even though I started off quietly, I eventually chose to speak up and share my own argument. This was a big step for me, and it made me realise that I am capable of contributing meaningfully when I push myself.</w:t>
      </w:r>
    </w:p>
    <w:p w14:paraId="4A0A6F36"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My emotions changed significantly throughout the activity. At first, I was nervous and hesitant, but by the end, I felt confident and proud of myself. Moon (2004) explains that emotional development is a natural part of reflective learning, and I could clearly see this happening within myself. I didn’t let my nerves stop me from participating. In fact, I think I performed better because I felt the pressure. Brookfield (2017) argues that recognising emotional barriers is essential for becoming a more confident learner, and this experience helped me understand that I can work well even when I feel anxious.</w:t>
      </w:r>
    </w:p>
    <w:p w14:paraId="0D593C25"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Looking back now, I feel much more confident about taking part in future discussions. I actually hope that Chris includes more group debates in the module because they help build communication skills, teamwork and confidence (Boud, Keogh &amp; Walker 1985). Now that the class is more comfortable with each other, I think future discussions could be even more engaging and productive.</w:t>
      </w:r>
    </w:p>
    <w:p w14:paraId="3364FC88"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Reflecting on the experience, I believe that several things worked well. Our group communicated effectively, and everyone had a clear role. Some people researched, others summarised, some spoke, and I took notes. This structure helped us stay organised and focused. Johnson and Johnson (2009) emphasise that cooperative learning works best when roles are clearly defined, and our group demonstrated this.</w:t>
      </w:r>
    </w:p>
    <w:p w14:paraId="4438C3E0"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However, not everything went perfectly. One major issue was that we didn’t back up all our points with references. This made some of our arguments less credible. Moon (2004) highlights the importance of using evidence to support academic arguments, and this is something I want to improve on in the future. I also think that more people in the group could have taken turns speaking instead of relying on the same few individuals.</w:t>
      </w:r>
    </w:p>
    <w:p w14:paraId="50BF3361"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The outcome of the discussion was influenced by several factors. Our preparation, teamwork and communication all played a role. My note</w:t>
      </w:r>
      <w:r w:rsidRPr="00A87BB4">
        <w:rPr>
          <w:rFonts w:ascii="Aptos" w:eastAsia="Aptos" w:hAnsi="Aptos" w:cs="Times New Roman"/>
          <w:lang w:eastAsia="en-US"/>
        </w:rPr>
        <w:noBreakHyphen/>
        <w:t>taking helped the group stay organised, and our speakers presented our points clearly and respectfully. Mercer (2000) explains that effective dialogue requires clarity and mutual respect, and I think our group achieved this.</w:t>
      </w:r>
    </w:p>
    <w:p w14:paraId="5222E342"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lastRenderedPageBreak/>
        <w:t>From this experience, I learned that stepping out of my comfort zone is essential for improving my public</w:t>
      </w:r>
      <w:r w:rsidRPr="00A87BB4">
        <w:rPr>
          <w:rFonts w:ascii="Aptos" w:eastAsia="Aptos" w:hAnsi="Aptos" w:cs="Times New Roman"/>
          <w:lang w:eastAsia="en-US"/>
        </w:rPr>
        <w:noBreakHyphen/>
        <w:t>speaking skills. I have always struggled with speaking in front of others, but this activity showed me that I can improve with practice. Gibbs (1988) suggests that reflection helps learners identify strengths and areas for improvement, and this experience helped me recognise that I need to work on finding credible sources and speaking more confidently.</w:t>
      </w:r>
    </w:p>
    <w:p w14:paraId="1F753EB5"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In the future, I want to be more involved in both the research and the speaking parts of group discussions. I plan to practise finding credible sources by researching topics I enjoy, such as tattooing and art, on a weekly basis. This will help me build the skills I need for future academic work.</w:t>
      </w:r>
    </w:p>
    <w:p w14:paraId="6FF37686"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The main takeaways from this experience are the importance of asking relevant questions, ensuring everyone understands the topic, and using clear notes to guide the discussion. Boud, Keogh and Walker (1985) argue that reflection helps turn experiences into meaningful learning, and this activity has definitely helped me grow both academically and personally.</w:t>
      </w:r>
    </w:p>
    <w:p w14:paraId="6A16EB89" w14:textId="77777777" w:rsidR="00A87BB4" w:rsidRPr="00A87BB4" w:rsidRDefault="00A87BB4" w:rsidP="00A87BB4">
      <w:pPr>
        <w:rPr>
          <w:rFonts w:ascii="Aptos" w:eastAsia="Aptos" w:hAnsi="Aptos" w:cs="Times New Roman"/>
          <w:lang w:eastAsia="en-US"/>
        </w:rPr>
      </w:pPr>
    </w:p>
    <w:p w14:paraId="0C56E687" w14:textId="77777777" w:rsidR="00A87BB4" w:rsidRPr="00A87BB4" w:rsidRDefault="00A87BB4" w:rsidP="00A87BB4">
      <w:pPr>
        <w:rPr>
          <w:rFonts w:ascii="Aptos" w:eastAsia="Aptos" w:hAnsi="Aptos" w:cs="Times New Roman"/>
          <w:lang w:eastAsia="en-US"/>
        </w:rPr>
      </w:pPr>
    </w:p>
    <w:p w14:paraId="7CD670E7" w14:textId="77777777" w:rsidR="00A87BB4" w:rsidRPr="00A87BB4" w:rsidRDefault="00A87BB4" w:rsidP="00A87BB4">
      <w:pPr>
        <w:rPr>
          <w:rFonts w:ascii="Aptos" w:eastAsia="Aptos" w:hAnsi="Aptos" w:cs="Times New Roman"/>
          <w:lang w:eastAsia="en-US"/>
        </w:rPr>
      </w:pPr>
      <w:r w:rsidRPr="00A87BB4">
        <w:rPr>
          <w:rFonts w:ascii="Aptos" w:eastAsia="Aptos" w:hAnsi="Aptos" w:cs="Times New Roman"/>
          <w:lang w:eastAsia="en-US"/>
        </w:rPr>
        <w:t>Boud, D., Keogh, R. &amp; Walker, D. (1985), Reflection: Turning Experience into Learning, Kogan Page, London.Brookfield, S. (2017), Becoming a Critically Reflective Teacher, 2nd edn, Jossey</w:t>
      </w:r>
      <w:r w:rsidRPr="00A87BB4">
        <w:rPr>
          <w:rFonts w:ascii="Cambria Math" w:eastAsia="Aptos" w:hAnsi="Cambria Math" w:cs="Cambria Math"/>
          <w:lang w:eastAsia="en-US"/>
        </w:rPr>
        <w:t>‑</w:t>
      </w:r>
      <w:r w:rsidRPr="00A87BB4">
        <w:rPr>
          <w:rFonts w:ascii="Aptos" w:eastAsia="Aptos" w:hAnsi="Aptos" w:cs="Times New Roman"/>
          <w:lang w:eastAsia="en-US"/>
        </w:rPr>
        <w:t>Bass, San Francisco.Brunsma, D.L. (2006), School Uniforms: A Critical Review of the Literature, Rowman &amp; Littlefield, Lanham.Gibbs, G. (1988), Learning by Doing: A Guide to Teaching and Learning Methods, Oxford Polytechnic, Oxford.Johnson, D.W. &amp; Johnson, R.T. (2009), Joining Together: Group Theory and Group Skills, 10th edn, Pearson, Boston.Kolb, D.A. (1984), Experiential Learning: Experience as the Source of Learning and Development, Prentice Hall, Englewood Cliffs.Mercer, N. (2000), Words and Minds: How We Use Language to Think Together, Routledge, London.Moon, J. (2004), A Handbook of Reflective and Experiential Learning, RoutledgeFalmer, London.Tuckman, B.W. (1965), ‘Developmental sequence in small groups’, Psychological Bulletin, vol. 63, no. 6, pp. 384–399.</w:t>
      </w:r>
    </w:p>
    <w:p w14:paraId="607C7E99" w14:textId="77777777" w:rsidR="00DE22B3" w:rsidRPr="003965FE" w:rsidRDefault="00DE22B3" w:rsidP="00DB3AE7">
      <w:pPr>
        <w:jc w:val="both"/>
        <w:rPr>
          <w:rFonts w:ascii="Arial" w:hAnsi="Arial" w:cs="Arial"/>
          <w:b/>
          <w:bCs/>
          <w:u w:val="single"/>
        </w:rPr>
      </w:pPr>
    </w:p>
    <w:p w14:paraId="4635E828" w14:textId="77777777" w:rsidR="00BC0FB1" w:rsidRDefault="00BC0FB1" w:rsidP="00E66C01">
      <w:pPr>
        <w:rPr>
          <w:rFonts w:ascii="Arial" w:hAnsi="Arial" w:cs="Arial"/>
          <w:b/>
          <w:bCs/>
        </w:rPr>
      </w:pPr>
    </w:p>
    <w:p w14:paraId="2078A6A8" w14:textId="77777777" w:rsidR="00BC0FB1" w:rsidRDefault="00BC0FB1" w:rsidP="00E66C01">
      <w:pPr>
        <w:rPr>
          <w:rFonts w:ascii="Arial" w:hAnsi="Arial" w:cs="Arial"/>
          <w:b/>
          <w:bCs/>
        </w:rPr>
      </w:pPr>
    </w:p>
    <w:p w14:paraId="02D55E1E" w14:textId="77777777" w:rsidR="00BC0FB1" w:rsidRDefault="00BC0FB1" w:rsidP="00E66C01">
      <w:pPr>
        <w:rPr>
          <w:rFonts w:ascii="Arial" w:hAnsi="Arial" w:cs="Arial"/>
          <w:b/>
          <w:bCs/>
        </w:rPr>
      </w:pPr>
    </w:p>
    <w:p w14:paraId="5FC74BA4" w14:textId="77777777" w:rsidR="00BC0FB1" w:rsidRDefault="00BC0FB1" w:rsidP="00E66C01">
      <w:pPr>
        <w:rPr>
          <w:rFonts w:ascii="Arial" w:hAnsi="Arial" w:cs="Arial"/>
          <w:b/>
          <w:bCs/>
        </w:rPr>
      </w:pPr>
    </w:p>
    <w:p w14:paraId="558A9F31" w14:textId="77777777" w:rsidR="00BC0FB1" w:rsidRDefault="00BC0FB1" w:rsidP="00E66C01">
      <w:pPr>
        <w:rPr>
          <w:rFonts w:ascii="Arial" w:hAnsi="Arial" w:cs="Arial"/>
          <w:b/>
          <w:bCs/>
        </w:rPr>
      </w:pPr>
    </w:p>
    <w:p w14:paraId="151B59BF" w14:textId="63C636EC" w:rsidR="00E66C01" w:rsidRPr="00E66C01" w:rsidRDefault="00E66C01" w:rsidP="00E66C01">
      <w:pPr>
        <w:rPr>
          <w:b/>
          <w:bCs/>
        </w:rPr>
      </w:pPr>
      <w:r w:rsidRPr="00E66C01">
        <w:rPr>
          <w:b/>
          <w:bCs/>
        </w:rPr>
        <w:lastRenderedPageBreak/>
        <w:t xml:space="preserve"> Public Speaking Confidence</w:t>
      </w:r>
    </w:p>
    <w:tbl>
      <w:tblPr>
        <w:tblStyle w:val="TableGridLight"/>
        <w:tblW w:w="11340" w:type="dxa"/>
        <w:tblInd w:w="-1139" w:type="dxa"/>
        <w:tblLook w:val="04A0" w:firstRow="1" w:lastRow="0" w:firstColumn="1" w:lastColumn="0" w:noHBand="0" w:noVBand="1"/>
      </w:tblPr>
      <w:tblGrid>
        <w:gridCol w:w="2268"/>
        <w:gridCol w:w="2417"/>
        <w:gridCol w:w="2247"/>
        <w:gridCol w:w="2237"/>
        <w:gridCol w:w="2171"/>
      </w:tblGrid>
      <w:tr w:rsidR="00E66C01" w14:paraId="4DA2DF94" w14:textId="77777777" w:rsidTr="00BC0FB1">
        <w:trPr>
          <w:trHeight w:val="322"/>
        </w:trPr>
        <w:tc>
          <w:tcPr>
            <w:tcW w:w="2268" w:type="dxa"/>
          </w:tcPr>
          <w:p w14:paraId="3B2BE153" w14:textId="14C3C12A" w:rsidR="00E66C01" w:rsidRPr="00BC0FB1" w:rsidRDefault="00BC0FB1" w:rsidP="00E6780D">
            <w:pPr>
              <w:rPr>
                <w:b/>
                <w:bCs/>
              </w:rPr>
            </w:pPr>
            <w:r w:rsidRPr="00BC0FB1">
              <w:rPr>
                <w:b/>
                <w:bCs/>
              </w:rPr>
              <w:t>specific</w:t>
            </w:r>
          </w:p>
        </w:tc>
        <w:tc>
          <w:tcPr>
            <w:tcW w:w="2417" w:type="dxa"/>
          </w:tcPr>
          <w:p w14:paraId="1D6FF0F7" w14:textId="04BC1755" w:rsidR="00E66C01" w:rsidRPr="00BC0FB1" w:rsidRDefault="00BC0FB1" w:rsidP="00E6780D">
            <w:pPr>
              <w:rPr>
                <w:b/>
                <w:bCs/>
              </w:rPr>
            </w:pPr>
            <w:r w:rsidRPr="00BC0FB1">
              <w:rPr>
                <w:b/>
                <w:bCs/>
              </w:rPr>
              <w:t>measurable</w:t>
            </w:r>
          </w:p>
        </w:tc>
        <w:tc>
          <w:tcPr>
            <w:tcW w:w="2247" w:type="dxa"/>
          </w:tcPr>
          <w:p w14:paraId="6A7BF5F7" w14:textId="3E2CC696" w:rsidR="00E66C01" w:rsidRPr="00BC0FB1" w:rsidRDefault="00BC0FB1" w:rsidP="00E6780D">
            <w:pPr>
              <w:rPr>
                <w:b/>
                <w:bCs/>
              </w:rPr>
            </w:pPr>
            <w:r w:rsidRPr="00BC0FB1">
              <w:rPr>
                <w:b/>
                <w:bCs/>
              </w:rPr>
              <w:t>achievable</w:t>
            </w:r>
          </w:p>
        </w:tc>
        <w:tc>
          <w:tcPr>
            <w:tcW w:w="2237" w:type="dxa"/>
          </w:tcPr>
          <w:p w14:paraId="3097F473" w14:textId="2BCB1CD6" w:rsidR="00E66C01" w:rsidRPr="00BC0FB1" w:rsidRDefault="00BC0FB1" w:rsidP="00E6780D">
            <w:pPr>
              <w:rPr>
                <w:b/>
                <w:bCs/>
              </w:rPr>
            </w:pPr>
            <w:r w:rsidRPr="00BC0FB1">
              <w:rPr>
                <w:b/>
                <w:bCs/>
              </w:rPr>
              <w:t>relevant</w:t>
            </w:r>
          </w:p>
        </w:tc>
        <w:tc>
          <w:tcPr>
            <w:tcW w:w="2171" w:type="dxa"/>
          </w:tcPr>
          <w:p w14:paraId="5089B2F2" w14:textId="1BD76208" w:rsidR="00E66C01" w:rsidRPr="00BC0FB1" w:rsidRDefault="00BC0FB1" w:rsidP="00E6780D">
            <w:pPr>
              <w:rPr>
                <w:b/>
                <w:bCs/>
              </w:rPr>
            </w:pPr>
            <w:r w:rsidRPr="00BC0FB1">
              <w:rPr>
                <w:b/>
                <w:bCs/>
              </w:rPr>
              <w:t>timebound</w:t>
            </w:r>
          </w:p>
        </w:tc>
      </w:tr>
      <w:tr w:rsidR="00E66C01" w14:paraId="7D5D5B69" w14:textId="77777777" w:rsidTr="00BC0FB1">
        <w:trPr>
          <w:trHeight w:val="3418"/>
        </w:trPr>
        <w:tc>
          <w:tcPr>
            <w:tcW w:w="2268" w:type="dxa"/>
          </w:tcPr>
          <w:p w14:paraId="7C681FA8" w14:textId="4CD4E230" w:rsidR="00E66C01" w:rsidRDefault="00BC0FB1" w:rsidP="00E6780D">
            <w:r w:rsidRPr="00BC0FB1">
              <w:t xml:space="preserve">I want to improve </w:t>
            </w:r>
            <w:r>
              <w:t xml:space="preserve">and master </w:t>
            </w:r>
            <w:r w:rsidRPr="00BC0FB1">
              <w:t>my confidence when speaking in class discussions so I can contribute more actively instead of holding back.</w:t>
            </w:r>
          </w:p>
        </w:tc>
        <w:tc>
          <w:tcPr>
            <w:tcW w:w="2417" w:type="dxa"/>
          </w:tcPr>
          <w:p w14:paraId="419369A4" w14:textId="46B3335C" w:rsidR="00E66C01" w:rsidRDefault="00BC0FB1" w:rsidP="00E6780D">
            <w:r w:rsidRPr="00BC0FB1">
              <w:t xml:space="preserve">I </w:t>
            </w:r>
            <w:r w:rsidRPr="00BC0FB1">
              <w:t>will speak</w:t>
            </w:r>
            <w:r w:rsidRPr="00BC0FB1">
              <w:t xml:space="preserve"> at least </w:t>
            </w:r>
            <w:r>
              <w:t>twice</w:t>
            </w:r>
            <w:r w:rsidRPr="00BC0FB1">
              <w:t xml:space="preserve"> in every class discussion and deliver one short presentation by the end of the semester.</w:t>
            </w:r>
          </w:p>
        </w:tc>
        <w:tc>
          <w:tcPr>
            <w:tcW w:w="2247" w:type="dxa"/>
          </w:tcPr>
          <w:p w14:paraId="4F488AEC" w14:textId="3BF6CED1" w:rsidR="00E66C01" w:rsidRDefault="00BC0FB1" w:rsidP="00E6780D">
            <w:r w:rsidRPr="00BC0FB1">
              <w:t xml:space="preserve"> I will practise by speaking more within small groups first, then gradually contribute to whole class discussions. I will also rehearse speaking points at home for 10 minutes before class.</w:t>
            </w:r>
          </w:p>
        </w:tc>
        <w:tc>
          <w:tcPr>
            <w:tcW w:w="2237" w:type="dxa"/>
          </w:tcPr>
          <w:p w14:paraId="2D06717A" w14:textId="6EEA6C89" w:rsidR="00E66C01" w:rsidRDefault="00BC0FB1" w:rsidP="00E6780D">
            <w:r w:rsidRPr="00BC0FB1">
              <w:t>Improving my public speaking will help me in university assessments and in my future career, where communication is essential.</w:t>
            </w:r>
          </w:p>
        </w:tc>
        <w:tc>
          <w:tcPr>
            <w:tcW w:w="2171" w:type="dxa"/>
          </w:tcPr>
          <w:p w14:paraId="6B3C24D1" w14:textId="7390087A" w:rsidR="00E66C01" w:rsidRDefault="00BC0FB1" w:rsidP="00E6780D">
            <w:r w:rsidRPr="00BC0FB1">
              <w:t xml:space="preserve">I will review my progress every two weeks and aim to feel noticeably more confident by the end of the </w:t>
            </w:r>
            <w:r w:rsidRPr="00BC0FB1">
              <w:t>12-wee</w:t>
            </w:r>
            <w:r>
              <w:t>k term.</w:t>
            </w:r>
          </w:p>
        </w:tc>
      </w:tr>
    </w:tbl>
    <w:p w14:paraId="71B8EB4E" w14:textId="000B07A0"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41078" w14:textId="77777777" w:rsidR="005A46A9" w:rsidRDefault="005A46A9" w:rsidP="006D4055">
      <w:pPr>
        <w:spacing w:after="0" w:line="240" w:lineRule="auto"/>
      </w:pPr>
      <w:r>
        <w:separator/>
      </w:r>
    </w:p>
  </w:endnote>
  <w:endnote w:type="continuationSeparator" w:id="0">
    <w:p w14:paraId="36FCCFFE" w14:textId="77777777" w:rsidR="005A46A9" w:rsidRDefault="005A46A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04839" w14:textId="77777777" w:rsidR="005A46A9" w:rsidRDefault="005A46A9" w:rsidP="006D4055">
      <w:pPr>
        <w:spacing w:after="0" w:line="240" w:lineRule="auto"/>
      </w:pPr>
      <w:r>
        <w:separator/>
      </w:r>
    </w:p>
  </w:footnote>
  <w:footnote w:type="continuationSeparator" w:id="0">
    <w:p w14:paraId="0AC01642" w14:textId="77777777" w:rsidR="005A46A9" w:rsidRDefault="005A46A9"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1E4B71"/>
    <w:rsid w:val="002D1900"/>
    <w:rsid w:val="00307CD3"/>
    <w:rsid w:val="003965FE"/>
    <w:rsid w:val="003B1399"/>
    <w:rsid w:val="003C3B5F"/>
    <w:rsid w:val="00434A22"/>
    <w:rsid w:val="004B3716"/>
    <w:rsid w:val="005A46A9"/>
    <w:rsid w:val="006D4055"/>
    <w:rsid w:val="006F18EA"/>
    <w:rsid w:val="007421E0"/>
    <w:rsid w:val="00742574"/>
    <w:rsid w:val="007533FC"/>
    <w:rsid w:val="007946CC"/>
    <w:rsid w:val="007F172E"/>
    <w:rsid w:val="00895E11"/>
    <w:rsid w:val="0097469F"/>
    <w:rsid w:val="009A41CE"/>
    <w:rsid w:val="00A85354"/>
    <w:rsid w:val="00A87BB4"/>
    <w:rsid w:val="00BA34E0"/>
    <w:rsid w:val="00BC0FB1"/>
    <w:rsid w:val="00C87D0C"/>
    <w:rsid w:val="00D14056"/>
    <w:rsid w:val="00D8134F"/>
    <w:rsid w:val="00D95C9F"/>
    <w:rsid w:val="00DB3AE7"/>
    <w:rsid w:val="00DE22B3"/>
    <w:rsid w:val="00E66C01"/>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E66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C0FB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66e4567ec43438e4d759b50a4b3f5f51">
  <xsd:schema xmlns:xsd="http://www.w3.org/2001/XMLSchema" xmlns:xs="http://www.w3.org/2001/XMLSchema" xmlns:p="http://schemas.microsoft.com/office/2006/metadata/properties" xmlns:ns3="901b7179-a49d-4669-ab88-101a0e80079b" targetNamespace="http://schemas.microsoft.com/office/2006/metadata/properties" ma:root="true" ma:fieldsID="37cfd9f5d7c2884eabf0f3cb2311ca61"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C5C6FDB3-7064-48F7-8863-3504CCA17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0F716D-D0D7-4D22-BEF8-3B0368D370A8}">
  <ds:schemaRefs>
    <ds:schemaRef ds:uri="http://schemas.microsoft.com/sharepoint/v3/contenttype/forms"/>
  </ds:schemaRefs>
</ds:datastoreItem>
</file>

<file path=customXml/itemProps3.xml><?xml version="1.0" encoding="utf-8"?>
<ds:datastoreItem xmlns:ds="http://schemas.openxmlformats.org/officeDocument/2006/customXml" ds:itemID="{784BFFE7-CA8D-4D44-B0F7-5C60E8F77B3E}">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1588</Words>
  <Characters>7988</Characters>
  <Application>Microsoft Office Word</Application>
  <DocSecurity>0</DocSecurity>
  <Lines>221</Lines>
  <Paragraphs>142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Monika Sugarova (2326119)</cp:lastModifiedBy>
  <cp:revision>3</cp:revision>
  <dcterms:created xsi:type="dcterms:W3CDTF">2026-03-25T23:15:00Z</dcterms:created>
  <dcterms:modified xsi:type="dcterms:W3CDTF">2026-03-25T23:15:00Z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