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F7847" w14:textId="081E39F3" w:rsidR="00F151F6" w:rsidRDefault="00456AF3">
      <w:r w:rsidRPr="00456AF3">
        <w:rPr>
          <w:b/>
          <w:bCs/>
        </w:rPr>
        <w:t>Student Name:</w:t>
      </w:r>
      <w:r>
        <w:t xml:space="preserve"> Nisreen Mubarik</w:t>
      </w:r>
    </w:p>
    <w:p w14:paraId="379C59CF" w14:textId="0451AED9" w:rsidR="00456AF3" w:rsidRDefault="00456AF3">
      <w:r w:rsidRPr="00456AF3">
        <w:rPr>
          <w:b/>
          <w:bCs/>
        </w:rPr>
        <w:t>Student Number:</w:t>
      </w:r>
      <w:r>
        <w:t xml:space="preserve"> 2506382</w:t>
      </w:r>
    </w:p>
    <w:p w14:paraId="1FE23B7C" w14:textId="34386A2A" w:rsidR="00456AF3" w:rsidRDefault="00456AF3">
      <w:r w:rsidRPr="00456AF3">
        <w:rPr>
          <w:b/>
          <w:bCs/>
        </w:rPr>
        <w:t xml:space="preserve">Assignment Title: </w:t>
      </w:r>
      <w:r>
        <w:t>Component 2- Research report</w:t>
      </w:r>
    </w:p>
    <w:p w14:paraId="6CAB616A" w14:textId="28F33A68" w:rsidR="00456AF3" w:rsidRDefault="00456AF3">
      <w:r w:rsidRPr="00456AF3">
        <w:rPr>
          <w:b/>
          <w:bCs/>
        </w:rPr>
        <w:t>Module Name:</w:t>
      </w:r>
      <w:r>
        <w:t xml:space="preserve"> Digital Skills and Research Methods</w:t>
      </w:r>
    </w:p>
    <w:p w14:paraId="1AEBB6AF" w14:textId="2AE6FB67" w:rsidR="00456AF3" w:rsidRDefault="00456AF3">
      <w:r w:rsidRPr="00456AF3">
        <w:rPr>
          <w:b/>
          <w:bCs/>
        </w:rPr>
        <w:t>Module Code:</w:t>
      </w:r>
      <w:r>
        <w:t xml:space="preserve"> LCHS4007</w:t>
      </w:r>
    </w:p>
    <w:p w14:paraId="76B7B539" w14:textId="6F4012D5" w:rsidR="00456AF3" w:rsidRDefault="00456AF3">
      <w:r w:rsidRPr="00456AF3">
        <w:rPr>
          <w:b/>
          <w:bCs/>
        </w:rPr>
        <w:t>Lecturers Name:</w:t>
      </w:r>
      <w:r>
        <w:t xml:space="preserve"> </w:t>
      </w:r>
      <w:r w:rsidRPr="00456AF3">
        <w:t>Markus Klingelfuss</w:t>
      </w:r>
    </w:p>
    <w:p w14:paraId="081F6361" w14:textId="77777777" w:rsidR="00456AF3" w:rsidRDefault="00456AF3">
      <w:r>
        <w:br w:type="page"/>
      </w:r>
    </w:p>
    <w:sdt>
      <w:sdtPr>
        <w:rPr>
          <w:rFonts w:asciiTheme="minorHAnsi" w:eastAsiaTheme="minorHAnsi" w:hAnsiTheme="minorHAnsi" w:cstheme="minorBidi"/>
          <w:color w:val="auto"/>
          <w:kern w:val="2"/>
          <w:sz w:val="24"/>
          <w:szCs w:val="24"/>
          <w:lang w:val="en-GB"/>
          <w14:ligatures w14:val="standardContextual"/>
        </w:rPr>
        <w:id w:val="-1936669275"/>
        <w:docPartObj>
          <w:docPartGallery w:val="Table of Contents"/>
          <w:docPartUnique/>
        </w:docPartObj>
      </w:sdtPr>
      <w:sdtEndPr>
        <w:rPr>
          <w:b/>
          <w:bCs/>
          <w:noProof/>
        </w:rPr>
      </w:sdtEndPr>
      <w:sdtContent>
        <w:p w14:paraId="36E1F436" w14:textId="42FC25A7" w:rsidR="00456AF3" w:rsidRDefault="00456AF3">
          <w:pPr>
            <w:pStyle w:val="TOCHeading"/>
          </w:pPr>
          <w:r>
            <w:t>Contents</w:t>
          </w:r>
        </w:p>
        <w:p w14:paraId="7F6E13FC" w14:textId="7AD70600" w:rsidR="00816851" w:rsidRDefault="00456A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1479971" w:history="1">
            <w:r w:rsidR="00816851" w:rsidRPr="009F6B78">
              <w:rPr>
                <w:rStyle w:val="Hyperlink"/>
                <w:noProof/>
              </w:rPr>
              <w:t>Introduction</w:t>
            </w:r>
            <w:r w:rsidR="00816851">
              <w:rPr>
                <w:noProof/>
                <w:webHidden/>
              </w:rPr>
              <w:tab/>
            </w:r>
            <w:r w:rsidR="00816851">
              <w:rPr>
                <w:noProof/>
                <w:webHidden/>
              </w:rPr>
              <w:fldChar w:fldCharType="begin"/>
            </w:r>
            <w:r w:rsidR="00816851">
              <w:rPr>
                <w:noProof/>
                <w:webHidden/>
              </w:rPr>
              <w:instrText xml:space="preserve"> PAGEREF _Toc221479971 \h </w:instrText>
            </w:r>
            <w:r w:rsidR="00816851">
              <w:rPr>
                <w:noProof/>
                <w:webHidden/>
              </w:rPr>
            </w:r>
            <w:r w:rsidR="00816851">
              <w:rPr>
                <w:noProof/>
                <w:webHidden/>
              </w:rPr>
              <w:fldChar w:fldCharType="separate"/>
            </w:r>
            <w:r w:rsidR="00816851">
              <w:rPr>
                <w:noProof/>
                <w:webHidden/>
              </w:rPr>
              <w:t>3</w:t>
            </w:r>
            <w:r w:rsidR="00816851">
              <w:rPr>
                <w:noProof/>
                <w:webHidden/>
              </w:rPr>
              <w:fldChar w:fldCharType="end"/>
            </w:r>
          </w:hyperlink>
        </w:p>
        <w:p w14:paraId="3D01B816" w14:textId="05971AAE" w:rsidR="00816851" w:rsidRDefault="00816851">
          <w:pPr>
            <w:pStyle w:val="TOC1"/>
            <w:tabs>
              <w:tab w:val="right" w:leader="dot" w:pos="9016"/>
            </w:tabs>
            <w:rPr>
              <w:rFonts w:eastAsiaTheme="minorEastAsia"/>
              <w:noProof/>
              <w:lang w:eastAsia="en-GB"/>
            </w:rPr>
          </w:pPr>
          <w:hyperlink w:anchor="_Toc221479972" w:history="1">
            <w:r w:rsidRPr="009F6B78">
              <w:rPr>
                <w:rStyle w:val="Hyperlink"/>
                <w:noProof/>
              </w:rPr>
              <w:t>Staff Burnout in Health and Social Care Sector</w:t>
            </w:r>
            <w:r>
              <w:rPr>
                <w:noProof/>
                <w:webHidden/>
              </w:rPr>
              <w:tab/>
            </w:r>
            <w:r>
              <w:rPr>
                <w:noProof/>
                <w:webHidden/>
              </w:rPr>
              <w:fldChar w:fldCharType="begin"/>
            </w:r>
            <w:r>
              <w:rPr>
                <w:noProof/>
                <w:webHidden/>
              </w:rPr>
              <w:instrText xml:space="preserve"> PAGEREF _Toc221479972 \h </w:instrText>
            </w:r>
            <w:r>
              <w:rPr>
                <w:noProof/>
                <w:webHidden/>
              </w:rPr>
            </w:r>
            <w:r>
              <w:rPr>
                <w:noProof/>
                <w:webHidden/>
              </w:rPr>
              <w:fldChar w:fldCharType="separate"/>
            </w:r>
            <w:r>
              <w:rPr>
                <w:noProof/>
                <w:webHidden/>
              </w:rPr>
              <w:t>3</w:t>
            </w:r>
            <w:r>
              <w:rPr>
                <w:noProof/>
                <w:webHidden/>
              </w:rPr>
              <w:fldChar w:fldCharType="end"/>
            </w:r>
          </w:hyperlink>
        </w:p>
        <w:p w14:paraId="0600027B" w14:textId="0ED8C7BF" w:rsidR="00816851" w:rsidRDefault="00816851">
          <w:pPr>
            <w:pStyle w:val="TOC1"/>
            <w:tabs>
              <w:tab w:val="right" w:leader="dot" w:pos="9016"/>
            </w:tabs>
            <w:rPr>
              <w:rFonts w:eastAsiaTheme="minorEastAsia"/>
              <w:noProof/>
              <w:lang w:eastAsia="en-GB"/>
            </w:rPr>
          </w:pPr>
          <w:hyperlink w:anchor="_Toc221479973" w:history="1">
            <w:r w:rsidRPr="009F6B78">
              <w:rPr>
                <w:rStyle w:val="Hyperlink"/>
                <w:noProof/>
              </w:rPr>
              <w:t>Evaluation Information Sources</w:t>
            </w:r>
            <w:r>
              <w:rPr>
                <w:noProof/>
                <w:webHidden/>
              </w:rPr>
              <w:tab/>
            </w:r>
            <w:r>
              <w:rPr>
                <w:noProof/>
                <w:webHidden/>
              </w:rPr>
              <w:fldChar w:fldCharType="begin"/>
            </w:r>
            <w:r>
              <w:rPr>
                <w:noProof/>
                <w:webHidden/>
              </w:rPr>
              <w:instrText xml:space="preserve"> PAGEREF _Toc221479973 \h </w:instrText>
            </w:r>
            <w:r>
              <w:rPr>
                <w:noProof/>
                <w:webHidden/>
              </w:rPr>
            </w:r>
            <w:r>
              <w:rPr>
                <w:noProof/>
                <w:webHidden/>
              </w:rPr>
              <w:fldChar w:fldCharType="separate"/>
            </w:r>
            <w:r>
              <w:rPr>
                <w:noProof/>
                <w:webHidden/>
              </w:rPr>
              <w:t>4</w:t>
            </w:r>
            <w:r>
              <w:rPr>
                <w:noProof/>
                <w:webHidden/>
              </w:rPr>
              <w:fldChar w:fldCharType="end"/>
            </w:r>
          </w:hyperlink>
        </w:p>
        <w:p w14:paraId="496BDE08" w14:textId="4795D7CB" w:rsidR="00816851" w:rsidRDefault="00816851">
          <w:pPr>
            <w:pStyle w:val="TOC1"/>
            <w:tabs>
              <w:tab w:val="right" w:leader="dot" w:pos="9016"/>
            </w:tabs>
            <w:rPr>
              <w:rFonts w:eastAsiaTheme="minorEastAsia"/>
              <w:noProof/>
              <w:lang w:eastAsia="en-GB"/>
            </w:rPr>
          </w:pPr>
          <w:hyperlink w:anchor="_Toc221479974" w:history="1">
            <w:r w:rsidRPr="009F6B78">
              <w:rPr>
                <w:rStyle w:val="Hyperlink"/>
                <w:noProof/>
              </w:rPr>
              <w:t>Research Methodologies</w:t>
            </w:r>
            <w:r>
              <w:rPr>
                <w:noProof/>
                <w:webHidden/>
              </w:rPr>
              <w:tab/>
            </w:r>
            <w:r>
              <w:rPr>
                <w:noProof/>
                <w:webHidden/>
              </w:rPr>
              <w:fldChar w:fldCharType="begin"/>
            </w:r>
            <w:r>
              <w:rPr>
                <w:noProof/>
                <w:webHidden/>
              </w:rPr>
              <w:instrText xml:space="preserve"> PAGEREF _Toc221479974 \h </w:instrText>
            </w:r>
            <w:r>
              <w:rPr>
                <w:noProof/>
                <w:webHidden/>
              </w:rPr>
            </w:r>
            <w:r>
              <w:rPr>
                <w:noProof/>
                <w:webHidden/>
              </w:rPr>
              <w:fldChar w:fldCharType="separate"/>
            </w:r>
            <w:r>
              <w:rPr>
                <w:noProof/>
                <w:webHidden/>
              </w:rPr>
              <w:t>5</w:t>
            </w:r>
            <w:r>
              <w:rPr>
                <w:noProof/>
                <w:webHidden/>
              </w:rPr>
              <w:fldChar w:fldCharType="end"/>
            </w:r>
          </w:hyperlink>
        </w:p>
        <w:p w14:paraId="4A31BF55" w14:textId="2399CABE" w:rsidR="00816851" w:rsidRDefault="00816851">
          <w:pPr>
            <w:pStyle w:val="TOC1"/>
            <w:tabs>
              <w:tab w:val="right" w:leader="dot" w:pos="9016"/>
            </w:tabs>
            <w:rPr>
              <w:rFonts w:eastAsiaTheme="minorEastAsia"/>
              <w:noProof/>
              <w:lang w:eastAsia="en-GB"/>
            </w:rPr>
          </w:pPr>
          <w:hyperlink w:anchor="_Toc221479975" w:history="1">
            <w:r w:rsidRPr="009F6B78">
              <w:rPr>
                <w:rStyle w:val="Hyperlink"/>
                <w:noProof/>
              </w:rPr>
              <w:t>Data Collection</w:t>
            </w:r>
            <w:r>
              <w:rPr>
                <w:noProof/>
                <w:webHidden/>
              </w:rPr>
              <w:tab/>
            </w:r>
            <w:r>
              <w:rPr>
                <w:noProof/>
                <w:webHidden/>
              </w:rPr>
              <w:fldChar w:fldCharType="begin"/>
            </w:r>
            <w:r>
              <w:rPr>
                <w:noProof/>
                <w:webHidden/>
              </w:rPr>
              <w:instrText xml:space="preserve"> PAGEREF _Toc221479975 \h </w:instrText>
            </w:r>
            <w:r>
              <w:rPr>
                <w:noProof/>
                <w:webHidden/>
              </w:rPr>
            </w:r>
            <w:r>
              <w:rPr>
                <w:noProof/>
                <w:webHidden/>
              </w:rPr>
              <w:fldChar w:fldCharType="separate"/>
            </w:r>
            <w:r>
              <w:rPr>
                <w:noProof/>
                <w:webHidden/>
              </w:rPr>
              <w:t>6</w:t>
            </w:r>
            <w:r>
              <w:rPr>
                <w:noProof/>
                <w:webHidden/>
              </w:rPr>
              <w:fldChar w:fldCharType="end"/>
            </w:r>
          </w:hyperlink>
        </w:p>
        <w:p w14:paraId="71860554" w14:textId="4E21C0C2" w:rsidR="00816851" w:rsidRDefault="00816851">
          <w:pPr>
            <w:pStyle w:val="TOC1"/>
            <w:tabs>
              <w:tab w:val="right" w:leader="dot" w:pos="9016"/>
            </w:tabs>
            <w:rPr>
              <w:rFonts w:eastAsiaTheme="minorEastAsia"/>
              <w:noProof/>
              <w:lang w:eastAsia="en-GB"/>
            </w:rPr>
          </w:pPr>
          <w:hyperlink w:anchor="_Toc221479976" w:history="1">
            <w:r w:rsidRPr="009F6B78">
              <w:rPr>
                <w:rStyle w:val="Hyperlink"/>
                <w:noProof/>
              </w:rPr>
              <w:t>Conclusion</w:t>
            </w:r>
            <w:r>
              <w:rPr>
                <w:noProof/>
                <w:webHidden/>
              </w:rPr>
              <w:tab/>
            </w:r>
            <w:r>
              <w:rPr>
                <w:noProof/>
                <w:webHidden/>
              </w:rPr>
              <w:fldChar w:fldCharType="begin"/>
            </w:r>
            <w:r>
              <w:rPr>
                <w:noProof/>
                <w:webHidden/>
              </w:rPr>
              <w:instrText xml:space="preserve"> PAGEREF _Toc221479976 \h </w:instrText>
            </w:r>
            <w:r>
              <w:rPr>
                <w:noProof/>
                <w:webHidden/>
              </w:rPr>
            </w:r>
            <w:r>
              <w:rPr>
                <w:noProof/>
                <w:webHidden/>
              </w:rPr>
              <w:fldChar w:fldCharType="separate"/>
            </w:r>
            <w:r>
              <w:rPr>
                <w:noProof/>
                <w:webHidden/>
              </w:rPr>
              <w:t>7</w:t>
            </w:r>
            <w:r>
              <w:rPr>
                <w:noProof/>
                <w:webHidden/>
              </w:rPr>
              <w:fldChar w:fldCharType="end"/>
            </w:r>
          </w:hyperlink>
        </w:p>
        <w:p w14:paraId="3D876578" w14:textId="393067D8" w:rsidR="00816851" w:rsidRDefault="00816851">
          <w:pPr>
            <w:pStyle w:val="TOC1"/>
            <w:tabs>
              <w:tab w:val="right" w:leader="dot" w:pos="9016"/>
            </w:tabs>
            <w:rPr>
              <w:rFonts w:eastAsiaTheme="minorEastAsia"/>
              <w:noProof/>
              <w:lang w:eastAsia="en-GB"/>
            </w:rPr>
          </w:pPr>
          <w:hyperlink w:anchor="_Toc221479977" w:history="1">
            <w:r w:rsidRPr="009F6B78">
              <w:rPr>
                <w:rStyle w:val="Hyperlink"/>
                <w:noProof/>
              </w:rPr>
              <w:t>References</w:t>
            </w:r>
            <w:r>
              <w:rPr>
                <w:noProof/>
                <w:webHidden/>
              </w:rPr>
              <w:tab/>
            </w:r>
            <w:r>
              <w:rPr>
                <w:noProof/>
                <w:webHidden/>
              </w:rPr>
              <w:fldChar w:fldCharType="begin"/>
            </w:r>
            <w:r>
              <w:rPr>
                <w:noProof/>
                <w:webHidden/>
              </w:rPr>
              <w:instrText xml:space="preserve"> PAGEREF _Toc221479977 \h </w:instrText>
            </w:r>
            <w:r>
              <w:rPr>
                <w:noProof/>
                <w:webHidden/>
              </w:rPr>
            </w:r>
            <w:r>
              <w:rPr>
                <w:noProof/>
                <w:webHidden/>
              </w:rPr>
              <w:fldChar w:fldCharType="separate"/>
            </w:r>
            <w:r>
              <w:rPr>
                <w:noProof/>
                <w:webHidden/>
              </w:rPr>
              <w:t>8</w:t>
            </w:r>
            <w:r>
              <w:rPr>
                <w:noProof/>
                <w:webHidden/>
              </w:rPr>
              <w:fldChar w:fldCharType="end"/>
            </w:r>
          </w:hyperlink>
        </w:p>
        <w:p w14:paraId="15628BDE" w14:textId="0E4C9379" w:rsidR="00456AF3" w:rsidRDefault="00456AF3">
          <w:r>
            <w:rPr>
              <w:b/>
              <w:bCs/>
              <w:noProof/>
            </w:rPr>
            <w:fldChar w:fldCharType="end"/>
          </w:r>
        </w:p>
      </w:sdtContent>
    </w:sdt>
    <w:p w14:paraId="2A6491F4" w14:textId="166998B8" w:rsidR="00456AF3" w:rsidRDefault="00456AF3">
      <w:r>
        <w:br w:type="page"/>
      </w:r>
    </w:p>
    <w:p w14:paraId="7383F15E" w14:textId="597B90DF" w:rsidR="00456AF3" w:rsidRDefault="00456AF3" w:rsidP="00456AF3">
      <w:pPr>
        <w:pStyle w:val="Heading1"/>
      </w:pPr>
      <w:bookmarkStart w:id="0" w:name="_Toc221479971"/>
      <w:r>
        <w:lastRenderedPageBreak/>
        <w:t>Introduction</w:t>
      </w:r>
      <w:bookmarkEnd w:id="0"/>
    </w:p>
    <w:p w14:paraId="626CD334" w14:textId="0839CFB0" w:rsidR="007D3C52" w:rsidRDefault="007D3C52" w:rsidP="007D3C52">
      <w:pPr>
        <w:spacing w:line="360" w:lineRule="auto"/>
        <w:jc w:val="both"/>
        <w:rPr>
          <w:rFonts w:ascii="Arial" w:hAnsi="Arial" w:cs="Arial"/>
        </w:rPr>
      </w:pPr>
      <w:r w:rsidRPr="007D3C52">
        <w:rPr>
          <w:rFonts w:ascii="Arial" w:hAnsi="Arial" w:cs="Arial"/>
        </w:rPr>
        <w:t>Staff burnout is becoming an increasingly prevalent issue in the UK health and social care sector, particularly among nurses, healthcare assistants, and social workers (Care Quality Commission, 2022). According to Kinman, Dovey</w:t>
      </w:r>
      <w:r w:rsidR="00446FAA">
        <w:rPr>
          <w:rFonts w:ascii="Arial" w:hAnsi="Arial" w:cs="Arial"/>
        </w:rPr>
        <w:t>,</w:t>
      </w:r>
      <w:r w:rsidRPr="007D3C52">
        <w:rPr>
          <w:rFonts w:ascii="Arial" w:hAnsi="Arial" w:cs="Arial"/>
        </w:rPr>
        <w:t xml:space="preserve"> and Teoh (2023), the effects of burnout can negatively affect staff wellbeing, service quality, and patient safety. This report explores staff burnout as a current issue within UK health and social care settings. It will identify why the issue is important, who is affected, and why it matters. The report will also evaluate relevant academic sources, discuss appropriate research methodologies, outline suitable data collection methods, and reflect on how researching this topic supports professional development.</w:t>
      </w:r>
    </w:p>
    <w:p w14:paraId="15E3A131" w14:textId="049B35D0" w:rsidR="00456AF3" w:rsidRDefault="00456AF3" w:rsidP="007D3C52">
      <w:pPr>
        <w:pStyle w:val="Heading1"/>
      </w:pPr>
      <w:bookmarkStart w:id="1" w:name="_Toc221479972"/>
      <w:r>
        <w:t>Staff Burnout in Health and Social Care Sector</w:t>
      </w:r>
      <w:bookmarkEnd w:id="1"/>
    </w:p>
    <w:p w14:paraId="07880DD1" w14:textId="77777777" w:rsidR="00E8041D" w:rsidRPr="00E8041D" w:rsidRDefault="00E8041D" w:rsidP="00E8041D">
      <w:pPr>
        <w:spacing w:line="360" w:lineRule="auto"/>
        <w:jc w:val="both"/>
        <w:rPr>
          <w:rFonts w:ascii="Arial" w:hAnsi="Arial" w:cs="Arial"/>
        </w:rPr>
      </w:pPr>
      <w:r w:rsidRPr="00E8041D">
        <w:rPr>
          <w:rFonts w:ascii="Arial" w:hAnsi="Arial" w:cs="Arial"/>
        </w:rPr>
        <w:t>For this report, the research topic chosen is staff burnout in the UK health and social care sector. Staff burnout is often described as a state of physical, psychological, and emotional exhaustion caused by prolonged work-related stress (Mental Health UK, 2024). In recent years, this issue has become increasingly prominent across both healthcare and social care settings in the UK (NHS Employers, 2025).</w:t>
      </w:r>
    </w:p>
    <w:p w14:paraId="0986C2AD" w14:textId="77777777" w:rsidR="00E8041D" w:rsidRPr="00E8041D" w:rsidRDefault="00E8041D" w:rsidP="00E8041D">
      <w:pPr>
        <w:spacing w:line="360" w:lineRule="auto"/>
        <w:jc w:val="both"/>
        <w:rPr>
          <w:rFonts w:ascii="Arial" w:hAnsi="Arial" w:cs="Arial"/>
        </w:rPr>
      </w:pPr>
      <w:r w:rsidRPr="00E8041D">
        <w:rPr>
          <w:rFonts w:ascii="Arial" w:hAnsi="Arial" w:cs="Arial"/>
        </w:rPr>
        <w:t>Staff burnout affects a wide range of professionals, including nurses, healthcare assistants, social workers, and care staff working in hospitals, care homes, and community-based services (NHS Employers, 2025). High workloads, staff shortages, long working hours, and emotional demands all contribute to burnout (Sipos, Goyal and Zapata, 2024). As a result of burnout, staff are more likely to suffer from sickness absence, lower job satisfaction, and higher staff turnover (Welch, 2026). Care organisations are also affected, as burnout can increase recruitment costs and place further strain on already limited resources (Hodgson, 2024).</w:t>
      </w:r>
    </w:p>
    <w:p w14:paraId="1E12B935" w14:textId="77777777" w:rsidR="00E8041D" w:rsidRPr="00E8041D" w:rsidRDefault="00E8041D" w:rsidP="00E8041D">
      <w:pPr>
        <w:spacing w:line="360" w:lineRule="auto"/>
        <w:jc w:val="both"/>
        <w:rPr>
          <w:rFonts w:ascii="Arial" w:hAnsi="Arial" w:cs="Arial"/>
        </w:rPr>
      </w:pPr>
      <w:r w:rsidRPr="00E8041D">
        <w:rPr>
          <w:rFonts w:ascii="Arial" w:hAnsi="Arial" w:cs="Arial"/>
        </w:rPr>
        <w:t xml:space="preserve">The issue is particularly important because staff wellbeing is closely linked to the quality and safety of care. Burnout can reduce concentration, motivation, and emotional engagement, increasing the risk of mistakes and negatively affecting service user experiences (Garcia </w:t>
      </w:r>
      <w:r w:rsidRPr="00E8041D">
        <w:rPr>
          <w:rFonts w:ascii="Arial" w:hAnsi="Arial" w:cs="Arial"/>
          <w:i/>
          <w:iCs/>
        </w:rPr>
        <w:t>et al.</w:t>
      </w:r>
      <w:r w:rsidRPr="00E8041D">
        <w:rPr>
          <w:rFonts w:ascii="Arial" w:hAnsi="Arial" w:cs="Arial"/>
        </w:rPr>
        <w:t>, 2019). Vulnerable groups, such as older adults and individuals with long-term conditions, may be especially affected when care is inconsistent or staff are under pressure (Di Novi, Martini and Sturaro, 2023).</w:t>
      </w:r>
    </w:p>
    <w:p w14:paraId="4F57DAB4" w14:textId="77777777" w:rsidR="00E8041D" w:rsidRPr="00E8041D" w:rsidRDefault="00E8041D" w:rsidP="00E8041D">
      <w:pPr>
        <w:spacing w:line="360" w:lineRule="auto"/>
        <w:jc w:val="both"/>
        <w:rPr>
          <w:rFonts w:ascii="Arial" w:hAnsi="Arial" w:cs="Arial"/>
        </w:rPr>
      </w:pPr>
      <w:r w:rsidRPr="00E8041D">
        <w:rPr>
          <w:rFonts w:ascii="Arial" w:hAnsi="Arial" w:cs="Arial"/>
        </w:rPr>
        <w:lastRenderedPageBreak/>
        <w:t>This topic was selected because it is highly relevant to current challenges within the health and social care sector and aligns closely with academic study in this field. Understanding staff burnout is essential for improving working conditions and supporting sustainable care services. Researching this issue also supports professional development by increasing awareness of workforce wellbeing and highlighting the importance of evidence-based strategies to support staff and improve care outcomes.</w:t>
      </w:r>
    </w:p>
    <w:p w14:paraId="26800F91" w14:textId="24FCCF94" w:rsidR="00456AF3" w:rsidRDefault="00456AF3" w:rsidP="00456AF3">
      <w:pPr>
        <w:pStyle w:val="Heading1"/>
      </w:pPr>
      <w:bookmarkStart w:id="2" w:name="_Toc221479973"/>
      <w:r>
        <w:t>Evaluation Information Sources</w:t>
      </w:r>
      <w:bookmarkEnd w:id="2"/>
    </w:p>
    <w:p w14:paraId="7DF17F4C" w14:textId="77777777" w:rsidR="00B315D3" w:rsidRPr="00B315D3" w:rsidRDefault="00B315D3" w:rsidP="00C102F3">
      <w:pPr>
        <w:spacing w:line="360" w:lineRule="auto"/>
        <w:jc w:val="both"/>
        <w:rPr>
          <w:rFonts w:ascii="Arial" w:hAnsi="Arial" w:cs="Arial"/>
        </w:rPr>
      </w:pPr>
      <w:r w:rsidRPr="00B315D3">
        <w:rPr>
          <w:rFonts w:ascii="Arial" w:hAnsi="Arial" w:cs="Arial"/>
        </w:rPr>
        <w:t>This section evaluates three credible sources that provide evidence and insight into staff burnout within the UK health and social care sector. Each source is summarised, its usefulness is explained, and gaps in the current research are identified.</w:t>
      </w:r>
    </w:p>
    <w:p w14:paraId="34AD8B29" w14:textId="59711A77" w:rsidR="00B315D3" w:rsidRPr="00B315D3" w:rsidRDefault="00B315D3" w:rsidP="00C102F3">
      <w:pPr>
        <w:spacing w:line="360" w:lineRule="auto"/>
        <w:jc w:val="both"/>
        <w:rPr>
          <w:rFonts w:ascii="Arial" w:hAnsi="Arial" w:cs="Arial"/>
        </w:rPr>
      </w:pPr>
      <w:r w:rsidRPr="00B315D3">
        <w:rPr>
          <w:rFonts w:ascii="Arial" w:hAnsi="Arial" w:cs="Arial"/>
        </w:rPr>
        <w:t>The first source is an article by Mckenzie (2023), which discusses staff burnout within the NHS. The article reports that a high proportion of NHS staff experience ongoing stress, fatigue, and emotional exhaustion due to heavy workloads, staff shortages, and increasing patient demand. It highlights the impact of burnout on staff wellbeing, sickness absence, and retention. This source is useful because it provides recent, UK</w:t>
      </w:r>
      <w:r w:rsidRPr="00B315D3">
        <w:rPr>
          <w:rFonts w:ascii="Arial" w:hAnsi="Arial" w:cs="Arial"/>
        </w:rPr>
        <w:noBreakHyphen/>
        <w:t>specific information and reflects current workforce pressures within the NHS. It supports the research topic by demonstrating that burnout is a widespread and urgent issue affecting healthcare staff. However, as the article is not peer</w:t>
      </w:r>
      <w:r w:rsidRPr="00B315D3">
        <w:rPr>
          <w:rFonts w:ascii="Arial" w:hAnsi="Arial" w:cs="Arial"/>
        </w:rPr>
        <w:noBreakHyphen/>
        <w:t>reviewed, it lacks detailed research methodology and focuses primarily on healthcare rather than social care settings.</w:t>
      </w:r>
    </w:p>
    <w:p w14:paraId="00C063D0" w14:textId="77777777" w:rsidR="00B315D3" w:rsidRPr="00B315D3" w:rsidRDefault="00B315D3" w:rsidP="00C102F3">
      <w:pPr>
        <w:spacing w:line="360" w:lineRule="auto"/>
        <w:jc w:val="both"/>
        <w:rPr>
          <w:rFonts w:ascii="Arial" w:hAnsi="Arial" w:cs="Arial"/>
        </w:rPr>
      </w:pPr>
      <w:r w:rsidRPr="00B315D3">
        <w:rPr>
          <w:rFonts w:ascii="Arial" w:hAnsi="Arial" w:cs="Arial"/>
        </w:rPr>
        <w:t>The second source is a peer</w:t>
      </w:r>
      <w:r w:rsidRPr="00B315D3">
        <w:rPr>
          <w:rFonts w:ascii="Arial" w:hAnsi="Arial" w:cs="Arial"/>
        </w:rPr>
        <w:noBreakHyphen/>
        <w:t>reviewed journal article by Sideri et al. (2025), which examines burnout and stress among healthcare professionals. The study uses quantitative methods and validated assessment tools to analyse the relationship between workplace stressors, organisational support, and burnout levels. This source is valuable because it provides strong empirical evidence and supports the argument that burnout is influenced by systemic workplace factors rather than individual resilience alone. It strengthens the academic credibility of the report and helps explain why burnout occurs in demanding care environments. However, the study mainly focuses on healthcare professionals, with limited reference to adult social care workers, which restricts its applicability across the wider care sector.</w:t>
      </w:r>
    </w:p>
    <w:p w14:paraId="6FC1D3B6" w14:textId="63113B11" w:rsidR="00B315D3" w:rsidRPr="00B315D3" w:rsidRDefault="00B315D3" w:rsidP="00C102F3">
      <w:pPr>
        <w:spacing w:line="360" w:lineRule="auto"/>
        <w:jc w:val="both"/>
        <w:rPr>
          <w:rFonts w:ascii="Arial" w:hAnsi="Arial" w:cs="Arial"/>
        </w:rPr>
      </w:pPr>
      <w:r w:rsidRPr="00B315D3">
        <w:rPr>
          <w:rFonts w:ascii="Arial" w:hAnsi="Arial" w:cs="Arial"/>
        </w:rPr>
        <w:lastRenderedPageBreak/>
        <w:t>The third source is a research article by Hall et al. (2016), which explores predictors of workplace stress and burnout in healthcare settings. The study uses large</w:t>
      </w:r>
      <w:r w:rsidRPr="00B315D3">
        <w:rPr>
          <w:rFonts w:ascii="Arial" w:hAnsi="Arial" w:cs="Arial"/>
        </w:rPr>
        <w:noBreakHyphen/>
        <w:t>scale quantitative data to identify links between workload, emotional demands, and burnout indicators such as job strain and psychological distress. This source is useful because it provides statistically robust evidence and supports claims about the prevalence and causes of burnout. Its open</w:t>
      </w:r>
      <w:r w:rsidRPr="00B315D3">
        <w:rPr>
          <w:rFonts w:ascii="Arial" w:hAnsi="Arial" w:cs="Arial"/>
        </w:rPr>
        <w:noBreakHyphen/>
        <w:t>access format also enhances transparency and reliability. Nevertheless, the study does not include qualitative data that would provide insight into staff lived experiences, and it offers limited discussion of social care environments outside clinical settings.</w:t>
      </w:r>
    </w:p>
    <w:p w14:paraId="79E3F350" w14:textId="77777777" w:rsidR="00B315D3" w:rsidRPr="00B315D3" w:rsidRDefault="00B315D3" w:rsidP="00C102F3">
      <w:pPr>
        <w:spacing w:line="360" w:lineRule="auto"/>
        <w:jc w:val="both"/>
        <w:rPr>
          <w:rFonts w:ascii="Arial" w:hAnsi="Arial" w:cs="Arial"/>
        </w:rPr>
      </w:pPr>
      <w:r w:rsidRPr="00B315D3">
        <w:rPr>
          <w:rFonts w:ascii="Arial" w:hAnsi="Arial" w:cs="Arial"/>
        </w:rPr>
        <w:t>Overall, these sources clearly demonstrate that staff burnout is a significant issue within health services. However, gaps remain in the current research. There is limited focus on burnout within social care settings, such as care homes and domiciliary care, and a lack of qualitative research exploring staff perspectives. Future research addressing these gaps would support a more comprehensive understanding of burnout across the UK health and social care sector.</w:t>
      </w:r>
    </w:p>
    <w:p w14:paraId="3CE2081F" w14:textId="77777777" w:rsidR="00E8041D" w:rsidRPr="00E8041D" w:rsidRDefault="00E8041D" w:rsidP="00E8041D"/>
    <w:p w14:paraId="31D03F45" w14:textId="35F0704E" w:rsidR="00490738" w:rsidRDefault="00490738" w:rsidP="00490738">
      <w:pPr>
        <w:pStyle w:val="Heading1"/>
      </w:pPr>
      <w:bookmarkStart w:id="3" w:name="_Toc221479974"/>
      <w:r>
        <w:t>Research Methodologies</w:t>
      </w:r>
      <w:bookmarkEnd w:id="3"/>
    </w:p>
    <w:p w14:paraId="5D4469A0" w14:textId="11C9C432" w:rsidR="001A72C3" w:rsidRPr="001A72C3" w:rsidRDefault="001A72C3" w:rsidP="001A72C3">
      <w:pPr>
        <w:spacing w:line="360" w:lineRule="auto"/>
        <w:jc w:val="both"/>
        <w:rPr>
          <w:rFonts w:ascii="Arial" w:hAnsi="Arial" w:cs="Arial"/>
        </w:rPr>
      </w:pPr>
      <w:r w:rsidRPr="001A72C3">
        <w:rPr>
          <w:rFonts w:ascii="Arial" w:hAnsi="Arial" w:cs="Arial"/>
        </w:rPr>
        <w:t>Research methodology refers to the overall approach used to conduct a study</w:t>
      </w:r>
      <w:r w:rsidR="00AE1E48">
        <w:rPr>
          <w:rFonts w:ascii="Arial" w:hAnsi="Arial" w:cs="Arial"/>
        </w:rPr>
        <w:t xml:space="preserve"> </w:t>
      </w:r>
      <w:r w:rsidR="00AE1E48" w:rsidRPr="00AE1E48">
        <w:rPr>
          <w:rFonts w:ascii="Arial" w:hAnsi="Arial" w:cs="Arial"/>
        </w:rPr>
        <w:t>(Swarooprani, 2022)</w:t>
      </w:r>
      <w:r w:rsidRPr="001A72C3">
        <w:rPr>
          <w:rFonts w:ascii="Arial" w:hAnsi="Arial" w:cs="Arial"/>
        </w:rPr>
        <w:t>. Quantitative research involves the collection and analysis of numerical data</w:t>
      </w:r>
      <w:r w:rsidR="00AE1CDC">
        <w:rPr>
          <w:rFonts w:ascii="Arial" w:hAnsi="Arial" w:cs="Arial"/>
        </w:rPr>
        <w:t xml:space="preserve"> </w:t>
      </w:r>
      <w:r w:rsidR="00AE1CDC" w:rsidRPr="00AE1CDC">
        <w:rPr>
          <w:rFonts w:ascii="Arial" w:hAnsi="Arial" w:cs="Arial"/>
        </w:rPr>
        <w:t>(Evans, 2024)</w:t>
      </w:r>
      <w:r w:rsidRPr="001A72C3">
        <w:rPr>
          <w:rFonts w:ascii="Arial" w:hAnsi="Arial" w:cs="Arial"/>
        </w:rPr>
        <w:t>. It is often used to measure variables such as stress levels, absenteeism, or staff turnover. For example, a questionnaire using a burnout scale to assess stress levels among care staff would be a quantitative approach</w:t>
      </w:r>
      <w:r w:rsidR="00583E26">
        <w:rPr>
          <w:rFonts w:ascii="Arial" w:hAnsi="Arial" w:cs="Arial"/>
        </w:rPr>
        <w:t xml:space="preserve"> </w:t>
      </w:r>
      <w:r w:rsidR="00583E26" w:rsidRPr="00583E26">
        <w:rPr>
          <w:rFonts w:ascii="Arial" w:hAnsi="Arial" w:cs="Arial"/>
        </w:rPr>
        <w:t xml:space="preserve">(Chen </w:t>
      </w:r>
      <w:r w:rsidR="00583E26" w:rsidRPr="00583E26">
        <w:rPr>
          <w:rFonts w:ascii="Arial" w:hAnsi="Arial" w:cs="Arial"/>
          <w:i/>
          <w:iCs/>
        </w:rPr>
        <w:t>et al.</w:t>
      </w:r>
      <w:r w:rsidR="00583E26" w:rsidRPr="00583E26">
        <w:rPr>
          <w:rFonts w:ascii="Arial" w:hAnsi="Arial" w:cs="Arial"/>
        </w:rPr>
        <w:t>, 2022)</w:t>
      </w:r>
      <w:r w:rsidRPr="001A72C3">
        <w:rPr>
          <w:rFonts w:ascii="Arial" w:hAnsi="Arial" w:cs="Arial"/>
        </w:rPr>
        <w:t>.</w:t>
      </w:r>
    </w:p>
    <w:p w14:paraId="24951A16" w14:textId="3010D4A8" w:rsidR="001A72C3" w:rsidRPr="001A72C3" w:rsidRDefault="001A72C3" w:rsidP="001A72C3">
      <w:pPr>
        <w:spacing w:line="360" w:lineRule="auto"/>
        <w:jc w:val="both"/>
        <w:rPr>
          <w:rFonts w:ascii="Arial" w:hAnsi="Arial" w:cs="Arial"/>
        </w:rPr>
      </w:pPr>
      <w:r w:rsidRPr="001A72C3">
        <w:rPr>
          <w:rFonts w:ascii="Arial" w:hAnsi="Arial" w:cs="Arial"/>
        </w:rPr>
        <w:t>Qualitative research focuses on exploring experiences, views, and perceptions in depth</w:t>
      </w:r>
      <w:r w:rsidR="00B57D24">
        <w:rPr>
          <w:rFonts w:ascii="Arial" w:hAnsi="Arial" w:cs="Arial"/>
        </w:rPr>
        <w:t xml:space="preserve"> </w:t>
      </w:r>
      <w:r w:rsidR="00B57D24" w:rsidRPr="00B57D24">
        <w:rPr>
          <w:rFonts w:ascii="Arial" w:hAnsi="Arial" w:cs="Arial"/>
        </w:rPr>
        <w:t>(Lim, 2024)</w:t>
      </w:r>
      <w:r w:rsidRPr="001A72C3">
        <w:rPr>
          <w:rFonts w:ascii="Arial" w:hAnsi="Arial" w:cs="Arial"/>
        </w:rPr>
        <w:t>. Common methods include interviews, focus groups, and open-ended questions</w:t>
      </w:r>
      <w:r w:rsidR="00CB5B5A">
        <w:rPr>
          <w:rFonts w:ascii="Arial" w:hAnsi="Arial" w:cs="Arial"/>
        </w:rPr>
        <w:t xml:space="preserve"> </w:t>
      </w:r>
      <w:r w:rsidR="00CB5B5A" w:rsidRPr="00CB5B5A">
        <w:rPr>
          <w:rFonts w:ascii="Arial" w:hAnsi="Arial" w:cs="Arial"/>
        </w:rPr>
        <w:t>(Salmons, 2023)</w:t>
      </w:r>
      <w:r w:rsidRPr="001A72C3">
        <w:rPr>
          <w:rFonts w:ascii="Arial" w:hAnsi="Arial" w:cs="Arial"/>
        </w:rPr>
        <w:t>. For example, interviewing health and social care staff about their experiences of workload pressure and emotional demands would produce qualitative data</w:t>
      </w:r>
      <w:r w:rsidR="00986413" w:rsidRPr="00986413">
        <w:rPr>
          <w:rFonts w:ascii="Arial" w:eastAsia="Times New Roman" w:hAnsi="Arial" w:cs="Arial"/>
          <w:kern w:val="0"/>
          <w:lang w:eastAsia="en-GB"/>
          <w14:ligatures w14:val="none"/>
        </w:rPr>
        <w:t xml:space="preserve"> </w:t>
      </w:r>
      <w:r w:rsidR="00986413" w:rsidRPr="00986413">
        <w:rPr>
          <w:rFonts w:ascii="Arial" w:hAnsi="Arial" w:cs="Arial"/>
        </w:rPr>
        <w:t>(NHS England, 2017)</w:t>
      </w:r>
      <w:r w:rsidRPr="001A72C3">
        <w:rPr>
          <w:rFonts w:ascii="Arial" w:hAnsi="Arial" w:cs="Arial"/>
        </w:rPr>
        <w:t>. This approach allows for detailed understanding but usually involves smaller sample sizes.</w:t>
      </w:r>
    </w:p>
    <w:p w14:paraId="0716743E" w14:textId="452B030D" w:rsidR="001A72C3" w:rsidRPr="001A72C3" w:rsidRDefault="001A72C3" w:rsidP="001A72C3">
      <w:pPr>
        <w:spacing w:line="360" w:lineRule="auto"/>
        <w:jc w:val="both"/>
        <w:rPr>
          <w:rFonts w:ascii="Arial" w:hAnsi="Arial" w:cs="Arial"/>
        </w:rPr>
      </w:pPr>
      <w:r w:rsidRPr="001A72C3">
        <w:rPr>
          <w:rFonts w:ascii="Arial" w:hAnsi="Arial" w:cs="Arial"/>
        </w:rPr>
        <w:t>Mixed-methods research combines quantitative and qualitative approaches within a single study</w:t>
      </w:r>
      <w:r w:rsidR="00980790">
        <w:rPr>
          <w:rFonts w:ascii="Arial" w:hAnsi="Arial" w:cs="Arial"/>
        </w:rPr>
        <w:t xml:space="preserve"> </w:t>
      </w:r>
      <w:r w:rsidR="00980790" w:rsidRPr="00980790">
        <w:rPr>
          <w:rFonts w:ascii="Arial" w:hAnsi="Arial" w:cs="Arial"/>
        </w:rPr>
        <w:t>(Ahmed, Pereira and Jane, 2024)</w:t>
      </w:r>
      <w:r w:rsidRPr="001A72C3">
        <w:rPr>
          <w:rFonts w:ascii="Arial" w:hAnsi="Arial" w:cs="Arial"/>
        </w:rPr>
        <w:t xml:space="preserve">. This allows researchers to measure </w:t>
      </w:r>
      <w:r w:rsidRPr="001A72C3">
        <w:rPr>
          <w:rFonts w:ascii="Arial" w:hAnsi="Arial" w:cs="Arial"/>
        </w:rPr>
        <w:lastRenderedPageBreak/>
        <w:t>the scale of an issue while also exploring individual experiences. For example, a study could use a staff survey to identify burnout levels and follow this with interviews to explore the reasons behind those findings</w:t>
      </w:r>
      <w:r w:rsidR="00347A90">
        <w:rPr>
          <w:rFonts w:ascii="Arial" w:hAnsi="Arial" w:cs="Arial"/>
        </w:rPr>
        <w:t xml:space="preserve"> </w:t>
      </w:r>
      <w:r w:rsidR="00347A90" w:rsidRPr="00347A90">
        <w:rPr>
          <w:rFonts w:ascii="Arial" w:hAnsi="Arial" w:cs="Arial"/>
        </w:rPr>
        <w:t>(Gauche, de Beer and Brink, 2017)</w:t>
      </w:r>
      <w:r w:rsidRPr="001A72C3">
        <w:rPr>
          <w:rFonts w:ascii="Arial" w:hAnsi="Arial" w:cs="Arial"/>
        </w:rPr>
        <w:t>.</w:t>
      </w:r>
    </w:p>
    <w:p w14:paraId="0376357C" w14:textId="13329B83" w:rsidR="001A72C3" w:rsidRPr="001A72C3" w:rsidRDefault="001A72C3" w:rsidP="001A72C3">
      <w:pPr>
        <w:spacing w:line="360" w:lineRule="auto"/>
        <w:jc w:val="both"/>
        <w:rPr>
          <w:rFonts w:ascii="Arial" w:hAnsi="Arial" w:cs="Arial"/>
        </w:rPr>
      </w:pPr>
      <w:r w:rsidRPr="001A72C3">
        <w:rPr>
          <w:rFonts w:ascii="Arial" w:hAnsi="Arial" w:cs="Arial"/>
        </w:rPr>
        <w:t>For future research into staff burnout, a mixed-methods approach would be most appropriate</w:t>
      </w:r>
      <w:r w:rsidR="00954F86">
        <w:rPr>
          <w:rFonts w:ascii="Arial" w:hAnsi="Arial" w:cs="Arial"/>
        </w:rPr>
        <w:t xml:space="preserve"> </w:t>
      </w:r>
      <w:r w:rsidR="00954F86" w:rsidRPr="00954F86">
        <w:rPr>
          <w:rFonts w:ascii="Arial" w:hAnsi="Arial" w:cs="Arial"/>
        </w:rPr>
        <w:t xml:space="preserve">(Lu </w:t>
      </w:r>
      <w:r w:rsidR="00954F86" w:rsidRPr="00954F86">
        <w:rPr>
          <w:rFonts w:ascii="Arial" w:hAnsi="Arial" w:cs="Arial"/>
          <w:i/>
          <w:iCs/>
        </w:rPr>
        <w:t>et al.</w:t>
      </w:r>
      <w:r w:rsidR="00954F86" w:rsidRPr="00954F86">
        <w:rPr>
          <w:rFonts w:ascii="Arial" w:hAnsi="Arial" w:cs="Arial"/>
        </w:rPr>
        <w:t>, 2022)</w:t>
      </w:r>
      <w:r w:rsidRPr="001A72C3">
        <w:rPr>
          <w:rFonts w:ascii="Arial" w:hAnsi="Arial" w:cs="Arial"/>
        </w:rPr>
        <w:t>. Burnout is both measurable and experiential in nature</w:t>
      </w:r>
      <w:r w:rsidR="007C767C">
        <w:rPr>
          <w:rFonts w:ascii="Arial" w:hAnsi="Arial" w:cs="Arial"/>
        </w:rPr>
        <w:t xml:space="preserve"> </w:t>
      </w:r>
      <w:r w:rsidR="007C767C" w:rsidRPr="007C767C">
        <w:rPr>
          <w:rFonts w:ascii="Arial" w:hAnsi="Arial" w:cs="Arial"/>
        </w:rPr>
        <w:t>(IJzerman and Halsema, 2025)</w:t>
      </w:r>
      <w:r w:rsidRPr="001A72C3">
        <w:rPr>
          <w:rFonts w:ascii="Arial" w:hAnsi="Arial" w:cs="Arial"/>
        </w:rPr>
        <w:t>. Using mixed methods would provide a more comprehensive understanding of the issue and strengthen the reliability of the findings.</w:t>
      </w:r>
    </w:p>
    <w:p w14:paraId="07BDC0B0" w14:textId="77777777" w:rsidR="00C102F3" w:rsidRPr="00C102F3" w:rsidRDefault="00C102F3" w:rsidP="00C102F3"/>
    <w:p w14:paraId="5C184E62" w14:textId="268C02C6" w:rsidR="00490738" w:rsidRDefault="00490738" w:rsidP="00490738">
      <w:pPr>
        <w:pStyle w:val="Heading1"/>
      </w:pPr>
      <w:bookmarkStart w:id="4" w:name="_Toc221479975"/>
      <w:r>
        <w:t>Data Collection</w:t>
      </w:r>
      <w:bookmarkEnd w:id="4"/>
    </w:p>
    <w:p w14:paraId="75DD19B6" w14:textId="4F2CEA1E" w:rsidR="00C502A4" w:rsidRPr="00C502A4" w:rsidRDefault="00C502A4" w:rsidP="00ED28C6">
      <w:pPr>
        <w:spacing w:line="360" w:lineRule="auto"/>
        <w:jc w:val="both"/>
        <w:rPr>
          <w:rFonts w:ascii="Arial" w:hAnsi="Arial" w:cs="Arial"/>
        </w:rPr>
      </w:pPr>
      <w:r w:rsidRPr="00C502A4">
        <w:rPr>
          <w:rFonts w:ascii="Arial" w:hAnsi="Arial" w:cs="Arial"/>
        </w:rPr>
        <w:t>Data collection refers to the process of gathering information for research</w:t>
      </w:r>
      <w:r w:rsidR="00D0649F">
        <w:rPr>
          <w:rFonts w:ascii="Arial" w:hAnsi="Arial" w:cs="Arial"/>
        </w:rPr>
        <w:t xml:space="preserve"> </w:t>
      </w:r>
      <w:r w:rsidR="00D0649F" w:rsidRPr="00D0649F">
        <w:rPr>
          <w:rFonts w:ascii="Arial" w:hAnsi="Arial" w:cs="Arial"/>
        </w:rPr>
        <w:t>(Office of Research Integrity, 2003)</w:t>
      </w:r>
      <w:r w:rsidRPr="00C502A4">
        <w:rPr>
          <w:rFonts w:ascii="Arial" w:hAnsi="Arial" w:cs="Arial"/>
        </w:rPr>
        <w:t>. Primary</w:t>
      </w:r>
      <w:r w:rsidRPr="00C502A4">
        <w:rPr>
          <w:rFonts w:ascii="Arial" w:hAnsi="Arial" w:cs="Arial"/>
          <w:b/>
          <w:bCs/>
        </w:rPr>
        <w:t xml:space="preserve"> </w:t>
      </w:r>
      <w:r w:rsidRPr="00C502A4">
        <w:rPr>
          <w:rFonts w:ascii="Arial" w:hAnsi="Arial" w:cs="Arial"/>
        </w:rPr>
        <w:t>data is collected directly by the researcher and includes methods such as surveys, interviews, and focus groups</w:t>
      </w:r>
      <w:r w:rsidR="000F3666">
        <w:rPr>
          <w:rFonts w:ascii="Arial" w:hAnsi="Arial" w:cs="Arial"/>
        </w:rPr>
        <w:t xml:space="preserve"> </w:t>
      </w:r>
      <w:r w:rsidR="000F3666" w:rsidRPr="000F3666">
        <w:rPr>
          <w:rFonts w:ascii="Arial" w:hAnsi="Arial" w:cs="Arial"/>
        </w:rPr>
        <w:t>(University of Southampton, 2024)</w:t>
      </w:r>
      <w:r w:rsidRPr="00C502A4">
        <w:rPr>
          <w:rFonts w:ascii="Arial" w:hAnsi="Arial" w:cs="Arial"/>
        </w:rPr>
        <w:t>. Secondary data involves the use of existing information, such as academic journals, government reports, and organisational records</w:t>
      </w:r>
      <w:r w:rsidR="00DA52C1">
        <w:rPr>
          <w:rFonts w:ascii="Arial" w:hAnsi="Arial" w:cs="Arial"/>
        </w:rPr>
        <w:t xml:space="preserve"> </w:t>
      </w:r>
      <w:r w:rsidR="00DA52C1" w:rsidRPr="00DA52C1">
        <w:rPr>
          <w:rFonts w:ascii="Arial" w:hAnsi="Arial" w:cs="Arial"/>
        </w:rPr>
        <w:t>(Kelly, Peters and Farber, 2024)</w:t>
      </w:r>
      <w:r w:rsidRPr="00C502A4">
        <w:rPr>
          <w:rFonts w:ascii="Arial" w:hAnsi="Arial" w:cs="Arial"/>
        </w:rPr>
        <w:t>.</w:t>
      </w:r>
    </w:p>
    <w:p w14:paraId="3E305686" w14:textId="7745CA62" w:rsidR="00C502A4" w:rsidRPr="00C502A4" w:rsidRDefault="00C502A4" w:rsidP="00ED28C6">
      <w:pPr>
        <w:spacing w:line="360" w:lineRule="auto"/>
        <w:jc w:val="both"/>
        <w:rPr>
          <w:rFonts w:ascii="Arial" w:hAnsi="Arial" w:cs="Arial"/>
        </w:rPr>
      </w:pPr>
      <w:r w:rsidRPr="00C502A4">
        <w:rPr>
          <w:rFonts w:ascii="Arial" w:hAnsi="Arial" w:cs="Arial"/>
        </w:rPr>
        <w:t>For research into staff burnout, primary data would be the most appropriate choice</w:t>
      </w:r>
      <w:r w:rsidR="00C27324">
        <w:rPr>
          <w:rFonts w:ascii="Arial" w:hAnsi="Arial" w:cs="Arial"/>
        </w:rPr>
        <w:t xml:space="preserve"> </w:t>
      </w:r>
      <w:r w:rsidR="00C27324" w:rsidRPr="00C27324">
        <w:rPr>
          <w:rFonts w:ascii="Arial" w:hAnsi="Arial" w:cs="Arial"/>
        </w:rPr>
        <w:t xml:space="preserve">(Morse </w:t>
      </w:r>
      <w:r w:rsidR="00C27324" w:rsidRPr="00C27324">
        <w:rPr>
          <w:rFonts w:ascii="Arial" w:hAnsi="Arial" w:cs="Arial"/>
          <w:i/>
          <w:iCs/>
        </w:rPr>
        <w:t>et al.</w:t>
      </w:r>
      <w:r w:rsidR="00C27324" w:rsidRPr="00C27324">
        <w:rPr>
          <w:rFonts w:ascii="Arial" w:hAnsi="Arial" w:cs="Arial"/>
        </w:rPr>
        <w:t>, 2012)</w:t>
      </w:r>
      <w:r w:rsidRPr="00C502A4">
        <w:rPr>
          <w:rFonts w:ascii="Arial" w:hAnsi="Arial" w:cs="Arial"/>
        </w:rPr>
        <w:t>. Surveys could be used to measure levels of burnout, while interviews could explore staff experiences in more depth. Primary data allows the research to be tailored to the specific aims of the study and ensures that the information collected is current and relevant</w:t>
      </w:r>
      <w:r w:rsidR="006E0AE5">
        <w:rPr>
          <w:rFonts w:ascii="Arial" w:hAnsi="Arial" w:cs="Arial"/>
        </w:rPr>
        <w:t xml:space="preserve"> </w:t>
      </w:r>
      <w:r w:rsidR="006E0AE5" w:rsidRPr="006E0AE5">
        <w:rPr>
          <w:rFonts w:ascii="Arial" w:hAnsi="Arial" w:cs="Arial"/>
        </w:rPr>
        <w:t>(Ajayi, 2023)</w:t>
      </w:r>
      <w:r w:rsidRPr="00C502A4">
        <w:rPr>
          <w:rFonts w:ascii="Arial" w:hAnsi="Arial" w:cs="Arial"/>
        </w:rPr>
        <w:t>.</w:t>
      </w:r>
    </w:p>
    <w:p w14:paraId="5F7432D0" w14:textId="50A0CB7A" w:rsidR="00C502A4" w:rsidRPr="00C502A4" w:rsidRDefault="00C502A4" w:rsidP="00ED28C6">
      <w:pPr>
        <w:spacing w:line="360" w:lineRule="auto"/>
        <w:jc w:val="both"/>
        <w:rPr>
          <w:rFonts w:ascii="Arial" w:hAnsi="Arial" w:cs="Arial"/>
        </w:rPr>
      </w:pPr>
      <w:r w:rsidRPr="00C502A4">
        <w:rPr>
          <w:rFonts w:ascii="Arial" w:hAnsi="Arial" w:cs="Arial"/>
        </w:rPr>
        <w:t>The advantages of using primary data include greater control over the research process and the ability to gather detailed, first-hand accounts</w:t>
      </w:r>
      <w:r w:rsidR="008A7EBD">
        <w:rPr>
          <w:rFonts w:ascii="Arial" w:hAnsi="Arial" w:cs="Arial"/>
        </w:rPr>
        <w:t xml:space="preserve"> </w:t>
      </w:r>
      <w:r w:rsidR="008A7EBD" w:rsidRPr="008A7EBD">
        <w:rPr>
          <w:rFonts w:ascii="Arial" w:hAnsi="Arial" w:cs="Arial"/>
        </w:rPr>
        <w:t>(Taylor, 2022)</w:t>
      </w:r>
      <w:r w:rsidRPr="00C502A4">
        <w:rPr>
          <w:rFonts w:ascii="Arial" w:hAnsi="Arial" w:cs="Arial"/>
        </w:rPr>
        <w:t>. However, there are also challenges, such as time constraints, ethical approval requirements, and the possibility of low response rates due to staff workload</w:t>
      </w:r>
      <w:r w:rsidR="007D326D">
        <w:rPr>
          <w:rFonts w:ascii="Arial" w:hAnsi="Arial" w:cs="Arial"/>
        </w:rPr>
        <w:t xml:space="preserve"> </w:t>
      </w:r>
      <w:r w:rsidR="007D326D" w:rsidRPr="007D326D">
        <w:rPr>
          <w:rFonts w:ascii="Arial" w:hAnsi="Arial" w:cs="Arial"/>
        </w:rPr>
        <w:t xml:space="preserve">(Kwok </w:t>
      </w:r>
      <w:r w:rsidR="007D326D" w:rsidRPr="007D326D">
        <w:rPr>
          <w:rFonts w:ascii="Arial" w:hAnsi="Arial" w:cs="Arial"/>
          <w:i/>
          <w:iCs/>
        </w:rPr>
        <w:t>et al.</w:t>
      </w:r>
      <w:r w:rsidR="007D326D" w:rsidRPr="007D326D">
        <w:rPr>
          <w:rFonts w:ascii="Arial" w:hAnsi="Arial" w:cs="Arial"/>
        </w:rPr>
        <w:t>, 2022)</w:t>
      </w:r>
      <w:r w:rsidRPr="00C502A4">
        <w:rPr>
          <w:rFonts w:ascii="Arial" w:hAnsi="Arial" w:cs="Arial"/>
        </w:rPr>
        <w:t>.</w:t>
      </w:r>
    </w:p>
    <w:p w14:paraId="07CE3121" w14:textId="5219BB14" w:rsidR="00C502A4" w:rsidRPr="00C502A4" w:rsidRDefault="00C502A4" w:rsidP="00ED28C6">
      <w:pPr>
        <w:spacing w:line="360" w:lineRule="auto"/>
        <w:jc w:val="both"/>
        <w:rPr>
          <w:rFonts w:ascii="Arial" w:hAnsi="Arial" w:cs="Arial"/>
        </w:rPr>
      </w:pPr>
      <w:r w:rsidRPr="00C502A4">
        <w:rPr>
          <w:rFonts w:ascii="Arial" w:hAnsi="Arial" w:cs="Arial"/>
        </w:rPr>
        <w:t>Secondary data could be used to provide background context and support the findings, particularly through national workforce reports</w:t>
      </w:r>
      <w:r w:rsidR="00A917D9">
        <w:rPr>
          <w:rFonts w:ascii="Arial" w:hAnsi="Arial" w:cs="Arial"/>
        </w:rPr>
        <w:t xml:space="preserve"> </w:t>
      </w:r>
      <w:r w:rsidR="00A917D9" w:rsidRPr="00A917D9">
        <w:rPr>
          <w:rFonts w:ascii="Arial" w:hAnsi="Arial" w:cs="Arial"/>
        </w:rPr>
        <w:t>(NHS England, 2026)</w:t>
      </w:r>
      <w:r w:rsidRPr="00C502A4">
        <w:rPr>
          <w:rFonts w:ascii="Arial" w:hAnsi="Arial" w:cs="Arial"/>
        </w:rPr>
        <w:t>. Overall, the use of mainly primary data, supported by secondary sources, would be justified as it allows for a balanced and well-supported investigation of staff burnout.</w:t>
      </w:r>
    </w:p>
    <w:p w14:paraId="71CD6305" w14:textId="77777777" w:rsidR="00BA4C17" w:rsidRPr="00BA4C17" w:rsidRDefault="00BA4C17" w:rsidP="00BA4C17"/>
    <w:p w14:paraId="7EFB76E0" w14:textId="0A6D932F" w:rsidR="00490738" w:rsidRDefault="00490738" w:rsidP="00490738">
      <w:pPr>
        <w:pStyle w:val="Heading1"/>
      </w:pPr>
      <w:bookmarkStart w:id="5" w:name="_Toc221479976"/>
      <w:r>
        <w:lastRenderedPageBreak/>
        <w:t>Conclusion</w:t>
      </w:r>
      <w:bookmarkEnd w:id="5"/>
    </w:p>
    <w:p w14:paraId="25DA8364" w14:textId="7A4F70C4" w:rsidR="009314E8" w:rsidRDefault="00BA4C17" w:rsidP="00BA4C17">
      <w:pPr>
        <w:spacing w:line="360" w:lineRule="auto"/>
        <w:jc w:val="both"/>
        <w:rPr>
          <w:rFonts w:ascii="Arial" w:hAnsi="Arial" w:cs="Arial"/>
        </w:rPr>
      </w:pPr>
      <w:r w:rsidRPr="00BA4C17">
        <w:rPr>
          <w:rFonts w:ascii="Arial" w:hAnsi="Arial" w:cs="Arial"/>
        </w:rPr>
        <w:t>This report has examined staff burnout as a major issue within the UK health and social care sector. It has identified who is affected, why the issue matters, and how burnout impacts staff wellbeing and care quality. By evaluating credible sources and outlining suitable research methodologies and data collection methods, the report has demonstrated how this issue could be effectively studied. Addressing staff burnout is essential for maintaining a sustainable workforce and ensuring safe, high-quality care. Research in this area can support evidence-based improvements and contribute to professional understanding of workforce wellbeing.</w:t>
      </w:r>
    </w:p>
    <w:p w14:paraId="54A6006B" w14:textId="77777777" w:rsidR="009314E8" w:rsidRDefault="009314E8">
      <w:pPr>
        <w:rPr>
          <w:rFonts w:ascii="Arial" w:hAnsi="Arial" w:cs="Arial"/>
        </w:rPr>
      </w:pPr>
      <w:r>
        <w:rPr>
          <w:rFonts w:ascii="Arial" w:hAnsi="Arial" w:cs="Arial"/>
        </w:rPr>
        <w:br w:type="page"/>
      </w:r>
    </w:p>
    <w:p w14:paraId="4B8E162C" w14:textId="0739DC6F" w:rsidR="009314E8" w:rsidRPr="009314E8" w:rsidRDefault="00E8041D" w:rsidP="009314E8">
      <w:pPr>
        <w:pStyle w:val="Heading1"/>
      </w:pPr>
      <w:bookmarkStart w:id="6" w:name="_Toc221479977"/>
      <w:r>
        <w:lastRenderedPageBreak/>
        <w:t>References</w:t>
      </w:r>
      <w:bookmarkEnd w:id="6"/>
    </w:p>
    <w:p w14:paraId="24F56B7B" w14:textId="5B008F0A" w:rsidR="009314E8" w:rsidRPr="009314E8" w:rsidRDefault="009314E8" w:rsidP="009314E8">
      <w:r w:rsidRPr="009314E8">
        <w:t xml:space="preserve">Ahmed, A., Pereira, L. </w:t>
      </w:r>
      <w:r w:rsidR="00446FAA">
        <w:t>A</w:t>
      </w:r>
      <w:r w:rsidRPr="009314E8">
        <w:t xml:space="preserve">nd Jane, K. (2024) </w:t>
      </w:r>
      <w:r w:rsidRPr="009314E8">
        <w:rPr>
          <w:i/>
          <w:iCs/>
        </w:rPr>
        <w:t>Mixed Methods Research: Combining Both Qualitative and Quantitative Approaches</w:t>
      </w:r>
      <w:r w:rsidRPr="009314E8">
        <w:t xml:space="preserve">. Available at: https://www.researchgate.net/publication/384402328_Mixed_Methods_Research_Combining_both_qualitative_and_quantitative_approaches (Accessed: </w:t>
      </w:r>
      <w:r w:rsidR="00414237">
        <w:t>9</w:t>
      </w:r>
      <w:r w:rsidRPr="009314E8">
        <w:t xml:space="preserve"> February 2026).</w:t>
      </w:r>
    </w:p>
    <w:p w14:paraId="76290AD2" w14:textId="77777777" w:rsidR="009314E8" w:rsidRPr="009314E8" w:rsidRDefault="009314E8" w:rsidP="009314E8">
      <w:r w:rsidRPr="009314E8">
        <w:t xml:space="preserve">Ajayi, V.O. (2023) </w:t>
      </w:r>
      <w:r w:rsidRPr="009314E8">
        <w:rPr>
          <w:i/>
          <w:iCs/>
        </w:rPr>
        <w:t>A Review on Primary Sources of Data and Secondary Sources of Data</w:t>
      </w:r>
      <w:r w:rsidRPr="009314E8">
        <w:t xml:space="preserve">, </w:t>
      </w:r>
      <w:r w:rsidRPr="009314E8">
        <w:rPr>
          <w:i/>
          <w:iCs/>
        </w:rPr>
        <w:t>ResearchGate</w:t>
      </w:r>
      <w:r w:rsidRPr="009314E8">
        <w:t>. Available at: https://www.researchgate.net/publication/370608670_A_Review_on_Primary_Sources_of_Data_and_Secondary_Sources_of_Data (Accessed: 8 February 2026).</w:t>
      </w:r>
    </w:p>
    <w:p w14:paraId="1F9122E3" w14:textId="77777777" w:rsidR="009314E8" w:rsidRPr="009314E8" w:rsidRDefault="009314E8" w:rsidP="009314E8">
      <w:r w:rsidRPr="009314E8">
        <w:t xml:space="preserve">Care Quality Commission (2022) </w:t>
      </w:r>
      <w:r w:rsidRPr="009314E8">
        <w:rPr>
          <w:i/>
          <w:iCs/>
        </w:rPr>
        <w:t>Workforce stress and burnout | Care Quality Commission</w:t>
      </w:r>
      <w:r w:rsidRPr="009314E8">
        <w:t xml:space="preserve">, </w:t>
      </w:r>
      <w:r w:rsidRPr="009314E8">
        <w:rPr>
          <w:i/>
          <w:iCs/>
        </w:rPr>
        <w:t>www.cqc.org.uk</w:t>
      </w:r>
      <w:r w:rsidRPr="009314E8">
        <w:t>. Available at: https://www.cqc.org.uk/publications/major-reports/soc202021_01g_stress-burnout (Accessed: 8 February 2026).</w:t>
      </w:r>
    </w:p>
    <w:p w14:paraId="1DF4170A" w14:textId="1F12C9AF" w:rsidR="009314E8" w:rsidRPr="009314E8" w:rsidRDefault="009314E8" w:rsidP="009314E8">
      <w:r w:rsidRPr="009314E8">
        <w:t xml:space="preserve">Chen, B. </w:t>
      </w:r>
      <w:r w:rsidR="00446FAA">
        <w:rPr>
          <w:i/>
          <w:iCs/>
        </w:rPr>
        <w:t>E</w:t>
      </w:r>
      <w:r w:rsidRPr="009314E8">
        <w:rPr>
          <w:i/>
          <w:iCs/>
        </w:rPr>
        <w:t>t al.</w:t>
      </w:r>
      <w:r w:rsidRPr="009314E8">
        <w:t xml:space="preserve"> (2022) ‘Work stress, Mental health, and Employee Performance’, </w:t>
      </w:r>
      <w:r w:rsidRPr="009314E8">
        <w:rPr>
          <w:i/>
          <w:iCs/>
        </w:rPr>
        <w:t>Frontiers in Psychology</w:t>
      </w:r>
      <w:r w:rsidRPr="009314E8">
        <w:t>, 13(8). Available at: https://doi.org/10.3389/fpsyg.2022.1006580.</w:t>
      </w:r>
    </w:p>
    <w:p w14:paraId="3824936E" w14:textId="7ACAAB4A" w:rsidR="009314E8" w:rsidRPr="009314E8" w:rsidRDefault="009314E8" w:rsidP="009314E8">
      <w:r w:rsidRPr="009314E8">
        <w:t xml:space="preserve">Di Novi, C., Martini, G. </w:t>
      </w:r>
      <w:r w:rsidR="00446FAA">
        <w:t>A</w:t>
      </w:r>
      <w:r w:rsidRPr="009314E8">
        <w:t xml:space="preserve">nd Sturaro, C. (2023) ‘The Impact of Informal and Formal Care Disruption on Older Adults’ Psychological Distress During the COVID-19 Pandemic in UK’, </w:t>
      </w:r>
      <w:r w:rsidRPr="009314E8">
        <w:rPr>
          <w:i/>
          <w:iCs/>
        </w:rPr>
        <w:t>Economics &amp; Human Biology</w:t>
      </w:r>
      <w:r w:rsidRPr="009314E8">
        <w:t>, p. 101242. Available at: https://doi.org/10.1016/j.ehb.2023.101242.</w:t>
      </w:r>
    </w:p>
    <w:p w14:paraId="6E38B0A9" w14:textId="2135A2CC" w:rsidR="009314E8" w:rsidRPr="009314E8" w:rsidRDefault="009314E8" w:rsidP="009314E8">
      <w:r w:rsidRPr="009314E8">
        <w:t xml:space="preserve">Evans, G. (2024) </w:t>
      </w:r>
      <w:r w:rsidRPr="009314E8">
        <w:rPr>
          <w:i/>
          <w:iCs/>
        </w:rPr>
        <w:t>LibGuides: Public Health: Qualitative vs Quantitative Research</w:t>
      </w:r>
      <w:r w:rsidRPr="009314E8">
        <w:t>. Available at: https://libguides.coventry.ac.uk/c.php?</w:t>
      </w:r>
      <w:r w:rsidR="00446FAA">
        <w:t>G</w:t>
      </w:r>
      <w:r w:rsidRPr="009314E8">
        <w:t>=712032&amp;p=5151424 (Accessed: 8 February 2026).</w:t>
      </w:r>
    </w:p>
    <w:p w14:paraId="0FDE2B19" w14:textId="735346AF" w:rsidR="009314E8" w:rsidRPr="009314E8" w:rsidRDefault="009314E8" w:rsidP="009314E8">
      <w:r w:rsidRPr="009314E8">
        <w:t xml:space="preserve">Garcia, C. </w:t>
      </w:r>
      <w:r w:rsidR="00446FAA">
        <w:rPr>
          <w:i/>
          <w:iCs/>
        </w:rPr>
        <w:t>E</w:t>
      </w:r>
      <w:r w:rsidRPr="009314E8">
        <w:rPr>
          <w:i/>
          <w:iCs/>
        </w:rPr>
        <w:t>t al.</w:t>
      </w:r>
      <w:r w:rsidRPr="009314E8">
        <w:t xml:space="preserve"> (2019) ‘Influence of Burnout on Patient Safety: Systematic Review and Meta-Analysis’, </w:t>
      </w:r>
      <w:r w:rsidRPr="009314E8">
        <w:rPr>
          <w:i/>
          <w:iCs/>
        </w:rPr>
        <w:t>Medicina</w:t>
      </w:r>
      <w:r w:rsidRPr="009314E8">
        <w:t>, 55(9), p. 553. Available at: https://doi.org/10.3390/medicina55090553.</w:t>
      </w:r>
    </w:p>
    <w:p w14:paraId="5928208B" w14:textId="77777777" w:rsidR="009314E8" w:rsidRPr="009314E8" w:rsidRDefault="009314E8" w:rsidP="009314E8">
      <w:r w:rsidRPr="009314E8">
        <w:t xml:space="preserve">Gauche, C., de Beer, L.T. and Brink, L. (2017) ‘Exploring demands from the perspective of employees identified as being at risk of burnout’, </w:t>
      </w:r>
      <w:r w:rsidRPr="009314E8">
        <w:rPr>
          <w:i/>
          <w:iCs/>
        </w:rPr>
        <w:t>International Journal of Qualitative Studies on Health and Well-being</w:t>
      </w:r>
      <w:r w:rsidRPr="009314E8">
        <w:t>, 12(1), p. 1361783. Available at: https://doi.org/10.1080/17482631.2017.1361783.</w:t>
      </w:r>
    </w:p>
    <w:p w14:paraId="737552C1" w14:textId="77777777" w:rsidR="009314E8" w:rsidRPr="009314E8" w:rsidRDefault="009314E8" w:rsidP="009314E8">
      <w:r w:rsidRPr="009314E8">
        <w:t xml:space="preserve">Hall, L.H. </w:t>
      </w:r>
      <w:r w:rsidRPr="009314E8">
        <w:rPr>
          <w:i/>
          <w:iCs/>
        </w:rPr>
        <w:t>et al.</w:t>
      </w:r>
      <w:r w:rsidRPr="009314E8">
        <w:t xml:space="preserve"> (2016) ‘Healthcare Staff Wellbeing, Burnout, and Patient Safety: a Systematic Review’, </w:t>
      </w:r>
      <w:r w:rsidRPr="009314E8">
        <w:rPr>
          <w:i/>
          <w:iCs/>
        </w:rPr>
        <w:t>PLOS ONE</w:t>
      </w:r>
      <w:r w:rsidRPr="009314E8">
        <w:t>. Edited by F. Harris, 11(7), pp. 1–12. Available at: https://doi.org/10.1371/journal.pone.0159015.</w:t>
      </w:r>
    </w:p>
    <w:p w14:paraId="76F4A348" w14:textId="77777777" w:rsidR="009314E8" w:rsidRPr="009314E8" w:rsidRDefault="009314E8" w:rsidP="009314E8">
      <w:r w:rsidRPr="009314E8">
        <w:t xml:space="preserve">Hodgson, R. (2024) </w:t>
      </w:r>
      <w:r w:rsidRPr="009314E8">
        <w:rPr>
          <w:i/>
          <w:iCs/>
        </w:rPr>
        <w:t>Mental Health Challenges Among Healthcare Workers: Impact &amp; Solutions</w:t>
      </w:r>
      <w:r w:rsidRPr="009314E8">
        <w:t xml:space="preserve">, </w:t>
      </w:r>
      <w:r w:rsidRPr="009314E8">
        <w:rPr>
          <w:i/>
          <w:iCs/>
        </w:rPr>
        <w:t>Unity Plus</w:t>
      </w:r>
      <w:r w:rsidRPr="009314E8">
        <w:t>. Available at: https://unityplus.co.uk/blog/mental-health-challenges-healthcare-workers/ (Accessed: 8 February 2026).</w:t>
      </w:r>
    </w:p>
    <w:p w14:paraId="2228F406" w14:textId="084A1926" w:rsidR="009314E8" w:rsidRPr="009314E8" w:rsidRDefault="009314E8" w:rsidP="009314E8">
      <w:r w:rsidRPr="009314E8">
        <w:lastRenderedPageBreak/>
        <w:t xml:space="preserve">IJzerman, L. </w:t>
      </w:r>
      <w:r w:rsidR="00446FAA">
        <w:t>A</w:t>
      </w:r>
      <w:r w:rsidRPr="009314E8">
        <w:t xml:space="preserve">nd Halsema, A. (2025) ‘Burnout as breakdown of one’s existence in the world’, </w:t>
      </w:r>
      <w:r w:rsidRPr="009314E8">
        <w:rPr>
          <w:i/>
          <w:iCs/>
        </w:rPr>
        <w:t>Medicine Health Care and Philosophy</w:t>
      </w:r>
      <w:r w:rsidRPr="009314E8">
        <w:t>, 28(3). Available at: https://doi.org/10.1007/s11019-025-10281-8.</w:t>
      </w:r>
    </w:p>
    <w:p w14:paraId="18264F31" w14:textId="77777777" w:rsidR="009314E8" w:rsidRPr="009314E8" w:rsidRDefault="009314E8" w:rsidP="009314E8">
      <w:r w:rsidRPr="009314E8">
        <w:t xml:space="preserve">Kelly, M.M., Peters, T.M. and Farber, J.S. (2024) ‘Secondary data analysis: Using existing data to answer new questions’, </w:t>
      </w:r>
      <w:r w:rsidRPr="009314E8">
        <w:rPr>
          <w:i/>
          <w:iCs/>
        </w:rPr>
        <w:t>Journal of Pediatric Health Care</w:t>
      </w:r>
      <w:r w:rsidRPr="009314E8">
        <w:t>, 38(4), pp. 615–618. Available at: https://doi.org/10.1016/j.pedhc.2024.03.005.</w:t>
      </w:r>
    </w:p>
    <w:p w14:paraId="10B8C972" w14:textId="0AEAFC5F" w:rsidR="009314E8" w:rsidRPr="009314E8" w:rsidRDefault="009314E8" w:rsidP="009314E8">
      <w:r w:rsidRPr="009314E8">
        <w:t xml:space="preserve">Kinman, G., Dovey, A. </w:t>
      </w:r>
      <w:r w:rsidR="00446FAA">
        <w:t>A</w:t>
      </w:r>
      <w:r w:rsidRPr="009314E8">
        <w:t xml:space="preserve">nd Teoh, K. (2023) </w:t>
      </w:r>
      <w:r w:rsidRPr="009314E8">
        <w:rPr>
          <w:i/>
          <w:iCs/>
        </w:rPr>
        <w:t>Burnout in healthcare: risk factors and solutions</w:t>
      </w:r>
      <w:r w:rsidRPr="009314E8">
        <w:t xml:space="preserve">. Available at: https://www.som.org.uk/sites/som.org.uk/files/Burnout_in_healthcare_risk_factors_and_solutions_July2023.pdf (Accessed: </w:t>
      </w:r>
      <w:r w:rsidR="007865F9">
        <w:t>9</w:t>
      </w:r>
      <w:r w:rsidRPr="009314E8">
        <w:t xml:space="preserve"> February 2026).</w:t>
      </w:r>
    </w:p>
    <w:p w14:paraId="1C14C833" w14:textId="77777777" w:rsidR="009314E8" w:rsidRPr="009314E8" w:rsidRDefault="009314E8" w:rsidP="009314E8">
      <w:r w:rsidRPr="009314E8">
        <w:t xml:space="preserve">Kwok, C.S. </w:t>
      </w:r>
      <w:r w:rsidRPr="009314E8">
        <w:rPr>
          <w:i/>
          <w:iCs/>
        </w:rPr>
        <w:t>et al.</w:t>
      </w:r>
      <w:r w:rsidRPr="009314E8">
        <w:t xml:space="preserve"> (2022) ‘Data Collection Theory in Healthcare Research: The Minimum Dataset in Quantitative Studies’, </w:t>
      </w:r>
      <w:r w:rsidRPr="009314E8">
        <w:rPr>
          <w:i/>
          <w:iCs/>
        </w:rPr>
        <w:t>Clinics and Practice</w:t>
      </w:r>
      <w:r w:rsidRPr="009314E8">
        <w:t>, 12(6), pp. 832–844. Available at: https://doi.org/10.3390/clinpract12060088.</w:t>
      </w:r>
    </w:p>
    <w:p w14:paraId="6450FF54" w14:textId="08CD2A62" w:rsidR="009314E8" w:rsidRPr="009314E8" w:rsidRDefault="009314E8" w:rsidP="009314E8">
      <w:r w:rsidRPr="009314E8">
        <w:t xml:space="preserve">Lim, W.M. (2024) ‘What Is Qualitative research? </w:t>
      </w:r>
      <w:r w:rsidR="00446FAA">
        <w:t>A</w:t>
      </w:r>
      <w:r w:rsidRPr="009314E8">
        <w:t xml:space="preserve">n Overview and Guidelines’, </w:t>
      </w:r>
      <w:r w:rsidRPr="009314E8">
        <w:rPr>
          <w:i/>
          <w:iCs/>
        </w:rPr>
        <w:t>Australasian Marketing Journal (AMJ)</w:t>
      </w:r>
      <w:r w:rsidRPr="009314E8">
        <w:t>, 33(2), pp. 199–229. Available at: https://doi.org/10.1177/14413582241264619.</w:t>
      </w:r>
    </w:p>
    <w:p w14:paraId="12601934" w14:textId="77777777" w:rsidR="009314E8" w:rsidRPr="009314E8" w:rsidRDefault="009314E8" w:rsidP="009314E8">
      <w:r w:rsidRPr="009314E8">
        <w:t xml:space="preserve">Lu, M.A. </w:t>
      </w:r>
      <w:r w:rsidRPr="009314E8">
        <w:rPr>
          <w:i/>
          <w:iCs/>
        </w:rPr>
        <w:t>et al.</w:t>
      </w:r>
      <w:r w:rsidRPr="009314E8">
        <w:t xml:space="preserve"> (2022) ‘“Where You Feel Like a Family Instead of Co-workers”: a Mixed Methods Study on Care Teams and Burnout’, </w:t>
      </w:r>
      <w:r w:rsidRPr="009314E8">
        <w:rPr>
          <w:i/>
          <w:iCs/>
        </w:rPr>
        <w:t>Journal of General Internal Medicine</w:t>
      </w:r>
      <w:r w:rsidRPr="009314E8">
        <w:t>, 38(2). Available at: https://doi.org/10.1007/s11606-022-07756-2.</w:t>
      </w:r>
    </w:p>
    <w:p w14:paraId="0BB391A6" w14:textId="26AE9D03" w:rsidR="009314E8" w:rsidRPr="009314E8" w:rsidRDefault="009314E8" w:rsidP="009314E8">
      <w:r w:rsidRPr="009314E8">
        <w:t xml:space="preserve">Mckenzie, R. (2023) </w:t>
      </w:r>
      <w:r w:rsidRPr="009314E8">
        <w:rPr>
          <w:i/>
          <w:iCs/>
        </w:rPr>
        <w:t>Sick and tired: how can we stop staff burnout in the NHS?</w:t>
      </w:r>
      <w:r w:rsidRPr="009314E8">
        <w:t xml:space="preserve"> Available at: https://www.miphealth.org.uk/news/sick-and-tired-staff-burnout-nhs/ (Accessed: </w:t>
      </w:r>
      <w:r w:rsidR="00414237">
        <w:t>9</w:t>
      </w:r>
      <w:r w:rsidRPr="009314E8">
        <w:t xml:space="preserve"> February 2026).</w:t>
      </w:r>
    </w:p>
    <w:p w14:paraId="02E731CC" w14:textId="1CA4D702" w:rsidR="009314E8" w:rsidRPr="009314E8" w:rsidRDefault="009314E8" w:rsidP="009314E8">
      <w:r w:rsidRPr="009314E8">
        <w:t xml:space="preserve">Mental Health UK (2024) </w:t>
      </w:r>
      <w:r w:rsidRPr="009314E8">
        <w:rPr>
          <w:i/>
          <w:iCs/>
        </w:rPr>
        <w:t>Burnout</w:t>
      </w:r>
      <w:r w:rsidRPr="009314E8">
        <w:t xml:space="preserve">, </w:t>
      </w:r>
      <w:r w:rsidRPr="009314E8">
        <w:rPr>
          <w:i/>
          <w:iCs/>
        </w:rPr>
        <w:t>Mental Health UK</w:t>
      </w:r>
      <w:r w:rsidRPr="009314E8">
        <w:t xml:space="preserve">. Available at: https://mentalhealth-uk.org/burnout/ (Accessed: </w:t>
      </w:r>
      <w:r w:rsidR="007865F9">
        <w:t>10</w:t>
      </w:r>
      <w:r w:rsidRPr="009314E8">
        <w:t xml:space="preserve"> February 2026).</w:t>
      </w:r>
    </w:p>
    <w:p w14:paraId="7A6E2431" w14:textId="3D3131E7" w:rsidR="009314E8" w:rsidRPr="009314E8" w:rsidRDefault="009314E8" w:rsidP="009314E8">
      <w:r w:rsidRPr="009314E8">
        <w:t xml:space="preserve">Morse, G. </w:t>
      </w:r>
      <w:r w:rsidR="00446FAA">
        <w:rPr>
          <w:i/>
          <w:iCs/>
        </w:rPr>
        <w:t>E</w:t>
      </w:r>
      <w:r w:rsidRPr="009314E8">
        <w:rPr>
          <w:i/>
          <w:iCs/>
        </w:rPr>
        <w:t>t al.</w:t>
      </w:r>
      <w:r w:rsidRPr="009314E8">
        <w:t xml:space="preserve"> (2012) ‘Burnout in Mental Health Services: a Review of the Problem and Its Remediation’, </w:t>
      </w:r>
      <w:r w:rsidRPr="009314E8">
        <w:rPr>
          <w:i/>
          <w:iCs/>
        </w:rPr>
        <w:t>Administration and Policy in Mental Health and Mental Health Services Research</w:t>
      </w:r>
      <w:r w:rsidRPr="009314E8">
        <w:t>, 39(5), pp. 341–352. Available at: https://doi.org/10.1007/s10488-011-0352-1.</w:t>
      </w:r>
    </w:p>
    <w:p w14:paraId="6E6F57C6" w14:textId="7EDDF4C9" w:rsidR="009314E8" w:rsidRPr="009314E8" w:rsidRDefault="009314E8" w:rsidP="009314E8">
      <w:r w:rsidRPr="009314E8">
        <w:t xml:space="preserve">NHS Employers (2025) </w:t>
      </w:r>
      <w:r w:rsidRPr="009314E8">
        <w:rPr>
          <w:i/>
          <w:iCs/>
        </w:rPr>
        <w:t xml:space="preserve">Beating burnout in the NHS </w:t>
      </w:r>
      <w:r w:rsidRPr="009314E8">
        <w:t xml:space="preserve">. NHS Employers. Available at: https://www.nhsemployers.org/articles/beating-burnout-nhs (Accessed: </w:t>
      </w:r>
      <w:r w:rsidR="00414237">
        <w:t xml:space="preserve">9 </w:t>
      </w:r>
      <w:r w:rsidRPr="009314E8">
        <w:t>February 2026).</w:t>
      </w:r>
    </w:p>
    <w:p w14:paraId="40872DF5" w14:textId="1EF09C80" w:rsidR="009314E8" w:rsidRPr="009314E8" w:rsidRDefault="009314E8" w:rsidP="009314E8">
      <w:r w:rsidRPr="009314E8">
        <w:t xml:space="preserve">NHS England (2017) </w:t>
      </w:r>
      <w:r w:rsidRPr="009314E8">
        <w:rPr>
          <w:i/>
          <w:iCs/>
        </w:rPr>
        <w:t>Building greater insight through qualitative research</w:t>
      </w:r>
      <w:r w:rsidRPr="009314E8">
        <w:t xml:space="preserve">. Available at: https://www.england.nhs.uk/wp-content/uploads/2017/04/bitesize-guide-qualitative-research.pdf (Accessed: </w:t>
      </w:r>
      <w:r w:rsidR="007865F9">
        <w:t>9</w:t>
      </w:r>
      <w:r w:rsidRPr="009314E8">
        <w:t xml:space="preserve"> February 2026).</w:t>
      </w:r>
    </w:p>
    <w:p w14:paraId="1CFAE08E" w14:textId="77777777" w:rsidR="009314E8" w:rsidRPr="009314E8" w:rsidRDefault="009314E8" w:rsidP="009314E8">
      <w:r w:rsidRPr="009314E8">
        <w:t xml:space="preserve">NHS England (2026) </w:t>
      </w:r>
      <w:r w:rsidRPr="009314E8">
        <w:rPr>
          <w:i/>
          <w:iCs/>
        </w:rPr>
        <w:t>National Workforce Reporting Service (NWRS)</w:t>
      </w:r>
      <w:r w:rsidRPr="009314E8">
        <w:t xml:space="preserve">, </w:t>
      </w:r>
      <w:r w:rsidRPr="009314E8">
        <w:rPr>
          <w:i/>
          <w:iCs/>
        </w:rPr>
        <w:t>NHS Digital</w:t>
      </w:r>
      <w:r w:rsidRPr="009314E8">
        <w:t>. Available at: https://digital.nhs.uk/data-and-information/areas-of-</w:t>
      </w:r>
      <w:r w:rsidRPr="009314E8">
        <w:lastRenderedPageBreak/>
        <w:t>interest/workforce/national-workforce-reporting-service-nwrs (Accessed: 8 February 2026).</w:t>
      </w:r>
    </w:p>
    <w:p w14:paraId="5F85652D" w14:textId="63C28A79" w:rsidR="009314E8" w:rsidRPr="009314E8" w:rsidRDefault="009314E8" w:rsidP="009314E8">
      <w:r w:rsidRPr="009314E8">
        <w:t xml:space="preserve">Office of Research Integrity (2003) </w:t>
      </w:r>
      <w:r w:rsidRPr="009314E8">
        <w:rPr>
          <w:i/>
          <w:iCs/>
        </w:rPr>
        <w:t>Data Collection</w:t>
      </w:r>
      <w:r w:rsidRPr="009314E8">
        <w:t xml:space="preserve">, </w:t>
      </w:r>
      <w:r w:rsidRPr="009314E8">
        <w:rPr>
          <w:i/>
          <w:iCs/>
        </w:rPr>
        <w:t>Hhs.gov</w:t>
      </w:r>
      <w:r w:rsidRPr="009314E8">
        <w:t xml:space="preserve">. Available at: https://ori.hhs.gov/education/products/n_illinois_u/datamanagement/dctopic.html (Accessed: </w:t>
      </w:r>
      <w:r w:rsidR="00414237">
        <w:t>9</w:t>
      </w:r>
      <w:r w:rsidRPr="009314E8">
        <w:t xml:space="preserve"> February 2026).</w:t>
      </w:r>
    </w:p>
    <w:p w14:paraId="1B875507" w14:textId="5089E301" w:rsidR="009314E8" w:rsidRPr="009314E8" w:rsidRDefault="009314E8" w:rsidP="009314E8">
      <w:r w:rsidRPr="009314E8">
        <w:t xml:space="preserve">Salmons, J. (2023) </w:t>
      </w:r>
      <w:r w:rsidRPr="009314E8">
        <w:rPr>
          <w:i/>
          <w:iCs/>
        </w:rPr>
        <w:t>Sage Research Methods Community</w:t>
      </w:r>
      <w:r w:rsidRPr="009314E8">
        <w:t xml:space="preserve">. Available at: https://researchmethodscommunity.sagepub.com/blog/131625 (Accessed: </w:t>
      </w:r>
      <w:r w:rsidR="004B6C76">
        <w:t>9</w:t>
      </w:r>
      <w:r w:rsidRPr="009314E8">
        <w:t xml:space="preserve"> February 2026).</w:t>
      </w:r>
    </w:p>
    <w:p w14:paraId="31D5B3AD" w14:textId="77777777" w:rsidR="009314E8" w:rsidRPr="009314E8" w:rsidRDefault="009314E8" w:rsidP="009314E8">
      <w:r w:rsidRPr="009314E8">
        <w:t xml:space="preserve">Sideri, A.D. </w:t>
      </w:r>
      <w:r w:rsidRPr="009314E8">
        <w:rPr>
          <w:i/>
          <w:iCs/>
        </w:rPr>
        <w:t>et al.</w:t>
      </w:r>
      <w:r w:rsidRPr="009314E8">
        <w:t xml:space="preserve"> (2025) ‘Prevalence and Risk Factors of Burnout Among Mental Health Professionals in the NHS: A Systematic Review’, </w:t>
      </w:r>
      <w:r w:rsidRPr="009314E8">
        <w:rPr>
          <w:i/>
          <w:iCs/>
        </w:rPr>
        <w:t>Counselling and Psychotherapy Research</w:t>
      </w:r>
      <w:r w:rsidRPr="009314E8">
        <w:t>, 25(4). Available at: https://doi.org/10.1002/capr.70055.</w:t>
      </w:r>
    </w:p>
    <w:p w14:paraId="6E5ACE49" w14:textId="70F5EE22" w:rsidR="009314E8" w:rsidRPr="009314E8" w:rsidRDefault="009314E8" w:rsidP="009314E8">
      <w:r w:rsidRPr="009314E8">
        <w:t xml:space="preserve">Sipos, D., Goyal, R. </w:t>
      </w:r>
      <w:r w:rsidR="00446FAA">
        <w:t>A</w:t>
      </w:r>
      <w:r w:rsidRPr="009314E8">
        <w:t xml:space="preserve">nd Zapata, T. (2024) ‘Addressing burnout in the healthcare workforce: current realities and mitigation strategies’, </w:t>
      </w:r>
      <w:r w:rsidRPr="009314E8">
        <w:rPr>
          <w:i/>
          <w:iCs/>
        </w:rPr>
        <w:t>The Lancet regional health. Europe</w:t>
      </w:r>
      <w:r w:rsidRPr="009314E8">
        <w:t>, 42(100961), pp. 100961–100961. Available at: https://doi.org/10.1016/j.lanepe.2024.100961.</w:t>
      </w:r>
    </w:p>
    <w:p w14:paraId="2CA8A994" w14:textId="77777777" w:rsidR="009314E8" w:rsidRPr="009314E8" w:rsidRDefault="009314E8" w:rsidP="009314E8">
      <w:r w:rsidRPr="009314E8">
        <w:t xml:space="preserve">Swarooprani, K. (2022) </w:t>
      </w:r>
      <w:r w:rsidRPr="009314E8">
        <w:rPr>
          <w:i/>
          <w:iCs/>
        </w:rPr>
        <w:t>An Study of Research Methodology</w:t>
      </w:r>
      <w:r w:rsidRPr="009314E8">
        <w:t>. Available at: https://www.researchgate.net/publication/361807570_An_Study_of_Research_Methodology (Accessed: 8 February 2026).</w:t>
      </w:r>
    </w:p>
    <w:p w14:paraId="5D7E4B56" w14:textId="4584D696" w:rsidR="009314E8" w:rsidRPr="009314E8" w:rsidRDefault="009314E8" w:rsidP="009314E8">
      <w:r w:rsidRPr="009314E8">
        <w:t xml:space="preserve">Taylor, E. (2022) </w:t>
      </w:r>
      <w:r w:rsidRPr="009314E8">
        <w:rPr>
          <w:i/>
          <w:iCs/>
        </w:rPr>
        <w:t>Advantages of Primary Research</w:t>
      </w:r>
      <w:r w:rsidRPr="009314E8">
        <w:t xml:space="preserve">, </w:t>
      </w:r>
      <w:r w:rsidRPr="009314E8">
        <w:rPr>
          <w:i/>
          <w:iCs/>
        </w:rPr>
        <w:t>www.ivoryresearch.com</w:t>
      </w:r>
      <w:r w:rsidRPr="009314E8">
        <w:t xml:space="preserve">. Available at: https://www.ivoryresearch.com/library/dissertation-articles/advantages-of-primary-research/ (Accessed: </w:t>
      </w:r>
      <w:r w:rsidR="004B6C76">
        <w:t>9</w:t>
      </w:r>
      <w:r w:rsidRPr="009314E8">
        <w:t xml:space="preserve"> February 2026).</w:t>
      </w:r>
    </w:p>
    <w:p w14:paraId="511D0167" w14:textId="77777777" w:rsidR="009314E8" w:rsidRPr="009314E8" w:rsidRDefault="009314E8" w:rsidP="009314E8">
      <w:r w:rsidRPr="009314E8">
        <w:t xml:space="preserve">University of Southampton (2024) </w:t>
      </w:r>
      <w:r w:rsidRPr="009314E8">
        <w:rPr>
          <w:i/>
          <w:iCs/>
        </w:rPr>
        <w:t>Primary Research</w:t>
      </w:r>
      <w:r w:rsidRPr="009314E8">
        <w:t xml:space="preserve">, </w:t>
      </w:r>
      <w:r w:rsidRPr="009314E8">
        <w:rPr>
          <w:i/>
          <w:iCs/>
        </w:rPr>
        <w:t>library.soton.ac.uk</w:t>
      </w:r>
      <w:r w:rsidRPr="009314E8">
        <w:t>. University of Southampton. Available at: https://library.soton.ac.uk/sash/primary-research (Accessed: 8 February 2026).</w:t>
      </w:r>
    </w:p>
    <w:p w14:paraId="60CB9A1E" w14:textId="20E42D3F" w:rsidR="009314E8" w:rsidRPr="009314E8" w:rsidRDefault="009314E8" w:rsidP="009314E8">
      <w:r w:rsidRPr="009314E8">
        <w:t xml:space="preserve">Welch, M. (2026) </w:t>
      </w:r>
      <w:r w:rsidRPr="009314E8">
        <w:rPr>
          <w:i/>
          <w:iCs/>
        </w:rPr>
        <w:t>Burnout in Healthcare Is Rising, and Putting Patient Safety at Risk</w:t>
      </w:r>
      <w:r w:rsidRPr="009314E8">
        <w:t>. Available at: https://www.salford.ac.uk/spd/burnout-in-healthcare-rising-and-putting-patient-safety-risk (Accessed: 8 February 2026).</w:t>
      </w:r>
    </w:p>
    <w:p w14:paraId="0C3A6CBE" w14:textId="1CC20316" w:rsidR="00456AF3" w:rsidRDefault="00257148">
      <w:r>
        <w:t>`</w:t>
      </w:r>
    </w:p>
    <w:sectPr w:rsidR="00456AF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65123" w14:textId="77777777" w:rsidR="00BE6755" w:rsidRDefault="00BE6755" w:rsidP="00456AF3">
      <w:pPr>
        <w:spacing w:after="0" w:line="240" w:lineRule="auto"/>
      </w:pPr>
      <w:r>
        <w:separator/>
      </w:r>
    </w:p>
  </w:endnote>
  <w:endnote w:type="continuationSeparator" w:id="0">
    <w:p w14:paraId="3EC24E27" w14:textId="77777777" w:rsidR="00BE6755" w:rsidRDefault="00BE6755" w:rsidP="00456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0717998"/>
      <w:docPartObj>
        <w:docPartGallery w:val="Page Numbers (Bottom of Page)"/>
        <w:docPartUnique/>
      </w:docPartObj>
    </w:sdtPr>
    <w:sdtEndPr>
      <w:rPr>
        <w:noProof/>
      </w:rPr>
    </w:sdtEndPr>
    <w:sdtContent>
      <w:p w14:paraId="406B2C9C" w14:textId="5EFA3799" w:rsidR="00456AF3" w:rsidRDefault="00456A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9A1150" w14:textId="77777777" w:rsidR="00456AF3" w:rsidRDefault="00456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1C296" w14:textId="77777777" w:rsidR="00BE6755" w:rsidRDefault="00BE6755" w:rsidP="00456AF3">
      <w:pPr>
        <w:spacing w:after="0" w:line="240" w:lineRule="auto"/>
      </w:pPr>
      <w:r>
        <w:separator/>
      </w:r>
    </w:p>
  </w:footnote>
  <w:footnote w:type="continuationSeparator" w:id="0">
    <w:p w14:paraId="7AFF12C7" w14:textId="77777777" w:rsidR="00BE6755" w:rsidRDefault="00BE6755" w:rsidP="00456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AF3"/>
    <w:rsid w:val="000F3666"/>
    <w:rsid w:val="00131111"/>
    <w:rsid w:val="001A72C3"/>
    <w:rsid w:val="00254A16"/>
    <w:rsid w:val="00257148"/>
    <w:rsid w:val="00267852"/>
    <w:rsid w:val="002C645F"/>
    <w:rsid w:val="00347A90"/>
    <w:rsid w:val="003D7A98"/>
    <w:rsid w:val="00414237"/>
    <w:rsid w:val="00446FAA"/>
    <w:rsid w:val="00456AF3"/>
    <w:rsid w:val="00490738"/>
    <w:rsid w:val="004B6C76"/>
    <w:rsid w:val="00560CA3"/>
    <w:rsid w:val="00583E26"/>
    <w:rsid w:val="005A1A48"/>
    <w:rsid w:val="00607BB9"/>
    <w:rsid w:val="00633E6D"/>
    <w:rsid w:val="00643F10"/>
    <w:rsid w:val="006E0AE5"/>
    <w:rsid w:val="007865F9"/>
    <w:rsid w:val="007C767C"/>
    <w:rsid w:val="007D326D"/>
    <w:rsid w:val="007D3C52"/>
    <w:rsid w:val="00816851"/>
    <w:rsid w:val="00871A00"/>
    <w:rsid w:val="008A7EBD"/>
    <w:rsid w:val="008C28B2"/>
    <w:rsid w:val="009314E8"/>
    <w:rsid w:val="00954F86"/>
    <w:rsid w:val="00980790"/>
    <w:rsid w:val="00986413"/>
    <w:rsid w:val="00A917D9"/>
    <w:rsid w:val="00A93669"/>
    <w:rsid w:val="00AE1CDC"/>
    <w:rsid w:val="00AE1E48"/>
    <w:rsid w:val="00B006B7"/>
    <w:rsid w:val="00B24164"/>
    <w:rsid w:val="00B315D3"/>
    <w:rsid w:val="00B57D24"/>
    <w:rsid w:val="00BA372C"/>
    <w:rsid w:val="00BA4C17"/>
    <w:rsid w:val="00BE6755"/>
    <w:rsid w:val="00C102F3"/>
    <w:rsid w:val="00C27324"/>
    <w:rsid w:val="00C502A4"/>
    <w:rsid w:val="00C96F3F"/>
    <w:rsid w:val="00CB5B5A"/>
    <w:rsid w:val="00D0649F"/>
    <w:rsid w:val="00DA52C1"/>
    <w:rsid w:val="00E8041D"/>
    <w:rsid w:val="00ED28C6"/>
    <w:rsid w:val="00F151F6"/>
    <w:rsid w:val="00F8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0F572"/>
  <w15:chartTrackingRefBased/>
  <w15:docId w15:val="{78FEB233-0EF4-4E20-A124-5BC82164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A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6A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6A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6A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6A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6A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6A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6A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6A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A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6A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6A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6A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6A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6A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6A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6A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6AF3"/>
    <w:rPr>
      <w:rFonts w:eastAsiaTheme="majorEastAsia" w:cstheme="majorBidi"/>
      <w:color w:val="272727" w:themeColor="text1" w:themeTint="D8"/>
    </w:rPr>
  </w:style>
  <w:style w:type="paragraph" w:styleId="Title">
    <w:name w:val="Title"/>
    <w:basedOn w:val="Normal"/>
    <w:next w:val="Normal"/>
    <w:link w:val="TitleChar"/>
    <w:uiPriority w:val="10"/>
    <w:qFormat/>
    <w:rsid w:val="00456A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6A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6A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6A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6AF3"/>
    <w:pPr>
      <w:spacing w:before="160"/>
      <w:jc w:val="center"/>
    </w:pPr>
    <w:rPr>
      <w:i/>
      <w:iCs/>
      <w:color w:val="404040" w:themeColor="text1" w:themeTint="BF"/>
    </w:rPr>
  </w:style>
  <w:style w:type="character" w:customStyle="1" w:styleId="QuoteChar">
    <w:name w:val="Quote Char"/>
    <w:basedOn w:val="DefaultParagraphFont"/>
    <w:link w:val="Quote"/>
    <w:uiPriority w:val="29"/>
    <w:rsid w:val="00456AF3"/>
    <w:rPr>
      <w:i/>
      <w:iCs/>
      <w:color w:val="404040" w:themeColor="text1" w:themeTint="BF"/>
    </w:rPr>
  </w:style>
  <w:style w:type="paragraph" w:styleId="ListParagraph">
    <w:name w:val="List Paragraph"/>
    <w:basedOn w:val="Normal"/>
    <w:uiPriority w:val="34"/>
    <w:qFormat/>
    <w:rsid w:val="00456AF3"/>
    <w:pPr>
      <w:ind w:left="720"/>
      <w:contextualSpacing/>
    </w:pPr>
  </w:style>
  <w:style w:type="character" w:styleId="IntenseEmphasis">
    <w:name w:val="Intense Emphasis"/>
    <w:basedOn w:val="DefaultParagraphFont"/>
    <w:uiPriority w:val="21"/>
    <w:qFormat/>
    <w:rsid w:val="00456AF3"/>
    <w:rPr>
      <w:i/>
      <w:iCs/>
      <w:color w:val="0F4761" w:themeColor="accent1" w:themeShade="BF"/>
    </w:rPr>
  </w:style>
  <w:style w:type="paragraph" w:styleId="IntenseQuote">
    <w:name w:val="Intense Quote"/>
    <w:basedOn w:val="Normal"/>
    <w:next w:val="Normal"/>
    <w:link w:val="IntenseQuoteChar"/>
    <w:uiPriority w:val="30"/>
    <w:qFormat/>
    <w:rsid w:val="00456A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6AF3"/>
    <w:rPr>
      <w:i/>
      <w:iCs/>
      <w:color w:val="0F4761" w:themeColor="accent1" w:themeShade="BF"/>
    </w:rPr>
  </w:style>
  <w:style w:type="character" w:styleId="IntenseReference">
    <w:name w:val="Intense Reference"/>
    <w:basedOn w:val="DefaultParagraphFont"/>
    <w:uiPriority w:val="32"/>
    <w:qFormat/>
    <w:rsid w:val="00456AF3"/>
    <w:rPr>
      <w:b/>
      <w:bCs/>
      <w:smallCaps/>
      <w:color w:val="0F4761" w:themeColor="accent1" w:themeShade="BF"/>
      <w:spacing w:val="5"/>
    </w:rPr>
  </w:style>
  <w:style w:type="paragraph" w:styleId="TOCHeading">
    <w:name w:val="TOC Heading"/>
    <w:basedOn w:val="Heading1"/>
    <w:next w:val="Normal"/>
    <w:uiPriority w:val="39"/>
    <w:unhideWhenUsed/>
    <w:qFormat/>
    <w:rsid w:val="00456AF3"/>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456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AF3"/>
  </w:style>
  <w:style w:type="paragraph" w:styleId="Footer">
    <w:name w:val="footer"/>
    <w:basedOn w:val="Normal"/>
    <w:link w:val="FooterChar"/>
    <w:uiPriority w:val="99"/>
    <w:unhideWhenUsed/>
    <w:rsid w:val="00456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AF3"/>
  </w:style>
  <w:style w:type="paragraph" w:styleId="TOC1">
    <w:name w:val="toc 1"/>
    <w:basedOn w:val="Normal"/>
    <w:next w:val="Normal"/>
    <w:autoRedefine/>
    <w:uiPriority w:val="39"/>
    <w:unhideWhenUsed/>
    <w:rsid w:val="00490738"/>
    <w:pPr>
      <w:spacing w:after="100"/>
    </w:pPr>
  </w:style>
  <w:style w:type="character" w:styleId="Hyperlink">
    <w:name w:val="Hyperlink"/>
    <w:basedOn w:val="DefaultParagraphFont"/>
    <w:uiPriority w:val="99"/>
    <w:unhideWhenUsed/>
    <w:rsid w:val="00490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4C4F2-F01E-4767-BA8D-9EF1DA3FE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10</Pages>
  <Words>2540</Words>
  <Characters>14484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Nisreen Mubarik (2506382)</dc:creator>
  <cp:keywords/>
  <dc:description/>
  <cp:lastModifiedBy>Nisreen Mubarik (2506382)</cp:lastModifiedBy>
  <cp:revision>41</cp:revision>
  <dcterms:created xsi:type="dcterms:W3CDTF">2026-02-08T19:26:00Z</dcterms:created>
  <dcterms:modified xsi:type="dcterms:W3CDTF">2026-02-17T14:04:00Z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b8af62a0-3d24-4c9b-bd3b-dfea4e9d83ef</vt:lpwstr>
  </property>
</Properties>
</file>