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22FED" w14:textId="3E3F0849" w:rsidR="006F40CC" w:rsidRDefault="00D75334">
      <w:pPr>
        <w:rPr>
          <w:b/>
          <w:u w:val="single"/>
        </w:rPr>
      </w:pPr>
      <w:bookmarkStart w:id="0" w:name="_GoBack"/>
      <w:bookmarkEnd w:id="0"/>
      <w:r w:rsidRPr="00973E93">
        <w:rPr>
          <w:b/>
          <w:u w:val="single"/>
        </w:rPr>
        <w:t xml:space="preserve">A Source Description of </w:t>
      </w:r>
      <w:bookmarkStart w:id="1" w:name="_Hlk532657464"/>
      <w:r w:rsidR="00973E93" w:rsidRPr="00973E93">
        <w:rPr>
          <w:b/>
          <w:u w:val="single"/>
        </w:rPr>
        <w:t xml:space="preserve">M. Elliot, </w:t>
      </w:r>
      <w:r w:rsidR="00973E93" w:rsidRPr="00973E93">
        <w:rPr>
          <w:b/>
          <w:i/>
          <w:u w:val="single"/>
        </w:rPr>
        <w:t>The Manchu Way</w:t>
      </w:r>
      <w:r w:rsidR="00973E93" w:rsidRPr="00973E93">
        <w:rPr>
          <w:b/>
          <w:u w:val="single"/>
        </w:rPr>
        <w:t>, (Stanford: Stanford University Press, 2001)</w:t>
      </w:r>
      <w:bookmarkEnd w:id="1"/>
    </w:p>
    <w:p w14:paraId="132DB728" w14:textId="5BD83CD1" w:rsidR="00973E93" w:rsidRDefault="00973E93">
      <w:pPr>
        <w:rPr>
          <w:b/>
          <w:u w:val="single"/>
        </w:rPr>
      </w:pPr>
    </w:p>
    <w:p w14:paraId="11A1FC1D" w14:textId="402A15FB" w:rsidR="00973E93" w:rsidRDefault="00D75334">
      <w:r>
        <w:rPr>
          <w:i/>
        </w:rPr>
        <w:t>The Manchu Way</w:t>
      </w:r>
      <w:r>
        <w:t xml:space="preserve"> seeks to inform the reader about two distinct ideas, one being the basis of the other. The first is that the book as a study of the Eight Banner Armies, one of the two armies of Late Imperial China. The other is to dive deep into the institutions of the b</w:t>
      </w:r>
      <w:r>
        <w:t>anners and question the individual ethnic identities of banners and how it changes historical perspectives. Elliot while almost exclusively referring the Eight Banners divides the book itself into subjects that transcend further than just the military</w:t>
      </w:r>
      <w:r>
        <w:rPr>
          <w:rStyle w:val="FootnoteReference"/>
        </w:rPr>
        <w:footnoteReference w:id="1"/>
      </w:r>
      <w:r>
        <w:t>. In</w:t>
      </w:r>
      <w:r>
        <w:t xml:space="preserve">stead at times he discusses identity </w:t>
      </w:r>
      <w:r w:rsidR="00917CF6">
        <w:t xml:space="preserve">rather than mixed within the realms of military history. </w:t>
      </w:r>
    </w:p>
    <w:p w14:paraId="77FC6041" w14:textId="311856FB" w:rsidR="00917CF6" w:rsidRDefault="00D75334">
      <w:r>
        <w:t>Elliot's thesis heavily draws upon concepts that are usually associated with cultural history</w:t>
      </w:r>
      <w:r>
        <w:rPr>
          <w:rStyle w:val="FootnoteReference"/>
        </w:rPr>
        <w:footnoteReference w:id="2"/>
      </w:r>
      <w:r>
        <w:t>. There is an analysis of the use of Garrisons and how their archit</w:t>
      </w:r>
      <w:r>
        <w:t>ecture and administration developed by the ethnic background of its occupiers</w:t>
      </w:r>
      <w:r>
        <w:rPr>
          <w:rStyle w:val="FootnoteReference"/>
        </w:rPr>
        <w:footnoteReference w:id="3"/>
      </w:r>
      <w:r>
        <w:t>. Also, as extension segregation is brought to the attention of the reader and its use to perpetuate the image of the legitimacy of the Ching dynasty</w:t>
      </w:r>
      <w:r>
        <w:rPr>
          <w:rStyle w:val="FootnoteReference"/>
        </w:rPr>
        <w:footnoteReference w:id="4"/>
      </w:r>
      <w:r>
        <w:t xml:space="preserve">. One of the arguments that </w:t>
      </w:r>
      <w:r>
        <w:t>are unquestionably aggressively argued is that ethnic identity was regularly used as a means of social control by the state</w:t>
      </w:r>
      <w:r>
        <w:rPr>
          <w:rStyle w:val="FootnoteReference"/>
        </w:rPr>
        <w:footnoteReference w:id="5"/>
      </w:r>
      <w:r>
        <w:t xml:space="preserve">. </w:t>
      </w:r>
    </w:p>
    <w:p w14:paraId="056C880E" w14:textId="54C3F9F4" w:rsidR="00917CF6" w:rsidRDefault="00D75334">
      <w:r>
        <w:t>Underneath this façade of politics and military usage, there is a broader question that is asked, what was the ethnic identity of</w:t>
      </w:r>
      <w:r>
        <w:t xml:space="preserve"> the banners? Elliot rather pointedly uses primary sources to look at the individual lifestyles of each of the ethnic groups that were recruited within the flags</w:t>
      </w:r>
      <w:r>
        <w:rPr>
          <w:rStyle w:val="FootnoteReference"/>
        </w:rPr>
        <w:footnoteReference w:id="6"/>
      </w:r>
      <w:r>
        <w:t>. It creates an image of diversity and cultural uniqueness. The reader is led to understand ho</w:t>
      </w:r>
      <w:r>
        <w:t>w each ethnic group was able to develop and to preserve their own unique culture while still being considered part of the identity of China, alongside the Chinese ethnicities</w:t>
      </w:r>
      <w:r>
        <w:rPr>
          <w:rStyle w:val="FootnoteReference"/>
        </w:rPr>
        <w:footnoteReference w:id="7"/>
      </w:r>
      <w:r>
        <w:t xml:space="preserve">. </w:t>
      </w:r>
    </w:p>
    <w:p w14:paraId="7D371610" w14:textId="23620909" w:rsidR="00917CF6" w:rsidRDefault="00D75334">
      <w:r>
        <w:t xml:space="preserve">It is also a question of as Elliot </w:t>
      </w:r>
      <w:r w:rsidR="0055063B">
        <w:t>in the last quarter of his work demonstrates how the banners also permitted progression for the ethnicities who not necessary experience such a thing</w:t>
      </w:r>
      <w:r>
        <w:rPr>
          <w:rStyle w:val="FootnoteReference"/>
        </w:rPr>
        <w:footnoteReference w:id="8"/>
      </w:r>
      <w:r w:rsidR="0055063B">
        <w:t>. The system allowed a type of meritocracy that would not typically be considered under an autocracy, let a Manchu monopoly on power. Through regular service, Bannerman could be appointed to positions of authority within the state government without needing to pass the Imperial Examination. Elliot uses this to finish and to conclude, as, despite the system on the outside looking like deliberate segregation, it permitted social advancement that could not be seen the west</w:t>
      </w:r>
      <w:r>
        <w:rPr>
          <w:rStyle w:val="FootnoteReference"/>
        </w:rPr>
        <w:footnoteReference w:id="9"/>
      </w:r>
      <w:r w:rsidR="0055063B">
        <w:t xml:space="preserve">. His conclusion is quite simple that the question of identity is </w:t>
      </w:r>
      <w:r w:rsidR="002A3029">
        <w:t>complicated, yet they can still be defined as part of the character of Imperial China</w:t>
      </w:r>
      <w:r>
        <w:rPr>
          <w:rStyle w:val="FootnoteReference"/>
        </w:rPr>
        <w:footnoteReference w:id="10"/>
      </w:r>
      <w:r w:rsidR="0055063B">
        <w:t xml:space="preserve">.     </w:t>
      </w:r>
    </w:p>
    <w:p w14:paraId="7719CCF7" w14:textId="77777777" w:rsidR="00917CF6" w:rsidRDefault="00917CF6"/>
    <w:p w14:paraId="4781AA10" w14:textId="1E1ACE64" w:rsidR="00917CF6" w:rsidRDefault="00D75334">
      <w:r>
        <w:t xml:space="preserve"> </w:t>
      </w:r>
    </w:p>
    <w:p w14:paraId="78F14C09" w14:textId="77777777" w:rsidR="00917CF6" w:rsidRPr="00973E93" w:rsidRDefault="00917CF6"/>
    <w:sectPr w:rsidR="00917CF6" w:rsidRPr="00973E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836F96" w14:textId="77777777" w:rsidR="00D75334" w:rsidRDefault="00D75334">
      <w:pPr>
        <w:spacing w:after="0" w:line="240" w:lineRule="auto"/>
      </w:pPr>
      <w:r>
        <w:separator/>
      </w:r>
    </w:p>
  </w:endnote>
  <w:endnote w:type="continuationSeparator" w:id="0">
    <w:p w14:paraId="5C78717A" w14:textId="77777777" w:rsidR="00D75334" w:rsidRDefault="00D753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161E73" w14:textId="77777777" w:rsidR="00D75334" w:rsidRDefault="00D75334" w:rsidP="009024F0">
      <w:pPr>
        <w:spacing w:after="0" w:line="240" w:lineRule="auto"/>
      </w:pPr>
      <w:r>
        <w:separator/>
      </w:r>
    </w:p>
  </w:footnote>
  <w:footnote w:type="continuationSeparator" w:id="0">
    <w:p w14:paraId="727A5C2A" w14:textId="77777777" w:rsidR="00D75334" w:rsidRDefault="00D75334" w:rsidP="009024F0">
      <w:pPr>
        <w:spacing w:after="0" w:line="240" w:lineRule="auto"/>
      </w:pPr>
      <w:r>
        <w:continuationSeparator/>
      </w:r>
    </w:p>
  </w:footnote>
  <w:footnote w:id="1">
    <w:p w14:paraId="299A1148" w14:textId="345AE13D" w:rsidR="009024F0" w:rsidRDefault="00D75334">
      <w:pPr>
        <w:pStyle w:val="FootnoteText"/>
      </w:pPr>
      <w:r>
        <w:rPr>
          <w:rStyle w:val="FootnoteReference"/>
        </w:rPr>
        <w:footnoteRef/>
      </w:r>
      <w:r>
        <w:t xml:space="preserve"> </w:t>
      </w:r>
      <w:r w:rsidRPr="009024F0">
        <w:t>M. El</w:t>
      </w:r>
      <w:r w:rsidRPr="009024F0">
        <w:t xml:space="preserve">liot, </w:t>
      </w:r>
      <w:r w:rsidRPr="009024F0">
        <w:rPr>
          <w:i/>
        </w:rPr>
        <w:t>The Manchu Way</w:t>
      </w:r>
      <w:r w:rsidRPr="009024F0">
        <w:t>, (Stanford: Stanford University Press, 2001)</w:t>
      </w:r>
      <w:r w:rsidR="00396D3C">
        <w:t xml:space="preserve">, p. 23. </w:t>
      </w:r>
    </w:p>
  </w:footnote>
  <w:footnote w:id="2">
    <w:p w14:paraId="49359529" w14:textId="3B61B5F9" w:rsidR="00396D3C" w:rsidRDefault="00D75334">
      <w:pPr>
        <w:pStyle w:val="FootnoteText"/>
      </w:pPr>
      <w:r>
        <w:rPr>
          <w:rStyle w:val="FootnoteReference"/>
        </w:rPr>
        <w:footnoteRef/>
      </w:r>
      <w:r>
        <w:t xml:space="preserve"> Ibid., p. 26. </w:t>
      </w:r>
    </w:p>
  </w:footnote>
  <w:footnote w:id="3">
    <w:p w14:paraId="38FA35E8" w14:textId="1D7AD6B8" w:rsidR="00396D3C" w:rsidRDefault="00D75334">
      <w:pPr>
        <w:pStyle w:val="FootnoteText"/>
      </w:pPr>
      <w:r>
        <w:rPr>
          <w:rStyle w:val="FootnoteReference"/>
        </w:rPr>
        <w:footnoteRef/>
      </w:r>
      <w:r>
        <w:t xml:space="preserve"> Ibid., p. 26. </w:t>
      </w:r>
    </w:p>
  </w:footnote>
  <w:footnote w:id="4">
    <w:p w14:paraId="68268D17" w14:textId="0DCE1527" w:rsidR="00EB5389" w:rsidRDefault="00D75334">
      <w:pPr>
        <w:pStyle w:val="FootnoteText"/>
      </w:pPr>
      <w:r>
        <w:rPr>
          <w:rStyle w:val="FootnoteReference"/>
        </w:rPr>
        <w:footnoteRef/>
      </w:r>
      <w:r>
        <w:t xml:space="preserve"> Ibid., p. 2</w:t>
      </w:r>
      <w:r w:rsidR="002A3029">
        <w:t>7</w:t>
      </w:r>
      <w:r>
        <w:t xml:space="preserve">. </w:t>
      </w:r>
    </w:p>
  </w:footnote>
  <w:footnote w:id="5">
    <w:p w14:paraId="0DCDB3C1" w14:textId="3B37F269" w:rsidR="00C34FBC" w:rsidRDefault="00D75334">
      <w:pPr>
        <w:pStyle w:val="FootnoteText"/>
      </w:pPr>
      <w:r>
        <w:rPr>
          <w:rStyle w:val="FootnoteReference"/>
        </w:rPr>
        <w:footnoteRef/>
      </w:r>
      <w:r>
        <w:t xml:space="preserve"> </w:t>
      </w:r>
      <w:r w:rsidR="002A3029">
        <w:t xml:space="preserve">Ibid., p. 34. </w:t>
      </w:r>
    </w:p>
  </w:footnote>
  <w:footnote w:id="6">
    <w:p w14:paraId="1D1EB833" w14:textId="25E81D97" w:rsidR="002A3029" w:rsidRDefault="00D75334">
      <w:pPr>
        <w:pStyle w:val="FootnoteText"/>
      </w:pPr>
      <w:r>
        <w:rPr>
          <w:rStyle w:val="FootnoteReference"/>
        </w:rPr>
        <w:footnoteRef/>
      </w:r>
      <w:r>
        <w:t xml:space="preserve"> Ibid., p. 52. </w:t>
      </w:r>
    </w:p>
  </w:footnote>
  <w:footnote w:id="7">
    <w:p w14:paraId="7D58E625" w14:textId="45C5EEF6" w:rsidR="002A3029" w:rsidRDefault="00D75334">
      <w:pPr>
        <w:pStyle w:val="FootnoteText"/>
      </w:pPr>
      <w:r>
        <w:rPr>
          <w:rStyle w:val="FootnoteReference"/>
        </w:rPr>
        <w:footnoteRef/>
      </w:r>
      <w:r>
        <w:t xml:space="preserve"> Ibid., p. 112. </w:t>
      </w:r>
    </w:p>
  </w:footnote>
  <w:footnote w:id="8">
    <w:p w14:paraId="574F88BA" w14:textId="501BDB55" w:rsidR="002A3029" w:rsidRDefault="00D75334">
      <w:pPr>
        <w:pStyle w:val="FootnoteText"/>
      </w:pPr>
      <w:r>
        <w:rPr>
          <w:rStyle w:val="FootnoteReference"/>
        </w:rPr>
        <w:footnoteRef/>
      </w:r>
      <w:r>
        <w:t xml:space="preserve"> Ibid., p. 112.</w:t>
      </w:r>
    </w:p>
  </w:footnote>
  <w:footnote w:id="9">
    <w:p w14:paraId="1D4B3E3D" w14:textId="10289BBD" w:rsidR="002A3029" w:rsidRDefault="00D75334">
      <w:pPr>
        <w:pStyle w:val="FootnoteText"/>
      </w:pPr>
      <w:r>
        <w:rPr>
          <w:rStyle w:val="FootnoteReference"/>
        </w:rPr>
        <w:footnoteRef/>
      </w:r>
      <w:r>
        <w:t xml:space="preserve"> Ibid., p. 200. </w:t>
      </w:r>
    </w:p>
  </w:footnote>
  <w:footnote w:id="10">
    <w:p w14:paraId="5D6D858F" w14:textId="5C77F8C2" w:rsidR="002A3029" w:rsidRDefault="00D75334">
      <w:pPr>
        <w:pStyle w:val="FootnoteText"/>
      </w:pPr>
      <w:r>
        <w:rPr>
          <w:rStyle w:val="FootnoteReference"/>
        </w:rPr>
        <w:footnoteRef/>
      </w:r>
      <w:r>
        <w:t xml:space="preserve"> Ibid., p. 359.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0B9"/>
    <w:rsid w:val="00015126"/>
    <w:rsid w:val="002A3029"/>
    <w:rsid w:val="00396D3C"/>
    <w:rsid w:val="003B12A1"/>
    <w:rsid w:val="0055063B"/>
    <w:rsid w:val="005660B9"/>
    <w:rsid w:val="005D61A6"/>
    <w:rsid w:val="006912D0"/>
    <w:rsid w:val="006C7569"/>
    <w:rsid w:val="006F40CC"/>
    <w:rsid w:val="007E79AB"/>
    <w:rsid w:val="009024F0"/>
    <w:rsid w:val="00917CF6"/>
    <w:rsid w:val="00973E93"/>
    <w:rsid w:val="009C7238"/>
    <w:rsid w:val="00C34FBC"/>
    <w:rsid w:val="00D05B05"/>
    <w:rsid w:val="00D55E59"/>
    <w:rsid w:val="00D75334"/>
    <w:rsid w:val="00E273B6"/>
    <w:rsid w:val="00EA1210"/>
    <w:rsid w:val="00EB5389"/>
    <w:rsid w:val="00F30D8F"/>
    <w:rsid w:val="00FC4E08"/>
    <w:rsid w:val="00FD5D9B"/>
    <w:rsid w:val="00FE4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D56AC7-D6F7-4F9C-87F9-C9F4A8F6B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024F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024F0"/>
    <w:rPr>
      <w:sz w:val="20"/>
      <w:szCs w:val="20"/>
    </w:rPr>
  </w:style>
  <w:style w:type="character" w:styleId="FootnoteReference">
    <w:name w:val="footnote reference"/>
    <w:basedOn w:val="DefaultParagraphFont"/>
    <w:uiPriority w:val="99"/>
    <w:semiHidden/>
    <w:unhideWhenUsed/>
    <w:rsid w:val="009024F0"/>
    <w:rPr>
      <w:vertAlign w:val="superscript"/>
    </w:rPr>
  </w:style>
  <w:style w:type="paragraph" w:styleId="Header">
    <w:name w:val="header"/>
    <w:basedOn w:val="Normal"/>
    <w:link w:val="HeaderChar"/>
    <w:uiPriority w:val="99"/>
    <w:unhideWhenUsed/>
    <w:rsid w:val="002A30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3029"/>
  </w:style>
  <w:style w:type="paragraph" w:styleId="Footer">
    <w:name w:val="footer"/>
    <w:basedOn w:val="Normal"/>
    <w:link w:val="FooterChar"/>
    <w:uiPriority w:val="99"/>
    <w:unhideWhenUsed/>
    <w:rsid w:val="002A30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30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356D6-B5E7-47E5-AE17-6838F9363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395</Words>
  <Characters>2252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Henry Gillson-Gant</dc:creator>
  <cp:lastModifiedBy>Henry Gillson-Gant</cp:lastModifiedBy>
  <cp:revision>2</cp:revision>
  <dcterms:created xsi:type="dcterms:W3CDTF">2018-12-15T21:46:00Z</dcterms:created>
  <dcterms:modified xsi:type="dcterms:W3CDTF">2018-12-15T21:46:00Z</dcterms:modified>
</cp:coreProperties>
</file>